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4" w:lineRule="exact"/>
        <w:rPr>
          <w:sz w:val="24"/>
          <w:szCs w:val="24"/>
          <w:color w:val="auto"/>
        </w:rPr>
      </w:pPr>
    </w:p>
    <w:p>
      <w:pPr>
        <w:ind w:left="4100" w:right="2180" w:hanging="4092"/>
        <w:spacing w:after="0" w:line="266" w:lineRule="auto"/>
        <w:tabs>
          <w:tab w:leader="none" w:pos="39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2018</w:t>
      </w:r>
    </w:p>
    <w:p>
      <w:pPr>
        <w:spacing w:after="0" w:line="176" w:lineRule="exact"/>
        <w:rPr>
          <w:sz w:val="24"/>
          <w:szCs w:val="24"/>
          <w:color w:val="auto"/>
        </w:rPr>
      </w:pPr>
    </w:p>
    <w:p>
      <w:pPr>
        <w:ind w:left="2840" w:right="1800" w:hanging="2832"/>
        <w:spacing w:after="0" w:line="313" w:lineRule="auto"/>
        <w:tabs>
          <w:tab w:leader="none" w:pos="39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 to ___________________</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 1-36117</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280" w:type="dxa"/>
        <w:tblCellMar>
          <w:top w:w="0" w:type="dxa"/>
          <w:left w:w="0" w:type="dxa"/>
          <w:bottom w:w="0" w:type="dxa"/>
          <w:right w:w="0" w:type="dxa"/>
        </w:tblCellMar>
      </w:tblPr>
      <w:tr>
        <w:trPr>
          <w:trHeight w:val="220"/>
        </w:trPr>
        <w:tc>
          <w:tcPr>
            <w:tcW w:w="5080" w:type="dxa"/>
            <w:vAlign w:val="bottom"/>
          </w:tcPr>
          <w:p>
            <w:pPr>
              <w:jc w:val="center"/>
              <w:ind w:right="570"/>
              <w:spacing w:after="0"/>
              <w:rPr>
                <w:sz w:val="20"/>
                <w:szCs w:val="20"/>
                <w:color w:val="auto"/>
              </w:rPr>
            </w:pPr>
            <w:r>
              <w:rPr>
                <w:rFonts w:ascii="Arial" w:cs="Arial" w:eastAsia="Arial" w:hAnsi="Arial"/>
                <w:sz w:val="18"/>
                <w:szCs w:val="18"/>
                <w:b w:val="1"/>
                <w:bCs w:val="1"/>
                <w:color w:val="auto"/>
                <w:w w:val="98"/>
              </w:rPr>
              <w:t>DELAWARE</w:t>
            </w:r>
          </w:p>
        </w:tc>
        <w:tc>
          <w:tcPr>
            <w:tcW w:w="3580" w:type="dxa"/>
            <w:vAlign w:val="bottom"/>
          </w:tcPr>
          <w:p>
            <w:pPr>
              <w:jc w:val="right"/>
              <w:ind w:right="930"/>
              <w:spacing w:after="0"/>
              <w:rPr>
                <w:sz w:val="20"/>
                <w:szCs w:val="20"/>
                <w:color w:val="auto"/>
              </w:rPr>
            </w:pPr>
            <w:r>
              <w:rPr>
                <w:rFonts w:ascii="Arial" w:cs="Arial" w:eastAsia="Arial" w:hAnsi="Arial"/>
                <w:sz w:val="18"/>
                <w:szCs w:val="18"/>
                <w:b w:val="1"/>
                <w:bCs w:val="1"/>
                <w:color w:val="auto"/>
              </w:rPr>
              <w:t>22-2370659</w:t>
            </w:r>
          </w:p>
        </w:tc>
      </w:tr>
      <w:tr>
        <w:trPr>
          <w:trHeight w:val="230"/>
        </w:trPr>
        <w:tc>
          <w:tcPr>
            <w:tcW w:w="5080" w:type="dxa"/>
            <w:vAlign w:val="bottom"/>
          </w:tcPr>
          <w:p>
            <w:pPr>
              <w:jc w:val="center"/>
              <w:ind w:right="5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tcPr>
          <w:p>
            <w:pPr>
              <w:jc w:val="center"/>
              <w:ind w:left="550"/>
              <w:spacing w:after="0"/>
              <w:rPr>
                <w:sz w:val="20"/>
                <w:szCs w:val="20"/>
                <w:color w:val="auto"/>
              </w:rPr>
            </w:pPr>
            <w:r>
              <w:rPr>
                <w:rFonts w:ascii="Arial" w:cs="Arial" w:eastAsia="Arial" w:hAnsi="Arial"/>
                <w:sz w:val="18"/>
                <w:szCs w:val="18"/>
                <w:color w:val="auto"/>
                <w:w w:val="93"/>
              </w:rPr>
              <w:t>(I.R.S. Employer Identification Number)</w:t>
            </w:r>
          </w:p>
        </w:tc>
      </w:tr>
      <w:tr>
        <w:trPr>
          <w:trHeight w:val="414"/>
        </w:trPr>
        <w:tc>
          <w:tcPr>
            <w:tcW w:w="5080" w:type="dxa"/>
            <w:vAlign w:val="bottom"/>
          </w:tcPr>
          <w:p>
            <w:pPr>
              <w:jc w:val="center"/>
              <w:ind w:right="570"/>
              <w:spacing w:after="0"/>
              <w:rPr>
                <w:sz w:val="20"/>
                <w:szCs w:val="20"/>
                <w:color w:val="auto"/>
              </w:rPr>
            </w:pPr>
            <w:r>
              <w:rPr>
                <w:rFonts w:ascii="Arial" w:cs="Arial" w:eastAsia="Arial" w:hAnsi="Arial"/>
                <w:sz w:val="18"/>
                <w:szCs w:val="18"/>
                <w:b w:val="1"/>
                <w:bCs w:val="1"/>
                <w:color w:val="auto"/>
                <w:w w:val="97"/>
              </w:rPr>
              <w:t>804 EAST GATE DRIVE, SUITE 200</w:t>
            </w:r>
          </w:p>
        </w:tc>
        <w:tc>
          <w:tcPr>
            <w:tcW w:w="3580" w:type="dxa"/>
            <w:vAlign w:val="bottom"/>
          </w:tcPr>
          <w:p>
            <w:pPr>
              <w:spacing w:after="0"/>
              <w:rPr>
                <w:sz w:val="24"/>
                <w:szCs w:val="24"/>
                <w:color w:val="auto"/>
              </w:rPr>
            </w:pPr>
          </w:p>
        </w:tc>
      </w:tr>
      <w:tr>
        <w:trPr>
          <w:trHeight w:val="220"/>
        </w:trPr>
        <w:tc>
          <w:tcPr>
            <w:tcW w:w="5080" w:type="dxa"/>
            <w:vAlign w:val="bottom"/>
          </w:tcPr>
          <w:p>
            <w:pPr>
              <w:jc w:val="center"/>
              <w:ind w:right="570"/>
              <w:spacing w:after="0"/>
              <w:rPr>
                <w:sz w:val="20"/>
                <w:szCs w:val="20"/>
                <w:color w:val="auto"/>
              </w:rPr>
            </w:pPr>
            <w:r>
              <w:rPr>
                <w:rFonts w:ascii="Arial" w:cs="Arial" w:eastAsia="Arial" w:hAnsi="Arial"/>
                <w:sz w:val="18"/>
                <w:szCs w:val="18"/>
                <w:b w:val="1"/>
                <w:bCs w:val="1"/>
                <w:color w:val="auto"/>
              </w:rPr>
              <w:t>MT. LAUREL, NEW JERSEY</w:t>
            </w:r>
          </w:p>
        </w:tc>
        <w:tc>
          <w:tcPr>
            <w:tcW w:w="3580" w:type="dxa"/>
            <w:vAlign w:val="bottom"/>
          </w:tcPr>
          <w:p>
            <w:pPr>
              <w:jc w:val="right"/>
              <w:ind w:right="1150"/>
              <w:spacing w:after="0"/>
              <w:rPr>
                <w:sz w:val="20"/>
                <w:szCs w:val="20"/>
                <w:color w:val="auto"/>
              </w:rPr>
            </w:pPr>
            <w:r>
              <w:rPr>
                <w:rFonts w:ascii="Arial" w:cs="Arial" w:eastAsia="Arial" w:hAnsi="Arial"/>
                <w:sz w:val="18"/>
                <w:szCs w:val="18"/>
                <w:b w:val="1"/>
                <w:bCs w:val="1"/>
                <w:color w:val="auto"/>
              </w:rPr>
              <w:t>08054</w:t>
            </w:r>
          </w:p>
        </w:tc>
      </w:tr>
      <w:tr>
        <w:trPr>
          <w:trHeight w:val="230"/>
        </w:trPr>
        <w:tc>
          <w:tcPr>
            <w:tcW w:w="5080" w:type="dxa"/>
            <w:vAlign w:val="bottom"/>
          </w:tcPr>
          <w:p>
            <w:pPr>
              <w:jc w:val="center"/>
              <w:ind w:right="57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jc w:val="center"/>
              <w:ind w:left="5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(856) 505-8800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1840" w:type="dxa"/>
            <w:vAlign w:val="bottom"/>
          </w:tcPr>
          <w:p>
            <w:pPr>
              <w:spacing w:after="0"/>
              <w:rPr>
                <w:sz w:val="17"/>
                <w:szCs w:val="17"/>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7"/>
        </w:trPr>
        <w:tc>
          <w:tcPr>
            <w:tcW w:w="672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Common Stock, par value $0.01 per share</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NYSE American</w:t>
            </w:r>
          </w:p>
        </w:tc>
      </w:tr>
      <w:tr>
        <w:trPr>
          <w:trHeight w:val="432"/>
        </w:trPr>
        <w:tc>
          <w:tcPr>
            <w:tcW w:w="67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3520" w:type="dxa"/>
            <w:vAlign w:val="bottom"/>
          </w:tcPr>
          <w:p>
            <w:pPr>
              <w:spacing w:after="0"/>
              <w:rPr>
                <w:sz w:val="24"/>
                <w:szCs w:val="24"/>
                <w:color w:val="auto"/>
              </w:rPr>
            </w:pPr>
          </w:p>
        </w:tc>
      </w:tr>
    </w:tbl>
    <w:p>
      <w:pPr>
        <w:spacing w:after="0" w:line="16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8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emerging growth company. See definitions of "large accelerated filer," "accelerated filer" and "smaller reporting company" and “emerging growth company” in Rule 12b-2 of the Exchange Act.</w:t>
      </w:r>
    </w:p>
    <w:p>
      <w:pPr>
        <w:sectPr>
          <w:pgSz w:w="11900" w:h="16838" w:orient="portrait"/>
          <w:cols w:equalWidth="0" w:num="1">
            <w:col w:w="11360"/>
          </w:cols>
          <w:pgMar w:left="240" w:top="692" w:right="299" w:bottom="579" w:gutter="0" w:footer="0" w:header="0"/>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820" w:space="720"/>
            <w:col w:w="4820"/>
          </w:cols>
          <w:pgMar w:left="240" w:top="692" w:right="299" w:bottom="579" w:gutter="0" w:footer="0" w:header="0"/>
          <w:type w:val="continuous"/>
        </w:sectPr>
      </w:pPr>
    </w:p>
    <w:p>
      <w:pPr>
        <w:spacing w:after="0" w:line="3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or revised financial account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340"/>
        <w:spacing w:after="0" w:line="342"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on June 30, 2018 (the last business day of the registrant's most recently completed second fiscal quarter), was: $73,323,770.</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15, 2019, was 10,570,258.</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4"/>
          <w:szCs w:val="24"/>
          <w:color w:val="auto"/>
        </w:rPr>
      </w:pPr>
    </w:p>
    <w:p>
      <w:pPr>
        <w:jc w:val="both"/>
        <w:ind w:right="400"/>
        <w:spacing w:after="0" w:line="342" w:lineRule="auto"/>
        <w:rPr>
          <w:sz w:val="20"/>
          <w:szCs w:val="20"/>
          <w:color w:val="auto"/>
        </w:rPr>
      </w:pPr>
      <w:r>
        <w:rPr>
          <w:rFonts w:ascii="Arial" w:cs="Arial" w:eastAsia="Arial" w:hAnsi="Arial"/>
          <w:sz w:val="16"/>
          <w:szCs w:val="16"/>
          <w:color w:val="auto"/>
        </w:rPr>
        <w:t>Portions of the definitive proxy statement of the Registrant for the Registrant's 2019 Annual Meeting of Stockholders, to be filed with the Securities and Exchange Commission within 120 days after the end of the fiscal year covered by this Report,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92" w:right="299" w:bottom="579"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40" w:type="dxa"/>
            <w:vAlign w:val="bottom"/>
            <w:gridSpan w:val="9"/>
          </w:tcPr>
          <w:p>
            <w:pPr>
              <w:jc w:val="center"/>
              <w:ind w:right="3840"/>
              <w:spacing w:after="0"/>
              <w:rPr>
                <w:sz w:val="20"/>
                <w:szCs w:val="20"/>
                <w:color w:val="auto"/>
              </w:rPr>
            </w:pPr>
            <w:r>
              <w:rPr>
                <w:rFonts w:ascii="Arial" w:cs="Arial" w:eastAsia="Arial" w:hAnsi="Arial"/>
                <w:sz w:val="18"/>
                <w:szCs w:val="18"/>
                <w:b w:val="1"/>
                <w:bCs w:val="1"/>
                <w:color w:val="auto"/>
                <w:w w:val="99"/>
              </w:rPr>
              <w:t>inTEST CORPORATION</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80" w:type="dxa"/>
            <w:vAlign w:val="bottom"/>
            <w:gridSpan w:val="8"/>
          </w:tcPr>
          <w:p>
            <w:pPr>
              <w:jc w:val="center"/>
              <w:ind w:right="4600"/>
              <w:spacing w:after="0"/>
              <w:rPr>
                <w:sz w:val="20"/>
                <w:szCs w:val="20"/>
                <w:color w:val="auto"/>
              </w:rPr>
            </w:pPr>
            <w:r>
              <w:rPr>
                <w:rFonts w:ascii="Arial" w:cs="Arial" w:eastAsia="Arial" w:hAnsi="Arial"/>
                <w:sz w:val="18"/>
                <w:szCs w:val="18"/>
                <w:b w:val="1"/>
                <w:bCs w:val="1"/>
                <w:color w:val="auto"/>
              </w:rPr>
              <w:t>FORM 10-K</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0" w:type="dxa"/>
            <w:vAlign w:val="bottom"/>
            <w:gridSpan w:val="11"/>
          </w:tcPr>
          <w:p>
            <w:pPr>
              <w:jc w:val="center"/>
              <w:ind w:right="3360"/>
              <w:spacing w:after="0"/>
              <w:rPr>
                <w:sz w:val="20"/>
                <w:szCs w:val="20"/>
                <w:color w:val="auto"/>
              </w:rPr>
            </w:pPr>
            <w:r>
              <w:rPr>
                <w:rFonts w:ascii="Arial" w:cs="Arial" w:eastAsia="Arial" w:hAnsi="Arial"/>
                <w:sz w:val="18"/>
                <w:szCs w:val="18"/>
                <w:b w:val="1"/>
                <w:bCs w:val="1"/>
                <w:color w:val="auto"/>
                <w:w w:val="98"/>
              </w:rPr>
              <w:t>FOR THE YEAR ENDED DECEMBER 31, 2018</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20" w:type="dxa"/>
            <w:vAlign w:val="bottom"/>
            <w:gridSpan w:val="7"/>
          </w:tcPr>
          <w:p>
            <w:pPr>
              <w:jc w:val="center"/>
              <w:ind w:right="4860"/>
              <w:spacing w:after="0"/>
              <w:rPr>
                <w:sz w:val="20"/>
                <w:szCs w:val="20"/>
                <w:color w:val="auto"/>
              </w:rPr>
            </w:pPr>
            <w:r>
              <w:rPr>
                <w:rFonts w:ascii="Arial" w:cs="Arial" w:eastAsia="Arial" w:hAnsi="Arial"/>
                <w:sz w:val="18"/>
                <w:szCs w:val="18"/>
                <w:b w:val="1"/>
                <w:bCs w:val="1"/>
                <w:color w:val="auto"/>
              </w:rPr>
              <w:t>INDEX</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20" w:type="dxa"/>
            <w:vAlign w:val="bottom"/>
            <w:gridSpan w:val="7"/>
            <w:vMerge w:val="restart"/>
          </w:tcPr>
          <w:p>
            <w:pPr>
              <w:jc w:val="center"/>
              <w:ind w:right="4860"/>
              <w:spacing w:after="0"/>
              <w:rPr>
                <w:sz w:val="20"/>
                <w:szCs w:val="20"/>
                <w:color w:val="auto"/>
              </w:rPr>
            </w:pPr>
            <w:r>
              <w:rPr>
                <w:rFonts w:ascii="Arial" w:cs="Arial" w:eastAsia="Arial" w:hAnsi="Arial"/>
                <w:sz w:val="18"/>
                <w:szCs w:val="18"/>
                <w:b w:val="1"/>
                <w:bCs w:val="1"/>
                <w:color w:val="auto"/>
                <w:w w:val="98"/>
              </w:rPr>
              <w:t>PART I</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w w:val="83"/>
              </w:rPr>
              <w:t>Page</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20" w:type="dxa"/>
            <w:vAlign w:val="bottom"/>
            <w:gridSpan w:val="7"/>
            <w:vMerge w:val="continue"/>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10080" w:type="dxa"/>
            <w:vAlign w:val="bottom"/>
            <w:gridSpan w:val="23"/>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2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Risk Factors</w:t>
              </w:r>
            </w:hyperlink>
          </w:p>
        </w:tc>
        <w:tc>
          <w:tcPr>
            <w:tcW w:w="9160" w:type="dxa"/>
            <w:vAlign w:val="bottom"/>
            <w:gridSpan w:val="19"/>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Unresolved Staff Comments</w:t>
              </w:r>
            </w:hyperlink>
          </w:p>
        </w:tc>
        <w:tc>
          <w:tcPr>
            <w:tcW w:w="8020" w:type="dxa"/>
            <w:vAlign w:val="bottom"/>
            <w:gridSpan w:val="12"/>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Properties</w:t>
              </w:r>
            </w:hyperlink>
          </w:p>
        </w:tc>
        <w:tc>
          <w:tcPr>
            <w:tcW w:w="9340" w:type="dxa"/>
            <w:vAlign w:val="bottom"/>
            <w:gridSpan w:val="21"/>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080" w:type="dxa"/>
            <w:vAlign w:val="bottom"/>
            <w:gridSpan w:val="2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80" w:type="dxa"/>
            <w:vAlign w:val="bottom"/>
            <w:gridSpan w:val="2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20" w:type="dxa"/>
            <w:vAlign w:val="bottom"/>
            <w:gridSpan w:val="7"/>
          </w:tcPr>
          <w:p>
            <w:pPr>
              <w:jc w:val="center"/>
              <w:ind w:right="4860"/>
              <w:spacing w:after="0"/>
              <w:rPr>
                <w:sz w:val="20"/>
                <w:szCs w:val="20"/>
                <w:color w:val="auto"/>
              </w:rPr>
            </w:pPr>
            <w:r>
              <w:rPr>
                <w:rFonts w:ascii="Arial" w:cs="Arial" w:eastAsia="Arial" w:hAnsi="Arial"/>
                <w:sz w:val="18"/>
                <w:szCs w:val="18"/>
                <w:b w:val="1"/>
                <w:bCs w:val="1"/>
                <w:color w:val="auto"/>
              </w:rPr>
              <w:t>PART II</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008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Market for Registrant's Common Equity, Related Stockholder Matters and Issuer Purchases of Equity Securities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Selected Financial Data</w:t>
              </w:r>
            </w:hyperlink>
          </w:p>
        </w:tc>
        <w:tc>
          <w:tcPr>
            <w:tcW w:w="6340" w:type="dxa"/>
            <w:vAlign w:val="bottom"/>
            <w:tcBorders>
              <w:top w:val="single" w:sz="8" w:color="0000EE"/>
            </w:tcBorders>
            <w:gridSpan w:val="14"/>
          </w:tcPr>
          <w:p>
            <w:pPr>
              <w:spacing w:after="0"/>
              <w:rPr>
                <w:sz w:val="17"/>
                <w:szCs w:val="17"/>
                <w:color w:val="auto"/>
              </w:rPr>
            </w:pPr>
          </w:p>
        </w:tc>
        <w:tc>
          <w:tcPr>
            <w:tcW w:w="202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10080" w:type="dxa"/>
            <w:vAlign w:val="bottom"/>
            <w:gridSpan w:val="2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3640" w:type="dxa"/>
            <w:vAlign w:val="bottom"/>
            <w:gridSpan w:val="4"/>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720" w:type="dxa"/>
            <w:vAlign w:val="bottom"/>
            <w:gridSpan w:val="7"/>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10080" w:type="dxa"/>
            <w:vAlign w:val="bottom"/>
            <w:gridSpan w:val="2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Changes in and Disagreements with Accountants on Accounting and Financial Disclosure</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1"/>
          </w:tcPr>
          <w:p>
            <w:pPr>
              <w:spacing w:after="0"/>
              <w:rPr>
                <w:sz w:val="17"/>
                <w:szCs w:val="17"/>
                <w:color w:val="auto"/>
              </w:rPr>
            </w:pPr>
          </w:p>
        </w:tc>
        <w:tc>
          <w:tcPr>
            <w:tcW w:w="3600" w:type="dxa"/>
            <w:vAlign w:val="bottom"/>
            <w:gridSpan w:val="3"/>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0080" w:type="dxa"/>
            <w:vAlign w:val="bottom"/>
            <w:gridSpan w:val="2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20" w:type="dxa"/>
            <w:vAlign w:val="bottom"/>
            <w:gridSpan w:val="7"/>
          </w:tcPr>
          <w:p>
            <w:pPr>
              <w:jc w:val="center"/>
              <w:ind w:right="4840"/>
              <w:spacing w:after="0"/>
              <w:rPr>
                <w:sz w:val="20"/>
                <w:szCs w:val="20"/>
                <w:color w:val="auto"/>
              </w:rPr>
            </w:pPr>
            <w:r>
              <w:rPr>
                <w:rFonts w:ascii="Arial" w:cs="Arial" w:eastAsia="Arial" w:hAnsi="Arial"/>
                <w:sz w:val="18"/>
                <w:szCs w:val="18"/>
                <w:b w:val="1"/>
                <w:bCs w:val="1"/>
                <w:color w:val="auto"/>
              </w:rPr>
              <w:t>PART III</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1008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Directors, Executive Officers and Corporate Governance</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980" w:type="dxa"/>
            <w:vAlign w:val="bottom"/>
            <w:gridSpan w:val="8"/>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Security Ownership of Certain Beneficial Owners and Management and Related Stockholder Matters</w:t>
              </w:r>
            </w:hyperlink>
          </w:p>
        </w:tc>
        <w:tc>
          <w:tcPr>
            <w:tcW w:w="2780" w:type="dxa"/>
            <w:vAlign w:val="bottom"/>
            <w:gridSpan w:val="2"/>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Certain Relationships and Related Transactions, and Director Independence</w:t>
              </w:r>
            </w:hyperlink>
          </w:p>
        </w:tc>
        <w:tc>
          <w:tcPr>
            <w:tcW w:w="4620" w:type="dxa"/>
            <w:vAlign w:val="bottom"/>
            <w:gridSpan w:val="6"/>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10080" w:type="dxa"/>
            <w:vAlign w:val="bottom"/>
            <w:gridSpan w:val="2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Principal Accounting Fees and Services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20" w:type="dxa"/>
            <w:vAlign w:val="bottom"/>
            <w:gridSpan w:val="7"/>
          </w:tcPr>
          <w:p>
            <w:pPr>
              <w:jc w:val="center"/>
              <w:ind w:right="4840"/>
              <w:spacing w:after="0"/>
              <w:rPr>
                <w:sz w:val="20"/>
                <w:szCs w:val="20"/>
                <w:color w:val="auto"/>
              </w:rPr>
            </w:pPr>
            <w:r>
              <w:rPr>
                <w:rFonts w:ascii="Arial" w:cs="Arial" w:eastAsia="Arial" w:hAnsi="Arial"/>
                <w:sz w:val="18"/>
                <w:szCs w:val="18"/>
                <w:b w:val="1"/>
                <w:bCs w:val="1"/>
                <w:color w:val="auto"/>
              </w:rPr>
              <w:t>PART IV</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1008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 Financial Statement Schedules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17"/>
                <w:szCs w:val="17"/>
                <w:color w:val="auto"/>
              </w:rPr>
            </w:pPr>
          </w:p>
        </w:tc>
        <w:tc>
          <w:tcPr>
            <w:tcW w:w="7180" w:type="dxa"/>
            <w:vAlign w:val="bottom"/>
            <w:gridSpan w:val="10"/>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8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Index to Exhibits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8840" w:type="dxa"/>
            <w:vAlign w:val="bottom"/>
            <w:gridSpan w:val="18"/>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80" w:type="dxa"/>
            <w:vAlign w:val="bottom"/>
            <w:gridSpan w:val="15"/>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80" w:type="dxa"/>
            <w:vAlign w:val="bottom"/>
            <w:gridSpan w:val="2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Index to Consolidated Financial Statements and Financial Statement Schedule</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5460" w:type="dxa"/>
            <w:vAlign w:val="bottom"/>
            <w:tcBorders>
              <w:top w:val="single" w:sz="8" w:color="0000EE"/>
            </w:tcBorders>
            <w:gridSpan w:val="17"/>
          </w:tcPr>
          <w:p>
            <w:pPr>
              <w:jc w:val="center"/>
              <w:ind w:left="4030"/>
              <w:spacing w:after="0"/>
              <w:rPr>
                <w:sz w:val="20"/>
                <w:szCs w:val="20"/>
                <w:color w:val="auto"/>
              </w:rPr>
            </w:pPr>
            <w:r>
              <w:rPr>
                <w:rFonts w:ascii="Arial" w:cs="Arial" w:eastAsia="Arial" w:hAnsi="Arial"/>
                <w:sz w:val="18"/>
                <w:szCs w:val="18"/>
                <w:color w:val="auto"/>
                <w:w w:val="93"/>
              </w:rPr>
              <w:t>- 2 -</w:t>
            </w:r>
          </w:p>
        </w:tc>
        <w:tc>
          <w:tcPr>
            <w:tcW w:w="1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2018</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80" w:right="20"/>
        <w:spacing w:after="0" w:line="255" w:lineRule="auto"/>
        <w:rPr>
          <w:sz w:val="20"/>
          <w:szCs w:val="20"/>
          <w:color w:val="auto"/>
        </w:rPr>
      </w:pPr>
      <w:r>
        <w:rPr>
          <w:rFonts w:ascii="Arial" w:cs="Arial" w:eastAsia="Arial" w:hAnsi="Arial"/>
          <w:sz w:val="18"/>
          <w:szCs w:val="18"/>
          <w:color w:val="auto"/>
        </w:rPr>
        <w:t>From time to time, we make written or oral "forward-looking statements" within the meaning of the Private Securities Litigation Reform Act of 1995, as amended, including statements contained in our filings with the Securities and Exchange Commission (“SEC”) (including this Annual Report on Form 10-K (“Report”)), in our annual report to stockholders and in other communications. These statements do not convey historical information, but relate to predicted or potential future events, such as statements of our plans, strategies and intentions, or our future performance or goals, that are based on management’s current expectations. Our forward-looking statements can often be identified by the use of forward-looking terminology such as "believes," "expects," "intends," "may," "will," "should," "plans," “projects,” “forecasts,” “outlook” or "anticipates" or similar terminology, and include, but are not limited to, statements made in this Report regarding:</w:t>
      </w:r>
    </w:p>
    <w:p>
      <w:pPr>
        <w:spacing w:after="0" w:line="189"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of future acquisitions or dispositions and the successful integration of any acquired operations;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borrow funds or raise capital to finance major potential acquisitions;</w:t>
      </w:r>
    </w:p>
    <w:p>
      <w:pPr>
        <w:spacing w:after="0" w:line="9" w:lineRule="exact"/>
        <w:rPr>
          <w:rFonts w:ascii="Arial" w:cs="Arial" w:eastAsia="Arial" w:hAnsi="Arial"/>
          <w:sz w:val="18"/>
          <w:szCs w:val="18"/>
          <w:color w:val="auto"/>
        </w:rPr>
      </w:pPr>
    </w:p>
    <w:p>
      <w:pPr>
        <w:ind w:left="820" w:right="500" w:hanging="326"/>
        <w:spacing w:after="0" w:line="281"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our strategy to diversify our business by entering markets outside the semiconductor and automated test equipment (“ATE”), markets, including the automotive, consumer electronics, defense/aerospace, energy, industrial, telecommunications and other markets;</w:t>
      </w:r>
    </w:p>
    <w:p>
      <w:pPr>
        <w:spacing w:after="0" w:line="1"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indications of a change in the market cycles in the semiconductor and ATE markets or other markets we serve;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trends in the semiconductor and ATE markets, including changes in the demand for semiconductors;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of new products and technologies by us or our competitors;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exchange rate fluctuations;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globally;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rate of, and timing of, capital expenditures by our customers;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progress of product development programs;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market for our products;</w:t>
      </w:r>
    </w:p>
    <w:p>
      <w:pPr>
        <w:spacing w:after="0" w:line="9" w:lineRule="exact"/>
        <w:rPr>
          <w:rFonts w:ascii="Arial" w:cs="Arial" w:eastAsia="Arial" w:hAnsi="Arial"/>
          <w:sz w:val="18"/>
          <w:szCs w:val="18"/>
          <w:color w:val="auto"/>
        </w:rPr>
      </w:pPr>
    </w:p>
    <w:p>
      <w:pPr>
        <w:ind w:left="820" w:right="520" w:hanging="326"/>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materials used to manufacture our products, including increases in raw material and fabrication costs associated with our products;</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retention of key personnel;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revenues generated by foreign subsidiaries;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cash balances, lines of credit and net cash from operations;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fluctuations; and</w:t>
      </w:r>
    </w:p>
    <w:p>
      <w:pPr>
        <w:spacing w:after="0" w:line="9" w:lineRule="exact"/>
        <w:rPr>
          <w:rFonts w:ascii="Arial" w:cs="Arial" w:eastAsia="Arial" w:hAnsi="Arial"/>
          <w:sz w:val="18"/>
          <w:szCs w:val="18"/>
          <w:color w:val="auto"/>
        </w:rPr>
      </w:pPr>
    </w:p>
    <w:p>
      <w:pPr>
        <w:ind w:left="820" w:hanging="326"/>
        <w:spacing w:after="0" w:line="26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projections of net revenues, taxable earnings (loss), net earnings (loss), net earnings (loss) per share, capital expenditures and other financial items.</w:t>
      </w:r>
    </w:p>
    <w:p>
      <w:pPr>
        <w:spacing w:after="0" w:line="184" w:lineRule="exact"/>
        <w:rPr>
          <w:sz w:val="20"/>
          <w:szCs w:val="20"/>
          <w:color w:val="auto"/>
        </w:rPr>
      </w:pPr>
    </w:p>
    <w:p>
      <w:pPr>
        <w:ind w:left="180"/>
        <w:spacing w:after="0" w:line="273" w:lineRule="auto"/>
        <w:rPr>
          <w:sz w:val="20"/>
          <w:szCs w:val="20"/>
          <w:color w:val="auto"/>
        </w:rPr>
      </w:pPr>
      <w:r>
        <w:rPr>
          <w:rFonts w:ascii="Arial" w:cs="Arial" w:eastAsia="Arial" w:hAnsi="Arial"/>
          <w:sz w:val="17"/>
          <w:szCs w:val="17"/>
          <w:color w:val="auto"/>
        </w:rPr>
        <w:t>Investors and prospective investors are cautioned that such forward-looking statements are only projections based on current estimations. These statements involve risks and uncertainties and are based upon various assumptions. We discuss many of these risks and uncertainties under Item 1A "Risk Factors," below, and elsewhere in this Report. 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are not obligated to update these forward-looking statements, even though our situation may change in the future.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PART I</w:t>
      </w:r>
    </w:p>
    <w:p>
      <w:pPr>
        <w:spacing w:after="0" w:line="200" w:lineRule="exact"/>
        <w:rPr>
          <w:sz w:val="20"/>
          <w:szCs w:val="20"/>
          <w:color w:val="auto"/>
        </w:rPr>
      </w:pPr>
    </w:p>
    <w:p>
      <w:pPr>
        <w:spacing w:after="0" w:line="241"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color w:val="auto"/>
        </w:rPr>
        <w:t>In this report, "we," "us," "our," and the "Company" refer to inTEST Corporation and its consolidated subsidiaries. We are an independent designer, manufacturer and marketer of thermal management products and ATE interface solutions which are used by semiconductor manufacturers to perform development, qualifying and final testing of integrated circuits (“ICs”) and wafers, and for other electronic test across a range of industries including the automotive, defense/aerospace, energy, industrial, telecommunications and other markets. We also offer induction heating products for joining and forming metals in a variety of industrial markets, including automotive, aerospace, machinery, wire &amp; fasteners, medical, semiconductor, food &amp; beverage, and packaging. Our high-performance products are designed to enable our customers to improve the efficiency of their test and manufacturing processes and, consequently, their profitability.</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We sell our products worldwide. Within the ATE market, we sell our products both directly to major semiconductor manufacturers and semiconductor test subcontractors and indirectly through leading ATE manufacturers. In markets outside the ATE market, we sell our products directly to the end user of the product or through third party distributors. Our largest customers include Aixtron SE, Analog Devices, Inc., Foxconn Optical Interconnect Technologies, Inc., GT Advanced Technologies Incorporated, Hakuto Co. Ltd., LPE S.p.A., NXP Semiconductors N.V., Raytheon Company, Rosendahl Nextrom GmbH, and Texas Instruments Incorporated.</w:t>
      </w:r>
    </w:p>
    <w:p>
      <w:pPr>
        <w:spacing w:after="0" w:line="188" w:lineRule="exact"/>
        <w:rPr>
          <w:sz w:val="20"/>
          <w:szCs w:val="20"/>
          <w:color w:val="auto"/>
        </w:rPr>
      </w:pPr>
    </w:p>
    <w:p>
      <w:pPr>
        <w:ind w:left="460" w:right="360"/>
        <w:spacing w:after="0" w:line="264"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inTEST Corporation was incorporated in New Jersey in 1981 and reincorporated in Delaware in April 1997. We have two reportable segments, which are also our reporting units, Thermal Products ("Thermal") and Electromechanical Semiconductor Products ("EMS").</w:t>
      </w:r>
    </w:p>
    <w:p>
      <w:pPr>
        <w:spacing w:after="0" w:line="181"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On May 24, 2017, we completed the acquisition of Ambrell Corporation (“Ambrell”) for $22.0 million in cash paid at the closing. Subsequent to the closing, we paid an additional $18.0 million in earnouts based on the 2017 and 2018 adjusted EBITDA of Ambrell, as discussed further in Note 3 to our consolidated financial statements included in Item 8 of this Report on Form 10-K. The acquisition was completed by acquiring all of the outstanding capital stock of Ambrell. Ambrell is a manufacturer of precision induction heating systems which are used to conduct fast, efficient, repeatable non-contact heating of metals or other electrically conductive materials, in order to transform raw materials into finished parts. The Ambrell acquisition complements our thermal technologies and broadens our diverse customer base, allowing expansion within many non-semiconductor related markets, such as consumer product packaging, fiber-optics, automotive and other markets. Ambrell's operations are included in our Thermal segment. Ambrell manufactures its products in the U.S. and conducts marketing and support activities from its facilities in the U.S., the Netherlands and the U.K.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MARKETS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Our business is grounded in the ATE market, which provides automated test equipment to the semiconductor market. While the ATE market remains a key driver in our business, we have taken actions over the last ten years to diversify our served markets to address the thermal test requirements of several other markets outside the semiconductor market as well as certain thermal process industrial requirements. The markets we have targeted outside the semiconductor market include the automotive, consumer electronics, defense/aerospace, energy, industrial and telecommunications markets. Prior to the acquisition of Ambrell in May 2017, we offered only highly specialized engineering solutions used for testing applications in the markets outside the semiconductor market, the demand for which is limited and which varies significantly from period to period. Our acquisition of Ambrell not only provided expansion into new markets, but also broadened our product offerings to include products sold into process or manufacturing applications. Historically, Ambrell sold its precision induction heating systems almost exclusively to customers in the industrial market, which is a non-semiconductor market, but since 2018 has also had significant sales into the semiconductor market. Overall, however, the acquisition of Ambrell has reduced our dependence on customers in the semiconductor market. We expect that our future orders and net revenues will be approximately equally split between the semiconductor and non-semiconductor markets. During 2018 and 2017, our net revenues in markets outside the semiconductor market were $33.2 million (including $19.1 million of net revenues attributable to Ambrell) and $29.0 million (including $13.2 million of net revenues attributable to Ambrell), respectively, and represented 42% and 44%, respectively, of our total net revenues. In the five years prior to the acquisition of Ambrell, our net revenues from sales in markets outside the semiconductor market ranged from 18% to 30%.</w:t>
      </w:r>
    </w:p>
    <w:p>
      <w:pPr>
        <w:spacing w:after="0" w:line="172" w:lineRule="exact"/>
        <w:rPr>
          <w:sz w:val="20"/>
          <w:szCs w:val="20"/>
          <w:color w:val="auto"/>
        </w:rPr>
      </w:pPr>
    </w:p>
    <w:p>
      <w:pPr>
        <w:ind w:left="460" w:right="60"/>
        <w:spacing w:after="0" w:line="289" w:lineRule="auto"/>
        <w:rPr>
          <w:sz w:val="20"/>
          <w:szCs w:val="20"/>
          <w:color w:val="auto"/>
        </w:rPr>
      </w:pPr>
      <w:r>
        <w:rPr>
          <w:rFonts w:ascii="Arial" w:cs="Arial" w:eastAsia="Arial" w:hAnsi="Arial"/>
          <w:sz w:val="16"/>
          <w:szCs w:val="16"/>
          <w:color w:val="auto"/>
        </w:rPr>
        <w:t>The level of our net revenues in the various markets we serve outside the semiconductor market varies significantly from market to market. During 2018 and 2017, our net revenues from the industrial market represented 27% and 21%, respectively, of our total net revenues, while our net revenues from the telecommunications market represented 7% and 15%, respectively of our total net revenues for both years and our net revenues from the defense/aerospace market represented 6% and 5%, respectively, of our total net revenues. The level of our net revenues in these non-semiconductor markets has varied significantly in the past and we expect will vary significantly in the future as we build our presence in these markets and establish new markets for our products. One of our goals is to further expand our sales in these markets outside the semiconductor market; however, due to the highly specialized nature of many of our product offerings in these non-semiconductor markets, we do not expect broad market penetration in many of these markets and therefore, do not anticipate developing meaningful market shares in most of these non-semiconductor markets. Consequently, we are continuing to evaluate buying patterns and opportunities for growth in these markets that may affect our performance.</w:t>
      </w:r>
    </w:p>
    <w:p>
      <w:pPr>
        <w:spacing w:after="0" w:line="167"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Outside of the semiconductor market, we have developed a meaningful market share in two markets: the optical transceiver market (which is a subset of the broad telecommunications market) and the induction heating market for systems with 500KW or less of power. In contrast to the semiconductor or ATE markets where we serve a broad range of customers and where our business trends follow the overall market trends within the semiconductor or ATE markets, in the optical transceiver submarket and the industrial markets where induction heating products are used, we only serve a limited number of market participants, which represent only a portion of these markets and, therefore, market trends in these areas do not have as material an impact on our financial results. The following discussion of our markets is limited to the ATE and semiconductor markets, which currently represent the majority of our net revenues.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Semiconductor and ATE Markets</w:t>
      </w:r>
    </w:p>
    <w:p>
      <w:pPr>
        <w:spacing w:after="0" w:line="225" w:lineRule="exact"/>
        <w:rPr>
          <w:sz w:val="20"/>
          <w:szCs w:val="20"/>
          <w:color w:val="auto"/>
        </w:rPr>
      </w:pPr>
    </w:p>
    <w:p>
      <w:pPr>
        <w:ind w:left="460" w:right="140"/>
        <w:spacing w:after="0" w:line="254" w:lineRule="auto"/>
        <w:rPr>
          <w:sz w:val="20"/>
          <w:szCs w:val="20"/>
          <w:color w:val="auto"/>
        </w:rPr>
      </w:pPr>
      <w:r>
        <w:rPr>
          <w:rFonts w:ascii="Arial" w:cs="Arial" w:eastAsia="Arial" w:hAnsi="Arial"/>
          <w:sz w:val="18"/>
          <w:szCs w:val="18"/>
          <w:color w:val="auto"/>
        </w:rPr>
        <w:t>Historically, the semiconductor market has been characterized by rapid technological change, wide fluctuations in demand and shortening product life cycles. Designers and manufacturers of a variety of electronic and industrial products, such as cell phones, telecom and datacom systems, Internet access devices, computers, transportation and consumer electronics, require increasingly complex ICs to provide improved end-product performance demanded by their customers. Semiconductor manufacturers generally compete based on product performance and price. We believe that testing costs represent a significant portion of the total cost of manufacturing ICs. Semiconductor manufacturers remain under pressure to maximize production yields and reduce testing costs. At the same time, the growing complexity of ICs has increased the difficulty of maximizing test yields. In order to address these market trends, semiconductor manufacturers strive for more effective utilization of ATE, smaller test areas and increased wafer level testing.</w:t>
      </w:r>
    </w:p>
    <w:p>
      <w:pPr>
        <w:spacing w:after="0" w:line="192" w:lineRule="exact"/>
        <w:rPr>
          <w:sz w:val="20"/>
          <w:szCs w:val="20"/>
          <w:color w:val="auto"/>
        </w:rPr>
      </w:pPr>
    </w:p>
    <w:p>
      <w:pPr>
        <w:ind w:left="460" w:right="160"/>
        <w:spacing w:after="0" w:line="276" w:lineRule="auto"/>
        <w:rPr>
          <w:sz w:val="20"/>
          <w:szCs w:val="20"/>
          <w:color w:val="auto"/>
        </w:rPr>
      </w:pPr>
      <w:r>
        <w:rPr>
          <w:rFonts w:ascii="Arial" w:cs="Arial" w:eastAsia="Arial" w:hAnsi="Arial"/>
          <w:sz w:val="17"/>
          <w:szCs w:val="17"/>
          <w:color w:val="auto"/>
        </w:rPr>
        <w:t>Demand for new ATE and related equipment depends upon several factors, including the demand for products that incorporate ICs, the increasing complexity of ICs and the emergence of new IC design, production and packaging technologies. Some of the evolutionary changes in IC technologies included the shift to 300 mm wafers in production, system-on-a-chip (“SOC”) where digital, analog and memory functions are combined on a single IC, and chip scale packaging. As a result of these and other advances, semiconductor manufacturers may require additional ATE not only to handle increases in production but also to handle the more sophisticated testing requirements of ICs.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IC Test Process</w:t>
      </w:r>
    </w:p>
    <w:p>
      <w:pPr>
        <w:spacing w:after="0" w:line="225"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Semiconductor manufacturers typically produce ICs in multiples of several hundred or more on a silicon wafer which is later separated or "diced" into individual ICs. Extended leads are then attached to the individual ICs for later connection to other electrical components. In most cases, the ICs are then encapsulated in a plastic, ceramic or other protective housing. These process steps are called "packaging."</w:t>
      </w:r>
    </w:p>
    <w:p>
      <w:pPr>
        <w:spacing w:after="0" w:line="181" w:lineRule="exact"/>
        <w:rPr>
          <w:sz w:val="20"/>
          <w:szCs w:val="20"/>
          <w:color w:val="auto"/>
        </w:rPr>
      </w:pPr>
    </w:p>
    <w:p>
      <w:pPr>
        <w:ind w:left="460" w:right="340"/>
        <w:spacing w:after="0" w:line="257" w:lineRule="auto"/>
        <w:rPr>
          <w:sz w:val="20"/>
          <w:szCs w:val="20"/>
          <w:color w:val="auto"/>
        </w:rPr>
      </w:pPr>
      <w:r>
        <w:rPr>
          <w:rFonts w:ascii="Arial" w:cs="Arial" w:eastAsia="Arial" w:hAnsi="Arial"/>
          <w:sz w:val="18"/>
          <w:szCs w:val="18"/>
          <w:color w:val="auto"/>
        </w:rPr>
        <w:t>Wafers are tested before being diced and packaged, to ensure that only properly functioning ICs are packaged. This testing step has several names, including "front-end test," "wafer test," "wafer probe" or "wafer sort." In front-end test, an electronic handling device known as a wafer prober automatically positions the wafer under a probe card which is electronically connected to a "test head," which connects electrically to a test system. During front-end testing, there is a growing trend of thermally conditioning the wafer during test. Once the good ICs have been identified, they are packaged.</w:t>
      </w:r>
    </w:p>
    <w:p>
      <w:pPr>
        <w:spacing w:after="0" w:line="188" w:lineRule="exact"/>
        <w:rPr>
          <w:sz w:val="20"/>
          <w:szCs w:val="20"/>
          <w:color w:val="auto"/>
        </w:rPr>
      </w:pPr>
    </w:p>
    <w:p>
      <w:pPr>
        <w:ind w:left="460" w:right="80"/>
        <w:spacing w:after="0" w:line="279" w:lineRule="auto"/>
        <w:rPr>
          <w:sz w:val="20"/>
          <w:szCs w:val="20"/>
          <w:color w:val="auto"/>
        </w:rPr>
      </w:pPr>
      <w:r>
        <w:rPr>
          <w:rFonts w:ascii="Arial" w:cs="Arial" w:eastAsia="Arial" w:hAnsi="Arial"/>
          <w:sz w:val="17"/>
          <w:szCs w:val="17"/>
          <w:color w:val="auto"/>
        </w:rPr>
        <w:t>The packaged ICs also require testing, called "back-end test" or "final test," to determine if they meet design and performance specifications. Packaged ICs are tested after loading into another type of electronic handling device called a "package handler" or "handler," which then transfers the packaged ICs into a test socket which is attached to the test head. These handlers may be temperature controlled for testing. "Wafer probers" and "handlers" are sometimes referred to in this Report collectively as "electronic device handlers."</w:t>
      </w:r>
    </w:p>
    <w:p>
      <w:pPr>
        <w:spacing w:after="0" w:line="171" w:lineRule="exact"/>
        <w:rPr>
          <w:sz w:val="20"/>
          <w:szCs w:val="20"/>
          <w:color w:val="auto"/>
        </w:rPr>
      </w:pPr>
    </w:p>
    <w:p>
      <w:pPr>
        <w:ind w:left="460" w:right="280"/>
        <w:spacing w:after="0" w:line="257" w:lineRule="auto"/>
        <w:rPr>
          <w:sz w:val="20"/>
          <w:szCs w:val="20"/>
          <w:color w:val="auto"/>
        </w:rPr>
      </w:pPr>
      <w:r>
        <w:rPr>
          <w:rFonts w:ascii="Arial" w:cs="Arial" w:eastAsia="Arial" w:hAnsi="Arial"/>
          <w:sz w:val="18"/>
          <w:szCs w:val="18"/>
          <w:color w:val="auto"/>
        </w:rPr>
        <w:t>Testers range in price from approximately $100,000 to over $2.0 million each, depending primarily on the complexity of the IC to be tested. Probers and handlers range in price from approximately $50,000 to $500,000 each. A typical test floor of a large semiconductor manufacturer may have 100 test heads and 100 probers or 250 handlers supplied by various vendors for use at any one time. While larger global semiconductor manufacturers typically purchase ATE to test the ICs they manufacture, there are a growing number of semiconductor manufacturers who outsource IC testing to third-party foundries, test and assembly providers.</w:t>
      </w:r>
    </w:p>
    <w:p>
      <w:pPr>
        <w:spacing w:after="0" w:line="188"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 Traditionally, temperature management products are used in back-end test to allow a manufacturer to test packaged ICs under the extreme temperature conditions in which the IC may be required to operate. However, we believe that temperature-controlled testing will be an increasingly important part of front-end wafer testing as more parameters traditionally tested in back end-test are moved to front-end test.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Trends in IC Testing</w:t>
      </w:r>
    </w:p>
    <w:p>
      <w:pPr>
        <w:spacing w:after="0" w:line="225"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ATE is used to identify unacceptable packaged ICs and bad die on wafers. ATE assists IC manufacturers in controlling test costs by performing IC testing in an efficient and cost-effective manner. In order to provide testing equipment that can help IC manufacturers meet these goals, we believe the ATE market must address the following issues:</w:t>
      </w:r>
    </w:p>
    <w:p>
      <w:pPr>
        <w:spacing w:after="0" w:line="181"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i w:val="1"/>
          <w:iCs w:val="1"/>
          <w:color w:val="auto"/>
        </w:rPr>
        <w:t>Change in Technology</w:t>
      </w:r>
      <w:r>
        <w:rPr>
          <w:rFonts w:ascii="Arial" w:cs="Arial" w:eastAsia="Arial" w:hAnsi="Arial"/>
          <w:sz w:val="18"/>
          <w:szCs w:val="18"/>
          <w:color w:val="auto"/>
        </w:rPr>
        <w:t>. End-user applications are demanding ICs with increasingly higher performance, greater speeds, and smaller sizes. ICs that meet</w:t>
      </w:r>
      <w:r>
        <w:rPr>
          <w:rFonts w:ascii="Arial" w:cs="Arial" w:eastAsia="Arial" w:hAnsi="Arial"/>
          <w:sz w:val="18"/>
          <w:szCs w:val="18"/>
          <w:i w:val="1"/>
          <w:iCs w:val="1"/>
          <w:color w:val="auto"/>
        </w:rPr>
        <w:t xml:space="preserve"> </w:t>
      </w:r>
      <w:r>
        <w:rPr>
          <w:rFonts w:ascii="Arial" w:cs="Arial" w:eastAsia="Arial" w:hAnsi="Arial"/>
          <w:sz w:val="18"/>
          <w:szCs w:val="18"/>
          <w:color w:val="auto"/>
        </w:rPr>
        <w:t>these higher standards, including SOC designs, are more complex and dense. These technology trends have significant implications for the IC testing process, including:</w:t>
      </w:r>
    </w:p>
    <w:p>
      <w:pPr>
        <w:spacing w:after="0" w:line="181"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for test heads of higher complexity;</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signal densities;</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test speeds; and</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 generation of testers for SOC and other technologies.</w:t>
      </w:r>
    </w:p>
    <w:p>
      <w:pPr>
        <w:spacing w:after="0" w:line="252" w:lineRule="exact"/>
        <w:rPr>
          <w:rFonts w:ascii="Arial" w:cs="Arial" w:eastAsia="Arial" w:hAnsi="Arial"/>
          <w:sz w:val="18"/>
          <w:szCs w:val="18"/>
          <w:color w:val="auto"/>
        </w:rPr>
      </w:pPr>
    </w:p>
    <w:p>
      <w:pPr>
        <w:ind w:left="5660" w:hanging="96"/>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right="20"/>
        <w:spacing w:after="0" w:line="279" w:lineRule="auto"/>
        <w:rPr>
          <w:sz w:val="20"/>
          <w:szCs w:val="20"/>
          <w:color w:val="auto"/>
        </w:rPr>
      </w:pPr>
      <w:r>
        <w:rPr>
          <w:rFonts w:ascii="Arial" w:cs="Arial" w:eastAsia="Arial" w:hAnsi="Arial"/>
          <w:sz w:val="17"/>
          <w:szCs w:val="17"/>
          <w:i w:val="1"/>
          <w:iCs w:val="1"/>
          <w:color w:val="auto"/>
        </w:rPr>
        <w:t>Need for Plug-Compatibility and Integration</w:t>
      </w:r>
      <w:r>
        <w:rPr>
          <w:rFonts w:ascii="Arial" w:cs="Arial" w:eastAsia="Arial" w:hAnsi="Arial"/>
          <w:sz w:val="17"/>
          <w:szCs w:val="17"/>
          <w:color w:val="auto"/>
        </w:rPr>
        <w:t>. Semiconductor manufacturers need test methodologies that will perform increasingly complex tests while</w:t>
      </w:r>
      <w:r>
        <w:rPr>
          <w:rFonts w:ascii="Arial" w:cs="Arial" w:eastAsia="Arial" w:hAnsi="Arial"/>
          <w:sz w:val="17"/>
          <w:szCs w:val="17"/>
          <w:i w:val="1"/>
          <w:iCs w:val="1"/>
          <w:color w:val="auto"/>
        </w:rPr>
        <w:t xml:space="preserve"> </w:t>
      </w:r>
      <w:r>
        <w:rPr>
          <w:rFonts w:ascii="Arial" w:cs="Arial" w:eastAsia="Arial" w:hAnsi="Arial"/>
          <w:sz w:val="17"/>
          <w:szCs w:val="17"/>
          <w:color w:val="auto"/>
        </w:rPr>
        <w:t>lowering the overall cost of testing. This can require combining ATE manufactured by various companies into optimally performing systems. Semiconductor manufacturers have to work closely with various test hardware, software, interface and component vendors to resolve design and compatibility issues in order to make these vendors' products plug-compatible with test equipment manufactured by other vendors.</w:t>
      </w:r>
    </w:p>
    <w:p>
      <w:pPr>
        <w:spacing w:after="0" w:line="171"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i w:val="1"/>
          <w:iCs w:val="1"/>
          <w:color w:val="auto"/>
        </w:rPr>
        <w:t>Testing Under Extreme Conditions</w:t>
      </w:r>
      <w:r>
        <w:rPr>
          <w:rFonts w:ascii="Arial" w:cs="Arial" w:eastAsia="Arial" w:hAnsi="Arial"/>
          <w:sz w:val="18"/>
          <w:szCs w:val="18"/>
          <w:color w:val="auto"/>
        </w:rPr>
        <w:t>. ICs will have to perform across a wider spectrum of temperature and environmental conditions than ever before</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the growing complexity of products in which they are deployed. In recent years, temperature testing has found an increasing role in front-end, wafer-level testing. Creating a uniform thermal profile over much larger wafer areas represents a significant engineering and design challenge for ATE manufacturers.</w:t>
      </w:r>
    </w:p>
    <w:p>
      <w:pPr>
        <w:spacing w:after="0" w:line="187" w:lineRule="exact"/>
        <w:rPr>
          <w:sz w:val="20"/>
          <w:szCs w:val="20"/>
          <w:color w:val="auto"/>
        </w:rPr>
      </w:pPr>
    </w:p>
    <w:p>
      <w:pPr>
        <w:ind w:left="460" w:right="400"/>
        <w:spacing w:after="0" w:line="312" w:lineRule="auto"/>
        <w:rPr>
          <w:sz w:val="20"/>
          <w:szCs w:val="20"/>
          <w:color w:val="auto"/>
        </w:rPr>
      </w:pPr>
      <w:r>
        <w:rPr>
          <w:rFonts w:ascii="Arial" w:cs="Arial" w:eastAsia="Arial" w:hAnsi="Arial"/>
          <w:sz w:val="16"/>
          <w:szCs w:val="16"/>
          <w:i w:val="1"/>
          <w:iCs w:val="1"/>
          <w:color w:val="auto"/>
        </w:rPr>
        <w:t>Demand for Higher Levels of Technical Support</w:t>
      </w:r>
      <w:r>
        <w:rPr>
          <w:rFonts w:ascii="Arial" w:cs="Arial" w:eastAsia="Arial" w:hAnsi="Arial"/>
          <w:sz w:val="16"/>
          <w:szCs w:val="16"/>
          <w:color w:val="auto"/>
        </w:rPr>
        <w:t>. As IC testing becomes more complex, semiconductor manufacturers demand higher levels of</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support on a routine basis. ATE manufacturers must commit appropriate resources to technical support in order to develop close working relationships with their customers. This level of support also requires close proximity of service and support personnel to customers' facilities.</w:t>
      </w:r>
    </w:p>
    <w:p>
      <w:pPr>
        <w:spacing w:after="0" w:line="147" w:lineRule="exact"/>
        <w:rPr>
          <w:sz w:val="20"/>
          <w:szCs w:val="20"/>
          <w:color w:val="auto"/>
        </w:rPr>
      </w:pPr>
    </w:p>
    <w:p>
      <w:pPr>
        <w:jc w:val="both"/>
        <w:ind w:left="460" w:right="40"/>
        <w:spacing w:after="0" w:line="286" w:lineRule="auto"/>
        <w:rPr>
          <w:sz w:val="20"/>
          <w:szCs w:val="20"/>
          <w:color w:val="auto"/>
        </w:rPr>
      </w:pPr>
      <w:r>
        <w:rPr>
          <w:rFonts w:ascii="Arial" w:cs="Arial" w:eastAsia="Arial" w:hAnsi="Arial"/>
          <w:sz w:val="17"/>
          <w:szCs w:val="17"/>
          <w:i w:val="1"/>
          <w:iCs w:val="1"/>
          <w:color w:val="auto"/>
        </w:rPr>
        <w:t>Cost Reduction Through Increased Front-End Testing</w:t>
      </w:r>
      <w:r>
        <w:rPr>
          <w:rFonts w:ascii="Arial" w:cs="Arial" w:eastAsia="Arial" w:hAnsi="Arial"/>
          <w:sz w:val="17"/>
          <w:szCs w:val="17"/>
          <w:color w:val="auto"/>
        </w:rPr>
        <w:t>. As the cost of testing ICs increases, semiconductor manufacturers will continue to look for ways</w:t>
      </w:r>
      <w:r>
        <w:rPr>
          <w:rFonts w:ascii="Arial" w:cs="Arial" w:eastAsia="Arial" w:hAnsi="Arial"/>
          <w:sz w:val="17"/>
          <w:szCs w:val="17"/>
          <w:i w:val="1"/>
          <w:iCs w:val="1"/>
          <w:color w:val="auto"/>
        </w:rPr>
        <w:t xml:space="preserve"> </w:t>
      </w:r>
      <w:r>
        <w:rPr>
          <w:rFonts w:ascii="Arial" w:cs="Arial" w:eastAsia="Arial" w:hAnsi="Arial"/>
          <w:sz w:val="17"/>
          <w:szCs w:val="17"/>
          <w:color w:val="auto"/>
        </w:rPr>
        <w:t>to streamline the testing process to make it more cost-effective, such as the trend to use massive parallel testing, in which semiconductor manufacturers test multiple ICs on the wafer simultaneously. We believe that this factor will lead to more front-end, wafer-level testing.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SOLUTIONS</w:t>
      </w:r>
    </w:p>
    <w:p>
      <w:pPr>
        <w:spacing w:after="0" w:line="225" w:lineRule="exact"/>
        <w:rPr>
          <w:sz w:val="20"/>
          <w:szCs w:val="20"/>
          <w:color w:val="auto"/>
        </w:rPr>
      </w:pPr>
    </w:p>
    <w:p>
      <w:pPr>
        <w:ind w:left="460" w:right="220"/>
        <w:spacing w:after="0" w:line="279" w:lineRule="auto"/>
        <w:rPr>
          <w:sz w:val="20"/>
          <w:szCs w:val="20"/>
          <w:color w:val="auto"/>
        </w:rPr>
      </w:pPr>
      <w:r>
        <w:rPr>
          <w:rFonts w:ascii="Arial" w:cs="Arial" w:eastAsia="Arial" w:hAnsi="Arial"/>
          <w:sz w:val="17"/>
          <w:szCs w:val="17"/>
          <w:color w:val="auto"/>
        </w:rPr>
        <w:t>Historically, we have focused our development efforts on designing and producing high quality products that provide superior performance and cost-effectiveness. We have sought to address each manufacturer's individual needs through innovative and customized designs, use of the best materials available, quality manufacturing practices and personalized service. We have designed solutions to overcome the evolving challenges facing the ATE market and other markets that we serve, which we believe provide the following advantages:</w:t>
      </w:r>
    </w:p>
    <w:p>
      <w:pPr>
        <w:spacing w:after="0" w:line="175" w:lineRule="exact"/>
        <w:rPr>
          <w:sz w:val="20"/>
          <w:szCs w:val="20"/>
          <w:color w:val="auto"/>
        </w:rPr>
      </w:pPr>
    </w:p>
    <w:p>
      <w:pPr>
        <w:ind w:left="460" w:right="40"/>
        <w:spacing w:after="0" w:line="255" w:lineRule="auto"/>
        <w:rPr>
          <w:sz w:val="20"/>
          <w:szCs w:val="20"/>
          <w:color w:val="auto"/>
        </w:rPr>
      </w:pPr>
      <w:r>
        <w:rPr>
          <w:rFonts w:ascii="Arial" w:cs="Arial" w:eastAsia="Arial" w:hAnsi="Arial"/>
          <w:sz w:val="17"/>
          <w:szCs w:val="17"/>
          <w:i w:val="1"/>
          <w:iCs w:val="1"/>
          <w:color w:val="auto"/>
        </w:rPr>
        <w:t>Temperature-Controlled Testing</w:t>
      </w:r>
      <w:r>
        <w:rPr>
          <w:rFonts w:ascii="Arial" w:cs="Arial" w:eastAsia="Arial" w:hAnsi="Arial"/>
          <w:sz w:val="17"/>
          <w:szCs w:val="17"/>
          <w:color w:val="auto"/>
        </w:rPr>
        <w:t>. Our Thermostream</w:t>
      </w:r>
      <w:r>
        <w:rPr>
          <w:rFonts w:ascii="Arial" w:cs="Arial" w:eastAsia="Arial" w:hAnsi="Arial"/>
          <w:sz w:val="28"/>
          <w:szCs w:val="28"/>
          <w:color w:val="auto"/>
          <w:vertAlign w:val="superscript"/>
        </w:rPr>
        <w:t>(R)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are used by manufacturers in a number of markets to stress test a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semiconductor and electronic components, printed circuit boards and sub-assemblies. Factors motivating manufacturers to use temperature testing include design characterization, failure analysis and quality control as well as determining performance under extreme operating temperatures, all of which contribute to manufacturing cost savings. Our acquisitions of Sigma Systems Corporation ("Sigma"), in October 2008, and Thermonics, Inc. ("Thermonics"), in January 2012, significantly increased our product offerings in the area of temperature-controlled testing and enabled us to begin serving customers in other markets outside the ATE market. Sigma's thermal platforms and temperature chambers can accommodate large thermal masses and are found in both laboratory and production environments. Thermonics' products provide a range of precision temperature forcing systems and have been melded into Temptronic's ATS ThermoStream product line. The Thermonics brand is now used to market a family of process chillers for test and industrial applications.</w:t>
      </w:r>
    </w:p>
    <w:p>
      <w:pPr>
        <w:spacing w:after="0" w:line="194"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i w:val="1"/>
          <w:iCs w:val="1"/>
          <w:color w:val="auto"/>
        </w:rPr>
        <w:t xml:space="preserve">Induction Heating. </w:t>
      </w:r>
      <w:r>
        <w:rPr>
          <w:rFonts w:ascii="Arial" w:cs="Arial" w:eastAsia="Arial" w:hAnsi="Arial"/>
          <w:sz w:val="16"/>
          <w:szCs w:val="16"/>
          <w:color w:val="auto"/>
        </w:rPr>
        <w:t>Our acquisition of Ambrell added induction heating capabilities to our product offerings, which can be used by customers in process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where precision controlled heating is needed. Customers use our induction heating products in conjunction with other technologies in</w:t>
      </w:r>
    </w:p>
    <w:p>
      <w:pPr>
        <w:ind w:left="460" w:right="420"/>
        <w:spacing w:after="0" w:line="205" w:lineRule="auto"/>
        <w:rPr>
          <w:sz w:val="20"/>
          <w:szCs w:val="20"/>
          <w:color w:val="auto"/>
        </w:rPr>
      </w:pPr>
      <w:r>
        <w:rPr>
          <w:rFonts w:ascii="Arial" w:cs="Arial" w:eastAsia="Arial" w:hAnsi="Arial"/>
          <w:sz w:val="18"/>
          <w:szCs w:val="18"/>
          <w:color w:val="auto"/>
        </w:rPr>
        <w:t>various manufacturing environments to improve production efficiencies. Applications for our EKOHEAT</w:t>
      </w:r>
      <w:r>
        <w:rPr>
          <w:rFonts w:ascii="Arial" w:cs="Arial" w:eastAsia="Arial" w:hAnsi="Arial"/>
          <w:sz w:val="30"/>
          <w:szCs w:val="30"/>
          <w:color w:val="auto"/>
          <w:vertAlign w:val="superscript"/>
        </w:rPr>
        <w:t>(R)</w:t>
      </w:r>
      <w:r>
        <w:rPr>
          <w:rFonts w:ascii="Arial" w:cs="Arial" w:eastAsia="Arial" w:hAnsi="Arial"/>
          <w:sz w:val="18"/>
          <w:szCs w:val="18"/>
          <w:color w:val="auto"/>
        </w:rPr>
        <w:t xml:space="preserve"> or EASYHEAT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induction heating products include annealing, bonding, brazing, curing, forging, heat treating, melting, shrink-fitting and testing.</w:t>
      </w:r>
    </w:p>
    <w:p>
      <w:pPr>
        <w:spacing w:after="0" w:line="203"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i w:val="1"/>
          <w:iCs w:val="1"/>
          <w:color w:val="auto"/>
        </w:rPr>
        <w:t>Scalable, Universal, High Performance Interface Technology</w:t>
      </w:r>
      <w:r>
        <w:rPr>
          <w:rFonts w:ascii="Arial" w:cs="Arial" w:eastAsia="Arial" w:hAnsi="Arial"/>
          <w:sz w:val="18"/>
          <w:szCs w:val="18"/>
          <w:color w:val="auto"/>
        </w:rPr>
        <w:t>. Our universal test head manipulators provide a high degree of positioning flexibility with</w:t>
      </w:r>
      <w:r>
        <w:rPr>
          <w:rFonts w:ascii="Arial" w:cs="Arial" w:eastAsia="Arial" w:hAnsi="Arial"/>
          <w:sz w:val="18"/>
          <w:szCs w:val="18"/>
          <w:i w:val="1"/>
          <w:iCs w:val="1"/>
          <w:color w:val="auto"/>
        </w:rPr>
        <w:t xml:space="preserve"> </w:t>
      </w:r>
      <w:r>
        <w:rPr>
          <w:rFonts w:ascii="Arial" w:cs="Arial" w:eastAsia="Arial" w:hAnsi="Arial"/>
          <w:sz w:val="18"/>
          <w:szCs w:val="18"/>
          <w:color w:val="auto"/>
        </w:rPr>
        <w:t>a minimum amount of effort. As a result, our products can be used in virtually any test setting. Our manipulator products are designed to accommodate the increased size of test heads. Our docking hardware products offer precise control over the connection to test sockets, probing assemblies and interface boards, reducing downtime and minimizing costly damage to fragile components. Our tester interface products optimize the integrity of the signals transmitted between the test head and the device under test by being virtually transparent to the test signals. This results in increased accuracy of the test data and may thus enable improved test yields. We believe that these characteristics will gain even more significance as testing becomes even more demanding.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i w:val="1"/>
          <w:iCs w:val="1"/>
          <w:color w:val="auto"/>
        </w:rPr>
        <w:t>Compatibility and Integration</w:t>
      </w:r>
      <w:r>
        <w:rPr>
          <w:rFonts w:ascii="Arial" w:cs="Arial" w:eastAsia="Arial" w:hAnsi="Arial"/>
          <w:sz w:val="18"/>
          <w:szCs w:val="18"/>
          <w:color w:val="auto"/>
        </w:rPr>
        <w:t>. A hallmark of our products has been, and continues to be, compatibility with a wide variety of ATE. Our manipulator</w:t>
      </w:r>
      <w:r>
        <w:rPr>
          <w:rFonts w:ascii="Arial" w:cs="Arial" w:eastAsia="Arial" w:hAnsi="Arial"/>
          <w:sz w:val="18"/>
          <w:szCs w:val="18"/>
          <w:i w:val="1"/>
          <w:iCs w:val="1"/>
          <w:color w:val="auto"/>
        </w:rPr>
        <w:t xml:space="preserve"> </w:t>
      </w:r>
      <w:r>
        <w:rPr>
          <w:rFonts w:ascii="Arial" w:cs="Arial" w:eastAsia="Arial" w:hAnsi="Arial"/>
          <w:sz w:val="18"/>
          <w:szCs w:val="18"/>
          <w:color w:val="auto"/>
        </w:rPr>
        <w:t>and docking hardware products are all designed to be used with otherwise incompatible ATE. We believe this integrated approach to ATE facilitates smooth changeover from one tester to another, longer lives for interface components, better test results, increased ATE utilization and lower overall test costs.</w:t>
      </w:r>
    </w:p>
    <w:p>
      <w:pPr>
        <w:spacing w:after="0" w:line="187" w:lineRule="exact"/>
        <w:rPr>
          <w:sz w:val="20"/>
          <w:szCs w:val="20"/>
          <w:color w:val="auto"/>
        </w:rPr>
      </w:pPr>
    </w:p>
    <w:p>
      <w:pPr>
        <w:ind w:left="460" w:right="20"/>
        <w:spacing w:after="0" w:line="276" w:lineRule="auto"/>
        <w:rPr>
          <w:sz w:val="20"/>
          <w:szCs w:val="20"/>
          <w:color w:val="auto"/>
        </w:rPr>
      </w:pPr>
      <w:r>
        <w:rPr>
          <w:rFonts w:ascii="Arial" w:cs="Arial" w:eastAsia="Arial" w:hAnsi="Arial"/>
          <w:sz w:val="17"/>
          <w:szCs w:val="17"/>
          <w:i w:val="1"/>
          <w:iCs w:val="1"/>
          <w:color w:val="auto"/>
        </w:rPr>
        <w:t>Worldwide Customer Service and Support</w:t>
      </w:r>
      <w:r>
        <w:rPr>
          <w:rFonts w:ascii="Arial" w:cs="Arial" w:eastAsia="Arial" w:hAnsi="Arial"/>
          <w:sz w:val="17"/>
          <w:szCs w:val="17"/>
          <w:color w:val="auto"/>
        </w:rPr>
        <w:t>. We have long recognized the need to maintain a physical presence near our customers' facilities.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2018, we had domestic manufacturing facilities in California, Massachusetts, New Jersey and New York and provided service to our customers from sales and service personnel based in the U.S., Europe and Asia.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STRATEGIES</w:t>
      </w:r>
    </w:p>
    <w:p>
      <w:pPr>
        <w:spacing w:after="0" w:line="225"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color w:val="auto"/>
        </w:rPr>
        <w:t>We remain committed to our goals of being recognized in our markets as the designer and manufacturer of the highest quality and most cost-effective products and becoming the key supplier of all of our customers' product needs. Our strategies to achieve these goals include the following:</w:t>
      </w:r>
    </w:p>
    <w:p>
      <w:pPr>
        <w:spacing w:after="0" w:line="124"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i w:val="1"/>
          <w:iCs w:val="1"/>
          <w:color w:val="auto"/>
        </w:rPr>
        <w:t>Pursuing Synergistic Acquisitions</w:t>
      </w:r>
      <w:r>
        <w:rPr>
          <w:rFonts w:ascii="Arial" w:cs="Arial" w:eastAsia="Arial" w:hAnsi="Arial"/>
          <w:sz w:val="18"/>
          <w:szCs w:val="18"/>
          <w:color w:val="auto"/>
        </w:rPr>
        <w:t>. A key element of our growth strategy has been to acquire businesses, technologies or products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complementary to our current product offerings. Since our initial public offering, we have acquired several businesses which have enabled us to expand our line of product offerings and have given us the opportunity to market a broader range of products to our customer base. In particular, the acquisitions of Temptronic in 2000, Sigma in 2008, Thermonics in 2012 and Ambrell in 2017 have provided access to markets that are less sensitive to cyclicality than the semiconductor market. We seek to make acquisitions that will further expand our product lines as well as increase our exposure to markets outside of the semiconductor market.</w:t>
      </w:r>
    </w:p>
    <w:p>
      <w:pPr>
        <w:spacing w:after="0" w:line="193" w:lineRule="exact"/>
        <w:rPr>
          <w:sz w:val="20"/>
          <w:szCs w:val="20"/>
          <w:color w:val="auto"/>
        </w:rPr>
      </w:pPr>
    </w:p>
    <w:p>
      <w:pPr>
        <w:ind w:left="460" w:right="100"/>
        <w:spacing w:after="0" w:line="290" w:lineRule="auto"/>
        <w:rPr>
          <w:sz w:val="20"/>
          <w:szCs w:val="20"/>
          <w:color w:val="auto"/>
        </w:rPr>
      </w:pPr>
      <w:r>
        <w:rPr>
          <w:rFonts w:ascii="Arial" w:cs="Arial" w:eastAsia="Arial" w:hAnsi="Arial"/>
          <w:sz w:val="16"/>
          <w:szCs w:val="16"/>
          <w:i w:val="1"/>
          <w:iCs w:val="1"/>
          <w:color w:val="auto"/>
        </w:rPr>
        <w:t xml:space="preserve">Pursuing Revenue Growth Opportunities Outside the Semiconductor ATE Market. </w:t>
      </w:r>
      <w:r>
        <w:rPr>
          <w:rFonts w:ascii="Arial" w:cs="Arial" w:eastAsia="Arial" w:hAnsi="Arial"/>
          <w:sz w:val="16"/>
          <w:szCs w:val="16"/>
          <w:color w:val="auto"/>
        </w:rPr>
        <w:t>Another element of our growth strategy is to pursue revenue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in markets we have not traditionally served, such as the automotive, consumer electronics, defense/aerospace, energy, industrial and telecommunications markets. We believe that we may be able to reduce some of the cyclicality that we have historically experienced by further diversifying our revenue streams outside the semiconductor ATE market. We see the most potential for this within our Thermal segment. During 2018 and 2017, approximately $33.2 million (including $19.1 million of net revenues attributable to Ambrell), or 42%, and $29.0 million (including $13.2 million of net revenues attributable to Ambrell), or 44%, respectively, of our total net revenues were derived from markets outside semiconductor, as noted above. These revenues were all generated by our Thermal segment. We cannot determine at this time whether we will be successful in building our sales in these non-traditional markets or what the growth rate of our sales in these markets will be in future periods.</w:t>
      </w:r>
    </w:p>
    <w:p>
      <w:pPr>
        <w:spacing w:after="0" w:line="166"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i w:val="1"/>
          <w:iCs w:val="1"/>
          <w:color w:val="auto"/>
        </w:rPr>
        <w:t>Providing Technologically Advanced Solutions</w:t>
      </w:r>
      <w:r>
        <w:rPr>
          <w:rFonts w:ascii="Arial" w:cs="Arial" w:eastAsia="Arial" w:hAnsi="Arial"/>
          <w:sz w:val="18"/>
          <w:szCs w:val="18"/>
          <w:color w:val="auto"/>
        </w:rPr>
        <w:t>. We are committed to designing and producing only the highest quality products which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designs to achieve optimal cost-effectiveness and functionality for each customer's particular situation. Our engineering and design staff is continually engaged in developing new and improved products and manufacturing processes.</w:t>
      </w:r>
    </w:p>
    <w:p>
      <w:pPr>
        <w:spacing w:after="0" w:line="181"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i w:val="1"/>
          <w:iCs w:val="1"/>
          <w:color w:val="auto"/>
        </w:rPr>
        <w:t>Leveraging Our Strong Customer Relationships</w:t>
      </w:r>
      <w:r>
        <w:rPr>
          <w:rFonts w:ascii="Arial" w:cs="Arial" w:eastAsia="Arial" w:hAnsi="Arial"/>
          <w:sz w:val="16"/>
          <w:szCs w:val="16"/>
          <w:color w:val="auto"/>
        </w:rPr>
        <w:t>. Our technical personnel work closely with ATE manufacturers to design tester interface and docking</w:t>
      </w:r>
      <w:r>
        <w:rPr>
          <w:rFonts w:ascii="Arial" w:cs="Arial" w:eastAsia="Arial" w:hAnsi="Arial"/>
          <w:sz w:val="16"/>
          <w:szCs w:val="16"/>
          <w:i w:val="1"/>
          <w:iCs w:val="1"/>
          <w:color w:val="auto"/>
        </w:rPr>
        <w:t xml:space="preserve"> </w:t>
      </w:r>
      <w:r>
        <w:rPr>
          <w:rFonts w:ascii="Arial" w:cs="Arial" w:eastAsia="Arial" w:hAnsi="Arial"/>
          <w:sz w:val="16"/>
          <w:szCs w:val="16"/>
          <w:color w:val="auto"/>
        </w:rPr>
        <w:t>hardware that are compatible with their ATE. As a result, we are often privy to proprietary technical data and information about these manufacturers' products. We believe that because we do not compete with ATE manufacturers in the prober, handler and tester markets, we have been able to establish strong collaborative relationships with these manufacturers that enable us to develop ancillary ATE products on an accelerated basis. Engineering is also at the heart of the Thermal segment where customers often return to inTEST with their next thermal challenge. We work to cement relationships with customers that have demanding specifications whether it be thermal testing at temperature extremes for aerospace application, for example, or delivering precise heating for efficient industrial processes. We believe that with our capabilities to consistently demonstrate solutions from proof of concept to manufactured products with required specifications, we can continue to strengthen our customer relationships.</w:t>
      </w:r>
    </w:p>
    <w:p>
      <w:pPr>
        <w:spacing w:after="0" w:line="166"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i w:val="1"/>
          <w:iCs w:val="1"/>
          <w:color w:val="auto"/>
        </w:rPr>
        <w:t>Maintaining Our International Presence</w:t>
      </w:r>
      <w:r>
        <w:rPr>
          <w:rFonts w:ascii="Arial" w:cs="Arial" w:eastAsia="Arial" w:hAnsi="Arial"/>
          <w:sz w:val="18"/>
          <w:szCs w:val="18"/>
          <w:color w:val="auto"/>
        </w:rPr>
        <w:t>. Our existing and potential customers are concentrated in certain regions throughout the world. We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must maintain a presence in the markets in which our customers operate. We currently have offices in the U.S., Germany, Singapore, the Netherlands and the U.K.</w:t>
      </w:r>
    </w:p>
    <w:p>
      <w:pPr>
        <w:spacing w:after="0" w:line="181"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i w:val="1"/>
          <w:iCs w:val="1"/>
          <w:color w:val="auto"/>
        </w:rPr>
        <w:t xml:space="preserve">Controlling Costs. </w:t>
      </w:r>
      <w:r>
        <w:rPr>
          <w:rFonts w:ascii="Arial" w:cs="Arial" w:eastAsia="Arial" w:hAnsi="Arial"/>
          <w:sz w:val="18"/>
          <w:szCs w:val="18"/>
          <w:color w:val="auto"/>
        </w:rPr>
        <w:t>At the same time as we are pursuing growth opportunities, we will seek ways to more aggressively streamline our cost structure, so</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are positioned to offer products at prices that provide the margin for a reasonable profit as well as the resources for continual product development.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SEGMENTS</w:t>
      </w:r>
    </w:p>
    <w:p>
      <w:pPr>
        <w:spacing w:after="0" w:line="225" w:lineRule="exact"/>
        <w:rPr>
          <w:sz w:val="20"/>
          <w:szCs w:val="20"/>
          <w:color w:val="auto"/>
        </w:rPr>
      </w:pPr>
    </w:p>
    <w:p>
      <w:pPr>
        <w:ind w:left="460" w:right="180"/>
        <w:spacing w:after="0" w:line="272" w:lineRule="auto"/>
        <w:rPr>
          <w:sz w:val="20"/>
          <w:szCs w:val="20"/>
          <w:color w:val="auto"/>
        </w:rPr>
      </w:pPr>
      <w:r>
        <w:rPr>
          <w:rFonts w:ascii="Arial" w:cs="Arial" w:eastAsia="Arial" w:hAnsi="Arial"/>
          <w:sz w:val="17"/>
          <w:szCs w:val="17"/>
          <w:color w:val="auto"/>
        </w:rPr>
        <w:t>We have two product segments, Thermal and Electromechanical Semiconductor ("EMS"), which are also our reporting units. Our Thermal segment consists of (i) inTEST Thermal Solutions (“iTS”) which manufactures and sells products under the Temptronic, Sigma and Thermonics brand names, and (ii) Ambrell. iTS has operations in Massachusetts, Germany and Singapore. Ambrell has operations in New York, the Netherlands and the U.K. Customers use the thermal solutions produced by iTS for product development, characterization and production test applications. Ambrell provides customers with induction heating system solutions for conditioning, joining, and forming conductive materials in the manufacturing process. Our Thermal segment provides these solutions across an array of industries including automotive, consumer electronics, defense/aerospace, energy, industrial, semiconductor and telecommunications markets.</w:t>
      </w:r>
    </w:p>
    <w:p>
      <w:pPr>
        <w:spacing w:after="0" w:line="178" w:lineRule="exact"/>
        <w:rPr>
          <w:sz w:val="20"/>
          <w:szCs w:val="20"/>
          <w:color w:val="auto"/>
        </w:rPr>
      </w:pPr>
    </w:p>
    <w:p>
      <w:pPr>
        <w:ind w:left="460" w:right="40"/>
        <w:spacing w:after="0" w:line="276" w:lineRule="auto"/>
        <w:rPr>
          <w:sz w:val="20"/>
          <w:szCs w:val="20"/>
          <w:color w:val="auto"/>
        </w:rPr>
      </w:pPr>
      <w:r>
        <w:rPr>
          <w:rFonts w:ascii="Arial" w:cs="Arial" w:eastAsia="Arial" w:hAnsi="Arial"/>
          <w:sz w:val="17"/>
          <w:szCs w:val="17"/>
          <w:color w:val="auto"/>
        </w:rPr>
        <w:t>Our EMS segment consists of our manufacturing operations in New Jersey and California. Semiconductor manufacturers use our EMS solutions in back-end testing where our mechanical and electrical products serve production testing of wafers and specialized packaged ICs. These ICs include microprocessors, digital signal processing chips, mixed signal devices, MEMS (Micro-Electro-Mechanical Systems), application specific ICs and specialized memory ICs, and are used primarily in the automotive, consumer electronics, defense/aerospace, energy, industrial and telecommunications markets. We custom design most of our products for each customer's particular combination of ATE.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Thermal Products</w:t>
      </w:r>
    </w:p>
    <w:p>
      <w:pPr>
        <w:spacing w:after="0" w:line="229" w:lineRule="exact"/>
        <w:rPr>
          <w:sz w:val="20"/>
          <w:szCs w:val="20"/>
          <w:color w:val="auto"/>
        </w:rPr>
      </w:pPr>
    </w:p>
    <w:p>
      <w:pPr>
        <w:jc w:val="both"/>
        <w:ind w:left="460" w:right="40"/>
        <w:spacing w:after="0" w:line="227" w:lineRule="auto"/>
        <w:rPr>
          <w:sz w:val="20"/>
          <w:szCs w:val="20"/>
          <w:color w:val="auto"/>
        </w:rPr>
      </w:pPr>
      <w:r>
        <w:rPr>
          <w:rFonts w:ascii="Arial" w:cs="Arial" w:eastAsia="Arial" w:hAnsi="Arial"/>
          <w:sz w:val="16"/>
          <w:szCs w:val="16"/>
          <w:i w:val="1"/>
          <w:iCs w:val="1"/>
          <w:color w:val="auto"/>
        </w:rPr>
        <w:t>ThermoStream</w:t>
      </w:r>
      <w:r>
        <w:rPr>
          <w:rFonts w:ascii="Arial" w:cs="Arial" w:eastAsia="Arial" w:hAnsi="Arial"/>
          <w:sz w:val="26"/>
          <w:szCs w:val="26"/>
          <w:i w:val="1"/>
          <w:iCs w:val="1"/>
          <w:color w:val="auto"/>
          <w:vertAlign w:val="superscript"/>
        </w:rPr>
        <w:t>(R)</w:t>
      </w:r>
      <w:r>
        <w:rPr>
          <w:rFonts w:ascii="Arial" w:cs="Arial" w:eastAsia="Arial" w:hAnsi="Arial"/>
          <w:sz w:val="16"/>
          <w:szCs w:val="16"/>
          <w:i w:val="1"/>
          <w:iCs w:val="1"/>
          <w:color w:val="auto"/>
        </w:rPr>
        <w:t xml:space="preserve"> Products</w:t>
      </w:r>
      <w:r>
        <w:rPr>
          <w:rFonts w:ascii="Arial" w:cs="Arial" w:eastAsia="Arial" w:hAnsi="Arial"/>
          <w:sz w:val="16"/>
          <w:szCs w:val="16"/>
          <w:color w:val="auto"/>
        </w:rPr>
        <w:t>: Our ThermoStream</w:t>
      </w:r>
      <w:r>
        <w:rPr>
          <w:rFonts w:ascii="Arial" w:cs="Arial" w:eastAsia="Arial" w:hAnsi="Arial"/>
          <w:sz w:val="26"/>
          <w:szCs w:val="26"/>
          <w:color w:val="auto"/>
          <w:vertAlign w:val="superscript"/>
        </w:rPr>
        <w:t>(R)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are used in the semiconductor market as a stand-alone temperature management tool, or in</w:t>
      </w:r>
      <w:r>
        <w:rPr>
          <w:rFonts w:ascii="Arial" w:cs="Arial" w:eastAsia="Arial" w:hAnsi="Arial"/>
          <w:sz w:val="16"/>
          <w:szCs w:val="16"/>
          <w:i w:val="1"/>
          <w:iCs w:val="1"/>
          <w:color w:val="auto"/>
        </w:rPr>
        <w:t xml:space="preserve"> </w:t>
      </w:r>
      <w:r>
        <w:rPr>
          <w:rFonts w:ascii="Arial" w:cs="Arial" w:eastAsia="Arial" w:hAnsi="Arial"/>
          <w:sz w:val="16"/>
          <w:szCs w:val="16"/>
          <w:color w:val="auto"/>
        </w:rPr>
        <w:t>a variety of electronic test applications as part of our MobileTemp systems. ThermoStream</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products provide a source of heated and cooled air which can be directed over the component or device under test. These systems are capable of controlling temperatures to within +/- 0.1 degree Celsius over a</w:t>
      </w:r>
    </w:p>
    <w:p>
      <w:pPr>
        <w:ind w:left="460" w:right="480"/>
        <w:spacing w:after="0" w:line="234" w:lineRule="auto"/>
        <w:rPr>
          <w:sz w:val="20"/>
          <w:szCs w:val="20"/>
          <w:color w:val="auto"/>
        </w:rPr>
      </w:pPr>
      <w:r>
        <w:rPr>
          <w:rFonts w:ascii="Arial" w:cs="Arial" w:eastAsia="Arial" w:hAnsi="Arial"/>
          <w:sz w:val="16"/>
          <w:szCs w:val="16"/>
          <w:color w:val="auto"/>
        </w:rPr>
        <w:t>range of -100 degrees Celsius to as high as +300 degrees Celsius within 1.0 degree Celsius of accuracy. As a stand-alone tool, ThermoStreams</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provide a temperature-controlled air stream to rapidly change and stabilize the temperature of packaged ICs and other devices.</w:t>
      </w:r>
    </w:p>
    <w:p>
      <w:pPr>
        <w:spacing w:after="0" w:line="207" w:lineRule="exact"/>
        <w:rPr>
          <w:sz w:val="20"/>
          <w:szCs w:val="20"/>
          <w:color w:val="auto"/>
        </w:rPr>
      </w:pPr>
    </w:p>
    <w:p>
      <w:pPr>
        <w:ind w:left="460" w:right="160"/>
        <w:spacing w:after="0" w:line="263" w:lineRule="auto"/>
        <w:rPr>
          <w:sz w:val="20"/>
          <w:szCs w:val="20"/>
          <w:color w:val="auto"/>
        </w:rPr>
      </w:pPr>
      <w:r>
        <w:rPr>
          <w:rFonts w:ascii="Arial" w:cs="Arial" w:eastAsia="Arial" w:hAnsi="Arial"/>
          <w:sz w:val="16"/>
          <w:szCs w:val="16"/>
          <w:color w:val="auto"/>
        </w:rPr>
        <w:t>Our MobileTemp Series combines our ThermoStream</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products with our family of exclusive, high-speed ThermoChambers to offer thermal test systems with fast, uniform temperature control in a compact package enabling temperature testing at the test location. MobileTemp Systems are designed specifically for small thermal-mass applications beyond the semiconductor market and have found application in the automotive, electronic, fiber optic and oil field service markets testing such things as electronic sub-assemblies, sensor assemblies, and printed circuit boards.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Traditionally, our customers used ThermoStream</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products primarily in engineering, quality assurance and small-run manufacturing environments.</w:t>
      </w:r>
    </w:p>
    <w:p>
      <w:pPr>
        <w:ind w:left="460" w:right="580"/>
        <w:spacing w:after="0" w:line="204" w:lineRule="auto"/>
        <w:rPr>
          <w:sz w:val="20"/>
          <w:szCs w:val="20"/>
          <w:color w:val="auto"/>
        </w:rPr>
      </w:pPr>
      <w:r>
        <w:rPr>
          <w:rFonts w:ascii="Arial" w:cs="Arial" w:eastAsia="Arial" w:hAnsi="Arial"/>
          <w:sz w:val="18"/>
          <w:szCs w:val="18"/>
          <w:color w:val="auto"/>
        </w:rPr>
        <w:t>However, increasingly, our customers use ThermoStream</w:t>
      </w:r>
      <w:r>
        <w:rPr>
          <w:rFonts w:ascii="Arial" w:cs="Arial" w:eastAsia="Arial" w:hAnsi="Arial"/>
          <w:sz w:val="30"/>
          <w:szCs w:val="30"/>
          <w:color w:val="auto"/>
          <w:vertAlign w:val="superscript"/>
        </w:rPr>
        <w:t>(R)</w:t>
      </w:r>
      <w:r>
        <w:rPr>
          <w:rFonts w:ascii="Arial" w:cs="Arial" w:eastAsia="Arial" w:hAnsi="Arial"/>
          <w:sz w:val="18"/>
          <w:szCs w:val="18"/>
          <w:color w:val="auto"/>
        </w:rPr>
        <w:t xml:space="preserve"> products in longer-run production applications. ThermoStream</w:t>
      </w:r>
      <w:r>
        <w:rPr>
          <w:rFonts w:ascii="Arial" w:cs="Arial" w:eastAsia="Arial" w:hAnsi="Arial"/>
          <w:sz w:val="30"/>
          <w:szCs w:val="30"/>
          <w:color w:val="auto"/>
          <w:vertAlign w:val="superscript"/>
        </w:rPr>
        <w:t>(R)</w:t>
      </w:r>
      <w:r>
        <w:rPr>
          <w:rFonts w:ascii="Arial" w:cs="Arial" w:eastAsia="Arial" w:hAnsi="Arial"/>
          <w:sz w:val="18"/>
          <w:szCs w:val="18"/>
          <w:color w:val="auto"/>
        </w:rPr>
        <w:t xml:space="preserve"> and MobileTemp products range in price from approximately $15,000 to $50,000.</w:t>
      </w:r>
    </w:p>
    <w:p>
      <w:pPr>
        <w:spacing w:after="0" w:line="204" w:lineRule="exact"/>
        <w:rPr>
          <w:sz w:val="20"/>
          <w:szCs w:val="20"/>
          <w:color w:val="auto"/>
        </w:rPr>
      </w:pPr>
    </w:p>
    <w:p>
      <w:pPr>
        <w:ind w:left="460" w:right="140"/>
        <w:spacing w:after="0" w:line="302" w:lineRule="auto"/>
        <w:rPr>
          <w:sz w:val="20"/>
          <w:szCs w:val="20"/>
          <w:color w:val="auto"/>
        </w:rPr>
      </w:pPr>
      <w:r>
        <w:rPr>
          <w:rFonts w:ascii="Arial" w:cs="Arial" w:eastAsia="Arial" w:hAnsi="Arial"/>
          <w:sz w:val="16"/>
          <w:szCs w:val="16"/>
          <w:i w:val="1"/>
          <w:iCs w:val="1"/>
          <w:color w:val="auto"/>
        </w:rPr>
        <w:t xml:space="preserve">ThermoChambers: </w:t>
      </w:r>
      <w:r>
        <w:rPr>
          <w:rFonts w:ascii="Arial" w:cs="Arial" w:eastAsia="Arial" w:hAnsi="Arial"/>
          <w:sz w:val="16"/>
          <w:szCs w:val="16"/>
          <w:color w:val="auto"/>
        </w:rPr>
        <w:t>Our chamber products are available in a variety of sizes, from small bench-top units to chambers with internal volumes of twenty-seven cubic feet and greater and with temperature ranges as wide as from -190 degrees Celsius to +500 degrees Celsius. Chambers can be designed to utilize liquid nitrogen or liquid carbon dioxide cooling or mechanical refrigeration, and sometimes both. These chambers can accommodate large thermal masses and are found in both laboratory and production environments. Chambers are priced from $15,000 to $150,000.</w:t>
      </w:r>
    </w:p>
    <w:p>
      <w:pPr>
        <w:spacing w:after="0" w:line="154" w:lineRule="exact"/>
        <w:rPr>
          <w:sz w:val="20"/>
          <w:szCs w:val="20"/>
          <w:color w:val="auto"/>
        </w:rPr>
      </w:pPr>
    </w:p>
    <w:p>
      <w:pPr>
        <w:ind w:left="460" w:right="40"/>
        <w:spacing w:after="0" w:line="276" w:lineRule="auto"/>
        <w:rPr>
          <w:sz w:val="20"/>
          <w:szCs w:val="20"/>
          <w:color w:val="auto"/>
        </w:rPr>
      </w:pPr>
      <w:r>
        <w:rPr>
          <w:rFonts w:ascii="Arial" w:cs="Arial" w:eastAsia="Arial" w:hAnsi="Arial"/>
          <w:sz w:val="17"/>
          <w:szCs w:val="17"/>
          <w:i w:val="1"/>
          <w:iCs w:val="1"/>
          <w:color w:val="auto"/>
        </w:rPr>
        <w:t xml:space="preserve">Thermal Platforms: </w:t>
      </w:r>
      <w:r>
        <w:rPr>
          <w:rFonts w:ascii="Arial" w:cs="Arial" w:eastAsia="Arial" w:hAnsi="Arial"/>
          <w:sz w:val="17"/>
          <w:szCs w:val="17"/>
          <w:color w:val="auto"/>
        </w:rPr>
        <w:t>Our platforms are available in surface sizes ranging from 7.2 square inches to 616 square inches. They provide a flat, thermally</w:t>
      </w:r>
      <w:r>
        <w:rPr>
          <w:rFonts w:ascii="Arial" w:cs="Arial" w:eastAsia="Arial" w:hAnsi="Arial"/>
          <w:sz w:val="17"/>
          <w:szCs w:val="17"/>
          <w:i w:val="1"/>
          <w:iCs w:val="1"/>
          <w:color w:val="auto"/>
        </w:rPr>
        <w:t xml:space="preserve"> </w:t>
      </w:r>
      <w:r>
        <w:rPr>
          <w:rFonts w:ascii="Arial" w:cs="Arial" w:eastAsia="Arial" w:hAnsi="Arial"/>
          <w:sz w:val="17"/>
          <w:szCs w:val="17"/>
          <w:color w:val="auto"/>
        </w:rPr>
        <w:t>conductive, precisely temperature controllable surface that is ideal for conditioning of testing devices with a flat surface. Platforms are available with temperature ranges as broad as -100 degrees Celsius to +250 degrees Celsius. Thermal platforms can be designed to utilize either liquid nitrogen or liquid carbon dioxide cooling or mechanical refrigeration. Platforms offer virtually unimpeded access to the device under test and their easy access and compact size makes them ideal for convenient bench-top use. Platforms are priced from $6,500 to $65,000.</w:t>
      </w:r>
    </w:p>
    <w:p>
      <w:pPr>
        <w:spacing w:after="0" w:line="176" w:lineRule="exact"/>
        <w:rPr>
          <w:sz w:val="20"/>
          <w:szCs w:val="20"/>
          <w:color w:val="auto"/>
        </w:rPr>
      </w:pPr>
    </w:p>
    <w:p>
      <w:pPr>
        <w:ind w:left="460" w:right="320"/>
        <w:spacing w:after="0" w:line="221" w:lineRule="auto"/>
        <w:rPr>
          <w:sz w:val="20"/>
          <w:szCs w:val="20"/>
          <w:color w:val="auto"/>
        </w:rPr>
      </w:pPr>
      <w:r>
        <w:rPr>
          <w:rFonts w:ascii="Arial" w:cs="Arial" w:eastAsia="Arial" w:hAnsi="Arial"/>
          <w:sz w:val="18"/>
          <w:szCs w:val="18"/>
          <w:i w:val="1"/>
          <w:iCs w:val="1"/>
          <w:color w:val="auto"/>
        </w:rPr>
        <w:t>Thermonics</w:t>
      </w:r>
      <w:r>
        <w:rPr>
          <w:rFonts w:ascii="Arial" w:cs="Arial" w:eastAsia="Arial" w:hAnsi="Arial"/>
          <w:sz w:val="30"/>
          <w:szCs w:val="30"/>
          <w:i w:val="1"/>
          <w:iCs w:val="1"/>
          <w:color w:val="auto"/>
          <w:vertAlign w:val="superscript"/>
        </w:rPr>
        <w:t>(R)</w:t>
      </w:r>
      <w:r>
        <w:rPr>
          <w:rFonts w:ascii="Arial" w:cs="Arial" w:eastAsia="Arial" w:hAnsi="Arial"/>
          <w:sz w:val="18"/>
          <w:szCs w:val="18"/>
          <w:i w:val="1"/>
          <w:iCs w:val="1"/>
          <w:color w:val="auto"/>
        </w:rPr>
        <w:t xml:space="preserve"> Products: </w:t>
      </w:r>
      <w:r>
        <w:rPr>
          <w:rFonts w:ascii="Arial" w:cs="Arial" w:eastAsia="Arial" w:hAnsi="Arial"/>
          <w:sz w:val="18"/>
          <w:szCs w:val="18"/>
          <w:color w:val="auto"/>
        </w:rPr>
        <w:t>Our Thermonics temperature conditioning products provide tempered gas or fluid to enable customers to maintain desired</w:t>
      </w:r>
      <w:r>
        <w:rPr>
          <w:rFonts w:ascii="Arial" w:cs="Arial" w:eastAsia="Arial" w:hAnsi="Arial"/>
          <w:sz w:val="18"/>
          <w:szCs w:val="18"/>
          <w:i w:val="1"/>
          <w:iCs w:val="1"/>
          <w:color w:val="auto"/>
        </w:rPr>
        <w:t xml:space="preserve"> </w:t>
      </w:r>
      <w:r>
        <w:rPr>
          <w:rFonts w:ascii="Arial" w:cs="Arial" w:eastAsia="Arial" w:hAnsi="Arial"/>
          <w:sz w:val="18"/>
          <w:szCs w:val="18"/>
          <w:color w:val="auto"/>
        </w:rPr>
        <w:t>thermal conditions within their tool or process. Applications include general industrial, chemical processing, energy, electronics, automotive, defense/aerospace and semiconductor markets. Prices range from $20,000 to greater than $200,000.</w:t>
      </w:r>
    </w:p>
    <w:p>
      <w:pPr>
        <w:spacing w:after="0" w:line="206" w:lineRule="exact"/>
        <w:rPr>
          <w:sz w:val="20"/>
          <w:szCs w:val="20"/>
          <w:color w:val="auto"/>
        </w:rPr>
      </w:pPr>
    </w:p>
    <w:p>
      <w:pPr>
        <w:ind w:left="460" w:right="40"/>
        <w:spacing w:after="0" w:line="221" w:lineRule="auto"/>
        <w:rPr>
          <w:sz w:val="20"/>
          <w:szCs w:val="20"/>
          <w:color w:val="auto"/>
        </w:rPr>
      </w:pPr>
      <w:r>
        <w:rPr>
          <w:rFonts w:ascii="Arial" w:cs="Arial" w:eastAsia="Arial" w:hAnsi="Arial"/>
          <w:sz w:val="18"/>
          <w:szCs w:val="18"/>
          <w:i w:val="1"/>
          <w:iCs w:val="1"/>
          <w:color w:val="auto"/>
        </w:rPr>
        <w:t>EKOHEAT</w:t>
      </w:r>
      <w:r>
        <w:rPr>
          <w:rFonts w:ascii="Arial" w:cs="Arial" w:eastAsia="Arial" w:hAnsi="Arial"/>
          <w:sz w:val="30"/>
          <w:szCs w:val="30"/>
          <w:i w:val="1"/>
          <w:iCs w:val="1"/>
          <w:color w:val="auto"/>
          <w:vertAlign w:val="superscript"/>
        </w:rPr>
        <w:t>(R)</w:t>
      </w:r>
      <w:r>
        <w:rPr>
          <w:rFonts w:ascii="Arial" w:cs="Arial" w:eastAsia="Arial" w:hAnsi="Arial"/>
          <w:sz w:val="18"/>
          <w:szCs w:val="18"/>
          <w:i w:val="1"/>
          <w:iCs w:val="1"/>
          <w:color w:val="auto"/>
        </w:rPr>
        <w:t xml:space="preserve"> Products: </w:t>
      </w:r>
      <w:r>
        <w:rPr>
          <w:rFonts w:ascii="Arial" w:cs="Arial" w:eastAsia="Arial" w:hAnsi="Arial"/>
          <w:sz w:val="18"/>
          <w:szCs w:val="18"/>
          <w:color w:val="auto"/>
        </w:rPr>
        <w:t>Our EKOHEAT</w:t>
      </w:r>
      <w:r>
        <w:rPr>
          <w:rFonts w:ascii="Arial" w:cs="Arial" w:eastAsia="Arial" w:hAnsi="Arial"/>
          <w:sz w:val="30"/>
          <w:szCs w:val="30"/>
          <w:color w:val="auto"/>
          <w:vertAlign w:val="superscript"/>
        </w:rPr>
        <w:t>(R)</w:t>
      </w:r>
      <w:r>
        <w:rPr>
          <w:rFonts w:ascii="Arial" w:cs="Arial" w:eastAsia="Arial" w:hAnsi="Arial"/>
          <w:sz w:val="18"/>
          <w:szCs w:val="18"/>
          <w:i w:val="1"/>
          <w:iCs w:val="1"/>
          <w:color w:val="auto"/>
        </w:rPr>
        <w:t xml:space="preserve"> </w:t>
      </w:r>
      <w:r>
        <w:rPr>
          <w:rFonts w:ascii="Arial" w:cs="Arial" w:eastAsia="Arial" w:hAnsi="Arial"/>
          <w:sz w:val="18"/>
          <w:szCs w:val="18"/>
          <w:color w:val="auto"/>
        </w:rPr>
        <w:t>induction heating systems with power ratings from 10KW to 500KW are manufactured by Ambrell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used to conduct fast, efficient, repeatable non-contact heating of metals or other electrically conductive materials, in order to transform raw materials into finished parts. Prices range from $25,000 to $250,000.</w:t>
      </w:r>
    </w:p>
    <w:p>
      <w:pPr>
        <w:spacing w:after="0" w:line="206" w:lineRule="exact"/>
        <w:rPr>
          <w:sz w:val="20"/>
          <w:szCs w:val="20"/>
          <w:color w:val="auto"/>
        </w:rPr>
      </w:pPr>
    </w:p>
    <w:p>
      <w:pPr>
        <w:ind w:left="460"/>
        <w:spacing w:after="0" w:line="221" w:lineRule="auto"/>
        <w:rPr>
          <w:sz w:val="20"/>
          <w:szCs w:val="20"/>
          <w:color w:val="auto"/>
        </w:rPr>
      </w:pPr>
      <w:r>
        <w:rPr>
          <w:rFonts w:ascii="Arial" w:cs="Arial" w:eastAsia="Arial" w:hAnsi="Arial"/>
          <w:sz w:val="18"/>
          <w:szCs w:val="18"/>
          <w:i w:val="1"/>
          <w:iCs w:val="1"/>
          <w:color w:val="auto"/>
        </w:rPr>
        <w:t>EASYHEAT</w:t>
      </w:r>
      <w:r>
        <w:rPr>
          <w:rFonts w:ascii="Arial" w:cs="Arial" w:eastAsia="Arial" w:hAnsi="Arial"/>
          <w:sz w:val="18"/>
          <w:szCs w:val="18"/>
          <w:color w:val="auto"/>
        </w:rPr>
        <w:t>™</w:t>
      </w:r>
      <w:r>
        <w:rPr>
          <w:rFonts w:ascii="Arial" w:cs="Arial" w:eastAsia="Arial" w:hAnsi="Arial"/>
          <w:sz w:val="18"/>
          <w:szCs w:val="18"/>
          <w:i w:val="1"/>
          <w:iCs w:val="1"/>
          <w:color w:val="auto"/>
        </w:rPr>
        <w:t xml:space="preserve"> Products: </w:t>
      </w:r>
      <w:r>
        <w:rPr>
          <w:rFonts w:ascii="Arial" w:cs="Arial" w:eastAsia="Arial" w:hAnsi="Arial"/>
          <w:sz w:val="18"/>
          <w:szCs w:val="18"/>
          <w:color w:val="auto"/>
        </w:rPr>
        <w:t>Our compact EASYHEAT</w:t>
      </w:r>
      <w:r>
        <w:rPr>
          <w:rFonts w:ascii="Arial" w:cs="Arial" w:eastAsia="Arial" w:hAnsi="Arial"/>
          <w:sz w:val="30"/>
          <w:szCs w:val="30"/>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induction heating systems with power ratings from 1KW to 10KW are manufactured by</w:t>
      </w:r>
      <w:r>
        <w:rPr>
          <w:rFonts w:ascii="Arial" w:cs="Arial" w:eastAsia="Arial" w:hAnsi="Arial"/>
          <w:sz w:val="18"/>
          <w:szCs w:val="18"/>
          <w:i w:val="1"/>
          <w:iCs w:val="1"/>
          <w:color w:val="auto"/>
        </w:rPr>
        <w:t xml:space="preserve"> </w:t>
      </w:r>
      <w:r>
        <w:rPr>
          <w:rFonts w:ascii="Arial" w:cs="Arial" w:eastAsia="Arial" w:hAnsi="Arial"/>
          <w:sz w:val="18"/>
          <w:szCs w:val="18"/>
          <w:color w:val="auto"/>
        </w:rPr>
        <w:t>Ambrell are used to conduct fast, efficient, repeatable non-contact heating of metals or other electrically conductive materials, in order to transform raw materials into finished parts. Prices range from $5,000 to $25,000.</w:t>
      </w:r>
    </w:p>
    <w:p>
      <w:pPr>
        <w:spacing w:after="0" w:line="206" w:lineRule="exact"/>
        <w:rPr>
          <w:sz w:val="20"/>
          <w:szCs w:val="20"/>
          <w:color w:val="auto"/>
        </w:rPr>
      </w:pPr>
    </w:p>
    <w:p>
      <w:pPr>
        <w:ind w:left="460" w:right="120"/>
        <w:spacing w:after="0" w:line="210" w:lineRule="auto"/>
        <w:rPr>
          <w:sz w:val="20"/>
          <w:szCs w:val="20"/>
          <w:color w:val="auto"/>
        </w:rPr>
      </w:pPr>
      <w:r>
        <w:rPr>
          <w:rFonts w:ascii="Arial" w:cs="Arial" w:eastAsia="Arial" w:hAnsi="Arial"/>
          <w:sz w:val="18"/>
          <w:szCs w:val="18"/>
          <w:color w:val="auto"/>
        </w:rPr>
        <w:t>Applications for both EKOHEAT</w:t>
      </w:r>
      <w:r>
        <w:rPr>
          <w:rFonts w:ascii="Arial" w:cs="Arial" w:eastAsia="Arial" w:hAnsi="Arial"/>
          <w:sz w:val="30"/>
          <w:szCs w:val="30"/>
          <w:color w:val="auto"/>
          <w:vertAlign w:val="superscript"/>
        </w:rPr>
        <w:t>(R)</w:t>
      </w:r>
      <w:r>
        <w:rPr>
          <w:rFonts w:ascii="Arial" w:cs="Arial" w:eastAsia="Arial" w:hAnsi="Arial"/>
          <w:sz w:val="18"/>
          <w:szCs w:val="18"/>
          <w:color w:val="auto"/>
        </w:rPr>
        <w:t xml:space="preserve"> and EASYHEAT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products include annealing, bonding, brazing, curing, forging, heat treating, melting, shrink-fitting, soldering and testing.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EMS Products</w:t>
      </w:r>
    </w:p>
    <w:p>
      <w:pPr>
        <w:spacing w:after="0" w:line="229" w:lineRule="exact"/>
        <w:rPr>
          <w:sz w:val="20"/>
          <w:szCs w:val="20"/>
          <w:color w:val="auto"/>
        </w:rPr>
      </w:pPr>
    </w:p>
    <w:p>
      <w:pPr>
        <w:ind w:left="460" w:right="140"/>
        <w:spacing w:after="0"/>
        <w:rPr>
          <w:sz w:val="20"/>
          <w:szCs w:val="20"/>
          <w:color w:val="auto"/>
        </w:rPr>
      </w:pPr>
      <w:r>
        <w:rPr>
          <w:rFonts w:ascii="Arial" w:cs="Arial" w:eastAsia="Arial" w:hAnsi="Arial"/>
          <w:sz w:val="16"/>
          <w:szCs w:val="16"/>
          <w:i w:val="1"/>
          <w:iCs w:val="1"/>
          <w:color w:val="auto"/>
        </w:rPr>
        <w:t xml:space="preserve">Manipulator Products. </w:t>
      </w:r>
      <w:r>
        <w:rPr>
          <w:rFonts w:ascii="Arial" w:cs="Arial" w:eastAsia="Arial" w:hAnsi="Arial"/>
          <w:sz w:val="16"/>
          <w:szCs w:val="16"/>
          <w:color w:val="auto"/>
        </w:rPr>
        <w:t>We offer two lines of manipulator products: the in2</w:t>
      </w:r>
      <w:r>
        <w:rPr>
          <w:rFonts w:ascii="Arial" w:cs="Arial" w:eastAsia="Arial" w:hAnsi="Arial"/>
          <w:sz w:val="26"/>
          <w:szCs w:val="26"/>
          <w:color w:val="auto"/>
          <w:vertAlign w:val="superscript"/>
        </w:rPr>
        <w:t>(R)</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Cobal Series. These free-standing universal manipulators can</w:t>
      </w:r>
      <w:r>
        <w:rPr>
          <w:rFonts w:ascii="Arial" w:cs="Arial" w:eastAsia="Arial" w:hAnsi="Arial"/>
          <w:sz w:val="16"/>
          <w:szCs w:val="16"/>
          <w:i w:val="1"/>
          <w:iCs w:val="1"/>
          <w:color w:val="auto"/>
        </w:rPr>
        <w:t xml:space="preserve"> </w:t>
      </w:r>
      <w:r>
        <w:rPr>
          <w:rFonts w:ascii="Arial" w:cs="Arial" w:eastAsia="Arial" w:hAnsi="Arial"/>
          <w:sz w:val="16"/>
          <w:szCs w:val="16"/>
          <w:color w:val="auto"/>
        </w:rPr>
        <w:t>hold a variety of test heads and enable an operator to reposition a test head for alternate use with any one of several probers or handlers on a test floor.</w:t>
      </w:r>
    </w:p>
    <w:p>
      <w:pPr>
        <w:spacing w:after="0" w:line="206" w:lineRule="exact"/>
        <w:rPr>
          <w:sz w:val="20"/>
          <w:szCs w:val="20"/>
          <w:color w:val="auto"/>
        </w:rPr>
      </w:pPr>
    </w:p>
    <w:p>
      <w:pPr>
        <w:ind w:left="460" w:right="40"/>
        <w:spacing w:after="0" w:line="258" w:lineRule="auto"/>
        <w:rPr>
          <w:sz w:val="20"/>
          <w:szCs w:val="20"/>
          <w:color w:val="auto"/>
        </w:rPr>
      </w:pPr>
      <w:r>
        <w:rPr>
          <w:rFonts w:ascii="Arial" w:cs="Arial" w:eastAsia="Arial" w:hAnsi="Arial"/>
          <w:sz w:val="16"/>
          <w:szCs w:val="16"/>
          <w:color w:val="auto"/>
        </w:rPr>
        <w:t>The in2</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and Cobal Series of manipulator products incorporate our balanced floating-head design. This design permits a test head weighing up to 1,100 pounds to be held in an effectively weightless state, so it can be moved manually or with optional powered assistance, up or down, right or left, forward or backward and rotated around each axis (known as six degrees of motion freedom) by an operator using a modest amount of force. The same design features enable the operator to dock the test head without causing inadvertent damage to the fragile electrical contacts. As a result, after testing a</w:t>
      </w:r>
    </w:p>
    <w:p>
      <w:pPr>
        <w:spacing w:after="0" w:line="1" w:lineRule="exact"/>
        <w:rPr>
          <w:sz w:val="20"/>
          <w:szCs w:val="20"/>
          <w:color w:val="auto"/>
        </w:rPr>
      </w:pPr>
    </w:p>
    <w:p>
      <w:pPr>
        <w:jc w:val="both"/>
        <w:ind w:left="460" w:right="180"/>
        <w:spacing w:after="0" w:line="228" w:lineRule="auto"/>
        <w:rPr>
          <w:sz w:val="20"/>
          <w:szCs w:val="20"/>
          <w:color w:val="auto"/>
        </w:rPr>
      </w:pPr>
      <w:r>
        <w:rPr>
          <w:rFonts w:ascii="Arial" w:cs="Arial" w:eastAsia="Arial" w:hAnsi="Arial"/>
          <w:sz w:val="18"/>
          <w:szCs w:val="18"/>
          <w:color w:val="auto"/>
        </w:rPr>
        <w:t>particular production lot of ICs, the operator can quickly and easily disconnect a test head that is held in an in2</w:t>
      </w:r>
      <w:r>
        <w:rPr>
          <w:rFonts w:ascii="Arial" w:cs="Arial" w:eastAsia="Arial" w:hAnsi="Arial"/>
          <w:sz w:val="30"/>
          <w:szCs w:val="30"/>
          <w:color w:val="auto"/>
          <w:vertAlign w:val="superscript"/>
        </w:rPr>
        <w:t>(R)</w:t>
      </w:r>
      <w:r>
        <w:rPr>
          <w:rFonts w:ascii="Arial" w:cs="Arial" w:eastAsia="Arial" w:hAnsi="Arial"/>
          <w:sz w:val="18"/>
          <w:szCs w:val="18"/>
          <w:color w:val="auto"/>
        </w:rPr>
        <w:t xml:space="preserve"> manipulator and equipped with our docking hardware and dock it to another electronic device handler for testing either a subsequent lot of the same packaged ICs or to test different ICs. The in2</w:t>
      </w:r>
      <w:r>
        <w:rPr>
          <w:rFonts w:ascii="Arial" w:cs="Arial" w:eastAsia="Arial" w:hAnsi="Arial"/>
          <w:sz w:val="30"/>
          <w:szCs w:val="30"/>
          <w:color w:val="auto"/>
          <w:vertAlign w:val="superscript"/>
        </w:rPr>
        <w:t>(R)</w:t>
      </w:r>
      <w:r>
        <w:rPr>
          <w:rFonts w:ascii="Arial" w:cs="Arial" w:eastAsia="Arial" w:hAnsi="Arial"/>
          <w:sz w:val="18"/>
          <w:szCs w:val="18"/>
          <w:color w:val="auto"/>
        </w:rPr>
        <w:t xml:space="preserve"> and Cobal Series manipulators range in price from approximately $12,000 to $60,000.</w:t>
      </w:r>
    </w:p>
    <w:p>
      <w:pPr>
        <w:spacing w:after="0" w:line="79"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i w:val="1"/>
          <w:iCs w:val="1"/>
          <w:color w:val="auto"/>
        </w:rPr>
        <w:t>Docking Hardware Products</w:t>
      </w:r>
      <w:r>
        <w:rPr>
          <w:rFonts w:ascii="Arial" w:cs="Arial" w:eastAsia="Arial" w:hAnsi="Arial"/>
          <w:sz w:val="16"/>
          <w:szCs w:val="16"/>
          <w:color w:val="auto"/>
        </w:rPr>
        <w:t>. We offer two lines of docking hardware products: fixed manual docking and Intellidock pin and cup docking. Both types</w:t>
      </w:r>
      <w:r>
        <w:rPr>
          <w:rFonts w:ascii="Arial" w:cs="Arial" w:eastAsia="Arial" w:hAnsi="Arial"/>
          <w:sz w:val="16"/>
          <w:szCs w:val="16"/>
          <w:i w:val="1"/>
          <w:iCs w:val="1"/>
          <w:color w:val="auto"/>
        </w:rPr>
        <w:t xml:space="preserve"> </w:t>
      </w:r>
      <w:r>
        <w:rPr>
          <w:rFonts w:ascii="Arial" w:cs="Arial" w:eastAsia="Arial" w:hAnsi="Arial"/>
          <w:sz w:val="16"/>
          <w:szCs w:val="16"/>
          <w:color w:val="auto"/>
        </w:rPr>
        <w:t>protect the delicate interface contacts and ensure proper repeatable and precise alignment between the test head's interface board and the prober's probing assembly or the handler's test socket as they are brought together, or "docked." Fixed manual docking includes a mechanical cam mechanism to dock and lock the test head to the prober or handler. Intellidock is an automated docking solution that provides operator feedback for each docking step via a touchscreen display. Both types eliminate motion of the test head relative to the prober or handler. This minimizes deterioration of the interface boards, test sockets and probing assemblies which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and reduced repairs and replacements of expensive ATE interface products.</w:t>
      </w:r>
    </w:p>
    <w:p>
      <w:pPr>
        <w:spacing w:after="0" w:line="167" w:lineRule="exact"/>
        <w:rPr>
          <w:sz w:val="20"/>
          <w:szCs w:val="20"/>
          <w:color w:val="auto"/>
        </w:rPr>
      </w:pPr>
    </w:p>
    <w:p>
      <w:pPr>
        <w:ind w:left="460" w:right="100"/>
        <w:spacing w:after="0" w:line="297" w:lineRule="auto"/>
        <w:rPr>
          <w:sz w:val="20"/>
          <w:szCs w:val="20"/>
          <w:color w:val="auto"/>
        </w:rPr>
      </w:pPr>
      <w:r>
        <w:rPr>
          <w:rFonts w:ascii="Arial" w:cs="Arial" w:eastAsia="Arial" w:hAnsi="Arial"/>
          <w:sz w:val="16"/>
          <w:szCs w:val="16"/>
          <w:color w:val="auto"/>
        </w:rPr>
        <w:t>We believe our docking hardware products offer our customers the ability to make various competing brands of test heads compatible with various brands of probers and handlers by only changing interface boards. This is called "plug-compatibility." Plug-compatibility enables increased flexibility and utilization of test heads, probers and handlers purchased from various ATE manufacturers. We believe that because we do not compete with ATE manufacturers in the sale of probers, handlers or testers, ATE manufacturers are willing to provide us with the information that is integral to the design of plug-compatible products. Our docking hardware products range in price from approximately $2,000 to $25,000.</w:t>
      </w:r>
    </w:p>
    <w:p>
      <w:pPr>
        <w:spacing w:after="0" w:line="158" w:lineRule="exact"/>
        <w:rPr>
          <w:sz w:val="20"/>
          <w:szCs w:val="20"/>
          <w:color w:val="auto"/>
        </w:rPr>
      </w:pPr>
    </w:p>
    <w:p>
      <w:pPr>
        <w:ind w:left="460" w:right="80"/>
        <w:spacing w:after="0" w:line="284" w:lineRule="auto"/>
        <w:rPr>
          <w:sz w:val="20"/>
          <w:szCs w:val="20"/>
          <w:color w:val="auto"/>
        </w:rPr>
      </w:pPr>
      <w:r>
        <w:rPr>
          <w:rFonts w:ascii="Arial" w:cs="Arial" w:eastAsia="Arial" w:hAnsi="Arial"/>
          <w:sz w:val="16"/>
          <w:szCs w:val="16"/>
          <w:i w:val="1"/>
          <w:iCs w:val="1"/>
          <w:color w:val="auto"/>
        </w:rPr>
        <w:t>Interface Products</w:t>
      </w:r>
      <w:r>
        <w:rPr>
          <w:rFonts w:ascii="Arial" w:cs="Arial" w:eastAsia="Arial" w:hAnsi="Arial"/>
          <w:sz w:val="16"/>
          <w:szCs w:val="16"/>
          <w:color w:val="auto"/>
        </w:rPr>
        <w:t>. Our tester interface products provide the electrical connections between the tester and the wafer prober or IC handler to carry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electrical signals between the tester and the probe card on the prober or the test socket on the handler. Our designs optimize the integrity of the transmitted signal.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w:t>
      </w:r>
    </w:p>
    <w:p>
      <w:pPr>
        <w:spacing w:after="0" w:line="5" w:lineRule="exact"/>
        <w:rPr>
          <w:sz w:val="20"/>
          <w:szCs w:val="20"/>
          <w:color w:val="auto"/>
        </w:rPr>
      </w:pPr>
    </w:p>
    <w:p>
      <w:pPr>
        <w:ind w:left="460" w:right="180"/>
        <w:spacing w:after="0" w:line="234" w:lineRule="auto"/>
        <w:rPr>
          <w:sz w:val="20"/>
          <w:szCs w:val="20"/>
          <w:color w:val="auto"/>
        </w:rPr>
      </w:pPr>
      <w:r>
        <w:rPr>
          <w:rFonts w:ascii="Arial" w:cs="Arial" w:eastAsia="Arial" w:hAnsi="Arial"/>
          <w:sz w:val="16"/>
          <w:szCs w:val="16"/>
          <w:color w:val="auto"/>
        </w:rPr>
        <w:t>such as analog, digital, mixed signal and radio frequency. For example, our Centaur</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modular interface is designed to provide flexibility and scalability through the use of replaceable signal modules which can be easily changed on the test floor as our customers' testing requirements change.</w:t>
      </w:r>
    </w:p>
    <w:p>
      <w:pPr>
        <w:spacing w:after="0" w:line="2" w:lineRule="exact"/>
        <w:rPr>
          <w:sz w:val="20"/>
          <w:szCs w:val="20"/>
          <w:color w:val="auto"/>
        </w:rPr>
      </w:pPr>
    </w:p>
    <w:p>
      <w:pPr>
        <w:ind w:left="460" w:right="560"/>
        <w:spacing w:after="0" w:line="219" w:lineRule="auto"/>
        <w:rPr>
          <w:sz w:val="20"/>
          <w:szCs w:val="20"/>
          <w:color w:val="auto"/>
        </w:rPr>
      </w:pPr>
      <w:r>
        <w:rPr>
          <w:rFonts w:ascii="Arial" w:cs="Arial" w:eastAsia="Arial" w:hAnsi="Arial"/>
          <w:sz w:val="17"/>
          <w:szCs w:val="17"/>
          <w:color w:val="auto"/>
        </w:rPr>
        <w:t>In addition to the Centaur</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modular interface, we also offer over 200 different types of tester interface models that we custom designed for our customers' specific applications. These tester interface products range in price from approximately $7,000 to $110,000.</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Financial Information About Product Segments and Geographic Areas</w:t>
      </w:r>
    </w:p>
    <w:p>
      <w:pPr>
        <w:spacing w:after="0" w:line="225" w:lineRule="exact"/>
        <w:rPr>
          <w:sz w:val="20"/>
          <w:szCs w:val="20"/>
          <w:color w:val="auto"/>
        </w:rPr>
      </w:pPr>
    </w:p>
    <w:p>
      <w:pPr>
        <w:ind w:left="460" w:right="860"/>
        <w:spacing w:after="0" w:line="277" w:lineRule="auto"/>
        <w:rPr>
          <w:sz w:val="20"/>
          <w:szCs w:val="20"/>
          <w:color w:val="auto"/>
        </w:rPr>
      </w:pPr>
      <w:r>
        <w:rPr>
          <w:rFonts w:ascii="Arial" w:cs="Arial" w:eastAsia="Arial" w:hAnsi="Arial"/>
          <w:sz w:val="18"/>
          <w:szCs w:val="18"/>
          <w:color w:val="auto"/>
        </w:rPr>
        <w:t>Please see Note 17 of our consolidated financial statements included in Item 8 of this Report on Form 10-K for additional data regarding net revenues, profit or loss and total assets of each of our segments and revenues attributable to foreign countries.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MARKETING, SALES AND CUSTOMER SUPPORT</w:t>
      </w:r>
    </w:p>
    <w:p>
      <w:pPr>
        <w:spacing w:after="0" w:line="225" w:lineRule="exact"/>
        <w:rPr>
          <w:sz w:val="20"/>
          <w:szCs w:val="20"/>
          <w:color w:val="auto"/>
        </w:rPr>
      </w:pPr>
    </w:p>
    <w:p>
      <w:pPr>
        <w:ind w:left="460" w:right="280"/>
        <w:spacing w:after="0" w:line="293" w:lineRule="auto"/>
        <w:rPr>
          <w:sz w:val="20"/>
          <w:szCs w:val="20"/>
          <w:color w:val="auto"/>
        </w:rPr>
      </w:pPr>
      <w:r>
        <w:rPr>
          <w:rFonts w:ascii="Arial" w:cs="Arial" w:eastAsia="Arial" w:hAnsi="Arial"/>
          <w:sz w:val="16"/>
          <w:szCs w:val="16"/>
          <w:color w:val="auto"/>
        </w:rPr>
        <w:t>We market and sell our products primarily in markets where semiconductors are manufactured. North American and European semiconductor manufacturers, as well as third-party foundries, test and assembly providers, have located most of their back-end factories in Southeast Asia. The front-end wafer fabrication plants of U.S. semiconductor manufacturers are primarily in the U.S. Likewise, European, Taiwanese, South Korean and Japanese semiconductor manufacturers generally have located their wafer fabrication plants in their respective countries. We have been providing a greater number of engineered solutions to non-semiconductor markets. These are thermal-based solutions that fall into the categories of test and process, involving automotive, consumer electronics, defense/aerospace, energy, industrial and telecommunications markets.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right="200"/>
        <w:spacing w:after="0" w:line="293" w:lineRule="auto"/>
        <w:rPr>
          <w:sz w:val="20"/>
          <w:szCs w:val="20"/>
          <w:color w:val="auto"/>
        </w:rPr>
      </w:pPr>
      <w:r>
        <w:rPr>
          <w:rFonts w:ascii="Arial" w:cs="Arial" w:eastAsia="Arial" w:hAnsi="Arial"/>
          <w:sz w:val="16"/>
          <w:szCs w:val="16"/>
          <w:i w:val="1"/>
          <w:iCs w:val="1"/>
          <w:color w:val="auto"/>
        </w:rPr>
        <w:t>Thermal Products</w:t>
      </w:r>
      <w:r>
        <w:rPr>
          <w:rFonts w:ascii="Arial" w:cs="Arial" w:eastAsia="Arial" w:hAnsi="Arial"/>
          <w:sz w:val="16"/>
          <w:szCs w:val="16"/>
          <w:color w:val="auto"/>
        </w:rPr>
        <w:t>: We market our thermal products brands, Temptronic, Sigma and Thermonics, under the umbrella name of inTEST Thermal</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and sales to ATE manufacturers are handled directly by our own sales force. Sales to semiconductor manufacturers and customers in other markets in the U.S. are handled through independent sales representative organizations. In Singapore and Malaysia, our sales and service are handled through our internal sales and service staff. In the rest of Asia, our sales are handled through distributors. In Europe, sales managers at our office in Germany, as well as regional distributors and independent sales representatives, sell to semiconductor manufacturers and customers in other markets. We visit our distributors regularly and have trained them to sell and service our thermal products.</w:t>
      </w:r>
    </w:p>
    <w:p>
      <w:pPr>
        <w:spacing w:after="0" w:line="169" w:lineRule="exact"/>
        <w:rPr>
          <w:sz w:val="20"/>
          <w:szCs w:val="20"/>
          <w:color w:val="auto"/>
        </w:rPr>
      </w:pPr>
    </w:p>
    <w:p>
      <w:pPr>
        <w:ind w:left="460"/>
        <w:spacing w:after="0" w:line="247" w:lineRule="auto"/>
        <w:rPr>
          <w:sz w:val="20"/>
          <w:szCs w:val="20"/>
          <w:color w:val="auto"/>
        </w:rPr>
      </w:pPr>
      <w:r>
        <w:rPr>
          <w:rFonts w:ascii="Arial" w:cs="Arial" w:eastAsia="Arial" w:hAnsi="Arial"/>
          <w:sz w:val="17"/>
          <w:szCs w:val="17"/>
          <w:color w:val="auto"/>
        </w:rPr>
        <w:t>We market our EASYHEAT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EKOHEAT</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precision induction heating equipment to manufacturers who require specialized industrial heating in a wide array of industries including automotive, aerospace and semiconductor and are sold globally through a combination of regional sales and strategic account managers and independent distributors. In North America and Europe, direct regional sales managers provide sales coverage augmented by distributors in Mexico and several European countries. Our strategic account managers cover targeted segments and create and manage relationships with key management personnel. In Asia, distributors have responsibility for sales and service of our products.</w:t>
      </w:r>
    </w:p>
    <w:p>
      <w:pPr>
        <w:spacing w:after="0" w:line="197"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color w:val="auto"/>
        </w:rPr>
        <w:t>We also provide induction heating product support through our SmartCARE Service offering, which includes equipment repairs and training, preventative maintenance, enhanced warranties and spare parts. Our field service engineers, located in the U.S. and Europe, provide service and support globally. Additionally, a number of distributors in North America, Europe and Asia have factory-trained service technicians.</w:t>
      </w:r>
    </w:p>
    <w:p>
      <w:pPr>
        <w:spacing w:after="0" w:line="166"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i w:val="1"/>
          <w:iCs w:val="1"/>
          <w:color w:val="auto"/>
        </w:rPr>
        <w:t>EMS Products</w:t>
      </w:r>
      <w:r>
        <w:rPr>
          <w:rFonts w:ascii="Arial" w:cs="Arial" w:eastAsia="Arial" w:hAnsi="Arial"/>
          <w:sz w:val="18"/>
          <w:szCs w:val="18"/>
          <w:color w:val="auto"/>
        </w:rPr>
        <w:t>: In North America, we sell to semiconductor manufacturers principally through the use of independent, commissioned sales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North American sales representatives also coordinate product installation and support with our technical staff and participate in trade shows.</w:t>
      </w:r>
    </w:p>
    <w:p>
      <w:pPr>
        <w:spacing w:after="0" w:line="181" w:lineRule="exact"/>
        <w:rPr>
          <w:sz w:val="20"/>
          <w:szCs w:val="20"/>
          <w:color w:val="auto"/>
        </w:rPr>
      </w:pPr>
    </w:p>
    <w:p>
      <w:pPr>
        <w:ind w:left="460" w:right="80"/>
        <w:spacing w:after="0" w:line="279" w:lineRule="auto"/>
        <w:rPr>
          <w:sz w:val="20"/>
          <w:szCs w:val="20"/>
          <w:color w:val="auto"/>
        </w:rPr>
      </w:pPr>
      <w:r>
        <w:rPr>
          <w:rFonts w:ascii="Arial" w:cs="Arial" w:eastAsia="Arial" w:hAnsi="Arial"/>
          <w:sz w:val="17"/>
          <w:szCs w:val="17"/>
          <w:color w:val="auto"/>
        </w:rPr>
        <w:t>Our internal sales account managers handle sales to ATE manufacturers and are responsible for a portfolio of customer accounts and for managing certain independent sales representatives. In addition, our sales account managers are responsible for pricing, quotations, proposals and transaction negotiations, and they assist with applications engineering and custom product design. Technical support is provided to North American customers and independent sales representatives by employees based in New Jersey, California and Texas.</w:t>
      </w:r>
    </w:p>
    <w:p>
      <w:pPr>
        <w:spacing w:after="0" w:line="171" w:lineRule="exact"/>
        <w:rPr>
          <w:sz w:val="20"/>
          <w:szCs w:val="20"/>
          <w:color w:val="auto"/>
        </w:rPr>
      </w:pPr>
    </w:p>
    <w:p>
      <w:pPr>
        <w:ind w:left="460" w:right="220"/>
        <w:spacing w:after="0" w:line="276" w:lineRule="auto"/>
        <w:rPr>
          <w:sz w:val="20"/>
          <w:szCs w:val="20"/>
          <w:color w:val="auto"/>
        </w:rPr>
      </w:pPr>
      <w:r>
        <w:rPr>
          <w:rFonts w:ascii="Arial" w:cs="Arial" w:eastAsia="Arial" w:hAnsi="Arial"/>
          <w:sz w:val="17"/>
          <w:szCs w:val="17"/>
          <w:color w:val="auto"/>
        </w:rPr>
        <w:t>In Europe, we sell to semiconductor and ATE manufacturers through our internal sales staff. Technical support is provided by our staff in the U.K. In China, Japan, the Philippines, South Korea, and Thailand, we sell through the use of independent sales representatives who are supervised by our internal sales staff. In Malaysia, Singapore and Taiwan, our sales are handled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CUSTOMERS</w:t>
      </w:r>
    </w:p>
    <w:p>
      <w:pPr>
        <w:spacing w:after="0" w:line="225" w:lineRule="exact"/>
        <w:rPr>
          <w:sz w:val="20"/>
          <w:szCs w:val="20"/>
          <w:color w:val="auto"/>
        </w:rPr>
      </w:pPr>
    </w:p>
    <w:p>
      <w:pPr>
        <w:ind w:left="460" w:right="220"/>
        <w:spacing w:after="0" w:line="285" w:lineRule="auto"/>
        <w:rPr>
          <w:sz w:val="20"/>
          <w:szCs w:val="20"/>
          <w:color w:val="auto"/>
        </w:rPr>
      </w:pPr>
      <w:r>
        <w:rPr>
          <w:rFonts w:ascii="Arial" w:cs="Arial" w:eastAsia="Arial" w:hAnsi="Arial"/>
          <w:sz w:val="16"/>
          <w:szCs w:val="16"/>
          <w:color w:val="auto"/>
        </w:rPr>
        <w:t>We market all of our products to end users, which include semiconductor manufacturers and third-party foundries, test and assembly providers, as well as to original equipment manufacturers ("OEMs"), which include ATE manufacturers and their third-party outsource manufacturing partners. In the case of thermal products, we also market our products to independent testers of semiconductors, manufacturers of automotive, consumer electronics, defense/aerospace, energy, industrial and telecommunications products, semiconductor research facilities, and manufacturers and manufacturing process integrators for a variety of industrial process applications. Our customers use our products principally in production testing or</w:t>
      </w:r>
    </w:p>
    <w:p>
      <w:pPr>
        <w:spacing w:after="0" w:line="2" w:lineRule="exact"/>
        <w:rPr>
          <w:sz w:val="20"/>
          <w:szCs w:val="20"/>
          <w:color w:val="auto"/>
        </w:rPr>
      </w:pPr>
    </w:p>
    <w:p>
      <w:pPr>
        <w:ind w:left="460" w:right="440"/>
        <w:spacing w:after="0" w:line="205" w:lineRule="auto"/>
        <w:rPr>
          <w:sz w:val="20"/>
          <w:szCs w:val="20"/>
          <w:color w:val="auto"/>
        </w:rPr>
      </w:pPr>
      <w:r>
        <w:rPr>
          <w:rFonts w:ascii="Arial" w:cs="Arial" w:eastAsia="Arial" w:hAnsi="Arial"/>
          <w:sz w:val="18"/>
          <w:szCs w:val="18"/>
          <w:color w:val="auto"/>
        </w:rPr>
        <w:t>process/manufacturing applications, although our ThermoStream</w:t>
      </w:r>
      <w:r>
        <w:rPr>
          <w:rFonts w:ascii="Arial" w:cs="Arial" w:eastAsia="Arial" w:hAnsi="Arial"/>
          <w:sz w:val="30"/>
          <w:szCs w:val="30"/>
          <w:color w:val="auto"/>
          <w:vertAlign w:val="superscript"/>
        </w:rPr>
        <w:t>(R)</w:t>
      </w:r>
      <w:r>
        <w:rPr>
          <w:rFonts w:ascii="Arial" w:cs="Arial" w:eastAsia="Arial" w:hAnsi="Arial"/>
          <w:sz w:val="18"/>
          <w:szCs w:val="18"/>
          <w:color w:val="auto"/>
        </w:rPr>
        <w:t xml:space="preserve"> products traditionally have been used largely in engineering development and quality assurance. We believe that we sell to most of the major semiconductor manufacturers in the world.</w:t>
      </w:r>
    </w:p>
    <w:p>
      <w:pPr>
        <w:spacing w:after="0" w:line="203"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During the years ended December 31, 2018 and 2017, Texas Instruments Incorporated accounted for 11% of our consolidated net revenues. While both of our operating segments sold products to this customer, these revenues were primarily generated by our EMS segment. During the year ended December 31, 2017, Hakuto Co. Ltd., one of our distributors, accounted for 11% of our consolidated net revenues. These revenues were generated by our Thermal segment. Our ten largest customers accounted for approximately 40% and 46% of our consolidated net revenues in 2018 and 2017,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260" w:type="dxa"/>
            <w:vAlign w:val="bottom"/>
            <w:gridSpan w:val="3"/>
          </w:tcPr>
          <w:p>
            <w:pPr>
              <w:spacing w:after="0"/>
              <w:rPr>
                <w:sz w:val="20"/>
                <w:szCs w:val="20"/>
                <w:color w:val="auto"/>
              </w:rPr>
            </w:pPr>
            <w:r>
              <w:rPr>
                <w:rFonts w:ascii="Arial" w:cs="Arial" w:eastAsia="Arial" w:hAnsi="Arial"/>
                <w:sz w:val="18"/>
                <w:szCs w:val="18"/>
                <w:color w:val="auto"/>
              </w:rPr>
              <w:t>Our largest customers in 2018 include:</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Arial" w:cs="Arial" w:eastAsia="Arial" w:hAnsi="Arial"/>
                <w:sz w:val="18"/>
                <w:szCs w:val="18"/>
                <w:b w:val="1"/>
                <w:bCs w:val="1"/>
                <w:color w:val="auto"/>
                <w:w w:val="89"/>
              </w:rPr>
              <w:t>Semiconductor Manufacturers</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r>
      <w:tr>
        <w:trPr>
          <w:trHeight w:val="20"/>
        </w:trPr>
        <w:tc>
          <w:tcPr>
            <w:tcW w:w="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22"/>
        </w:trPr>
        <w:tc>
          <w:tcPr>
            <w:tcW w:w="4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Aixtron SE</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w w:val="90"/>
              </w:rPr>
              <w:t>Foxconn Optical Interconnect Technologies, Inc.</w:t>
            </w:r>
          </w:p>
        </w:tc>
      </w:tr>
      <w:tr>
        <w:trPr>
          <w:trHeight w:val="216"/>
        </w:trPr>
        <w:tc>
          <w:tcPr>
            <w:tcW w:w="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Analog Devices, Inc.</w:t>
            </w:r>
          </w:p>
        </w:tc>
        <w:tc>
          <w:tcPr>
            <w:tcW w:w="3960" w:type="dxa"/>
            <w:vAlign w:val="bottom"/>
            <w:gridSpan w:val="3"/>
          </w:tcPr>
          <w:p>
            <w:pPr>
              <w:ind w:left="440"/>
              <w:spacing w:after="0"/>
              <w:rPr>
                <w:sz w:val="20"/>
                <w:szCs w:val="20"/>
                <w:color w:val="auto"/>
              </w:rPr>
            </w:pPr>
            <w:r>
              <w:rPr>
                <w:rFonts w:ascii="Arial" w:cs="Arial" w:eastAsia="Arial" w:hAnsi="Arial"/>
                <w:sz w:val="18"/>
                <w:szCs w:val="18"/>
                <w:color w:val="auto"/>
              </w:rPr>
              <w:t>GT Advanced Technologies Incorporated</w:t>
            </w:r>
          </w:p>
        </w:tc>
      </w:tr>
      <w:tr>
        <w:trPr>
          <w:trHeight w:val="216"/>
        </w:trPr>
        <w:tc>
          <w:tcPr>
            <w:tcW w:w="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NXP Semiconductors N.V.</w:t>
            </w:r>
          </w:p>
        </w:tc>
        <w:tc>
          <w:tcPr>
            <w:tcW w:w="3960" w:type="dxa"/>
            <w:vAlign w:val="bottom"/>
            <w:gridSpan w:val="3"/>
          </w:tcPr>
          <w:p>
            <w:pPr>
              <w:ind w:left="440"/>
              <w:spacing w:after="0"/>
              <w:rPr>
                <w:sz w:val="20"/>
                <w:szCs w:val="20"/>
                <w:color w:val="auto"/>
              </w:rPr>
            </w:pPr>
            <w:r>
              <w:rPr>
                <w:rFonts w:ascii="Arial" w:cs="Arial" w:eastAsia="Arial" w:hAnsi="Arial"/>
                <w:sz w:val="18"/>
                <w:szCs w:val="18"/>
                <w:color w:val="auto"/>
              </w:rPr>
              <w:t>Hakuto Co. Ltd.</w:t>
            </w:r>
          </w:p>
        </w:tc>
      </w:tr>
      <w:tr>
        <w:trPr>
          <w:trHeight w:val="216"/>
        </w:trPr>
        <w:tc>
          <w:tcPr>
            <w:tcW w:w="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Texas Instruments Incorporated</w:t>
            </w:r>
          </w:p>
        </w:tc>
        <w:tc>
          <w:tcPr>
            <w:tcW w:w="3960" w:type="dxa"/>
            <w:vAlign w:val="bottom"/>
            <w:gridSpan w:val="3"/>
          </w:tcPr>
          <w:p>
            <w:pPr>
              <w:ind w:left="440"/>
              <w:spacing w:after="0"/>
              <w:rPr>
                <w:sz w:val="20"/>
                <w:szCs w:val="20"/>
                <w:color w:val="auto"/>
              </w:rPr>
            </w:pPr>
            <w:r>
              <w:rPr>
                <w:rFonts w:ascii="Arial" w:cs="Arial" w:eastAsia="Arial" w:hAnsi="Arial"/>
                <w:sz w:val="18"/>
                <w:szCs w:val="18"/>
                <w:color w:val="auto"/>
              </w:rPr>
              <w:t>LPE S.p.A</w:t>
            </w:r>
          </w:p>
        </w:tc>
      </w:tr>
      <w:tr>
        <w:trPr>
          <w:trHeight w:val="216"/>
        </w:trPr>
        <w:tc>
          <w:tcPr>
            <w:tcW w:w="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60" w:type="dxa"/>
            <w:vAlign w:val="bottom"/>
            <w:gridSpan w:val="3"/>
          </w:tcPr>
          <w:p>
            <w:pPr>
              <w:ind w:left="440"/>
              <w:spacing w:after="0"/>
              <w:rPr>
                <w:sz w:val="20"/>
                <w:szCs w:val="20"/>
                <w:color w:val="auto"/>
              </w:rPr>
            </w:pPr>
            <w:r>
              <w:rPr>
                <w:rFonts w:ascii="Arial" w:cs="Arial" w:eastAsia="Arial" w:hAnsi="Arial"/>
                <w:sz w:val="18"/>
                <w:szCs w:val="18"/>
                <w:color w:val="auto"/>
              </w:rPr>
              <w:t>Raytheon Company</w:t>
            </w:r>
          </w:p>
        </w:tc>
      </w:tr>
      <w:tr>
        <w:trPr>
          <w:trHeight w:val="230"/>
        </w:trPr>
        <w:tc>
          <w:tcPr>
            <w:tcW w:w="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60" w:type="dxa"/>
            <w:vAlign w:val="bottom"/>
            <w:gridSpan w:val="3"/>
          </w:tcPr>
          <w:p>
            <w:pPr>
              <w:ind w:left="440"/>
              <w:spacing w:after="0"/>
              <w:rPr>
                <w:sz w:val="20"/>
                <w:szCs w:val="20"/>
                <w:color w:val="auto"/>
              </w:rPr>
            </w:pPr>
            <w:r>
              <w:rPr>
                <w:rFonts w:ascii="Arial" w:cs="Arial" w:eastAsia="Arial" w:hAnsi="Arial"/>
                <w:sz w:val="18"/>
                <w:szCs w:val="18"/>
                <w:color w:val="auto"/>
              </w:rPr>
              <w:t>Rosendahl Nextrom GmbH</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MANUFACTURING AND SUPPLY</w:t>
      </w:r>
    </w:p>
    <w:p>
      <w:pPr>
        <w:spacing w:after="0" w:line="225"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As of December 31, 2018, our principal manufacturing operations consisted of assembly and testing at our facilities in California, Massachusetts, New Jersey and New York. We assemble most of our products from a combination of standard components and custom parts that have been fabricated to our specifications by either third-party manufacturers or our own fabrication operation in New Jersey. Our practice is to use the highest quality raw materials and components in our products. The primary raw materials used in fabricated parts are all widely available. We purchase substantially all of our components from multiple suppliers. We purchase certain raw materials and components from single suppliers, however, we believe that all materials and components are available in adequate amounts from other sources, although from time to time, certain components may be in short supply because of high demand or the inability of some vendors to consistently meet our quality or delivery requirements.</w:t>
      </w:r>
    </w:p>
    <w:p>
      <w:pPr>
        <w:spacing w:after="0" w:line="167" w:lineRule="exact"/>
        <w:rPr>
          <w:sz w:val="20"/>
          <w:szCs w:val="20"/>
          <w:color w:val="auto"/>
        </w:rPr>
      </w:pPr>
    </w:p>
    <w:p>
      <w:pPr>
        <w:ind w:left="460" w:right="60"/>
        <w:spacing w:after="0" w:line="286" w:lineRule="auto"/>
        <w:rPr>
          <w:sz w:val="20"/>
          <w:szCs w:val="20"/>
          <w:color w:val="auto"/>
        </w:rPr>
      </w:pPr>
      <w:r>
        <w:rPr>
          <w:rFonts w:ascii="Arial" w:cs="Arial" w:eastAsia="Arial" w:hAnsi="Arial"/>
          <w:sz w:val="17"/>
          <w:szCs w:val="17"/>
          <w:color w:val="auto"/>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spacing w:after="0" w:line="166" w:lineRule="exact"/>
        <w:rPr>
          <w:sz w:val="20"/>
          <w:szCs w:val="20"/>
          <w:color w:val="auto"/>
        </w:rPr>
      </w:pPr>
    </w:p>
    <w:p>
      <w:pPr>
        <w:ind w:left="460" w:right="260"/>
        <w:spacing w:after="0" w:line="264" w:lineRule="auto"/>
        <w:rPr>
          <w:sz w:val="20"/>
          <w:szCs w:val="20"/>
          <w:color w:val="auto"/>
        </w:rPr>
      </w:pPr>
      <w:r>
        <w:rPr>
          <w:rFonts w:ascii="Arial" w:cs="Arial" w:eastAsia="Arial" w:hAnsi="Arial"/>
          <w:sz w:val="18"/>
          <w:szCs w:val="18"/>
          <w:color w:val="auto"/>
        </w:rPr>
        <w:t>Our Massachusetts facility is ISO 9001:2015 certified. Our New York facility is ISO 9001:2015 certified. Our New Jersey and California facilities manufacture products only for the semiconductor industry where ISO certification is not required. However, these locations do employ the practices embodied in the ISO 9001:2008.</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ENGINEERING AND PRODUCT DEVELOPMENT</w:t>
      </w:r>
    </w:p>
    <w:p>
      <w:pPr>
        <w:spacing w:after="0" w:line="225" w:lineRule="exact"/>
        <w:rPr>
          <w:sz w:val="20"/>
          <w:szCs w:val="20"/>
          <w:color w:val="auto"/>
        </w:rPr>
      </w:pPr>
    </w:p>
    <w:p>
      <w:pPr>
        <w:ind w:left="460" w:right="100"/>
        <w:spacing w:after="0" w:line="271" w:lineRule="auto"/>
        <w:rPr>
          <w:sz w:val="20"/>
          <w:szCs w:val="20"/>
          <w:color w:val="auto"/>
        </w:rPr>
      </w:pPr>
      <w:r>
        <w:rPr>
          <w:rFonts w:ascii="Arial" w:cs="Arial" w:eastAsia="Arial" w:hAnsi="Arial"/>
          <w:sz w:val="17"/>
          <w:szCs w:val="17"/>
          <w:color w:val="auto"/>
        </w:rPr>
        <w:t>Our success depends on our ability to provide our customers with products and solutions that are well engineered, and to design those products and solutions before, or at least no later than, our competitors. As of December 31, 2018, we employed a total of 41 engineers, who were engaged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 performance interfaces.</w:t>
      </w:r>
    </w:p>
    <w:p>
      <w:pPr>
        <w:spacing w:after="0" w:line="179" w:lineRule="exact"/>
        <w:rPr>
          <w:sz w:val="20"/>
          <w:szCs w:val="20"/>
          <w:color w:val="auto"/>
        </w:rPr>
      </w:pPr>
    </w:p>
    <w:p>
      <w:pPr>
        <w:jc w:val="both"/>
        <w:ind w:left="460" w:right="160"/>
        <w:spacing w:after="0" w:line="264" w:lineRule="auto"/>
        <w:rPr>
          <w:sz w:val="20"/>
          <w:szCs w:val="20"/>
          <w:color w:val="auto"/>
        </w:rPr>
      </w:pPr>
      <w:r>
        <w:rPr>
          <w:rFonts w:ascii="Arial" w:cs="Arial" w:eastAsia="Arial" w:hAnsi="Arial"/>
          <w:sz w:val="18"/>
          <w:szCs w:val="18"/>
          <w:color w:val="auto"/>
        </w:rPr>
        <w:t>Since most of our products are customized, we consider substantially all of our engineering activities to be engineering and product development. We spent approximately $4.9 million in 2018 and $4.3 million in 2017 on engineering and product development. Our expenses in 2018 and 2017 include $1.2 million and $650,000, respectively, attributable to Ambrell, which we acquired in May 2017.</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PATENTS AND OTHER PROPRIETARY RIGHTS</w:t>
      </w:r>
    </w:p>
    <w:p>
      <w:pPr>
        <w:spacing w:after="0" w:line="225"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Our policy is to protect our technology by filing patent applications for the technologies that we consider important to our business. We also rely on trademarks, trade secrets, copyrights and unpatented know-how to protect our proprietary rights. 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spacing w:after="0" w:line="188" w:lineRule="exact"/>
        <w:rPr>
          <w:sz w:val="20"/>
          <w:szCs w:val="20"/>
          <w:color w:val="auto"/>
        </w:rPr>
      </w:pPr>
    </w:p>
    <w:p>
      <w:pPr>
        <w:ind w:left="460" w:right="180"/>
        <w:spacing w:after="0" w:line="257" w:lineRule="auto"/>
        <w:rPr>
          <w:sz w:val="20"/>
          <w:szCs w:val="20"/>
          <w:color w:val="auto"/>
        </w:rPr>
      </w:pPr>
      <w:r>
        <w:rPr>
          <w:rFonts w:ascii="Arial" w:cs="Arial" w:eastAsia="Arial" w:hAnsi="Arial"/>
          <w:sz w:val="18"/>
          <w:szCs w:val="18"/>
          <w:color w:val="auto"/>
        </w:rPr>
        <w:t>As of December 31, 2018, we held 71 active U.S. patents and had 6 pending U.S. patent applications covering various aspects of our technology. Our U.S. patents expire at various times beginning in 2019 and extending through 2036. During 2018, 2 U.S. patents were issued and we had 10 U.S. patents expire. We do not believe that the upcoming expiration of certain of our patents in 2019 will have a material impact on our business. We also hold foreign patents and file foreign patent applications, in selected cases corresponding to our U.S. patents and patent applications, to the extent management deems appropriate.</w:t>
      </w:r>
    </w:p>
    <w:p>
      <w:pPr>
        <w:spacing w:after="0" w:line="188" w:lineRule="exact"/>
        <w:rPr>
          <w:sz w:val="20"/>
          <w:szCs w:val="20"/>
          <w:color w:val="auto"/>
        </w:rPr>
      </w:pPr>
    </w:p>
    <w:p>
      <w:pPr>
        <w:jc w:val="both"/>
        <w:ind w:left="460" w:right="40"/>
        <w:spacing w:after="0" w:line="288" w:lineRule="auto"/>
        <w:rPr>
          <w:sz w:val="20"/>
          <w:szCs w:val="20"/>
          <w:color w:val="auto"/>
        </w:rPr>
      </w:pPr>
      <w:r>
        <w:rPr>
          <w:rFonts w:ascii="Arial" w:cs="Arial" w:eastAsia="Arial" w:hAnsi="Arial"/>
          <w:sz w:val="16"/>
          <w:szCs w:val="16"/>
          <w:color w:val="auto"/>
        </w:rPr>
        <w:t>While we believe that our patents and other proprietary rights are important to our business, we also believe that, due to the rapid pace of technological change in the markets we serve, the successful manufacture and sale of our products also depends upon our engineering, manufacturing, marketing and servicing skills. In the absence of patent protection, we would be vulnerable to competitors who attempt to copy or imitate our products or processes.</w:t>
      </w:r>
    </w:p>
    <w:p>
      <w:pPr>
        <w:ind w:left="460" w:right="220"/>
        <w:spacing w:after="0" w:line="277" w:lineRule="auto"/>
        <w:rPr>
          <w:sz w:val="20"/>
          <w:szCs w:val="20"/>
          <w:color w:val="auto"/>
        </w:rPr>
      </w:pPr>
      <w:r>
        <w:rPr>
          <w:rFonts w:ascii="Arial" w:cs="Arial" w:eastAsia="Arial" w:hAnsi="Arial"/>
          <w:sz w:val="17"/>
          <w:szCs w:val="17"/>
          <w:color w:val="auto"/>
        </w:rPr>
        <w:t>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For additional information regarding risks related to our intellectual property, see the "Risk Factors" section of this Report.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We operate in an increasingly competitive environment within both of our product segments. Some of our competitors have greater financial resources and more extensive design and production capabilities than we do. Certain markets in which we operate have become more fragmented, with smaller companies entering the market. These new smaller entrants typically have much lower levels of fixed operating overhead than we do, which enables them to be profitable with lower priced products. In order to remain competitive with these and other companies, we must be able to continue to commit a significant portion of our personnel, financial resources, research and development and customer support to developing new products and maintaining customer relationships worldwide.</w:t>
      </w:r>
    </w:p>
    <w:p>
      <w:pPr>
        <w:spacing w:after="0" w:line="193" w:lineRule="exact"/>
        <w:rPr>
          <w:sz w:val="20"/>
          <w:szCs w:val="20"/>
          <w:color w:val="auto"/>
        </w:rPr>
      </w:pPr>
    </w:p>
    <w:p>
      <w:pPr>
        <w:ind w:left="460" w:right="120"/>
        <w:spacing w:after="0" w:line="302" w:lineRule="auto"/>
        <w:rPr>
          <w:sz w:val="20"/>
          <w:szCs w:val="20"/>
          <w:color w:val="auto"/>
        </w:rPr>
      </w:pPr>
      <w:r>
        <w:rPr>
          <w:rFonts w:ascii="Arial" w:cs="Arial" w:eastAsia="Arial" w:hAnsi="Arial"/>
          <w:sz w:val="16"/>
          <w:szCs w:val="16"/>
          <w:color w:val="auto"/>
        </w:rPr>
        <w:t>Our competitors include independent manufacturers, ATE manufacturers and, to a lesser extent, semiconductor manufacturers' in-house ATE interface groups. Competitive factors in the markets we serve include price, functionality, timely product delivery, customer service, applications support, product performance and reliability. We believe that our long-term relationships with our customers in the various markets we support, and our commitment to, and reputation for, providing high quality products, are important elements in our ability to compete effectively in all of our markets.</w:t>
      </w:r>
    </w:p>
    <w:p>
      <w:pPr>
        <w:spacing w:after="0" w:line="158" w:lineRule="exact"/>
        <w:rPr>
          <w:sz w:val="20"/>
          <w:szCs w:val="20"/>
          <w:color w:val="auto"/>
        </w:rPr>
      </w:pPr>
    </w:p>
    <w:p>
      <w:pPr>
        <w:ind w:left="460" w:right="80"/>
        <w:spacing w:after="0"/>
        <w:rPr>
          <w:sz w:val="20"/>
          <w:szCs w:val="20"/>
          <w:color w:val="auto"/>
        </w:rPr>
      </w:pPr>
      <w:r>
        <w:rPr>
          <w:rFonts w:ascii="Arial" w:cs="Arial" w:eastAsia="Arial" w:hAnsi="Arial"/>
          <w:sz w:val="16"/>
          <w:szCs w:val="16"/>
          <w:color w:val="auto"/>
        </w:rPr>
        <w:t>Our principal competitors for Thermostream</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products are FTS Systems, a part of SP Industries, and MPI Corporation. Our principal competitors for environmental chambers are Cincinnati Sub-Zero Products, Inc., Espec Corp. and Thermotron Industries. Our principal competitor for thermal</w:t>
      </w:r>
    </w:p>
    <w:p>
      <w:pPr>
        <w:ind w:left="460" w:right="880"/>
        <w:spacing w:after="0" w:line="219" w:lineRule="auto"/>
        <w:rPr>
          <w:sz w:val="20"/>
          <w:szCs w:val="20"/>
          <w:color w:val="auto"/>
        </w:rPr>
      </w:pPr>
      <w:r>
        <w:rPr>
          <w:rFonts w:ascii="Arial" w:cs="Arial" w:eastAsia="Arial" w:hAnsi="Arial"/>
          <w:sz w:val="17"/>
          <w:szCs w:val="17"/>
          <w:color w:val="auto"/>
        </w:rPr>
        <w:t>platforms is Environmental Stress Systems Inc. Our principal competitors for EKOHEAT</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and EASYHEAT™ products are Inductotherm Corporation, Ajax-Tocco Magneticthermic, EFD Induction Corporation, Trumpf Huettinger GmbH, and Ceia Loge.</w:t>
      </w:r>
    </w:p>
    <w:p>
      <w:pPr>
        <w:spacing w:after="0" w:line="202"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Our principal competitors for manipulator products are Advantest Corporation, Esmo AG, Reid-Ashman Manufacturing and Teradyne, Inc. Our principal competitors for docking hardware products include Advantest Corporation, Esmo AG, Knight Automation, Reid-Ashman Manufacturing and Teradyne, Inc. Our principal competitors for tester interface products are Advantest Corporation, Esmo AG, Reid-Ashman Manufacturing and Teradyne, Inc.</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At December 31, 2018, our backlog of unfilled orders for all products was approximately $13.4 million compared with approximately $13.7 million at December 31, 2017. At December 31, 2018 and 2017, our backlog included $5.3 million and $5.5 million, respectively, attributable to Ambrell. Our backlog includes customer orders which we have accepted, substantially all of which we expect to deliver in 2019. While backlog is calculated on the basis of firm purchase orders, a customer may cancel an order or accelerate or postpone currently scheduled delivery dates. Our backlog may be affected by the tendency of customers to rely on shorter lead times available from suppliers, including us, in periods of depressed demand. In periods of increased demand, there is a tendency towards longer lead times that has the effect of increasing backlog. As a result of these factors, our backlog at a particular date is not necessarily indicative of sales for any future period.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At December 31, 2018, we had 209 full time employees, including 109 in manufacturing operations, 64 in customer support/operations and 36 in administration. Substantially all of our key employees are highly skilled and trained technical personnel. None of our employees are represented by a labor union, and we have never experienced a work stoppage. From time to time we retain third-party contractors to assist us in manufacturing operations and engineering and product development projects.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ADDITIONAL INFORMATION</w:t>
      </w:r>
    </w:p>
    <w:p>
      <w:pPr>
        <w:spacing w:after="0" w:line="225" w:lineRule="exact"/>
        <w:rPr>
          <w:sz w:val="20"/>
          <w:szCs w:val="20"/>
          <w:color w:val="auto"/>
        </w:rPr>
      </w:pPr>
    </w:p>
    <w:p>
      <w:pPr>
        <w:ind w:left="460" w:right="120"/>
        <w:spacing w:after="0" w:line="257" w:lineRule="auto"/>
        <w:rPr>
          <w:sz w:val="20"/>
          <w:szCs w:val="20"/>
          <w:color w:val="auto"/>
        </w:rPr>
      </w:pPr>
      <w:r>
        <w:rPr>
          <w:rFonts w:ascii="Arial" w:cs="Arial" w:eastAsia="Arial" w:hAnsi="Arial"/>
          <w:sz w:val="18"/>
          <w:szCs w:val="18"/>
          <w:color w:val="auto"/>
        </w:rPr>
        <w:t>Our Annual Report on Form 10-K, Quarterly Reports on Form 10-Q and Current Reports on Form 8-K, and amendments to these reports that are filed with the SEC pursuant to Section 13(a) or 15(d) of the Securities Exchange Act of 1934, as amended (“Exchange Act”), are available free of charge through our website (www.intest.com) as soon as reasonably practicable after we electronically file them with, or furnish them to, the SEC. We also routinely post press releases, presentations, webcasts and other information regarding the Company on our website. The information posted to our website is not part of this Report.</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following are some of the factors that could materially and adversely affect our future performance or could cause actual results to differ materially from those expressed or implied in our forward-looking statements. The risks and uncertainties described below are not the only ones facing us and we cannot predict every event and circumstance that may adversely affect our business. However, these risks and uncertainties are the most significant factors that we have identified at this time. If one or more of these risks actually occurs, our business, results of operations and/or financial condition could suffer, and the price of our stock could be negatively affected.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60" w:right="480"/>
        <w:spacing w:after="0" w:line="386" w:lineRule="auto"/>
        <w:rPr>
          <w:sz w:val="20"/>
          <w:szCs w:val="20"/>
          <w:color w:val="auto"/>
        </w:rPr>
      </w:pPr>
      <w:r>
        <w:rPr>
          <w:rFonts w:ascii="Arial" w:cs="Arial" w:eastAsia="Arial" w:hAnsi="Arial"/>
          <w:sz w:val="15"/>
          <w:szCs w:val="15"/>
          <w:b w:val="1"/>
          <w:bCs w:val="1"/>
          <w:color w:val="auto"/>
        </w:rPr>
        <w:t>We seek to acquire additional businesses. If we are unable to do so, our future rate of growth may be reduced or limited. We may incur significant expenses related to due diligence or other transaction-related expenses for a proposed acquisition that may not be completed.</w:t>
      </w:r>
    </w:p>
    <w:p>
      <w:pPr>
        <w:spacing w:after="0" w:line="97" w:lineRule="exact"/>
        <w:rPr>
          <w:sz w:val="20"/>
          <w:szCs w:val="20"/>
          <w:color w:val="auto"/>
        </w:rPr>
      </w:pPr>
    </w:p>
    <w:p>
      <w:pPr>
        <w:jc w:val="both"/>
        <w:ind w:left="460" w:right="220"/>
        <w:spacing w:after="0" w:line="264" w:lineRule="auto"/>
        <w:rPr>
          <w:sz w:val="20"/>
          <w:szCs w:val="20"/>
          <w:color w:val="auto"/>
        </w:rPr>
      </w:pPr>
      <w:r>
        <w:rPr>
          <w:rFonts w:ascii="Arial" w:cs="Arial" w:eastAsia="Arial" w:hAnsi="Arial"/>
          <w:sz w:val="18"/>
          <w:szCs w:val="18"/>
          <w:color w:val="auto"/>
        </w:rPr>
        <w:t>A key element of our growth strategy is to acquire businesses, technologies or products that are complementary to our current product offerings. We seek to make acquisitions that will further expand our product lines as well as reduce our overall reliance on the ATE market. We may not be able to execute our acquisition strategy if:</w:t>
      </w:r>
    </w:p>
    <w:p>
      <w:pPr>
        <w:spacing w:after="0" w:line="181"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unable to identify suitable businesses, technologies or products to acquire;</w:t>
      </w:r>
    </w:p>
    <w:p>
      <w:pPr>
        <w:spacing w:after="0" w:line="36"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have sufficient cash or access to required capital at the necessary time;</w:t>
      </w:r>
    </w:p>
    <w:p>
      <w:pPr>
        <w:spacing w:after="0" w:line="36"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unwilling or unable to outbid larger, more resourceful companies; or</w:t>
      </w:r>
    </w:p>
    <w:p>
      <w:pPr>
        <w:spacing w:after="0" w:line="36"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unable to successfully close proposed acquisitions.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acquisition strategy involves financial and management risks which may adversely affect our results in the future.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acquire additional businesses, technologies or products, we will face the following additional risks:</w:t>
      </w:r>
    </w:p>
    <w:p>
      <w:pPr>
        <w:spacing w:after="0" w:line="225" w:lineRule="exact"/>
        <w:rPr>
          <w:sz w:val="20"/>
          <w:szCs w:val="20"/>
          <w:color w:val="auto"/>
        </w:rPr>
      </w:pPr>
    </w:p>
    <w:p>
      <w:pPr>
        <w:ind w:left="1140" w:right="200" w:hanging="322"/>
        <w:spacing w:after="0" w:line="258"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could divert management's attention from daily operations or otherwise require additional management, operational and financial resources;</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might not be able to integrate future acquisitions into our business successfully or operate acquired businesses profitably;</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realize substantial acquisition related expenses which would reduce our net earnings in future years;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investigation of potential acquisition candidates may not reveal problems and liabilities of the companies that we acquire.</w:t>
      </w:r>
    </w:p>
    <w:p>
      <w:pPr>
        <w:spacing w:after="0" w:line="211" w:lineRule="exact"/>
        <w:rPr>
          <w:sz w:val="20"/>
          <w:szCs w:val="20"/>
          <w:color w:val="auto"/>
        </w:rPr>
      </w:pPr>
    </w:p>
    <w:p>
      <w:pPr>
        <w:ind w:left="500" w:right="220"/>
        <w:spacing w:after="0" w:line="302" w:lineRule="auto"/>
        <w:rPr>
          <w:sz w:val="20"/>
          <w:szCs w:val="20"/>
          <w:color w:val="auto"/>
        </w:rPr>
      </w:pPr>
      <w:r>
        <w:rPr>
          <w:rFonts w:ascii="Arial" w:cs="Arial" w:eastAsia="Arial" w:hAnsi="Arial"/>
          <w:sz w:val="16"/>
          <w:szCs w:val="16"/>
          <w:color w:val="auto"/>
        </w:rPr>
        <w:t>If any of the events described above occur, our earnings could be reduced. If we issue shares of our stock or other rights to purchase our stock in connection with any future acquisitions, we would dilute our existing stockholders' interests and our earnings per share may decrease. If we issue or incur debt in connection with any future acquisitions, lenders may require that we pledge our assets to secure repayment of such debt and impose covenants on us which could, among other things, restrict our ability to increase capital expenditures or to acquire additional businesses.</w:t>
      </w:r>
    </w:p>
    <w:p>
      <w:pPr>
        <w:spacing w:after="0" w:line="150" w:lineRule="exact"/>
        <w:rPr>
          <w:sz w:val="20"/>
          <w:szCs w:val="20"/>
          <w:color w:val="auto"/>
        </w:rPr>
      </w:pPr>
    </w:p>
    <w:p>
      <w:pPr>
        <w:ind w:left="500" w:right="80"/>
        <w:spacing w:after="0" w:line="261" w:lineRule="auto"/>
        <w:rPr>
          <w:sz w:val="20"/>
          <w:szCs w:val="20"/>
          <w:color w:val="auto"/>
        </w:rPr>
      </w:pPr>
      <w:r>
        <w:rPr>
          <w:rFonts w:ascii="Arial" w:cs="Arial" w:eastAsia="Arial" w:hAnsi="Arial"/>
          <w:sz w:val="18"/>
          <w:szCs w:val="18"/>
          <w:b w:val="1"/>
          <w:bCs w:val="1"/>
          <w:color w:val="auto"/>
        </w:rPr>
        <w:t>We may attempt to acquire a substantial business that would require us to issue or incur significant debt from third-parties. If we are unable to secure sufficient financing at terms that are acceptable to us, we may not be able to close the proposed acquisition. Additionally, should we incur significant debt, we may not be able to achieve compliance with all covenants related to the debt depending on our financial results in future periods.</w:t>
      </w:r>
    </w:p>
    <w:p>
      <w:pPr>
        <w:spacing w:after="0" w:line="184" w:lineRule="exact"/>
        <w:rPr>
          <w:sz w:val="20"/>
          <w:szCs w:val="20"/>
          <w:color w:val="auto"/>
        </w:rPr>
      </w:pPr>
    </w:p>
    <w:p>
      <w:pPr>
        <w:ind w:left="500" w:right="180"/>
        <w:spacing w:after="0" w:line="297" w:lineRule="auto"/>
        <w:rPr>
          <w:sz w:val="20"/>
          <w:szCs w:val="20"/>
          <w:color w:val="auto"/>
        </w:rPr>
      </w:pPr>
      <w:r>
        <w:rPr>
          <w:rFonts w:ascii="Arial" w:cs="Arial" w:eastAsia="Arial" w:hAnsi="Arial"/>
          <w:sz w:val="16"/>
          <w:szCs w:val="16"/>
          <w:color w:val="auto"/>
        </w:rPr>
        <w:t>In connection with our acquisition strategy, we are pursuing potential acquisition opportunities that may be significant in size compared to us, which could require us to obtain significant third-party financing to close the proposed transaction. We may encounter difficulties in securing necessary financing at terms that would be acceptable to us and may not be able to close on the proposed acquisition. In addition, should we incur significant third-party debt, our future financial results may be negatively impacted by external factors, such as an economic recession, which may impact our ability to achieve compliance with any covenants related to the debt as well as make the required payments under the terms of the indebtedness.</w:t>
      </w:r>
    </w:p>
    <w:p>
      <w:pPr>
        <w:spacing w:after="0" w:line="154" w:lineRule="exact"/>
        <w:rPr>
          <w:sz w:val="20"/>
          <w:szCs w:val="20"/>
          <w:color w:val="auto"/>
        </w:rPr>
      </w:pPr>
    </w:p>
    <w:p>
      <w:pPr>
        <w:ind w:left="500" w:right="40"/>
        <w:spacing w:after="0" w:line="261" w:lineRule="auto"/>
        <w:rPr>
          <w:sz w:val="20"/>
          <w:szCs w:val="20"/>
          <w:color w:val="auto"/>
        </w:rPr>
      </w:pPr>
      <w:r>
        <w:rPr>
          <w:rFonts w:ascii="Arial" w:cs="Arial" w:eastAsia="Arial" w:hAnsi="Arial"/>
          <w:sz w:val="18"/>
          <w:szCs w:val="18"/>
          <w:b w:val="1"/>
          <w:bCs w:val="1"/>
          <w:color w:val="auto"/>
        </w:rPr>
        <w:t>We may acquire businesses in the future and utilize an earnout structure as we have done on prior transactions we have closed. In connection with the earnout, we may be required to accrue significant increases or decreases to the contingent consideration liability we would establish. These adjustments to the contingent consideration liability could cause our results of operations to have increased variability, which may negatively impact our stock’s trading price.</w:t>
      </w:r>
    </w:p>
    <w:p>
      <w:pPr>
        <w:spacing w:after="0" w:line="184"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We may utilize an earnout structure on future acquisitions. We are required to estimate the fair value of the contingent consideration associated with any earnout on a quarterly basis and record an adjustment to the contingent consideration liability in our results of operations for the period concerned. The contingent consideration adjustment we record quarterly may cause increased variability in our future results of operations, which may cause fluctuations in our stock price.</w:t>
      </w:r>
    </w:p>
    <w:p>
      <w:pPr>
        <w:spacing w:after="0" w:line="183" w:lineRule="exact"/>
        <w:rPr>
          <w:sz w:val="20"/>
          <w:szCs w:val="20"/>
          <w:color w:val="auto"/>
        </w:rPr>
      </w:pPr>
    </w:p>
    <w:p>
      <w:pPr>
        <w:ind w:left="460"/>
        <w:spacing w:after="0" w:line="282" w:lineRule="auto"/>
        <w:rPr>
          <w:sz w:val="20"/>
          <w:szCs w:val="20"/>
          <w:color w:val="auto"/>
        </w:rPr>
      </w:pPr>
      <w:r>
        <w:rPr>
          <w:rFonts w:ascii="Arial" w:cs="Arial" w:eastAsia="Arial" w:hAnsi="Arial"/>
          <w:sz w:val="18"/>
          <w:szCs w:val="18"/>
          <w:b w:val="1"/>
          <w:bCs w:val="1"/>
          <w:color w:val="auto"/>
        </w:rPr>
        <w:t>Our business is subject to intense competition, which has in the past and could in the future, materially adversely affect our business, financial condition and results of operations.</w:t>
      </w:r>
    </w:p>
    <w:p>
      <w:pPr>
        <w:spacing w:after="0" w:line="166" w:lineRule="exact"/>
        <w:rPr>
          <w:sz w:val="20"/>
          <w:szCs w:val="20"/>
          <w:color w:val="auto"/>
        </w:rPr>
      </w:pPr>
    </w:p>
    <w:p>
      <w:pPr>
        <w:ind w:left="460" w:right="140"/>
        <w:spacing w:after="0" w:line="271" w:lineRule="auto"/>
        <w:rPr>
          <w:sz w:val="20"/>
          <w:szCs w:val="20"/>
          <w:color w:val="auto"/>
        </w:rPr>
      </w:pPr>
      <w:r>
        <w:rPr>
          <w:rFonts w:ascii="Arial" w:cs="Arial" w:eastAsia="Arial" w:hAnsi="Arial"/>
          <w:sz w:val="17"/>
          <w:szCs w:val="17"/>
          <w:color w:val="auto"/>
        </w:rPr>
        <w:t>We face significant competition throughout the world in each of our product segments. Some of our competitors have substantial financial resources and more extensive design and production capabilities than we do. Some of our competitors are much smaller than we are, and therefore have much lower levels of overhead than we do, which enables them to sell their competing products at lower prices. In order to remain competitive, we must be able to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Over the last several years, in response to significant declines in global demand for our products, some competitors have reduced their product pricing significantly, which has led to intensified price based competition, which has and could continue to materially adversely affect our business, financial condition and results of operations.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60"/>
        <w:spacing w:after="0" w:line="282" w:lineRule="auto"/>
        <w:rPr>
          <w:sz w:val="20"/>
          <w:szCs w:val="20"/>
          <w:color w:val="auto"/>
        </w:rPr>
      </w:pPr>
      <w:r>
        <w:rPr>
          <w:rFonts w:ascii="Arial" w:cs="Arial" w:eastAsia="Arial" w:hAnsi="Arial"/>
          <w:sz w:val="18"/>
          <w:szCs w:val="18"/>
          <w:b w:val="1"/>
          <w:bCs w:val="1"/>
          <w:color w:val="auto"/>
        </w:rPr>
        <w:t>Our sales are affected by the cyclicality and seasonality of the semiconductor and ATE markets, which causes our operating results to fluctuate significantly.</w:t>
      </w:r>
    </w:p>
    <w:p>
      <w:pPr>
        <w:spacing w:after="0" w:line="166" w:lineRule="exact"/>
        <w:rPr>
          <w:sz w:val="20"/>
          <w:szCs w:val="20"/>
          <w:color w:val="auto"/>
        </w:rPr>
      </w:pPr>
    </w:p>
    <w:p>
      <w:pPr>
        <w:ind w:left="460" w:right="60"/>
        <w:spacing w:after="0" w:line="270" w:lineRule="auto"/>
        <w:rPr>
          <w:sz w:val="20"/>
          <w:szCs w:val="20"/>
          <w:color w:val="auto"/>
        </w:rPr>
      </w:pPr>
      <w:r>
        <w:rPr>
          <w:rFonts w:ascii="Arial" w:cs="Arial" w:eastAsia="Arial" w:hAnsi="Arial"/>
          <w:sz w:val="17"/>
          <w:szCs w:val="17"/>
          <w:color w:val="auto"/>
        </w:rPr>
        <w:t>Our business depends in significant part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downturn. Conversely, semiconductor manufacturers increase capital expenditures when market demand requires the addition of new or expanded production capabilities or the reconfiguration of existing fabrication facilities to accommodate new products. 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 These market changes and seasonal sales pattern have contributed in the past, and will likely continue to contribute in the future, to fluctuations in our operating results.</w:t>
      </w:r>
    </w:p>
    <w:p>
      <w:pPr>
        <w:spacing w:after="0" w:line="178" w:lineRule="exact"/>
        <w:rPr>
          <w:sz w:val="20"/>
          <w:szCs w:val="20"/>
          <w:color w:val="auto"/>
        </w:rPr>
      </w:pPr>
    </w:p>
    <w:p>
      <w:pPr>
        <w:ind w:left="460" w:right="220"/>
        <w:spacing w:after="0" w:line="289" w:lineRule="auto"/>
        <w:rPr>
          <w:sz w:val="20"/>
          <w:szCs w:val="20"/>
          <w:color w:val="auto"/>
        </w:rPr>
      </w:pPr>
      <w:r>
        <w:rPr>
          <w:rFonts w:ascii="Arial" w:cs="Arial" w:eastAsia="Arial" w:hAnsi="Arial"/>
          <w:sz w:val="17"/>
          <w:szCs w:val="17"/>
          <w:b w:val="1"/>
          <w:bCs w:val="1"/>
          <w:color w:val="auto"/>
        </w:rPr>
        <w:t>We seek to further diversify the markets for our thermal products in order to increase the proportion of our sales attributable to markets which are less subject to cyclicality than the semiconductor and ATE markets. If we are unable to do so, our future performance will remain substantially exposed to the fluctuations of the cyclicality of the semiconductor and ATE markets.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Since 2009, we have sold our thermal products in markets outside of the semiconductor market, including the automotive, consumer electronics,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defense/aerospace, energy, industrial and telecommunications markets. During 2018 and 2017, our sales to these non-semiconductor markets were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$33.2 million (including $19.1 million of net revenues attributable to Ambrell) and $29.0 million (including $13.2 million of net revenues attributable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Ambrell), respectively, and represented 42% and 44% of our consolidated net revenues, respectively. Prior to our acquisition of Ambrell, we offered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only highly specialized engineering solutions in these markets outside the semiconductor market, the demand for which is limited and which we expect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may vary significantly from period to period. Our goal is to increase our sales into these and other non-semiconductor markets; however, in most cases,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expansion of our thermal product sales into these new markets has occurred in the last several years, and we may experience difficulty in expanding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sales efforts further into these markets. These difficulties could include hiring sales and marketing staff with sufficient experience selling into these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new markets and our ability to continue to develop products which meet the needs of customers in these markets and which are not currently offered by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competitors. In addition, due to the highly specialized nature of certain of our product offerings in these non-semiconductor markets, we do not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expect broad market penetration in many of these markets. If we are unable to expand our sales in non-semiconductor markets, our net revenues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of operations will remain substantially dependent upon the cycles of the semiconductor and ATE markets.</w:t>
      </w:r>
    </w:p>
    <w:p>
      <w:pPr>
        <w:spacing w:after="0" w:line="207" w:lineRule="exact"/>
        <w:rPr>
          <w:sz w:val="20"/>
          <w:szCs w:val="20"/>
          <w:color w:val="auto"/>
        </w:rPr>
      </w:pPr>
    </w:p>
    <w:p>
      <w:pPr>
        <w:ind w:left="460" w:right="300"/>
        <w:spacing w:after="0" w:line="282" w:lineRule="auto"/>
        <w:rPr>
          <w:sz w:val="20"/>
          <w:szCs w:val="20"/>
          <w:color w:val="auto"/>
        </w:rPr>
      </w:pPr>
      <w:r>
        <w:rPr>
          <w:rFonts w:ascii="Arial" w:cs="Arial" w:eastAsia="Arial" w:hAnsi="Arial"/>
          <w:sz w:val="18"/>
          <w:szCs w:val="18"/>
          <w:b w:val="1"/>
          <w:bCs w:val="1"/>
          <w:color w:val="auto"/>
        </w:rPr>
        <w:t>Changes in the buying patterns of our customers have affected, and may continue to affect, demand for our products and our gross and net operating margins. Such changes in patterns are difficult to predict and may not be immediately apparent.</w:t>
      </w:r>
    </w:p>
    <w:p>
      <w:pPr>
        <w:spacing w:after="0" w:line="166" w:lineRule="exact"/>
        <w:rPr>
          <w:sz w:val="20"/>
          <w:szCs w:val="20"/>
          <w:color w:val="auto"/>
        </w:rPr>
      </w:pPr>
    </w:p>
    <w:p>
      <w:pPr>
        <w:ind w:left="460" w:right="120"/>
        <w:spacing w:after="0" w:line="269" w:lineRule="auto"/>
        <w:rPr>
          <w:sz w:val="20"/>
          <w:szCs w:val="20"/>
          <w:color w:val="auto"/>
        </w:rPr>
      </w:pPr>
      <w:r>
        <w:rPr>
          <w:rFonts w:ascii="Arial" w:cs="Arial" w:eastAsia="Arial" w:hAnsi="Arial"/>
          <w:sz w:val="17"/>
          <w:szCs w:val="17"/>
          <w:color w:val="auto"/>
        </w:rPr>
        <w:t>In addition to the cyclicality and seasonality of the semiconductor and ATE markets, demand for our products and our gross and net operating margins have also been affected by changes in the buying patterns of our customers. Some of the changes in customer buying patterns that have impacted us in the past, and may continue to do so in the future, have included customers placing heightened emphasis on shorter lead times (which places increased demands on our available engineering and production capacity and may result in increasing unit costs) and ordering in smaller quantities (which prevents us from acquiring component materials in larger volumes at lower unit costs.) We have also experienced customer supply chain management groups demanding lower prices and spreading purchases across multiple vendors. We believe some of the changes in customer buying patterns are the result of changes within the ATE market over the last several years, including, for example, changing product requirements and longer time periods between new product offerings by OEMs. Such shifts in market practices have had, and may continue to have, varying degrees of impact on our net revenues and our gross and net operating margins. Such shifts are difficult to predict and may not be immediately apparent, and the impact of these practices is difficult to quantify from period to period. There can be no assurance that we will be successful in implementing effective strategies to counter these shifts.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60" w:right="200"/>
        <w:spacing w:after="0" w:line="282" w:lineRule="auto"/>
        <w:rPr>
          <w:sz w:val="20"/>
          <w:szCs w:val="20"/>
          <w:color w:val="auto"/>
        </w:rPr>
      </w:pPr>
      <w:r>
        <w:rPr>
          <w:rFonts w:ascii="Arial" w:cs="Arial" w:eastAsia="Arial" w:hAnsi="Arial"/>
          <w:sz w:val="18"/>
          <w:szCs w:val="18"/>
          <w:b w:val="1"/>
          <w:bCs w:val="1"/>
          <w:color w:val="auto"/>
        </w:rPr>
        <w:t>We generate a large portion of our sales from a small number of customers. If we were to lose one or more of our large customers, operating results could suffer dramatically.</w:t>
      </w:r>
    </w:p>
    <w:p>
      <w:pPr>
        <w:spacing w:after="0" w:line="166" w:lineRule="exact"/>
        <w:rPr>
          <w:sz w:val="20"/>
          <w:szCs w:val="20"/>
          <w:color w:val="auto"/>
        </w:rPr>
      </w:pPr>
    </w:p>
    <w:p>
      <w:pPr>
        <w:ind w:left="460" w:right="20"/>
        <w:spacing w:after="0" w:line="273" w:lineRule="auto"/>
        <w:rPr>
          <w:sz w:val="20"/>
          <w:szCs w:val="20"/>
          <w:color w:val="auto"/>
        </w:rPr>
      </w:pPr>
      <w:r>
        <w:rPr>
          <w:rFonts w:ascii="Arial" w:cs="Arial" w:eastAsia="Arial" w:hAnsi="Arial"/>
          <w:sz w:val="17"/>
          <w:szCs w:val="17"/>
          <w:color w:val="auto"/>
        </w:rPr>
        <w:t>During the years ended December 31, 2018 and 2017, Texas Instruments Incorporated accounted for 11% of our consolidated net revenues. While both of our operating segments sold products to this customer, these revenues were primarily generated by our EMS segment. During the year ended December 31, 2017, Hakuto Co. Ltd., one of our distributors, accounted for 11% of our consolidated net revenues. These revenues were generated by our Thermal segment. Our ten largest customers accounted for approximately 40% and 46% of our consolidated net revenues in 2018 and 2017,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operating results often change significantly from quarter to quarter and may cause fluctuations in our stock price.</w:t>
      </w:r>
    </w:p>
    <w:p>
      <w:pPr>
        <w:spacing w:after="0" w:line="229" w:lineRule="exact"/>
        <w:rPr>
          <w:sz w:val="20"/>
          <w:szCs w:val="20"/>
          <w:color w:val="auto"/>
        </w:rPr>
      </w:pPr>
    </w:p>
    <w:p>
      <w:pPr>
        <w:jc w:val="both"/>
        <w:ind w:left="460" w:right="300"/>
        <w:spacing w:after="0" w:line="286" w:lineRule="auto"/>
        <w:rPr>
          <w:sz w:val="20"/>
          <w:szCs w:val="20"/>
          <w:color w:val="auto"/>
        </w:rPr>
      </w:pPr>
      <w:r>
        <w:rPr>
          <w:rFonts w:ascii="Arial" w:cs="Arial" w:eastAsia="Arial" w:hAnsi="Arial"/>
          <w:sz w:val="17"/>
          <w:szCs w:val="17"/>
          <w:color w:val="auto"/>
        </w:rPr>
        <w:t>Historically, our operating results have fluctuated significantly from quarter to quarter. We believe that these fluctuations occur primarily due to the cycles of demand in the semiconductor manufacturing industry. In addition to these changing cycles of demand, other factors that have caused our quarterly operating results to fluctuate in the past, and that may cause fluctuations and losses in the future, include:</w:t>
      </w:r>
    </w:p>
    <w:p>
      <w:pPr>
        <w:spacing w:after="0" w:line="166" w:lineRule="exact"/>
        <w:rPr>
          <w:sz w:val="20"/>
          <w:szCs w:val="20"/>
          <w:color w:val="auto"/>
        </w:rPr>
      </w:pPr>
    </w:p>
    <w:p>
      <w:pPr>
        <w:ind w:left="1140" w:right="460" w:hanging="322"/>
        <w:spacing w:after="0" w:line="258"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demand in the markets we serve outside the ATE market including the automotive, consumer electronics, defense/aerospace, energy, industrial and telecommunication markets;</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state of the U.S. and global economies;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buying patterns of our customers;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market share;</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due diligence and transaction-related expenses for a proposed acquisition that does not get completed;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timing of integration of our acquisitions and plant consolidations and relocations;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technological obsolescence of our inventories;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quantities of our inventories greater than is reasonably likely to be utilized in future periods;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level of product warranty charges;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excess manufacturing capacity;</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control operating costs;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shipments of our products;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mix of our products sold;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mix of customers and geographic regions where we sell our products;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level of our fixed costs;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the development of our proprietary technology;</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raw materials or fabricated parts when needed;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costs of component materials;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cancellation or rescheduling of orders by our customers;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or economic instability.</w:t>
      </w:r>
    </w:p>
    <w:p>
      <w:pPr>
        <w:spacing w:after="0" w:line="211"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Because the market price of our common stock has tended to vary based on, and in relation to, changes in our operating results, fluctuations in the market price of our stock are likely to continue as variations in our quarterly results continue.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breach of our operational or security systems could negatively affect our business and results of operations.</w:t>
      </w:r>
    </w:p>
    <w:p>
      <w:pPr>
        <w:spacing w:after="0" w:line="229"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We rely on various information technology networks and systems, some of which are managed by third parties, to process, transmit and store electronic information, including confidential data, and to carry out and support a variety of business activities, including manufacturing, research and development, supply chain management, sales and accounting. A failure in or a breach of our operational or security systems or infrastructure, or those of our suppliers and other service providers, including as a result of cyberattacks, could disrupt our business, result in the disclosure or misuse of proprietary or confidential information, damage our reputation, cause losses and significantly increase our costs. In addition, domestic and international regulatory agencies have implemented, and are continuing to implement, various reporting and remediation requirements that companies must comply with upon learning of a breach. While we have insurance that may protect us from incurring some of these costs, there is no assurance that such insurance coverage is adequate to cover all costs and damages incurred in connection with a cyberattack.</w:t>
      </w:r>
    </w:p>
    <w:p>
      <w:pPr>
        <w:spacing w:after="0" w:line="162" w:lineRule="exact"/>
        <w:rPr>
          <w:sz w:val="20"/>
          <w:szCs w:val="20"/>
          <w:color w:val="auto"/>
        </w:rPr>
      </w:pPr>
    </w:p>
    <w:p>
      <w:pPr>
        <w:ind w:left="460" w:right="60"/>
        <w:spacing w:after="0" w:line="282" w:lineRule="auto"/>
        <w:rPr>
          <w:sz w:val="20"/>
          <w:szCs w:val="20"/>
          <w:color w:val="auto"/>
        </w:rPr>
      </w:pPr>
      <w:r>
        <w:rPr>
          <w:rFonts w:ascii="Arial" w:cs="Arial" w:eastAsia="Arial" w:hAnsi="Arial"/>
          <w:sz w:val="18"/>
          <w:szCs w:val="18"/>
          <w:b w:val="1"/>
          <w:bCs w:val="1"/>
          <w:color w:val="auto"/>
        </w:rPr>
        <w:t>Our industry is subject to rapid technological change, and our business prospects would be negatively affected if we are unable to quickly and effectively respond to innovation in the semiconductor and ATE markets.</w:t>
      </w:r>
    </w:p>
    <w:p>
      <w:pPr>
        <w:spacing w:after="0" w:line="166"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Semiconductor technology continues to become more complex as manufacturers incorporate ICs into an increasing variety of products. This trend, and the changes needed in automated testing systems to respond to developments in the semiconductor market, are likely to continue. We cannot be certain that we will be successful or timely in developing, manufacturing or selling products that will satisfy customer needs or that will attain market acceptance. Our failure to provide products that effectively and timely meet customer needs or gain market acceptance will negatively affect our business prospects.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our suppliers do not meet product or delivery requirements, we could have reduced revenues and earnings.</w:t>
      </w:r>
    </w:p>
    <w:p>
      <w:pPr>
        <w:spacing w:after="0" w:line="229"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Certain components may be in short supply from time to time because of high demand or the inability of some vendors to consistently meet our quality or delivery requirements. A significant portion of our material purchases require some custom work and there are not always multiple suppliers capable of performing such custom work on a timely or cost effective basis. If any of our suppliers were to cancel commitments or fail to meet quality or delivery requirements needed to satisfy customer orders for our products, we could lose time-sensitive customer orders, have reduced revenues and earnings, and be subject to contractual penalties, any of which could have a material adverse effect on our business, results of operations and financial condition.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business may suffer if we are unable to attract and retain key employees.</w:t>
      </w:r>
    </w:p>
    <w:p>
      <w:pPr>
        <w:spacing w:after="0" w:line="229"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The loss of key personnel could adversely affect our ability to manage our business effectively. Our future success will depend largely upon the continued services of our senior management and other key employees or the development of successors with commensurate skills and talents. In the past, during periods of weakened demand which has caused us to experience operating losses, we have implemented temporary salary and benefit reductions and eliminations that have remained in place until our operations returned to profitability. If global economic conditions were to deteriorate and we were to implement such salary and benefit reductions or eliminations again, or if we cannot continue to increase employee salaries and maintain employee benefits commensurate with competitive opportunities, we may not be able to retain our senior management and other key employees. Our business could suffer if we were to lose one of more of our senior officers or other key employees.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substantial portion of our customers are located outside the U.S., which exposes us to foreign political and economic risks.</w:t>
      </w:r>
    </w:p>
    <w:p>
      <w:pPr>
        <w:spacing w:after="0" w:line="229" w:lineRule="exact"/>
        <w:rPr>
          <w:sz w:val="20"/>
          <w:szCs w:val="20"/>
          <w:color w:val="auto"/>
        </w:rPr>
      </w:pPr>
    </w:p>
    <w:p>
      <w:pPr>
        <w:ind w:left="460" w:right="20"/>
        <w:spacing w:after="0" w:line="273" w:lineRule="auto"/>
        <w:rPr>
          <w:sz w:val="20"/>
          <w:szCs w:val="20"/>
          <w:color w:val="auto"/>
        </w:rPr>
      </w:pPr>
      <w:r>
        <w:rPr>
          <w:rFonts w:ascii="Arial" w:cs="Arial" w:eastAsia="Arial" w:hAnsi="Arial"/>
          <w:sz w:val="17"/>
          <w:szCs w:val="17"/>
          <w:color w:val="auto"/>
        </w:rPr>
        <w:t>We have operated internationally for many years and expect to expand our international operations as necessary to continue expansion of our sales and service to our non-U.S. customers. Our foreign subsidiaries generated 16% and 17% of consolidated net revenues in 2018 and 2017, respectively. Net revenues from foreign customers totaled $53.0 million, or 68% of consolidated net revenues in 2018, and $46.6 million, or 70% of consolidated net revenues in 2017. We expect our net revenues from foreign customers will continue to represent a significant portion of total net revenues. In addition to the risks generally associated with sales and operations in the U.S., sales to customers outside the U.S. and operations in foreign countries are subject to additional risks, which may, in the future, affect our operations. These risks include:</w:t>
      </w:r>
    </w:p>
    <w:p>
      <w:pPr>
        <w:spacing w:after="0" w:line="178"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implementation of trade tariffs by the U.S. and other countries that would impact our products;</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 in foreign countries;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financial and operational controls and regulatory restrictions by foreign governments;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comply with a wide variety of U.S. and foreign import and export laws;</w:t>
      </w:r>
    </w:p>
    <w:p>
      <w:pPr>
        <w:spacing w:after="0" w:line="9" w:lineRule="exact"/>
        <w:rPr>
          <w:rFonts w:ascii="Arial" w:cs="Arial" w:eastAsia="Arial" w:hAnsi="Arial"/>
          <w:sz w:val="18"/>
          <w:szCs w:val="18"/>
          <w:color w:val="auto"/>
        </w:rPr>
      </w:pPr>
    </w:p>
    <w:p>
      <w:pPr>
        <w:ind w:left="1140" w:hanging="322"/>
        <w:spacing w:after="0" w:line="250"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restrictions;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greater difficulty of administering business abroad.</w:t>
      </w:r>
    </w:p>
    <w:p>
      <w:pPr>
        <w:spacing w:after="0" w:line="207" w:lineRule="exact"/>
        <w:rPr>
          <w:sz w:val="20"/>
          <w:szCs w:val="20"/>
          <w:color w:val="auto"/>
        </w:rPr>
      </w:pPr>
    </w:p>
    <w:p>
      <w:pPr>
        <w:ind w:left="460" w:right="440"/>
        <w:spacing w:after="0" w:line="282" w:lineRule="auto"/>
        <w:rPr>
          <w:sz w:val="20"/>
          <w:szCs w:val="20"/>
          <w:color w:val="auto"/>
        </w:rPr>
      </w:pPr>
      <w:r>
        <w:rPr>
          <w:rFonts w:ascii="Arial" w:cs="Arial" w:eastAsia="Arial" w:hAnsi="Arial"/>
          <w:sz w:val="18"/>
          <w:szCs w:val="18"/>
          <w:b w:val="1"/>
          <w:bCs w:val="1"/>
          <w:color w:val="auto"/>
        </w:rPr>
        <w:t>A significant portion of our cash position is maintained overseas and we may not be able to repatriate cash from overseas when necessary which could have an adverse effect on our financial condition.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While much of our cash is in the U.S., a significant portion is generated from and maintained by our foreign operations. As of December 31, 2018,</w:t>
      </w:r>
    </w:p>
    <w:p>
      <w:pPr>
        <w:spacing w:after="0" w:line="35" w:lineRule="exact"/>
        <w:rPr>
          <w:sz w:val="20"/>
          <w:szCs w:val="20"/>
          <w:color w:val="auto"/>
        </w:rPr>
      </w:pPr>
    </w:p>
    <w:p>
      <w:pPr>
        <w:ind w:left="460" w:right="140"/>
        <w:spacing w:after="0" w:line="290" w:lineRule="auto"/>
        <w:rPr>
          <w:sz w:val="20"/>
          <w:szCs w:val="20"/>
          <w:color w:val="auto"/>
        </w:rPr>
      </w:pPr>
      <w:r>
        <w:rPr>
          <w:rFonts w:ascii="Arial" w:cs="Arial" w:eastAsia="Arial" w:hAnsi="Arial"/>
          <w:sz w:val="16"/>
          <w:szCs w:val="16"/>
          <w:color w:val="auto"/>
        </w:rPr>
        <w:t>$3.9 million, or 22%, of our cash and cash equivalents was held by our foreign subsidiaries. Our financial condition and results of operations could be adversely impacted if we are unable to maintain a sufficient level of cash flow in the U.S. to address our cash requirements and we are unable to efficiently and timely repatriate cash from overseas. Any payment of distributions, loans or advances to us by our foreign subsidiaries could be subject to restrictions on, or taxation of, dividends or repatriation of earnings under applicable local law, monetary transfer restrictions and foreign currency exchange regulations in the jurisdictions in which our subsidiaries operate. If we are unable to repatriate the earnings of our subsidiaries, it could have an adverse impact on our ability to redeploy earnings in other jurisdictions where they could be used more profitably.</w:t>
      </w:r>
    </w:p>
    <w:p>
      <w:pPr>
        <w:spacing w:after="0" w:line="160" w:lineRule="exact"/>
        <w:rPr>
          <w:sz w:val="20"/>
          <w:szCs w:val="20"/>
          <w:color w:val="auto"/>
        </w:rPr>
      </w:pPr>
    </w:p>
    <w:p>
      <w:pPr>
        <w:ind w:left="460" w:right="400"/>
        <w:spacing w:after="0" w:line="282" w:lineRule="auto"/>
        <w:rPr>
          <w:sz w:val="20"/>
          <w:szCs w:val="20"/>
          <w:color w:val="auto"/>
        </w:rPr>
      </w:pPr>
      <w:r>
        <w:rPr>
          <w:rFonts w:ascii="Arial" w:cs="Arial" w:eastAsia="Arial" w:hAnsi="Arial"/>
          <w:sz w:val="18"/>
          <w:szCs w:val="18"/>
          <w:b w:val="1"/>
          <w:bCs w:val="1"/>
          <w:color w:val="auto"/>
        </w:rPr>
        <w:t>We have experienced and may continue to experience significant variability in our effective tax rates and may have exposure to additional tax liabilities and costs.</w:t>
      </w:r>
    </w:p>
    <w:p>
      <w:pPr>
        <w:spacing w:after="0" w:line="16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We are subject to paying income taxes in the U.S. and various other countries in which we operate. Our effective tax rate is dependent on where our earnings are generated and the tax regulations and the interpretation and judgment of administrative tax or revenue entities in the U.S. and other countries. We are also subject to tax audits in the countries where we operate. Any material assessment resulting from an audit from an administrative tax or revenue entity could negatively affect our financial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Claims of intellectual property infringement by or against us could seriously harm our businesses.</w:t>
      </w:r>
    </w:p>
    <w:p>
      <w:pPr>
        <w:spacing w:after="0" w:line="229"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From time to time, we may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spacing w:after="0" w:line="200" w:lineRule="exact"/>
        <w:rPr>
          <w:sz w:val="20"/>
          <w:szCs w:val="20"/>
          <w:color w:val="auto"/>
        </w:rPr>
      </w:pPr>
    </w:p>
    <w:p>
      <w:pPr>
        <w:spacing w:after="0" w:line="2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At December 31, 2018, we leased 8 facilities worldwide. The following chart provides information regarding each of our principal facilities that we leased at December 31, 2018:</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Approx.</w:t>
            </w:r>
          </w:p>
        </w:tc>
        <w:tc>
          <w:tcPr>
            <w:tcW w:w="6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Lease</w:t>
            </w:r>
          </w:p>
        </w:tc>
        <w:tc>
          <w:tcPr>
            <w:tcW w:w="108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Square</w:t>
            </w:r>
          </w:p>
        </w:tc>
        <w:tc>
          <w:tcPr>
            <w:tcW w:w="6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Location</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0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8"/>
              </w:rPr>
              <w:t>Footage</w:t>
            </w:r>
          </w:p>
        </w:tc>
        <w:tc>
          <w:tcPr>
            <w:tcW w:w="6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Principal Uses</w:t>
            </w:r>
          </w:p>
        </w:tc>
      </w:tr>
      <w:tr>
        <w:trPr>
          <w:trHeight w:val="195"/>
        </w:trPr>
        <w:tc>
          <w:tcPr>
            <w:tcW w:w="20" w:type="dxa"/>
            <w:vAlign w:val="bottom"/>
          </w:tcPr>
          <w:p>
            <w:pPr>
              <w:spacing w:after="0"/>
              <w:rPr>
                <w:sz w:val="16"/>
                <w:szCs w:val="16"/>
                <w:color w:val="auto"/>
              </w:rPr>
            </w:pPr>
          </w:p>
        </w:tc>
        <w:tc>
          <w:tcPr>
            <w:tcW w:w="1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Mansfield, MA</w:t>
            </w:r>
          </w:p>
        </w:tc>
        <w:tc>
          <w:tcPr>
            <w:tcW w:w="15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August 2021</w:t>
            </w:r>
          </w:p>
        </w:tc>
        <w:tc>
          <w:tcPr>
            <w:tcW w:w="1080" w:type="dxa"/>
            <w:vAlign w:val="bottom"/>
            <w:shd w:val="clear" w:color="auto" w:fill="CCEEFF"/>
          </w:tcPr>
          <w:p>
            <w:pPr>
              <w:jc w:val="center"/>
              <w:ind w:left="10"/>
              <w:spacing w:after="0" w:line="195" w:lineRule="exact"/>
              <w:rPr>
                <w:sz w:val="20"/>
                <w:szCs w:val="20"/>
                <w:color w:val="auto"/>
              </w:rPr>
            </w:pPr>
            <w:r>
              <w:rPr>
                <w:rFonts w:ascii="Arial" w:cs="Arial" w:eastAsia="Arial" w:hAnsi="Arial"/>
                <w:sz w:val="18"/>
                <w:szCs w:val="18"/>
                <w:color w:val="auto"/>
                <w:w w:val="90"/>
              </w:rPr>
              <w:t>52,700</w:t>
            </w:r>
          </w:p>
        </w:tc>
        <w:tc>
          <w:tcPr>
            <w:tcW w:w="612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5"/>
              </w:rPr>
              <w:t>Corporate headquarters and Thermal segment operations (principal facility for</w:t>
            </w:r>
          </w:p>
        </w:tc>
      </w:tr>
      <w:tr>
        <w:trPr>
          <w:trHeight w:val="230"/>
        </w:trPr>
        <w:tc>
          <w:tcPr>
            <w:tcW w:w="20" w:type="dxa"/>
            <w:vAlign w:val="bottom"/>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iTS)</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Mt. Laurel, NJ</w:t>
            </w:r>
          </w:p>
        </w:tc>
        <w:tc>
          <w:tcPr>
            <w:tcW w:w="1580" w:type="dxa"/>
            <w:vAlign w:val="bottom"/>
          </w:tcPr>
          <w:p>
            <w:pPr>
              <w:jc w:val="center"/>
              <w:spacing w:after="0"/>
              <w:rPr>
                <w:sz w:val="20"/>
                <w:szCs w:val="20"/>
                <w:color w:val="auto"/>
              </w:rPr>
            </w:pPr>
            <w:r>
              <w:rPr>
                <w:rFonts w:ascii="Arial" w:cs="Arial" w:eastAsia="Arial" w:hAnsi="Arial"/>
                <w:sz w:val="18"/>
                <w:szCs w:val="18"/>
                <w:color w:val="auto"/>
                <w:w w:val="96"/>
              </w:rPr>
              <w:t>April 2021</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0"/>
              </w:rPr>
              <w:t>54,897</w:t>
            </w:r>
          </w:p>
        </w:tc>
        <w:tc>
          <w:tcPr>
            <w:tcW w:w="6120" w:type="dxa"/>
            <w:vAlign w:val="bottom"/>
          </w:tcPr>
          <w:p>
            <w:pPr>
              <w:ind w:left="180"/>
              <w:spacing w:after="0"/>
              <w:rPr>
                <w:sz w:val="20"/>
                <w:szCs w:val="20"/>
                <w:color w:val="auto"/>
              </w:rPr>
            </w:pPr>
            <w:r>
              <w:rPr>
                <w:rFonts w:ascii="Arial" w:cs="Arial" w:eastAsia="Arial" w:hAnsi="Arial"/>
                <w:sz w:val="18"/>
                <w:szCs w:val="18"/>
                <w:color w:val="auto"/>
              </w:rPr>
              <w:t>Principal executive offices and EMS segment operations</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Fremont, CA</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2020</w:t>
            </w:r>
          </w:p>
        </w:tc>
        <w:tc>
          <w:tcPr>
            <w:tcW w:w="10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15,746</w:t>
            </w: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EMS segment operations</w:t>
            </w: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Rochester, NY</w:t>
            </w:r>
          </w:p>
        </w:tc>
        <w:tc>
          <w:tcPr>
            <w:tcW w:w="1580" w:type="dxa"/>
            <w:vAlign w:val="bottom"/>
          </w:tcPr>
          <w:p>
            <w:pPr>
              <w:jc w:val="center"/>
              <w:spacing w:after="0"/>
              <w:rPr>
                <w:sz w:val="20"/>
                <w:szCs w:val="20"/>
                <w:color w:val="auto"/>
              </w:rPr>
            </w:pPr>
            <w:r>
              <w:rPr>
                <w:rFonts w:ascii="Arial" w:cs="Arial" w:eastAsia="Arial" w:hAnsi="Arial"/>
                <w:sz w:val="18"/>
                <w:szCs w:val="18"/>
                <w:color w:val="auto"/>
                <w:w w:val="96"/>
              </w:rPr>
              <w:t>April 2028</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0"/>
              </w:rPr>
              <w:t>79,150</w:t>
            </w:r>
          </w:p>
        </w:tc>
        <w:tc>
          <w:tcPr>
            <w:tcW w:w="6120" w:type="dxa"/>
            <w:vAlign w:val="bottom"/>
          </w:tcPr>
          <w:p>
            <w:pPr>
              <w:ind w:left="180"/>
              <w:spacing w:after="0"/>
              <w:rPr>
                <w:sz w:val="20"/>
                <w:szCs w:val="20"/>
                <w:color w:val="auto"/>
              </w:rPr>
            </w:pPr>
            <w:r>
              <w:rPr>
                <w:rFonts w:ascii="Arial" w:cs="Arial" w:eastAsia="Arial" w:hAnsi="Arial"/>
                <w:sz w:val="18"/>
                <w:szCs w:val="18"/>
                <w:color w:val="auto"/>
              </w:rPr>
              <w:t>Thermal segment operations (principal facility for Ambrell)</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our facilities have space to accommodate our needs for the foreseeable future.</w:t>
      </w:r>
    </w:p>
    <w:p>
      <w:pPr>
        <w:spacing w:after="0" w:line="200" w:lineRule="exact"/>
        <w:rPr>
          <w:sz w:val="20"/>
          <w:szCs w:val="20"/>
          <w:color w:val="auto"/>
        </w:rPr>
      </w:pPr>
    </w:p>
    <w:p>
      <w:pPr>
        <w:spacing w:after="0" w:line="23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8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 * * * * * * * * * * * * * * * * * * *</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left="140" w:right="4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Market for Common Stock</w:t>
      </w:r>
    </w:p>
    <w:p>
      <w:pPr>
        <w:spacing w:after="0" w:line="229"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Our common stock is traded on NYSE American LLC (“NYSE American”) under the symbol "INTT." On March 15, 2019, the closing price for our common stock as reported on the NYSE American was $7.50. As of March 15, 2019, we had 10,570,258 shares outstanding that were held by approximately 1,000 beneficial and record holders.</w:t>
      </w:r>
    </w:p>
    <w:p>
      <w:pPr>
        <w:spacing w:after="0" w:line="181" w:lineRule="exact"/>
        <w:rPr>
          <w:sz w:val="20"/>
          <w:szCs w:val="20"/>
          <w:color w:val="auto"/>
        </w:rPr>
      </w:pPr>
    </w:p>
    <w:p>
      <w:pPr>
        <w:ind w:left="460" w:right="140"/>
        <w:spacing w:after="0" w:line="312" w:lineRule="auto"/>
        <w:rPr>
          <w:sz w:val="20"/>
          <w:szCs w:val="20"/>
          <w:color w:val="auto"/>
        </w:rPr>
      </w:pPr>
      <w:r>
        <w:rPr>
          <w:rFonts w:ascii="Arial" w:cs="Arial" w:eastAsia="Arial" w:hAnsi="Arial"/>
          <w:sz w:val="16"/>
          <w:szCs w:val="16"/>
          <w:color w:val="auto"/>
        </w:rPr>
        <w:t>No dividends were paid on our common stock in the years ended December 31, 2018 or 2017. We do not currently plan to pay cash dividends in the foreseeable future. Our current policy is to use any future earnings for reinvestment in the operation and expansion of our business, including possible acquisitions of other businesses, technologies or products. Payment of any future dividends will be at the discretion of our Board of Directors.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229" w:lineRule="exact"/>
        <w:rPr>
          <w:sz w:val="20"/>
          <w:szCs w:val="20"/>
          <w:color w:val="auto"/>
        </w:rPr>
      </w:pPr>
    </w:p>
    <w:p>
      <w:pPr>
        <w:ind w:left="460" w:right="160"/>
        <w:spacing w:after="0" w:line="288" w:lineRule="auto"/>
        <w:rPr>
          <w:sz w:val="20"/>
          <w:szCs w:val="20"/>
          <w:color w:val="auto"/>
        </w:rPr>
      </w:pPr>
      <w:r>
        <w:rPr>
          <w:rFonts w:ascii="Arial" w:cs="Arial" w:eastAsia="Arial" w:hAnsi="Arial"/>
          <w:sz w:val="16"/>
          <w:szCs w:val="16"/>
          <w:color w:val="auto"/>
        </w:rPr>
        <w:t>On October 27, 2015, our Board of Directors authorized the repurchase, from time to time, of up to $5.0 million of our common stock on the open market, in compliance with Rule 10b-18 under the Exchange Act, or in privately negotiated transactions (the "2015 Repurchase Plan"). Repurchases may also be made under trading plans entered into with RW Baird &amp; Co. (each a "10b5-1 Plan"), which permit shares to be repurchased when we might otherwise be precluded from doing so under insider trading laws. The 2015 Repurchase Plan does not obligate us to repurchase any particular amount of common stock and may be suspended or discontinued at any time without prior notice. The 2015 Repurchase Plan is funded using our operating cash flow or available cash. The timing, price and amount of any shares repurchased under the 2015 Repurchase Plan is determined by our management, based on our evaluation of market conditions and other factors. To date, all purchases have been made in accordance with 10b5-1 Plans which provided for purchases to be made so long as the price did not exceed a maximum price. Management is considering new parameters for future purchases and may enter into a new 10b5-1 Plan at some point under those new parameters. As of December 31, 2018, all of the Company’s 10b5-1 Plans entered into in connection with the 2015 Repurchase Plan had expired.</w:t>
      </w:r>
    </w:p>
    <w:p>
      <w:pPr>
        <w:spacing w:after="0" w:line="169"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There were no shares of our common stock repurchased by us or on our behalf during 2018. During 2017, we repurchased 13,883 shares under the 2015 Repurchase Plan at a cost of $62,000. As of December 31, 2018, we had repurchased a total of 297,020 shares at a cost of $1.2 million under the 2015 Repurchase Plan. All of the repurchased shares were retired.</w:t>
      </w:r>
    </w:p>
    <w:p>
      <w:pPr>
        <w:spacing w:after="0" w:line="39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460" w:right="80"/>
        <w:spacing w:after="0" w:line="276" w:lineRule="auto"/>
        <w:rPr>
          <w:sz w:val="20"/>
          <w:szCs w:val="20"/>
          <w:color w:val="auto"/>
        </w:rPr>
      </w:pPr>
      <w:r>
        <w:rPr>
          <w:rFonts w:ascii="Arial" w:cs="Arial" w:eastAsia="Arial" w:hAnsi="Arial"/>
          <w:sz w:val="17"/>
          <w:szCs w:val="17"/>
          <w:color w:val="auto"/>
        </w:rPr>
        <w:t>The following table contains certain selected consolidated financial data of inTEST and is qualified by the more detailed Consolidated Financial Statements and Notes thereto included elsewhere in this Report and should be read in conjunction with "Management's Discussion and Analysis of Financial Condition and Results of Operations" and the other financial information included in this Annual Report on Form 10-K. On May 24, 2017, we completed the acquisition of Ambrell. This acquisition is discussed in further detail in Note 3 to our Consolidated Financial Statements, including a discussion of the adjustments to our liability for contingent consideration in 2018 and 2017 which are detailed below.</w:t>
      </w:r>
    </w:p>
    <w:p>
      <w:pPr>
        <w:spacing w:after="0" w:line="16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9"/>
              </w:rPr>
              <w:t>Years Ended December 31,</w:t>
            </w: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10"/>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gridSpan w:val="5"/>
          </w:tcPr>
          <w:p>
            <w:pPr>
              <w:jc w:val="center"/>
              <w:ind w:right="250"/>
              <w:spacing w:after="0"/>
              <w:rPr>
                <w:sz w:val="20"/>
                <w:szCs w:val="20"/>
                <w:color w:val="auto"/>
              </w:rPr>
            </w:pPr>
            <w:r>
              <w:rPr>
                <w:rFonts w:ascii="Arial" w:cs="Arial" w:eastAsia="Arial" w:hAnsi="Arial"/>
                <w:sz w:val="18"/>
                <w:szCs w:val="18"/>
                <w:color w:val="auto"/>
                <w:w w:val="88"/>
              </w:rPr>
              <w:t>(in thousands, except per share data)</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Condensed Consolidated Statement of Operations Data: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78,563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66,801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40,227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38,889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41,796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39,401</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34,690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20,378</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18,698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Adjustment to contingent consideration liability</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6,901</w:t>
            </w:r>
          </w:p>
        </w:tc>
        <w:tc>
          <w:tcPr>
            <w:tcW w:w="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6,976</w:t>
            </w:r>
          </w:p>
        </w:tc>
        <w:tc>
          <w:tcPr>
            <w:tcW w:w="3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3,611</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4,146</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2,562</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3,037</w:t>
            </w:r>
          </w:p>
        </w:tc>
        <w:tc>
          <w:tcPr>
            <w:tcW w:w="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2,658</w:t>
            </w:r>
          </w:p>
        </w:tc>
        <w:tc>
          <w:tcPr>
            <w:tcW w:w="4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1,861</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3,439</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r>
      <w:tr>
        <w:trPr>
          <w:trHeight w:val="216"/>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10,348</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10,285</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10,314</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10,473</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10,432</w:t>
            </w:r>
          </w:p>
        </w:tc>
      </w:tr>
      <w:tr>
        <w:trPr>
          <w:trHeight w:val="230"/>
        </w:trPr>
        <w:tc>
          <w:tcPr>
            <w:tcW w:w="44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10,382</w:t>
            </w:r>
          </w:p>
        </w:tc>
        <w:tc>
          <w:tcPr>
            <w:tcW w:w="3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10,339</w:t>
            </w:r>
          </w:p>
        </w:tc>
        <w:tc>
          <w:tcPr>
            <w:tcW w:w="3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10,333</w:t>
            </w:r>
          </w:p>
        </w:tc>
        <w:tc>
          <w:tcPr>
            <w:tcW w:w="4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10,494</w:t>
            </w:r>
          </w:p>
        </w:tc>
        <w:tc>
          <w:tcPr>
            <w:tcW w:w="3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10,466</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 Data: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17,861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13,290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28,611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25,710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23,126</w:t>
            </w: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14,203</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32,950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30,205</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28,032</w:t>
            </w: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67,187</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62,493</w:t>
            </w:r>
          </w:p>
        </w:tc>
        <w:tc>
          <w:tcPr>
            <w:tcW w:w="42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42,844</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39,984</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38,738</w:t>
            </w: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2,889</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42,880</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39,288</w:t>
            </w:r>
          </w:p>
        </w:tc>
        <w:tc>
          <w:tcPr>
            <w:tcW w:w="42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37,788</w:t>
            </w: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35,925</w:t>
            </w:r>
          </w:p>
        </w:tc>
        <w:tc>
          <w:tcPr>
            <w:tcW w:w="3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34,368</w:t>
            </w:r>
          </w:p>
        </w:tc>
        <w:tc>
          <w:tcPr>
            <w:tcW w:w="10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- 18 -</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576"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 As further discussed below, on May 24, 2017, we acquired Ambrell, which has historically sold its products almost exclusively to customers in the industrial market, which is a non-semiconductor market. The acquisition of Ambrell has reduced our dependence on customers in the semiconductor market and increased our orders and net revenues from markets outside the semiconductor market. We expect that our future orders and net revenues will be approximately equally split between the semiconductor and non-semiconductor markets.</w:t>
      </w:r>
    </w:p>
    <w:p>
      <w:pPr>
        <w:spacing w:after="0" w:line="178"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In the past, the semiconductor market has been highly cyclical with recurring periods of oversupply, which often have a severe impact on the semiconductor market's demand for ATE, including the products we manufacture. This cyclicality can cause wide fluctuations in both our orders and net revenues and, depending on our ability to react quickly to these shifts in demand, can significantly impact our results of operations. Semiconductor and ATE market cycles are difficult to predict and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market,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66" w:lineRule="exact"/>
        <w:rPr>
          <w:sz w:val="20"/>
          <w:szCs w:val="20"/>
          <w:color w:val="auto"/>
        </w:rPr>
      </w:pPr>
    </w:p>
    <w:p>
      <w:pPr>
        <w:ind w:left="460" w:right="440"/>
        <w:spacing w:after="0" w:line="286" w:lineRule="auto"/>
        <w:rPr>
          <w:sz w:val="20"/>
          <w:szCs w:val="20"/>
          <w:color w:val="auto"/>
        </w:rPr>
      </w:pPr>
      <w:r>
        <w:rPr>
          <w:rFonts w:ascii="Arial" w:cs="Arial" w:eastAsia="Arial" w:hAnsi="Arial"/>
          <w:sz w:val="17"/>
          <w:szCs w:val="17"/>
          <w:color w:val="auto"/>
        </w:rPr>
        <w:t>In addition to being cyclical, the ATE market has also developed a seasonal pattern,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6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Third-party market share statistics are not available for the products we manufacture and sell into the ATE market; therefore, comparisons of period over period changes in our market share are not easily determined. As a result, it is difficult to ascertain if ATE market volatility in any period is the result of macro-economic or customer-specific factors impacting ATE market demand, or if we have gained or lost market share to a competitor during the period.</w:t>
      </w:r>
    </w:p>
    <w:p>
      <w:pPr>
        <w:spacing w:after="0" w:line="187" w:lineRule="exact"/>
        <w:rPr>
          <w:sz w:val="20"/>
          <w:szCs w:val="20"/>
          <w:color w:val="auto"/>
        </w:rPr>
      </w:pPr>
    </w:p>
    <w:p>
      <w:pPr>
        <w:ind w:left="460" w:right="140"/>
        <w:spacing w:after="0" w:line="269" w:lineRule="auto"/>
        <w:rPr>
          <w:sz w:val="20"/>
          <w:szCs w:val="20"/>
          <w:color w:val="auto"/>
        </w:rPr>
      </w:pPr>
      <w:r>
        <w:rPr>
          <w:rFonts w:ascii="Arial" w:cs="Arial" w:eastAsia="Arial" w:hAnsi="Arial"/>
          <w:sz w:val="17"/>
          <w:szCs w:val="17"/>
          <w:color w:val="auto"/>
        </w:rPr>
        <w:t>As part of our ongoing strategy to reduce the impact of semiconductor and ATE market volatility on our business operations, we continue to diversify our served markets to address the thermal test requirements of several other markets outside the semiconductor market. These include the automotive, consumer electronics, consumer product packaging, defense/aerospace, energy, fiber optics, industrial, telecommunications and other markets. We believe that these markets usually are less cyclical than the semiconductor and ATE markets. While market share statistics exist for some of the markets we serve outside the semiconductor market, due to the nature of our highly specialized product offerings in these non-semiconductor markets, we do not expect broad market penetration in many of these markets and, therefore, do not anticipate developing meaningful market shares in these non-semiconductor markets. In addition, our orders and net revenues in any given period in these markets do not necessarily reflect the overall trends in these non-semiconductor markets due to our limited market shares. Consequently, we are continuing to evaluate buying patterns and opportunities for growth in these non-semiconductor markets that may affect our performance. The level of our orders and net revenues from these non-semiconductor markets has varied in the past, and we expect will vary significantly in the future, as we work to build our presence in these markets and establish new markets for our products.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right="60"/>
        <w:spacing w:after="0" w:line="289"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factors within the ATE market, including, for example, changing product requirements, longer time periods between new product offerings by OEMs and changes in customer buying patterns. 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Acquisition</w:t>
      </w:r>
    </w:p>
    <w:p>
      <w:pPr>
        <w:spacing w:after="0" w:line="225"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As previously mentioned, on May 24, 2017, we completed the acquisition of Ambrell by acquiring all of its outstanding capital stock. Ambrell is a manufacturer of precision induction heating systems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non-semiconductor related markets, such as consumer product packaging, fiber-optics, automotive and other markets. This acquisition has been accounted for as a business combination using purchase accounting. The purchase price for Ambrell was $22 million in cash paid at closing, subject to a customary post-closing working capital adjustment, and additional contingent consideration of up to $18 million in the form of earnouts paid based upon a multiple of adjusted EBITDA for 2017 and 2018. The first earnout paid after calendar year 2017 was completed was an amount equal to 8x Ambrell's adjusted EBITDA for 2017 minus the $22 million paid at closing; this amount was $5.8 million and was paid in April 2018. The second earnout, which we expect to pay in April 2019, will be an amount equal to 8x Ambrell's adjusted EBITDA for 2018 minus the sum of the $22 million paid at closing and $5.8 million earnout paid with respect to 2017. As of December 31, 2018, we had accrued $12.2 million in earnout payable based on Ambrell’s actual adjusted EBITDA for 2018. For further discussion of the acquisition, see Notes 3 and 4 to our consolidated financial statements.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for the periods indicated, a breakdown of the orders received by product segment and market (in thousands).</w:t>
      </w:r>
    </w:p>
    <w:p>
      <w:pPr>
        <w:spacing w:after="0" w:line="23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55,110</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43,953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11,157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78,234</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69,011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9,223</w:t>
            </w:r>
          </w:p>
        </w:tc>
        <w:tc>
          <w:tcPr>
            <w:tcW w:w="3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Semiconductor market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45,954</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39,214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6,740</w:t>
            </w:r>
          </w:p>
        </w:tc>
        <w:tc>
          <w:tcPr>
            <w:tcW w:w="3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Non-semiconductor market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2,483</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78,234</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69,011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9,223</w:t>
            </w:r>
          </w:p>
        </w:tc>
        <w:tc>
          <w:tcPr>
            <w:tcW w:w="3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220"/>
        <w:spacing w:after="0" w:line="272" w:lineRule="auto"/>
        <w:rPr>
          <w:sz w:val="20"/>
          <w:szCs w:val="20"/>
          <w:color w:val="auto"/>
        </w:rPr>
      </w:pPr>
      <w:r>
        <w:rPr>
          <w:rFonts w:ascii="Arial" w:cs="Arial" w:eastAsia="Arial" w:hAnsi="Arial"/>
          <w:sz w:val="17"/>
          <w:szCs w:val="17"/>
          <w:color w:val="auto"/>
        </w:rPr>
        <w:t>Total consolidated orders for the year ended December 31, 2018 were $78.2 million compared to $69.0 million for the same period in 2017. During the year ended December 31, 2018, we recorded $26.3 million in orders attributable to Ambrell, of which $18.1 million were attributable to the industrial market, which is a non-semiconductor market. During the year ended December 31, 2017, we recorded $14.9 million in orders attributable to Ambrell, of which $13.8 million were attributable to the industrial market, which is a non-semiconductor market. When adjusted to eliminate the impact of orders attributable to Ambrell, our consolidated orders for the year ended December 31, 2018 would have been $51.9 million and would have decreased $2.2 million, or 4%, as compared to the same period in 2017. The decrease primarily reflects lower levels of demand experienced by our EMS segment from its customers within the ATE market.</w:t>
      </w:r>
    </w:p>
    <w:p>
      <w:pPr>
        <w:spacing w:after="0" w:line="178" w:lineRule="exact"/>
        <w:rPr>
          <w:sz w:val="20"/>
          <w:szCs w:val="20"/>
          <w:color w:val="auto"/>
        </w:rPr>
      </w:pPr>
    </w:p>
    <w:p>
      <w:pPr>
        <w:ind w:left="460" w:right="160"/>
        <w:spacing w:after="0" w:line="276" w:lineRule="auto"/>
        <w:rPr>
          <w:sz w:val="20"/>
          <w:szCs w:val="20"/>
          <w:color w:val="auto"/>
        </w:rPr>
      </w:pPr>
      <w:r>
        <w:rPr>
          <w:rFonts w:ascii="Arial" w:cs="Arial" w:eastAsia="Arial" w:hAnsi="Arial"/>
          <w:sz w:val="17"/>
          <w:szCs w:val="17"/>
          <w:color w:val="auto"/>
        </w:rPr>
        <w:t>When adjusted to eliminate the orders attributable to Ambrell, orders from customers in non-semiconductor markets for the year ended December 31, 2018 were $14.2 million, or 27% of total consolidated orders, compared to $16.0 million, or 30% of total consolidated orders for the same period in 2017. The reduction in demand was primarily from certain customers in the telecommunications market, which was partially offset by an increase from customers in the industrial market. The level of our orders in these non-semiconductor markets has varied in the past, and we expect it will vary significantly in the future as we build our presence in these markets and establish new markets for our products.</w:t>
      </w:r>
    </w:p>
    <w:p>
      <w:pPr>
        <w:spacing w:after="0" w:line="173" w:lineRule="exact"/>
        <w:rPr>
          <w:sz w:val="20"/>
          <w:szCs w:val="20"/>
          <w:color w:val="auto"/>
        </w:rPr>
      </w:pPr>
    </w:p>
    <w:p>
      <w:pPr>
        <w:ind w:left="460" w:right="120"/>
        <w:spacing w:after="0" w:line="272" w:lineRule="auto"/>
        <w:rPr>
          <w:sz w:val="20"/>
          <w:szCs w:val="20"/>
          <w:color w:val="auto"/>
        </w:rPr>
      </w:pPr>
      <w:r>
        <w:rPr>
          <w:rFonts w:ascii="Arial" w:cs="Arial" w:eastAsia="Arial" w:hAnsi="Arial"/>
          <w:sz w:val="17"/>
          <w:szCs w:val="17"/>
          <w:color w:val="auto"/>
        </w:rPr>
        <w:t>At December 31, 2018, our backlog of unfilled orders for all products was approximately $13.4 million compared with approximately $13.7 million at December 31, 2017. At December 31, 2018 and 2017, our backlog included $5.3 million and $5.5 million, respectively, attributable to Ambrell. Our backlog includes customer orders which we have accepted, substantially all of which we expect to deliver in 2019.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for the periods indicated, a breakdown of the net revenues by product segment and market (in thousands).</w:t>
      </w:r>
    </w:p>
    <w:p>
      <w:pPr>
        <w:spacing w:after="0" w:line="23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55,994</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42,233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13,761</w:t>
            </w:r>
          </w:p>
        </w:tc>
        <w:tc>
          <w:tcPr>
            <w:tcW w:w="3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22,569</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78,563</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66,801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11,762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Semiconductor market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45,378</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37,763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7,615</w:t>
            </w:r>
          </w:p>
        </w:tc>
        <w:tc>
          <w:tcPr>
            <w:tcW w:w="3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Non-semiconductor market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4,147</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78,563</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66,801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11,762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Total consolidated net revenues for the year ended December 31, 2018 were $78.6 million compared to $66.8 million for the same period in 2017. During the year ended December 31, 2018, we recorded $26.4 million in net revenues attributable to Ambrell, of which $19.1 million were attributable to the industrial market, which is a non-semiconductor market. During the year ended December 31, 2017, we recorded $13.6 million in net revenues attributable to Ambrell, of which $13.2 million were attributable to the industrial market, which is a non-semiconductor market. When adjusted to eliminate the impact of the net revenues attributable to Ambrell, our net revenues for the year ended December 31, 2018, would have been $52.1 million and would have decreased $1.1 million or 2% as compared to the same period in 2017. The decrease in net revenues primarily reflects the aforementioned reduction in demand experienced by our EMS segment from its customers in the ATE market.</w:t>
      </w:r>
    </w:p>
    <w:p>
      <w:pPr>
        <w:spacing w:after="0" w:line="167"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When adjusted to eliminate the net revenues attributable to Ambrell, net revenues from customers in non-semiconductor markets for the year ended December 31, 2018 were $14.0 million, or 27% of total consolidated net revenues, compared to $15.8 million, or 30% of total consolidated net revenues for the same period in 2017. The decrease in net revenues was primarily from customers in the telecommunications markets which was partially offset by increases from customers in the defense/aerospace and industrial markets. The level of our net revenues in these non-semiconductor markets has varied in the past, and we expect it will vary significantly in the future as we build our presence in these markets and establish new markets for our products.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460" w:right="200"/>
        <w:spacing w:after="0" w:line="279" w:lineRule="auto"/>
        <w:rPr>
          <w:sz w:val="20"/>
          <w:szCs w:val="20"/>
          <w:color w:val="auto"/>
        </w:rPr>
      </w:pPr>
      <w:r>
        <w:rPr>
          <w:rFonts w:ascii="Arial" w:cs="Arial" w:eastAsia="Arial" w:hAnsi="Arial"/>
          <w:sz w:val="17"/>
          <w:szCs w:val="17"/>
          <w:color w:val="auto"/>
        </w:rPr>
        <w:t>Both of our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1"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We sell most of our products to semiconductor manufacturers and third-party test and assembly houses (end user sales) and to ATE manufacturers (OEM sales) who ultimately resell our equipment with theirs to both semiconductor manufacturers and third-party test and assembly houses. Our Thermal segment also sells into a variety of other markets, including the automotive, consumer electronics, defense/aerospace, energy, industrial and telecommunications markets. As a result of the acquisition of Ambrell, we now also sell into the consumer products packaging, fiber optics and other markets within the broader industrial market. The mix of customers during any given period will affect our gross margin due to differing sales discounts and commissions. For the years ended December 31, 2018 and 2017, our OEM sales as a percentage of net revenues were 13% and 9%, respectively.</w:t>
      </w:r>
    </w:p>
    <w:p>
      <w:pPr>
        <w:spacing w:after="0" w:line="189"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1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18" w:right="51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left="460" w:right="140"/>
        <w:spacing w:after="0" w:line="312" w:lineRule="auto"/>
        <w:rPr>
          <w:sz w:val="20"/>
          <w:szCs w:val="20"/>
          <w:color w:val="auto"/>
        </w:rPr>
      </w:pPr>
      <w:r>
        <w:rPr>
          <w:rFonts w:ascii="Arial" w:cs="Arial" w:eastAsia="Arial" w:hAnsi="Arial"/>
          <w:sz w:val="16"/>
          <w:szCs w:val="16"/>
          <w:color w:val="auto"/>
        </w:rPr>
        <w:t>The results of operations for our two product segments are generally affected by the same factors described in the Overview section above. Separate discussions and analyses for each product segment would be repetitive. The discussion and analysis that follows, therefore, is presented on a consolidated basis and includes discussion of factors unique to each product segment where significant to an understanding of that segment.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Year Ended December 31, 2018 Compared to Year Ended December 31, 2017</w:t>
      </w:r>
    </w:p>
    <w:p>
      <w:pPr>
        <w:spacing w:after="0" w:line="225"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were $78.6 million for the year ended December 31, 2018 compared to $66.8 million for the same period in 2017,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$11.8 million or 18%. For the years ended December 31, 2018 and 2017, our net revenues included $26.4 million and $13.6 million, respectively, of net revenues attributable to the aforementioned acquisition of Ambrell on May 24, 2017. When adjusted to eliminate the impact of the acquisition of Ambrell, our net revenues for the year ended December 31, 2018 would have decreased $1.1 million or 2% as compared to the same period in 2017. We believe this decrease reflects the factors previously discussed in the Overview.</w:t>
      </w:r>
    </w:p>
    <w:p>
      <w:pPr>
        <w:spacing w:after="0" w:line="173" w:lineRule="exact"/>
        <w:rPr>
          <w:sz w:val="20"/>
          <w:szCs w:val="20"/>
          <w:color w:val="auto"/>
        </w:rPr>
      </w:pPr>
    </w:p>
    <w:p>
      <w:pPr>
        <w:ind w:left="460" w:right="180"/>
        <w:spacing w:after="0" w:line="25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was 50% for the year ended December 31, 2018 compared to 52% for the same period in 2017. Our fixed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increased $2.4 million in 2018 as compared to 2017. When adjusted to eliminate the impact of the costs attributable to Ambrell in both 2018 and 2017, our fixed operating costs would have increased $457,000 for the year ended December 31, 2018 as compared to the same period in 2017. The $457,000 increase in our fixed operating costs primarily reflects higher salary and benefits expense for our Thermal segment as a result of increased production activity.</w:t>
      </w:r>
    </w:p>
    <w:p>
      <w:pPr>
        <w:spacing w:after="0" w:line="188" w:lineRule="exact"/>
        <w:rPr>
          <w:sz w:val="20"/>
          <w:szCs w:val="20"/>
          <w:color w:val="auto"/>
        </w:rPr>
      </w:pPr>
    </w:p>
    <w:p>
      <w:pPr>
        <w:ind w:left="460" w:right="240"/>
        <w:spacing w:after="0" w:line="273" w:lineRule="auto"/>
        <w:rPr>
          <w:sz w:val="20"/>
          <w:szCs w:val="20"/>
          <w:color w:val="auto"/>
        </w:rPr>
      </w:pPr>
      <w:r>
        <w:rPr>
          <w:rFonts w:ascii="Arial" w:cs="Arial" w:eastAsia="Arial" w:hAnsi="Arial"/>
          <w:sz w:val="17"/>
          <w:szCs w:val="17"/>
          <w:i w:val="1"/>
          <w:iCs w:val="1"/>
          <w:color w:val="auto"/>
        </w:rPr>
        <w:t xml:space="preserve">Selling Expense. </w:t>
      </w:r>
      <w:r>
        <w:rPr>
          <w:rFonts w:ascii="Arial" w:cs="Arial" w:eastAsia="Arial" w:hAnsi="Arial"/>
          <w:sz w:val="17"/>
          <w:szCs w:val="17"/>
          <w:color w:val="auto"/>
        </w:rPr>
        <w:t>Selling expense was $9.6 million for the year ended December 31, 2018 compared to $8.1 million for the same period in 2017,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$1.5 million or 19%. When adjusted to eliminate the impact of the costs attributable to Ambrell in both 2018 and 2017, our selling expense would have decreased $226,000 for the year ended December 31, 2018 as compared to the same period in 2017. The $226,000 decrease primarily reflects lower levels of salary and benefits expense for our Thermal segment, a reduction in commission expense, reflecting changes in product mix as well as the lower net revenues of our EMS segment, and a decrease in travel costs for our Thermal segment. These decreases were partially offset by an increase in warranty expense for our Thermal segment.</w:t>
      </w:r>
    </w:p>
    <w:p>
      <w:pPr>
        <w:spacing w:after="0" w:line="178"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$4.9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$4.3 million for the same period in 2017, an increase of $607,000, or 14%. When adjusted to eliminate the impact of the costs attributable to Ambrell in both 2018 and 2017, our engineering and product development expense would have increased $15,000 for the year ended December 31, 2018 as compared to the same period in 2017. Increases in spending on legal matters related to our intellectual property were partially offset by decreased spending on materials used in new product development, primarily for our Thermal segment, and lower salary and benefits expense for our EMS product segment.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$12.8 million for the year ended December 31, 2018 compared to</w:t>
      </w:r>
    </w:p>
    <w:p>
      <w:pPr>
        <w:spacing w:after="0" w:line="46" w:lineRule="exact"/>
        <w:rPr>
          <w:sz w:val="20"/>
          <w:szCs w:val="20"/>
          <w:color w:val="auto"/>
        </w:rPr>
      </w:pPr>
    </w:p>
    <w:p>
      <w:pPr>
        <w:ind w:left="460"/>
        <w:spacing w:after="0" w:line="252" w:lineRule="auto"/>
        <w:rPr>
          <w:sz w:val="20"/>
          <w:szCs w:val="20"/>
          <w:color w:val="auto"/>
        </w:rPr>
      </w:pPr>
      <w:r>
        <w:rPr>
          <w:rFonts w:ascii="Arial" w:cs="Arial" w:eastAsia="Arial" w:hAnsi="Arial"/>
          <w:sz w:val="18"/>
          <w:szCs w:val="18"/>
          <w:color w:val="auto"/>
        </w:rPr>
        <w:t>$11.7 million for the same period in 2017, an increase of $1.1 million, or 10%. Our expense for 2017 included $935,000 of transaction costs related to the acquisition of Ambrell. When adjusted to eliminate the impact of the acquisition costs as well as the general and administrative costs attributable to Ambrell in both 2018 and 2017, our general and administrative expense would have increased $1.1 million for the year ended December 31, 2018 as compared to the same period in 2017. This increase reflects higher levels of salary and benefits expense, as a result of increases in corporate headcount, along with increases in fees for third party professionals who assist us with a variety of compliance matters. These increases were partially offset by a reduction in bonuses for senior management.</w:t>
      </w:r>
    </w:p>
    <w:p>
      <w:pPr>
        <w:spacing w:after="0" w:line="194" w:lineRule="exact"/>
        <w:rPr>
          <w:sz w:val="20"/>
          <w:szCs w:val="20"/>
          <w:color w:val="auto"/>
        </w:rPr>
      </w:pPr>
    </w:p>
    <w:p>
      <w:pPr>
        <w:ind w:left="460" w:right="40"/>
        <w:spacing w:after="0" w:line="279" w:lineRule="auto"/>
        <w:rPr>
          <w:sz w:val="20"/>
          <w:szCs w:val="20"/>
          <w:color w:val="auto"/>
        </w:rPr>
      </w:pPr>
      <w:r>
        <w:rPr>
          <w:rFonts w:ascii="Arial" w:cs="Arial" w:eastAsia="Arial" w:hAnsi="Arial"/>
          <w:sz w:val="17"/>
          <w:szCs w:val="17"/>
          <w:i w:val="1"/>
          <w:iCs w:val="1"/>
          <w:color w:val="auto"/>
        </w:rPr>
        <w:t xml:space="preserve">Contingent Consideration Liability. </w:t>
      </w:r>
      <w:r>
        <w:rPr>
          <w:rFonts w:ascii="Arial" w:cs="Arial" w:eastAsia="Arial" w:hAnsi="Arial"/>
          <w:sz w:val="17"/>
          <w:szCs w:val="17"/>
          <w:color w:val="auto"/>
        </w:rPr>
        <w:t>During the years ended December 31, 2018 and 2017, we recorded increases of $6.9 million and $7.0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in the fair value of our liability for contingent consideration. This liability is a result of the aforementioned acquisition of Ambrell in May 2017 and is discussed further in Notes 3 and 4 to our consolidated financial statements. The increases reflect higher actual adjusted EBITDA for the years ended December 31, 2017 and 2018 as compared to the amounts projected as of the acquisition date.</w:t>
      </w:r>
    </w:p>
    <w:p>
      <w:pPr>
        <w:spacing w:after="0" w:line="171" w:lineRule="exact"/>
        <w:rPr>
          <w:sz w:val="20"/>
          <w:szCs w:val="20"/>
          <w:color w:val="auto"/>
        </w:rPr>
      </w:pPr>
    </w:p>
    <w:p>
      <w:pPr>
        <w:ind w:left="460" w:right="80"/>
        <w:spacing w:after="0" w:line="289"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year ended December 31, 2018, we recorded income tax expense of $2.0 million compared to $2.9 million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2017. Our effective tax rate was 40% for 2018 compared to 75% for 2017. On a quarterly basis, we record income tax expense or benefit based on the expected annualized effective tax rate for the various taxing jurisdictions in which we operate our businesses. Our effective tax rates for both 2018 and 2017 reflect the impact of the aforementioned adjustment to our liability for contingent consideration which is not deductible for tax purposes. In addition, our effective tax rates for 2018 and 2017 reflect the impact of tax legislation enacted in December 2017 which, among other things, reduced the corporate tax rate to 21% starting in 2018 and created a territorial tax system with a one-time mandatory transition tax on previously deferred earnings of foreign subsidiaries. In connection with this new tax legislation, we recorded a provisional amount during the fourth quarter of 2017 related to the transition tax. During the second quarter of 2018, as a result of the finalization of our analysis of the impact of the new tax legislation, we determined we did not owe this amount and reversed the $476,000 accrual that had been made in the fourth quarter of 2017.</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81"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6"/>
              </w:rPr>
              <w:t>Liquidity</w:t>
            </w:r>
          </w:p>
        </w:tc>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6040" w:type="dxa"/>
            <w:vAlign w:val="bottom"/>
            <w:gridSpan w:val="3"/>
          </w:tcPr>
          <w:p>
            <w:pPr>
              <w:spacing w:after="0"/>
              <w:rPr>
                <w:sz w:val="20"/>
                <w:szCs w:val="20"/>
                <w:color w:val="auto"/>
              </w:rPr>
            </w:pPr>
            <w:r>
              <w:rPr>
                <w:rFonts w:ascii="Arial" w:cs="Arial" w:eastAsia="Arial" w:hAnsi="Arial"/>
                <w:sz w:val="18"/>
                <w:szCs w:val="18"/>
                <w:color w:val="auto"/>
                <w:w w:val="91"/>
              </w:rPr>
              <w:t>Our cash and cash equivalents and working capital were as follows (in thousands):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r>
      <w:tr>
        <w:trPr>
          <w:trHeight w:val="210"/>
        </w:trPr>
        <w:tc>
          <w:tcPr>
            <w:tcW w:w="36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17,861</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13,290</w:t>
            </w:r>
          </w:p>
        </w:tc>
      </w:tr>
      <w:tr>
        <w:trPr>
          <w:trHeight w:val="230"/>
        </w:trPr>
        <w:tc>
          <w:tcPr>
            <w:tcW w:w="360" w:type="dxa"/>
            <w:vAlign w:val="bottom"/>
          </w:tcPr>
          <w:p>
            <w:pPr>
              <w:spacing w:after="0"/>
              <w:rPr>
                <w:sz w:val="20"/>
                <w:szCs w:val="20"/>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14,203</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16,580</w:t>
            </w:r>
          </w:p>
        </w:tc>
      </w:tr>
    </w:tbl>
    <w:p>
      <w:pPr>
        <w:spacing w:after="0" w:line="18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As of December 31, 2018, $3.9 million of our cash and cash equivalents was held by our foreign subsidiaries. We currently expect our cash and cash equivalents and projected future cash flow to be sufficient to support our short term working capital requirements, the 2018 earnout payable payment for Ambrell and other corporate requirements. However, we may need additional financial resources, which could include debt or equity financings,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460" w:right="80"/>
        <w:spacing w:after="0" w:line="25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Net cash provided by operations for the year ended December 31, 2018 was $11.0 million. During 2018, we recorded net</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of $3.0 million which included non-cash charges of $6.9 million for an increase in the fair value of our contingent consideration liability related to the acquisition of Ambrell, $1.9 million for depreciation and amortization, $653,000 for amortization of deferred compensation expense related to stock-based awards, and $285,000 as a provision for excess and obsolete inventory. Approximately $1.0 million of our amortization expense was related to the intangible assets acquired as part of the acquisition of Ambrell in May 2017, which is discussed further in the Overview and Note 3 to our consolidated financial statements. Accounts receivable decreased $1.4 million during 2018, reflecting decreased net revenue levels for our EMS segment during the second half of 2018, while inventory increased $1.8 million, primarily reflecting increased order activity for our Thermal segment during 2018.</w:t>
      </w:r>
    </w:p>
    <w:p>
      <w:pPr>
        <w:spacing w:after="0" w:line="192"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In April 2018, we paid $5.8 million which was the final amount due for the 2017 earnout related to the acquisition of Ambrell, as</w:t>
      </w:r>
      <w:r>
        <w:rPr>
          <w:rFonts w:ascii="Arial" w:cs="Arial" w:eastAsia="Arial" w:hAnsi="Arial"/>
          <w:sz w:val="16"/>
          <w:szCs w:val="16"/>
          <w:i w:val="1"/>
          <w:iCs w:val="1"/>
          <w:color w:val="auto"/>
        </w:rPr>
        <w:t xml:space="preserve"> </w:t>
      </w:r>
      <w:r>
        <w:rPr>
          <w:rFonts w:ascii="Arial" w:cs="Arial" w:eastAsia="Arial" w:hAnsi="Arial"/>
          <w:sz w:val="16"/>
          <w:szCs w:val="16"/>
          <w:color w:val="auto"/>
        </w:rPr>
        <w:t>discussed further in the Overview and Note 3 to our consolidated financial statements. Of this amount, $4.1 million had been accrued at the time of the acquisition as a part of the purchase price for Ambrell, and, accordingly, is included in investing activities on our consolidated statement of cash flows for the year ended December 31, 2018. The balance of the payment is included in operating activities. During 2018, purchases of property and equipment were $2.2 million, primarily reflecting the leasehold improvements for our new facility in Rochester New York, which was occupied by Ambrell in the second quarter of 2018. We have no other significant commitments for capital expenditures for 2019; however, depending upon changes in market demand or manufacturing and sales strategies, we may make such purchases or investments as we deem necessary and appropriate.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See Note 2 to the consolidated financial statements for information concerning the implementation and impact of new or recently adopted accounting standards.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left="460" w:right="140"/>
        <w:spacing w:after="0" w:line="290"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Inventory Valuation</w:t>
      </w:r>
    </w:p>
    <w:p>
      <w:pPr>
        <w:spacing w:after="0" w:line="225"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Inventories are valued at cost on a first-in, first-out basis, not in excess of market value.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During 2018 and 2017, we recorded inventory obsolescence charges for excess and obsolete inventory of $285,000 and $251,000, respectively.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Goodwill, Intangible and Long-Lived Assets</w:t>
      </w:r>
    </w:p>
    <w:p>
      <w:pPr>
        <w:spacing w:after="0" w:line="225" w:lineRule="exact"/>
        <w:rPr>
          <w:sz w:val="20"/>
          <w:szCs w:val="20"/>
          <w:color w:val="auto"/>
        </w:rPr>
      </w:pPr>
    </w:p>
    <w:p>
      <w:pPr>
        <w:ind w:left="460" w:right="100"/>
        <w:spacing w:after="0" w:line="270" w:lineRule="auto"/>
        <w:rPr>
          <w:sz w:val="20"/>
          <w:szCs w:val="20"/>
          <w:color w:val="auto"/>
        </w:rPr>
      </w:pPr>
      <w:r>
        <w:rPr>
          <w:rFonts w:ascii="Arial" w:cs="Arial" w:eastAsia="Arial" w:hAnsi="Arial"/>
          <w:sz w:val="17"/>
          <w:szCs w:val="17"/>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this is the case, we are required to perform a goodwill impairment test to identify potential goodwill impairment and measure the amount of goodwill impairment loss to be recognized. The test is discussed below. If, as a result of our qualitative assessment, we determine that it is more-likely-than-not that the fair value of the reporting unit is greater than its carrying amounts, the goodwill impairment test is not required.</w:t>
      </w:r>
    </w:p>
    <w:p>
      <w:pPr>
        <w:spacing w:after="0" w:line="182" w:lineRule="exact"/>
        <w:rPr>
          <w:sz w:val="20"/>
          <w:szCs w:val="20"/>
          <w:color w:val="auto"/>
        </w:rPr>
      </w:pPr>
    </w:p>
    <w:p>
      <w:pPr>
        <w:ind w:left="460" w:right="60"/>
        <w:spacing w:after="0" w:line="287" w:lineRule="auto"/>
        <w:rPr>
          <w:sz w:val="20"/>
          <w:szCs w:val="20"/>
          <w:color w:val="auto"/>
        </w:rPr>
      </w:pPr>
      <w:r>
        <w:rPr>
          <w:rFonts w:ascii="Arial" w:cs="Arial" w:eastAsia="Arial" w:hAnsi="Arial"/>
          <w:sz w:val="16"/>
          <w:szCs w:val="16"/>
          <w:color w:val="auto"/>
        </w:rPr>
        <w:t>The quantitative goodwill impairment test, used to identify both the existence of impairment and the amount of impairment loss,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shall be recognized in an amount equal to that excess, limited to the total amount of goodwill allocated to that reporting unit.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 At each of December 31, 2018 and 2017, goodwill was $13.7 million. We did not record any impairment charges related to our goodwill during 2018 or 2017.</w:t>
      </w:r>
    </w:p>
    <w:p>
      <w:pPr>
        <w:spacing w:after="0" w:line="169" w:lineRule="exact"/>
        <w:rPr>
          <w:sz w:val="20"/>
          <w:szCs w:val="20"/>
          <w:color w:val="auto"/>
        </w:rPr>
      </w:pPr>
    </w:p>
    <w:p>
      <w:pPr>
        <w:ind w:left="460" w:right="100"/>
        <w:spacing w:after="0" w:line="290" w:lineRule="auto"/>
        <w:rPr>
          <w:sz w:val="20"/>
          <w:szCs w:val="20"/>
          <w:color w:val="auto"/>
        </w:rPr>
      </w:pPr>
      <w:r>
        <w:rPr>
          <w:rFonts w:ascii="Arial" w:cs="Arial" w:eastAsia="Arial" w:hAnsi="Arial"/>
          <w:sz w:val="16"/>
          <w:szCs w:val="16"/>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 At each of December 31, 2018 and 2017, our indefinite-lived intangible assets were trademarks carried at $6.7 million. We did not record any impairment charges related to our indefinite-lived intangible assets during 2018 or 2017.</w:t>
      </w:r>
    </w:p>
    <w:p>
      <w:pPr>
        <w:spacing w:after="0" w:line="166"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At December 31, 2018 and 2017, finite-lived intangibles and long-lived assets were $10.9 million and $10.8 million, respectively. We did not record any impairment charges related to our long-lived assets during 2018 or 2017.</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Contingent Consideration Liability</w:t>
      </w:r>
    </w:p>
    <w:p>
      <w:pPr>
        <w:spacing w:after="0" w:line="225"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The contingent consideration liability on our balance sheet is accounted for in accordance with the guidance in ASC 820 (Fair Value Measurement). ASC 820 establishes a fair value hierarchy for instruments measured at fair value that distinguishes between assumptions based on market data (observable inputs) and our own assumptions (unobservable inputs). Our contingent consideration liability is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w:t>
      </w:r>
    </w:p>
    <w:p>
      <w:pPr>
        <w:spacing w:after="0" w:line="193" w:lineRule="exact"/>
        <w:rPr>
          <w:sz w:val="20"/>
          <w:szCs w:val="20"/>
          <w:color w:val="auto"/>
        </w:rPr>
      </w:pPr>
    </w:p>
    <w:p>
      <w:pPr>
        <w:ind w:left="460" w:right="40"/>
        <w:spacing w:after="0" w:line="287" w:lineRule="auto"/>
        <w:rPr>
          <w:sz w:val="20"/>
          <w:szCs w:val="20"/>
          <w:color w:val="auto"/>
        </w:rPr>
      </w:pPr>
      <w:r>
        <w:rPr>
          <w:rFonts w:ascii="Arial" w:cs="Arial" w:eastAsia="Arial" w:hAnsi="Arial"/>
          <w:sz w:val="16"/>
          <w:szCs w:val="16"/>
          <w:color w:val="auto"/>
        </w:rPr>
        <w:t>Our contingent consideration liability is a result of our acquisition of Ambrell on May 24, 2017, and it represents the estimated fair value of the additional cash consideration payable that is contingent upon the achievement of certain financial results by Ambrell in 2018, as discussed more fully in Note 3. The fair value of this Level 3 instrument involves generating various scenarios for projected adjusted EBITDA over a specified time period, calculating the associated contingent consideration payments and discounting the average payments to present value. During the second half of 2017, we recorded a $7.0 million increase in the fair value of our contingent consideration liability. This increase primarily reflected higher actual adjusted EBITDA for the year ended December 31, 2017 as a result of significantly higher than expected levels of net revenues and EBITDA in the fourth quarter of 2017, and an increase in the projected adjusted EBITDA for the year ended December 31, 2018, also as a result of forecasts for net revenues in 2018 which exceed the amounts projected as of the acquisition date. As of December 31, 2017, the contingent consideration liability on our balance sheet for the 2018 earnout was $5.7 million. During 2018, we recorded an additional $6.9 million increase in the fair value of the contingent consideration liability. As of December 31, 2018, we transferred the contingent consideration liability to earnout payable. The earnout payable recorded at December 31, 2018 was $12.2 million which was based on the actual adjusted EBITDA for Ambrell for 2018.</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As of December 31, 2018 and 2017, we had a net deferred tax liability of $2.7 million and $2.6 million, respectively. Our deferred tax valuation allowance at December 31, 2018 and 2017 was $241,000 and $370,000, respectively.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9"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There were no off-balance sheet arrangements during the year ended December 31, 2018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9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00" w:lineRule="exact"/>
        <w:rPr>
          <w:sz w:val="20"/>
          <w:szCs w:val="20"/>
          <w:color w:val="auto"/>
        </w:rPr>
      </w:pPr>
    </w:p>
    <w:p>
      <w:pPr>
        <w:spacing w:after="0" w:line="23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financial statements are set forth in this Report beginning at page F-1 and are incorporated by reference into this Item 8.</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4" w:lineRule="exact"/>
        <w:rPr>
          <w:sz w:val="20"/>
          <w:szCs w:val="20"/>
          <w:color w:val="auto"/>
        </w:rPr>
      </w:pPr>
    </w:p>
    <w:p>
      <w:pPr>
        <w:ind w:left="460" w:right="60"/>
        <w:spacing w:after="0" w:line="281" w:lineRule="auto"/>
        <w:rPr>
          <w:sz w:val="20"/>
          <w:szCs w:val="20"/>
          <w:color w:val="auto"/>
        </w:rPr>
      </w:pPr>
      <w:r>
        <w:rPr>
          <w:rFonts w:ascii="Arial" w:cs="Arial" w:eastAsia="Arial" w:hAnsi="Arial"/>
          <w:sz w:val="17"/>
          <w:szCs w:val="17"/>
          <w:b w:val="1"/>
          <w:bCs w:val="1"/>
          <w:color w:val="auto"/>
        </w:rPr>
        <w:t>CEO/CFO Conclusions about the Effectiveness of the Disclosure Controls and Procedures</w:t>
      </w:r>
      <w:r>
        <w:rPr>
          <w:rFonts w:ascii="Arial" w:cs="Arial" w:eastAsia="Arial" w:hAnsi="Arial"/>
          <w:sz w:val="17"/>
          <w:szCs w:val="17"/>
          <w:color w:val="auto"/>
        </w:rPr>
        <w:t>. As required by Rule 13a-15(b) of the Exchange Act,</w:t>
      </w:r>
      <w:r>
        <w:rPr>
          <w:rFonts w:ascii="Arial" w:cs="Arial" w:eastAsia="Arial" w:hAnsi="Arial"/>
          <w:sz w:val="17"/>
          <w:szCs w:val="17"/>
          <w:b w:val="1"/>
          <w:bCs w:val="1"/>
          <w:color w:val="auto"/>
        </w:rPr>
        <w:t xml:space="preserve"> </w:t>
      </w:r>
      <w:r>
        <w:rPr>
          <w:rFonts w:ascii="Arial" w:cs="Arial" w:eastAsia="Arial" w:hAnsi="Arial"/>
          <w:sz w:val="17"/>
          <w:szCs w:val="17"/>
          <w:color w:val="auto"/>
        </w:rPr>
        <w:t>inTEST 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29"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8"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302" w:lineRule="exact"/>
        <w:rPr>
          <w:rFonts w:ascii="Arial" w:cs="Arial" w:eastAsia="Arial" w:hAnsi="Arial"/>
          <w:sz w:val="16"/>
          <w:szCs w:val="16"/>
          <w:color w:val="auto"/>
        </w:rPr>
      </w:pPr>
    </w:p>
    <w:p>
      <w:pPr>
        <w:ind w:left="1300" w:right="40" w:hanging="320"/>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208" w:lineRule="exact"/>
        <w:rPr>
          <w:rFonts w:ascii="Arial" w:cs="Arial" w:eastAsia="Arial" w:hAnsi="Arial"/>
          <w:sz w:val="18"/>
          <w:szCs w:val="18"/>
          <w:color w:val="auto"/>
        </w:rPr>
      </w:pPr>
    </w:p>
    <w:p>
      <w:pPr>
        <w:ind w:left="1300" w:right="22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left="460" w:right="300"/>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460" w:right="300"/>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2018. In making this assessment, management used the criteria set forth by the Committee of Sponsoring Organizations of the Treadway Commission (COSO) on Internal Control-Integrated 2013 Framework</w:t>
      </w:r>
      <w:r>
        <w:rPr>
          <w:rFonts w:ascii="Arial" w:cs="Arial" w:eastAsia="Arial" w:hAnsi="Arial"/>
          <w:sz w:val="18"/>
          <w:szCs w:val="18"/>
          <w:i w:val="1"/>
          <w:iCs w:val="1"/>
          <w:color w:val="auto"/>
        </w:rPr>
        <w:t>.</w:t>
      </w:r>
      <w:r>
        <w:rPr>
          <w:rFonts w:ascii="Arial" w:cs="Arial" w:eastAsia="Arial" w:hAnsi="Arial"/>
          <w:sz w:val="18"/>
          <w:szCs w:val="18"/>
          <w:color w:val="auto"/>
        </w:rPr>
        <w:t xml:space="preserve"> Based upon this assessment, management believes that, as of December 31, 2018, our internal control over financial reporting is effective at a reasonable assurance level.</w:t>
      </w:r>
    </w:p>
    <w:p>
      <w:pPr>
        <w:spacing w:after="0" w:line="18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as such an attestation is not required pursuant to rules of the SEC applicable to smaller reporting companies.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PART III</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2018 Annual Meeting of Stockholders to be filed with the SEC on or before April 30, 2019, or, if our proxy statement is not filed on or before April 30, 2019, will be filed by that date by an amendment to this Form 10-K.</w:t>
      </w:r>
    </w:p>
    <w:p>
      <w:pPr>
        <w:spacing w:after="0" w:line="39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2019 Annual Meeting of Stockholders to be filed with the SEC on or before April 30, 2019, or, if our proxy statement is not filed on or before April 30, 2019, will be filed by that date by an amendment to this Form 10-K.</w:t>
      </w:r>
    </w:p>
    <w:p>
      <w:pPr>
        <w:spacing w:after="0" w:line="393" w:lineRule="exact"/>
        <w:rPr>
          <w:sz w:val="20"/>
          <w:szCs w:val="20"/>
          <w:color w:val="auto"/>
        </w:rPr>
      </w:pPr>
    </w:p>
    <w:p>
      <w:pPr>
        <w:ind w:left="140" w:right="5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460" w:right="340"/>
        <w:spacing w:after="0" w:line="312" w:lineRule="auto"/>
        <w:rPr>
          <w:sz w:val="20"/>
          <w:szCs w:val="20"/>
          <w:color w:val="auto"/>
        </w:rPr>
      </w:pPr>
      <w:r>
        <w:rPr>
          <w:rFonts w:ascii="Arial" w:cs="Arial" w:eastAsia="Arial" w:hAnsi="Arial"/>
          <w:sz w:val="16"/>
          <w:szCs w:val="16"/>
          <w:color w:val="auto"/>
        </w:rPr>
        <w:t>The information required by Item 201(d) of Regulation S-K is set forth below. The remainder of the information required by this Item 12 is incorporated by reference from our definitive proxy statement for our 2019 Annual Meeting of Stockholders to be filed with the SEC on or before April 30, 2019, or, if our proxy statement is not filed on or before April 30, 2019, will be filed by that date by an amendment to this Form 10-K.</w:t>
      </w:r>
    </w:p>
    <w:p>
      <w:pPr>
        <w:spacing w:after="0" w:line="147"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as of December 31, 2018:</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Equity Compensation Plan Information</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Number of securities</w:t>
            </w:r>
          </w:p>
        </w:tc>
        <w:tc>
          <w:tcPr>
            <w:tcW w:w="100" w:type="dxa"/>
            <w:vAlign w:val="bottom"/>
          </w:tcPr>
          <w:p>
            <w:pPr>
              <w:spacing w:after="0"/>
              <w:rPr>
                <w:sz w:val="24"/>
                <w:szCs w:val="2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Weighted-average</w:t>
            </w: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to be issued upon</w:t>
            </w:r>
          </w:p>
        </w:tc>
        <w:tc>
          <w:tcPr>
            <w:tcW w:w="1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exercise price of</w:t>
            </w: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outstanding</w:t>
            </w: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for future issuance</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outstanding options,</w:t>
            </w:r>
          </w:p>
        </w:tc>
        <w:tc>
          <w:tcPr>
            <w:tcW w:w="1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equity</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940" w:type="dxa"/>
            <w:vAlign w:val="bottom"/>
            <w:gridSpan w:val="2"/>
          </w:tcPr>
          <w:p>
            <w:pPr>
              <w:jc w:val="center"/>
              <w:ind w:right="200"/>
              <w:spacing w:after="0" w:line="269" w:lineRule="exact"/>
              <w:rPr>
                <w:sz w:val="20"/>
                <w:szCs w:val="20"/>
                <w:color w:val="auto"/>
              </w:rPr>
            </w:pPr>
            <w:r>
              <w:rPr>
                <w:rFonts w:ascii="Arial" w:cs="Arial" w:eastAsia="Arial" w:hAnsi="Arial"/>
                <w:sz w:val="18"/>
                <w:szCs w:val="18"/>
                <w:b w:val="1"/>
                <w:bCs w:val="1"/>
                <w:color w:val="auto"/>
                <w:w w:val="88"/>
              </w:rPr>
              <w:t>warrants and rights</w:t>
            </w:r>
            <w:r>
              <w:rPr>
                <w:rFonts w:ascii="Arial" w:cs="Arial" w:eastAsia="Arial" w:hAnsi="Arial"/>
                <w:sz w:val="30"/>
                <w:szCs w:val="30"/>
                <w:b w:val="1"/>
                <w:bCs w:val="1"/>
                <w:color w:val="auto"/>
                <w:w w:val="88"/>
                <w:vertAlign w:val="superscript"/>
              </w:rPr>
              <w:t>(1)</w:t>
            </w:r>
          </w:p>
        </w:tc>
        <w:tc>
          <w:tcPr>
            <w:tcW w:w="100" w:type="dxa"/>
            <w:vAlign w:val="bottom"/>
          </w:tcPr>
          <w:p>
            <w:pPr>
              <w:spacing w:after="0"/>
              <w:rPr>
                <w:sz w:val="23"/>
                <w:szCs w:val="23"/>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warrants and rights</w:t>
            </w:r>
          </w:p>
        </w:tc>
        <w:tc>
          <w:tcPr>
            <w:tcW w:w="1840" w:type="dxa"/>
            <w:vAlign w:val="bottom"/>
            <w:gridSpan w:val="2"/>
          </w:tcPr>
          <w:p>
            <w:pPr>
              <w:jc w:val="center"/>
              <w:ind w:right="100"/>
              <w:spacing w:after="0" w:line="269" w:lineRule="exact"/>
              <w:rPr>
                <w:sz w:val="20"/>
                <w:szCs w:val="20"/>
                <w:color w:val="auto"/>
              </w:rPr>
            </w:pPr>
            <w:r>
              <w:rPr>
                <w:rFonts w:ascii="Arial" w:cs="Arial" w:eastAsia="Arial" w:hAnsi="Arial"/>
                <w:sz w:val="18"/>
                <w:szCs w:val="18"/>
                <w:b w:val="1"/>
                <w:bCs w:val="1"/>
                <w:color w:val="auto"/>
                <w:w w:val="85"/>
              </w:rPr>
              <w:t>compensation plans</w:t>
            </w:r>
            <w:r>
              <w:rPr>
                <w:rFonts w:ascii="Arial" w:cs="Arial" w:eastAsia="Arial" w:hAnsi="Arial"/>
                <w:sz w:val="30"/>
                <w:szCs w:val="30"/>
                <w:b w:val="1"/>
                <w:bCs w:val="1"/>
                <w:color w:val="auto"/>
                <w:w w:val="85"/>
                <w:vertAlign w:val="superscript"/>
              </w:rPr>
              <w:t>(2)</w:t>
            </w:r>
          </w:p>
        </w:tc>
      </w:tr>
      <w:tr>
        <w:trPr>
          <w:trHeight w:val="210"/>
        </w:trPr>
        <w:tc>
          <w:tcPr>
            <w:tcW w:w="2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94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264,400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264,400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561,600</w:t>
            </w: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87"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The securities that may be issued are shares of inTEST common stock, issuable upon exercise of outstanding stock options.</w:t>
      </w:r>
    </w:p>
    <w:p>
      <w:pPr>
        <w:spacing w:after="0" w:line="28" w:lineRule="exact"/>
        <w:rPr>
          <w:rFonts w:ascii="Arial" w:cs="Arial" w:eastAsia="Arial" w:hAnsi="Arial"/>
          <w:sz w:val="30"/>
          <w:szCs w:val="30"/>
          <w:color w:val="auto"/>
          <w:vertAlign w:val="superscript"/>
        </w:rPr>
      </w:pPr>
    </w:p>
    <w:p>
      <w:pPr>
        <w:ind w:left="820" w:hanging="326"/>
        <w:spacing w:after="0" w:line="186" w:lineRule="auto"/>
        <w:tabs>
          <w:tab w:leader="none" w:pos="82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The securities that remain available for future issuance are issuable pursuant to the Amended and Restated 2014 Stock Plan.</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2019 Annual Meeting of Stockholders to be filed with the SEC on or before April 30, 2019, or, if our proxy statement is not filed on or before April 30, 2019, will be filed by that date by an amendment to this Form 10-K.</w:t>
      </w:r>
    </w:p>
    <w:p>
      <w:pPr>
        <w:spacing w:after="0" w:line="39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2019 Annual Meeting of Stockholders to be filed with the SEC on or before April 30, 2019, or, if our proxy statement is not filed on or before April 30, 2019, will be filed by that date by an amendment to this Form 10-K.</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 * * * * * * * * * * * * * * * * * * *</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880" w:hanging="41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documents filed as part of this Annual Report on Form 10-K are:</w:t>
      </w:r>
    </w:p>
    <w:p>
      <w:pPr>
        <w:spacing w:after="0" w:line="225" w:lineRule="exact"/>
        <w:rPr>
          <w:rFonts w:ascii="Arial" w:cs="Arial" w:eastAsia="Arial" w:hAnsi="Arial"/>
          <w:sz w:val="18"/>
          <w:szCs w:val="18"/>
          <w:color w:val="auto"/>
        </w:rPr>
      </w:pPr>
    </w:p>
    <w:p>
      <w:pPr>
        <w:ind w:left="800" w:right="340" w:hanging="9"/>
        <w:spacing w:after="0" w:line="258" w:lineRule="auto"/>
        <w:tabs>
          <w:tab w:leader="none" w:pos="11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consolidated financial statements and notes thereto as well as the applicable report of our independent registered public accounting firm are included in Part II, Item 8 of this Annual Report on Form 10-K.</w:t>
      </w:r>
    </w:p>
    <w:p>
      <w:pPr>
        <w:spacing w:after="0" w:line="1" w:lineRule="exact"/>
        <w:rPr>
          <w:rFonts w:ascii="Arial" w:cs="Arial" w:eastAsia="Arial" w:hAnsi="Arial"/>
          <w:sz w:val="18"/>
          <w:szCs w:val="18"/>
          <w:color w:val="auto"/>
        </w:rPr>
      </w:pPr>
    </w:p>
    <w:p>
      <w:pPr>
        <w:ind w:left="1180" w:hanging="389"/>
        <w:spacing w:after="0"/>
        <w:tabs>
          <w:tab w:leader="none" w:pos="11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following financial statement schedule should be read in conjunction with the consolidated financial statements set forth in Part II, Item</w:t>
      </w:r>
    </w:p>
    <w:p>
      <w:pPr>
        <w:spacing w:after="0" w:line="32"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8"/>
          <w:szCs w:val="18"/>
          <w:color w:val="auto"/>
        </w:rPr>
        <w:t>8 of this Annual Report on Form 10-K:</w:t>
      </w:r>
    </w:p>
    <w:p>
      <w:pPr>
        <w:spacing w:after="0" w:line="9" w:lineRule="exact"/>
        <w:rPr>
          <w:rFonts w:ascii="Arial" w:cs="Arial" w:eastAsia="Arial" w:hAnsi="Arial"/>
          <w:sz w:val="16"/>
          <w:szCs w:val="16"/>
          <w:color w:val="auto"/>
        </w:rPr>
      </w:pPr>
    </w:p>
    <w:p>
      <w:pPr>
        <w:ind w:left="1520"/>
        <w:spacing w:after="0"/>
        <w:rPr>
          <w:rFonts w:ascii="Arial" w:cs="Arial" w:eastAsia="Arial" w:hAnsi="Arial"/>
          <w:sz w:val="16"/>
          <w:szCs w:val="16"/>
          <w:color w:val="auto"/>
        </w:rPr>
      </w:pPr>
      <w:r>
        <w:rPr>
          <w:rFonts w:ascii="Arial" w:cs="Arial" w:eastAsia="Arial" w:hAnsi="Arial"/>
          <w:sz w:val="18"/>
          <w:szCs w:val="18"/>
          <w:color w:val="auto"/>
        </w:rPr>
        <w:t>Schedule II -- Valuation and Qualifying Accounts</w:t>
      </w:r>
    </w:p>
    <w:p>
      <w:pPr>
        <w:spacing w:after="0" w:line="9" w:lineRule="exact"/>
        <w:rPr>
          <w:rFonts w:ascii="Arial" w:cs="Arial" w:eastAsia="Arial" w:hAnsi="Arial"/>
          <w:sz w:val="16"/>
          <w:szCs w:val="16"/>
          <w:color w:val="auto"/>
        </w:rPr>
      </w:pPr>
    </w:p>
    <w:p>
      <w:pPr>
        <w:ind w:left="1200" w:hanging="409"/>
        <w:spacing w:after="0"/>
        <w:tabs>
          <w:tab w:leader="none" w:pos="12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are included under Item 15(b) of this Annual Report on Form 10-K.</w:t>
      </w:r>
    </w:p>
    <w:p>
      <w:pPr>
        <w:spacing w:after="0" w:line="210" w:lineRule="exact"/>
        <w:rPr>
          <w:rFonts w:ascii="Arial" w:cs="Arial" w:eastAsia="Arial" w:hAnsi="Arial"/>
          <w:sz w:val="18"/>
          <w:szCs w:val="18"/>
          <w:color w:val="auto"/>
        </w:rPr>
      </w:pPr>
    </w:p>
    <w:p>
      <w:pPr>
        <w:ind w:left="900" w:hanging="43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225" w:lineRule="exact"/>
        <w:rPr>
          <w:sz w:val="20"/>
          <w:szCs w:val="20"/>
          <w:color w:val="auto"/>
        </w:rPr>
      </w:pPr>
    </w:p>
    <w:p>
      <w:pPr>
        <w:ind w:left="800" w:right="200"/>
        <w:spacing w:after="0" w:line="277"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Exhibit Index immediately preceding the signature page, which Exhibit Index is incorporated herein by reference.</w:t>
      </w:r>
    </w:p>
    <w:p>
      <w:pPr>
        <w:spacing w:after="0" w:line="38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60" w:type="dxa"/>
            <w:vAlign w:val="bottom"/>
            <w:gridSpan w:val="17"/>
          </w:tcPr>
          <w:p>
            <w:pPr>
              <w:spacing w:after="0"/>
              <w:rPr>
                <w:sz w:val="20"/>
                <w:szCs w:val="20"/>
                <w:color w:val="auto"/>
              </w:rPr>
            </w:pPr>
            <w:r>
              <w:rPr>
                <w:rFonts w:ascii="Arial" w:cs="Arial" w:eastAsia="Arial" w:hAnsi="Arial"/>
                <w:sz w:val="18"/>
                <w:szCs w:val="18"/>
                <w:b w:val="1"/>
                <w:bCs w:val="1"/>
                <w:color w:val="auto"/>
              </w:rPr>
              <w:t>Index to Exhibits</w:t>
            </w:r>
          </w:p>
        </w:tc>
      </w:tr>
      <w:tr>
        <w:trPr>
          <w:trHeight w:val="650"/>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9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10380" w:type="dxa"/>
            <w:vAlign w:val="bottom"/>
            <w:gridSpan w:val="28"/>
          </w:tcPr>
          <w:p>
            <w:pPr>
              <w:spacing w:after="0" w:line="194" w:lineRule="exact"/>
              <w:rPr>
                <w:sz w:val="20"/>
                <w:szCs w:val="20"/>
                <w:color w:val="auto"/>
              </w:rPr>
            </w:pPr>
            <w:r>
              <w:rPr>
                <w:rFonts w:ascii="Arial" w:cs="Arial" w:eastAsia="Arial" w:hAnsi="Arial"/>
                <w:sz w:val="18"/>
                <w:szCs w:val="18"/>
                <w:b w:val="1"/>
                <w:bCs w:val="1"/>
                <w:color w:val="auto"/>
              </w:rPr>
              <w:t>Description of Exhibit</w:t>
            </w:r>
          </w:p>
        </w:tc>
      </w:tr>
      <w:tr>
        <w:trPr>
          <w:trHeight w:val="20"/>
        </w:trPr>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40" w:type="dxa"/>
            <w:vAlign w:val="bottom"/>
          </w:tcPr>
          <w:p>
            <w:pPr>
              <w:ind w:left="100"/>
              <w:spacing w:after="0" w:line="196"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w w:val="93"/>
              </w:rPr>
            </w:pPr>
            <w:hyperlink r:id="rId34">
              <w:r>
                <w:rPr>
                  <w:rFonts w:ascii="Arial" w:cs="Arial" w:eastAsia="Arial" w:hAnsi="Arial"/>
                  <w:sz w:val="18"/>
                  <w:szCs w:val="18"/>
                  <w:color w:val="0000EE"/>
                  <w:w w:val="93"/>
                </w:rPr>
                <w:t>Stock Purchase Agreement among Ambrell Holdings, LLC, Ambrell Corporation, Graycliff Private Equity Partners III LP, Hudson River Co-</w:t>
              </w:r>
            </w:hyperlink>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Investment Fund II LP and inTEST Corporation dated as of May 24, 2017 (1)</w:t>
              </w:r>
            </w:hyperlink>
          </w:p>
        </w:tc>
        <w:tc>
          <w:tcPr>
            <w:tcW w:w="60" w:type="dxa"/>
            <w:vAlign w:val="bottom"/>
          </w:tcPr>
          <w:p>
            <w:pPr>
              <w:spacing w:after="0"/>
              <w:rPr>
                <w:sz w:val="17"/>
                <w:szCs w:val="17"/>
                <w:color w:val="auto"/>
              </w:rPr>
            </w:pPr>
          </w:p>
        </w:tc>
      </w:tr>
      <w:tr>
        <w:trPr>
          <w:trHeight w:val="196"/>
        </w:trPr>
        <w:tc>
          <w:tcPr>
            <w:tcW w:w="640" w:type="dxa"/>
            <w:vAlign w:val="bottom"/>
          </w:tcPr>
          <w:p>
            <w:pPr>
              <w:ind w:left="100"/>
              <w:spacing w:after="0" w:line="196"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Certificate of Incorporation. (2)</w:t>
              </w:r>
            </w:hyperlink>
          </w:p>
        </w:tc>
        <w:tc>
          <w:tcPr>
            <w:tcW w:w="4660" w:type="dxa"/>
            <w:vAlign w:val="bottom"/>
            <w:gridSpan w:val="12"/>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640" w:type="dxa"/>
            <w:vAlign w:val="bottom"/>
          </w:tcPr>
          <w:p>
            <w:pPr>
              <w:ind w:left="100"/>
              <w:spacing w:after="0" w:line="196" w:lineRule="exact"/>
              <w:rPr>
                <w:sz w:val="20"/>
                <w:szCs w:val="20"/>
                <w:color w:val="auto"/>
              </w:rPr>
            </w:pPr>
            <w:r>
              <w:rPr>
                <w:rFonts w:ascii="Arial" w:cs="Arial" w:eastAsia="Arial" w:hAnsi="Arial"/>
                <w:sz w:val="18"/>
                <w:szCs w:val="18"/>
                <w:color w:val="auto"/>
              </w:rPr>
              <w:t>3.2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36">
              <w:r>
                <w:rPr>
                  <w:rFonts w:ascii="Arial" w:cs="Arial" w:eastAsia="Arial" w:hAnsi="Arial"/>
                  <w:sz w:val="18"/>
                  <w:szCs w:val="18"/>
                  <w:color w:val="0000EE"/>
                  <w:w w:val="90"/>
                </w:rPr>
                <w:t>Bylaws as amended and restated on April 23, 2018. (3)</w:t>
              </w:r>
            </w:hyperlink>
          </w:p>
        </w:tc>
        <w:tc>
          <w:tcPr>
            <w:tcW w:w="6280" w:type="dxa"/>
            <w:vAlign w:val="bottom"/>
            <w:gridSpan w:val="18"/>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37">
              <w:r>
                <w:rPr>
                  <w:rFonts w:ascii="Arial" w:cs="Arial" w:eastAsia="Arial" w:hAnsi="Arial"/>
                  <w:sz w:val="18"/>
                  <w:szCs w:val="18"/>
                  <w:color w:val="0000EE"/>
                  <w:w w:val="89"/>
                </w:rPr>
                <w:t>Lease Agreement between Exeter 804 East Gate, LLC and the Company dated May 10, 2010. (4)</w:t>
              </w:r>
            </w:hyperlink>
          </w:p>
        </w:tc>
        <w:tc>
          <w:tcPr>
            <w:tcW w:w="3240" w:type="dxa"/>
            <w:vAlign w:val="bottom"/>
            <w:gridSpan w:val="11"/>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w w:val="93"/>
              </w:rPr>
            </w:pPr>
            <w:hyperlink r:id="rId38">
              <w:r>
                <w:rPr>
                  <w:rFonts w:ascii="Arial" w:cs="Arial" w:eastAsia="Arial" w:hAnsi="Arial"/>
                  <w:sz w:val="18"/>
                  <w:szCs w:val="18"/>
                  <w:color w:val="0000EE"/>
                  <w:w w:val="93"/>
                </w:rPr>
                <w:t>Lease Agreement between AMB-SGP Seattle/Boston, LLC and Temptronic Corporation (a subsidiary of the Company), dated October 25,</w:t>
              </w:r>
            </w:hyperlink>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38">
              <w:r>
                <w:rPr>
                  <w:rFonts w:ascii="Arial" w:cs="Arial" w:eastAsia="Arial" w:hAnsi="Arial"/>
                  <w:sz w:val="18"/>
                  <w:szCs w:val="18"/>
                  <w:color w:val="0000EE"/>
                  <w:w w:val="88"/>
                </w:rPr>
                <w:t>2010. (5)</w:t>
              </w:r>
            </w:hyperlink>
          </w:p>
        </w:tc>
        <w:tc>
          <w:tcPr>
            <w:tcW w:w="9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Lease Agreement between Columbia California Warm Springs Industrial, LLC and inTEST Silicon Valley Corporation dated January 9, 2012.</w:t>
              </w:r>
            </w:hyperlink>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39">
              <w:r>
                <w:rPr>
                  <w:rFonts w:ascii="Arial" w:cs="Arial" w:eastAsia="Arial" w:hAnsi="Arial"/>
                  <w:sz w:val="18"/>
                  <w:szCs w:val="18"/>
                  <w:color w:val="0000EE"/>
                  <w:w w:val="90"/>
                </w:rPr>
                <w:t>(6)</w:t>
              </w:r>
            </w:hyperlink>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First Amendment to Lease Agreement between Columbia California Warm Springs Industrial, LLC and inTEST Silicon Valley Corporation</w:t>
              </w:r>
            </w:hyperlink>
          </w:p>
        </w:tc>
        <w:tc>
          <w:tcPr>
            <w:tcW w:w="180" w:type="dxa"/>
            <w:vAlign w:val="bottom"/>
            <w:gridSpan w:val="2"/>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40">
              <w:r>
                <w:rPr>
                  <w:rFonts w:ascii="Arial" w:cs="Arial" w:eastAsia="Arial" w:hAnsi="Arial"/>
                  <w:sz w:val="18"/>
                  <w:szCs w:val="18"/>
                  <w:color w:val="0000EE"/>
                  <w:w w:val="89"/>
                </w:rPr>
                <w:t>dated November 18, 2016. (7)</w:t>
              </w:r>
            </w:hyperlink>
          </w:p>
        </w:tc>
        <w:tc>
          <w:tcPr>
            <w:tcW w:w="8080" w:type="dxa"/>
            <w:vAlign w:val="bottom"/>
            <w:gridSpan w:val="23"/>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w w:val="96"/>
              </w:rPr>
            </w:pPr>
            <w:hyperlink r:id="rId41">
              <w:r>
                <w:rPr>
                  <w:rFonts w:ascii="Arial" w:cs="Arial" w:eastAsia="Arial" w:hAnsi="Arial"/>
                  <w:sz w:val="18"/>
                  <w:szCs w:val="18"/>
                  <w:color w:val="0000EE"/>
                  <w:w w:val="96"/>
                </w:rPr>
                <w:t>Guaranty Agreements between Columbia California Warm Springs Industrial, LLC and inTEST Corporation dated January 9, 2012. (6)</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Lease Agreement between Maguire Family Properties, Inc. and Ambrell Corporation dated December 19, 2017 (8)</w:t>
              </w:r>
            </w:hyperlink>
          </w:p>
        </w:tc>
        <w:tc>
          <w:tcPr>
            <w:tcW w:w="500" w:type="dxa"/>
            <w:vAlign w:val="bottom"/>
            <w:gridSpan w:val="4"/>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Guaranty of Lease between Maguire Family Properties, Inc. and Ambrell Corporation dated December 19, 2017 (8)</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r:id="rId44">
              <w:r>
                <w:rPr>
                  <w:rFonts w:ascii="Arial" w:cs="Arial" w:eastAsia="Arial" w:hAnsi="Arial"/>
                  <w:sz w:val="18"/>
                  <w:szCs w:val="18"/>
                  <w:color w:val="0000EE"/>
                  <w:w w:val="94"/>
                </w:rPr>
                <w:t>Form of Indemnification Agreement (9)(*)</w:t>
              </w:r>
            </w:hyperlink>
          </w:p>
        </w:tc>
        <w:tc>
          <w:tcPr>
            <w:tcW w:w="5240" w:type="dxa"/>
            <w:vAlign w:val="bottom"/>
            <w:tcBorders>
              <w:top w:val="single" w:sz="8" w:color="0000EE"/>
            </w:tcBorders>
            <w:gridSpan w:val="14"/>
          </w:tcPr>
          <w:p>
            <w:pPr>
              <w:spacing w:after="0"/>
              <w:rPr>
                <w:sz w:val="17"/>
                <w:szCs w:val="17"/>
                <w:color w:val="auto"/>
              </w:rPr>
            </w:pPr>
          </w:p>
        </w:tc>
        <w:tc>
          <w:tcPr>
            <w:tcW w:w="1920" w:type="dxa"/>
            <w:vAlign w:val="bottom"/>
            <w:gridSpan w:val="7"/>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Amended and Restated inTEST Corporation 2014 Stock Plan (10)(*)</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inTEST Corporation 2007 Stock Plan. (11)(*)</w:t>
              </w:r>
            </w:hyperlink>
          </w:p>
        </w:tc>
        <w:tc>
          <w:tcPr>
            <w:tcW w:w="1660" w:type="dxa"/>
            <w:vAlign w:val="bottom"/>
            <w:tcBorders>
              <w:top w:val="single" w:sz="8" w:color="0000EE"/>
            </w:tcBorders>
            <w:gridSpan w:val="5"/>
          </w:tcPr>
          <w:p>
            <w:pPr>
              <w:spacing w:after="0"/>
              <w:rPr>
                <w:sz w:val="17"/>
                <w:szCs w:val="17"/>
                <w:color w:val="auto"/>
              </w:rPr>
            </w:pPr>
          </w:p>
        </w:tc>
        <w:tc>
          <w:tcPr>
            <w:tcW w:w="5280" w:type="dxa"/>
            <w:vAlign w:val="bottom"/>
            <w:gridSpan w:val="15"/>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Form of Restricted Stock Award Agreement. (12)(*)</w:t>
              </w:r>
            </w:hyperlink>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Borders>
              <w:right w:val="single" w:sz="8" w:color="0000EE"/>
            </w:tcBorders>
            <w:gridSpan w:val="8"/>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48">
              <w:r>
                <w:rPr>
                  <w:rFonts w:ascii="Arial" w:cs="Arial" w:eastAsia="Arial" w:hAnsi="Arial"/>
                  <w:sz w:val="18"/>
                  <w:szCs w:val="18"/>
                  <w:color w:val="0000EE"/>
                  <w:w w:val="93"/>
                </w:rPr>
                <w:t>Form of Non-Qualified Stock Option Agreement. (12)(*)</w:t>
              </w:r>
            </w:hyperlink>
          </w:p>
        </w:tc>
        <w:tc>
          <w:tcPr>
            <w:tcW w:w="6120" w:type="dxa"/>
            <w:vAlign w:val="bottom"/>
            <w:gridSpan w:val="16"/>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49">
              <w:r>
                <w:rPr>
                  <w:rFonts w:ascii="Arial" w:cs="Arial" w:eastAsia="Arial" w:hAnsi="Arial"/>
                  <w:sz w:val="18"/>
                  <w:szCs w:val="18"/>
                  <w:color w:val="0000EE"/>
                  <w:w w:val="93"/>
                </w:rPr>
                <w:t>Form of Incentive Stock Option Agreement. (12)(*)</w:t>
              </w:r>
            </w:hyperlink>
          </w:p>
        </w:tc>
        <w:tc>
          <w:tcPr>
            <w:tcW w:w="6480" w:type="dxa"/>
            <w:vAlign w:val="bottom"/>
            <w:gridSpan w:val="19"/>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50">
              <w:r>
                <w:rPr>
                  <w:rFonts w:ascii="Arial" w:cs="Arial" w:eastAsia="Arial" w:hAnsi="Arial"/>
                  <w:sz w:val="18"/>
                  <w:szCs w:val="18"/>
                  <w:color w:val="0000EE"/>
                  <w:w w:val="90"/>
                </w:rPr>
                <w:t>Change of Control Agreement dated August 27, 2007 between the Company and Hugh T. Regan, Jr. (13)(*)</w:t>
              </w:r>
            </w:hyperlink>
          </w:p>
        </w:tc>
        <w:tc>
          <w:tcPr>
            <w:tcW w:w="2480" w:type="dxa"/>
            <w:vAlign w:val="bottom"/>
            <w:gridSpan w:val="9"/>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Change of Control Agreement dated May 5, 2008 between the Company and James Pelrin. (14)(*)</w:t>
              </w:r>
            </w:hyperlink>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40" w:type="dxa"/>
            <w:vAlign w:val="bottom"/>
            <w:gridSpan w:val="13"/>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Amendment to Change of Control Agreement dated December 31, 2008 between the Company and Hugh T. Regan, Jr. (15)(*)</w:t>
              </w:r>
            </w:hyperlink>
          </w:p>
        </w:tc>
        <w:tc>
          <w:tcPr>
            <w:tcW w:w="1140" w:type="dxa"/>
            <w:vAlign w:val="bottom"/>
            <w:gridSpan w:val="5"/>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Amendment to Change of Control Agreement dated December 31, 2008 between the Company and James Pelrin. (15)(*)</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Compensatory Arrangements of Executive Officers and Directors. (*)(16)</w:t>
              </w:r>
            </w:hyperlink>
          </w:p>
        </w:tc>
        <w:tc>
          <w:tcPr>
            <w:tcW w:w="3380" w:type="dxa"/>
            <w:vAlign w:val="bottom"/>
            <w:tcBorders>
              <w:top w:val="single" w:sz="8" w:color="0000EE"/>
            </w:tcBorders>
            <w:gridSpan w:val="8"/>
          </w:tcPr>
          <w:p>
            <w:pPr>
              <w:spacing w:after="0"/>
              <w:rPr>
                <w:sz w:val="17"/>
                <w:szCs w:val="17"/>
                <w:color w:val="auto"/>
              </w:rPr>
            </w:pPr>
          </w:p>
        </w:tc>
        <w:tc>
          <w:tcPr>
            <w:tcW w:w="1540" w:type="dxa"/>
            <w:vAlign w:val="bottom"/>
            <w:gridSpan w:val="6"/>
          </w:tcPr>
          <w:p>
            <w:pPr>
              <w:spacing w:after="0"/>
              <w:rPr>
                <w:sz w:val="17"/>
                <w:szCs w:val="17"/>
                <w:color w:val="auto"/>
              </w:rPr>
            </w:pPr>
          </w:p>
        </w:tc>
      </w:tr>
    </w:tbl>
    <w:p>
      <w:pPr>
        <w:spacing w:after="0" w:line="13" w:lineRule="exact"/>
        <w:rPr>
          <w:sz w:val="20"/>
          <w:szCs w:val="20"/>
          <w:color w:val="auto"/>
        </w:rPr>
      </w:pPr>
    </w:p>
    <w:p>
      <w:pPr>
        <w:ind w:left="1040" w:hanging="1032"/>
        <w:spacing w:after="0"/>
        <w:tabs>
          <w:tab w:leader="none" w:pos="1040" w:val="left"/>
        </w:tabs>
        <w:numPr>
          <w:ilvl w:val="0"/>
          <w:numId w:val="12"/>
        </w:numPr>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Code of Ethics. (17)</w:t>
        </w:r>
      </w:hyperlink>
    </w:p>
    <w:p>
      <w:pPr>
        <w:spacing w:after="0" w:line="23" w:lineRule="exact"/>
        <w:rPr>
          <w:sz w:val="20"/>
          <w:szCs w:val="20"/>
          <w:color w:val="auto"/>
        </w:rPr>
      </w:pPr>
    </w:p>
    <w:p>
      <w:pPr>
        <w:ind w:left="1040" w:hanging="1032"/>
        <w:spacing w:after="0"/>
        <w:tabs>
          <w:tab w:leader="none" w:pos="1040" w:val="left"/>
        </w:tabs>
        <w:numPr>
          <w:ilvl w:val="0"/>
          <w:numId w:val="13"/>
        </w:numPr>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Subsidiaries of the Company.</w:t>
        </w:r>
      </w:hyperlink>
    </w:p>
    <w:p>
      <w:pPr>
        <w:spacing w:after="0" w:line="9" w:lineRule="exact"/>
        <w:rPr>
          <w:sz w:val="20"/>
          <w:szCs w:val="20"/>
          <w:color w:val="auto"/>
        </w:rPr>
      </w:pPr>
    </w:p>
    <w:p>
      <w:pPr>
        <w:ind w:left="1040" w:hanging="1032"/>
        <w:spacing w:after="0"/>
        <w:tabs>
          <w:tab w:leader="none" w:pos="1040" w:val="left"/>
        </w:tabs>
        <w:numPr>
          <w:ilvl w:val="0"/>
          <w:numId w:val="14"/>
        </w:numPr>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Consent of RSM US LLP.</w:t>
        </w:r>
      </w:hyperlink>
    </w:p>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line="185" w:lineRule="exact"/>
              <w:rPr>
                <w:sz w:val="20"/>
                <w:szCs w:val="20"/>
                <w:color w:val="auto"/>
              </w:rPr>
            </w:pPr>
            <w:r>
              <w:rPr>
                <w:rFonts w:ascii="Arial" w:cs="Arial" w:eastAsia="Arial" w:hAnsi="Arial"/>
                <w:sz w:val="18"/>
                <w:szCs w:val="18"/>
                <w:color w:val="auto"/>
              </w:rPr>
              <w:t>31.1</w:t>
            </w:r>
          </w:p>
        </w:tc>
        <w:tc>
          <w:tcPr>
            <w:tcW w:w="10380" w:type="dxa"/>
            <w:vAlign w:val="bottom"/>
            <w:gridSpan w:val="5"/>
          </w:tcPr>
          <w:p>
            <w:pPr>
              <w:spacing w:after="0" w:line="185" w:lineRule="exact"/>
              <w:rPr>
                <w:rFonts w:ascii="Arial" w:cs="Arial" w:eastAsia="Arial" w:hAnsi="Arial"/>
                <w:sz w:val="18"/>
                <w:szCs w:val="18"/>
                <w:color w:val="0000EE"/>
              </w:rPr>
            </w:pPr>
            <w:hyperlink w:anchor="page62">
              <w:r>
                <w:rPr>
                  <w:rFonts w:ascii="Arial" w:cs="Arial" w:eastAsia="Arial" w:hAnsi="Arial"/>
                  <w:sz w:val="18"/>
                  <w:szCs w:val="18"/>
                  <w:color w:val="0000EE"/>
                </w:rPr>
                <w:t>Certification of Chief Executive Officer pursuant to Rule 13a-14(a).</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Certification of Chief Financial Officer pursuant to Rule 13a-14(a).</w:t>
              </w:r>
            </w:hyperlink>
          </w:p>
        </w:tc>
        <w:tc>
          <w:tcPr>
            <w:tcW w:w="40" w:type="dxa"/>
            <w:vAlign w:val="bottom"/>
            <w:tcBorders>
              <w:top w:val="single" w:sz="8" w:color="0000EE"/>
            </w:tcBorders>
          </w:tcPr>
          <w:p>
            <w:pPr>
              <w:spacing w:after="0"/>
              <w:rPr>
                <w:sz w:val="17"/>
                <w:szCs w:val="17"/>
                <w:color w:val="auto"/>
              </w:rPr>
            </w:pPr>
          </w:p>
        </w:tc>
        <w:tc>
          <w:tcPr>
            <w:tcW w:w="5480" w:type="dxa"/>
            <w:vAlign w:val="bottom"/>
            <w:gridSpan w:val="3"/>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72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Certification of Chief Executive Officer pursuant to Section 906 of the Sarbanes-Oxley Act of 2002.</w:t>
              </w:r>
            </w:hyperlink>
          </w:p>
        </w:tc>
        <w:tc>
          <w:tcPr>
            <w:tcW w:w="314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380" w:type="dxa"/>
            <w:vAlign w:val="bottom"/>
            <w:gridSpan w:val="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Certification of Chief Financial Officer pursuant to Section 906 of the Sarbanes-Oxley Act of 2002.</w:t>
              </w:r>
            </w:hyperlink>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71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Taxonomy Instance Document</w:t>
            </w:r>
          </w:p>
        </w:tc>
        <w:tc>
          <w:tcPr>
            <w:tcW w:w="3200" w:type="dxa"/>
            <w:vAlign w:val="bottom"/>
            <w:gridSpan w:val="2"/>
          </w:tcPr>
          <w:p>
            <w:pPr>
              <w:spacing w:after="0"/>
              <w:rPr>
                <w:sz w:val="19"/>
                <w:szCs w:val="19"/>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040" w:type="dxa"/>
            <w:vAlign w:val="bottom"/>
          </w:tcPr>
          <w:p>
            <w:pPr>
              <w:spacing w:after="0"/>
              <w:rPr>
                <w:sz w:val="24"/>
                <w:szCs w:val="24"/>
                <w:color w:val="auto"/>
              </w:rPr>
            </w:pPr>
          </w:p>
        </w:tc>
        <w:tc>
          <w:tcPr>
            <w:tcW w:w="4900" w:type="dxa"/>
            <w:vAlign w:val="bottom"/>
            <w:gridSpan w:val="2"/>
          </w:tcPr>
          <w:p>
            <w:pPr>
              <w:ind w:left="4480"/>
              <w:spacing w:after="0"/>
              <w:rPr>
                <w:sz w:val="20"/>
                <w:szCs w:val="20"/>
                <w:color w:val="auto"/>
              </w:rPr>
            </w:pPr>
            <w:r>
              <w:rPr>
                <w:rFonts w:ascii="Arial" w:cs="Arial" w:eastAsia="Arial" w:hAnsi="Arial"/>
                <w:sz w:val="18"/>
                <w:szCs w:val="18"/>
                <w:color w:val="auto"/>
                <w:w w:val="95"/>
              </w:rPr>
              <w:t>- 29 -</w:t>
            </w:r>
          </w:p>
        </w:tc>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27" w:lineRule="exact"/>
        <w:rPr>
          <w:sz w:val="20"/>
          <w:szCs w:val="20"/>
          <w:color w:val="auto"/>
        </w:rPr>
      </w:pPr>
    </w:p>
    <w:p>
      <w:pPr>
        <w:ind w:left="620" w:right="260" w:hanging="612"/>
        <w:spacing w:after="0" w:line="25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May 24, 2017, File No. 001-36117, filed May 24, 2017, and incorporated herein by reference.</w:t>
      </w:r>
    </w:p>
    <w:p>
      <w:pPr>
        <w:spacing w:after="0" w:line="1" w:lineRule="exact"/>
        <w:rPr>
          <w:rFonts w:ascii="Arial" w:cs="Arial" w:eastAsia="Arial" w:hAnsi="Arial"/>
          <w:sz w:val="18"/>
          <w:szCs w:val="18"/>
          <w:color w:val="auto"/>
        </w:rPr>
      </w:pPr>
    </w:p>
    <w:p>
      <w:pPr>
        <w:ind w:left="620" w:right="34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Registration Statement on Form S-1, File No. 333-26457 filed May 2, 1997, and incorporated herein by reference.</w:t>
      </w:r>
    </w:p>
    <w:p>
      <w:pPr>
        <w:ind w:left="620" w:right="18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23, 2018, File No. 001-36117, filed April 25, 2018, and incorporated herein by reference.</w:t>
      </w:r>
    </w:p>
    <w:p>
      <w:pPr>
        <w:ind w:left="62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May 10, 2010, File No. 000-22529, filed May 13, 2010, and incorporated herein by reference.</w:t>
      </w:r>
    </w:p>
    <w:p>
      <w:pPr>
        <w:ind w:left="620" w:right="40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27, 2010, File No. 000-22529, filed October 29, 2010, and incorporated herein by reference.</w:t>
      </w:r>
    </w:p>
    <w:p>
      <w:pPr>
        <w:ind w:left="620" w:right="2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March 31, 2012, File No. 000-22529, filed May 15, 2012, and incorporated herein by reference.</w:t>
      </w:r>
    </w:p>
    <w:p>
      <w:pPr>
        <w:ind w:left="620" w:right="22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November 18, 2016, File No. 001-36117, filed November 22, 2016, and incorporated herein by reference.</w:t>
      </w:r>
    </w:p>
    <w:p>
      <w:pPr>
        <w:ind w:left="620" w:right="22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December 19, 2017, File No. 001-36117, filed December 22, 2017, and incorporated herein by reference.</w:t>
      </w:r>
    </w:p>
    <w:p>
      <w:pPr>
        <w:ind w:left="620" w:right="48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2, 2017, File No. 001-36117, filed October 6, 2017, and incorporated herein by reference.</w:t>
      </w:r>
    </w:p>
    <w:p>
      <w:pPr>
        <w:ind w:left="620" w:right="12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June 27, 2018, File No. 001-36117, filed July 2, 2018.</w:t>
      </w:r>
    </w:p>
    <w:p>
      <w:pPr>
        <w:ind w:left="620" w:right="6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2017, File No. 001-36117, filed March 28, 2017.</w:t>
      </w:r>
    </w:p>
    <w:p>
      <w:pPr>
        <w:ind w:left="620" w:right="2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March 31, 2016, File No. 001-36117, filed May 13, 2016, and incorporated herein by reference.</w:t>
      </w:r>
    </w:p>
    <w:p>
      <w:pPr>
        <w:ind w:left="620" w:right="8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2007, File No. 000-22529, filed March 31, 2008, and incorporated herein by reference.</w:t>
      </w:r>
    </w:p>
    <w:p>
      <w:pPr>
        <w:ind w:left="620" w:right="24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2008, File No. 000-22529, filed August 14, 2008, and incorporated herein by reference.</w:t>
      </w:r>
    </w:p>
    <w:p>
      <w:pPr>
        <w:ind w:left="620" w:right="24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2009, File No. 000-22529, filed August 14, 2009, and incorporated herein by reference.</w:t>
      </w:r>
    </w:p>
    <w:p>
      <w:pPr>
        <w:ind w:left="620" w:right="8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Portions of this exhibit were previously filed on the Company's Current Report on Form 8-K dated March 11, 2019, File No. 001-36117, filed March 15, 2019, and incorporated herein by reference.</w:t>
      </w:r>
    </w:p>
    <w:p>
      <w:pPr>
        <w:ind w:left="620" w:hanging="612"/>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Previously filed by the Company as an exhibit to the Company's Form 10-Q for the quarter ended June 30, 2016, File No. 001-36117, filed August</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12, 2016, and incorporated herein by reference.</w:t>
      </w:r>
    </w:p>
    <w:p>
      <w:pPr>
        <w:spacing w:after="0" w:line="9"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a director or executive officers participate.</w:t>
      </w:r>
    </w:p>
    <w:p>
      <w:pPr>
        <w:spacing w:after="0" w:line="9" w:lineRule="exact"/>
        <w:rPr>
          <w:sz w:val="20"/>
          <w:szCs w:val="20"/>
          <w:color w:val="auto"/>
        </w:rPr>
      </w:pPr>
    </w:p>
    <w:p>
      <w:pPr>
        <w:ind w:left="620" w:right="460" w:hanging="612"/>
        <w:spacing w:after="0" w:line="261"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Copies of the exhibits which were filed with the SEC are not included in this Annual Report to Stockholders but may be obtained electronically through our website at www.intest.com or through the SEC’s website at www.sec.gov.</w:t>
      </w:r>
    </w:p>
    <w:p>
      <w:pPr>
        <w:spacing w:after="0" w:line="183" w:lineRule="exact"/>
        <w:rPr>
          <w:rFonts w:ascii="Arial" w:cs="Arial" w:eastAsia="Arial" w:hAnsi="Arial"/>
          <w:sz w:val="18"/>
          <w:szCs w:val="18"/>
          <w:color w:val="auto"/>
        </w:rPr>
      </w:pPr>
    </w:p>
    <w:p>
      <w:pPr>
        <w:ind w:left="5620" w:hanging="101"/>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Arial" w:cs="Arial" w:eastAsia="Arial" w:hAnsi="Arial"/>
                <w:sz w:val="18"/>
                <w:szCs w:val="18"/>
                <w:color w:val="auto"/>
              </w:rPr>
              <w:t>By: /s/ James Pelrin</w:t>
            </w:r>
          </w:p>
        </w:tc>
        <w:tc>
          <w:tcPr>
            <w:tcW w:w="2780" w:type="dxa"/>
            <w:vAlign w:val="bottom"/>
            <w:gridSpan w:val="2"/>
          </w:tcPr>
          <w:p>
            <w:pPr>
              <w:ind w:left="1620"/>
              <w:spacing w:after="0"/>
              <w:rPr>
                <w:sz w:val="20"/>
                <w:szCs w:val="20"/>
                <w:color w:val="auto"/>
              </w:rPr>
            </w:pPr>
            <w:r>
              <w:rPr>
                <w:rFonts w:ascii="Arial" w:cs="Arial" w:eastAsia="Arial" w:hAnsi="Arial"/>
                <w:sz w:val="18"/>
                <w:szCs w:val="18"/>
                <w:color w:val="auto"/>
                <w:w w:val="91"/>
              </w:rPr>
              <w:t>March 26, 2019</w:t>
            </w:r>
          </w:p>
        </w:tc>
      </w:tr>
      <w:tr>
        <w:trPr>
          <w:trHeight w:val="222"/>
        </w:trPr>
        <w:tc>
          <w:tcPr>
            <w:tcW w:w="32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Pelrin</w:t>
            </w:r>
          </w:p>
        </w:tc>
        <w:tc>
          <w:tcPr>
            <w:tcW w:w="3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62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James Pelrin</w:t>
            </w:r>
          </w:p>
        </w:tc>
        <w:tc>
          <w:tcPr>
            <w:tcW w:w="2960" w:type="dxa"/>
            <w:vAlign w:val="bottom"/>
            <w:gridSpan w:val="6"/>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March 26, 2019</w:t>
            </w:r>
          </w:p>
        </w:tc>
        <w:tc>
          <w:tcPr>
            <w:tcW w:w="3980" w:type="dxa"/>
            <w:vAlign w:val="bottom"/>
          </w:tcPr>
          <w:p>
            <w:pPr>
              <w:spacing w:after="0"/>
              <w:rPr>
                <w:sz w:val="17"/>
                <w:szCs w:val="17"/>
                <w:color w:val="auto"/>
              </w:rPr>
            </w:pPr>
          </w:p>
        </w:tc>
      </w:tr>
      <w:tr>
        <w:trPr>
          <w:trHeight w:val="222"/>
        </w:trPr>
        <w:tc>
          <w:tcPr>
            <w:tcW w:w="4100" w:type="dxa"/>
            <w:vAlign w:val="bottom"/>
            <w:gridSpan w:val="7"/>
          </w:tcPr>
          <w:p>
            <w:pPr>
              <w:spacing w:after="0"/>
              <w:rPr>
                <w:sz w:val="20"/>
                <w:szCs w:val="20"/>
                <w:color w:val="auto"/>
              </w:rPr>
            </w:pPr>
            <w:r>
              <w:rPr>
                <w:rFonts w:ascii="Arial" w:cs="Arial" w:eastAsia="Arial" w:hAnsi="Arial"/>
                <w:sz w:val="18"/>
                <w:szCs w:val="18"/>
                <w:color w:val="auto"/>
              </w:rPr>
              <w:t>James Pelrin, President,</w:t>
            </w:r>
          </w:p>
        </w:tc>
        <w:tc>
          <w:tcPr>
            <w:tcW w:w="2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216"/>
        </w:trPr>
        <w:tc>
          <w:tcPr>
            <w:tcW w:w="4100" w:type="dxa"/>
            <w:vAlign w:val="bottom"/>
            <w:gridSpan w:val="7"/>
          </w:tcPr>
          <w:p>
            <w:pPr>
              <w:spacing w:after="0"/>
              <w:rPr>
                <w:sz w:val="20"/>
                <w:szCs w:val="20"/>
                <w:color w:val="auto"/>
              </w:rPr>
            </w:pPr>
            <w:r>
              <w:rPr>
                <w:rFonts w:ascii="Arial" w:cs="Arial" w:eastAsia="Arial" w:hAnsi="Arial"/>
                <w:sz w:val="18"/>
                <w:szCs w:val="18"/>
                <w:color w:val="auto"/>
              </w:rPr>
              <w:t>Chief Executive Officer and Director</w:t>
            </w:r>
          </w:p>
        </w:tc>
        <w:tc>
          <w:tcPr>
            <w:tcW w:w="2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0"/>
        </w:trPr>
        <w:tc>
          <w:tcPr>
            <w:tcW w:w="4100" w:type="dxa"/>
            <w:vAlign w:val="bottom"/>
            <w:gridSpan w:val="7"/>
          </w:tcPr>
          <w:p>
            <w:pPr>
              <w:spacing w:after="0"/>
              <w:rPr>
                <w:sz w:val="20"/>
                <w:szCs w:val="20"/>
                <w:color w:val="auto"/>
              </w:rPr>
            </w:pPr>
            <w:r>
              <w:rPr>
                <w:rFonts w:ascii="Arial" w:cs="Arial" w:eastAsia="Arial" w:hAnsi="Arial"/>
                <w:sz w:val="18"/>
                <w:szCs w:val="18"/>
                <w:color w:val="auto"/>
              </w:rPr>
              <w:t>(Principal Executive Officer)</w:t>
            </w: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824"/>
        </w:trPr>
        <w:tc>
          <w:tcPr>
            <w:tcW w:w="4100" w:type="dxa"/>
            <w:vAlign w:val="bottom"/>
            <w:gridSpan w:val="7"/>
          </w:tcPr>
          <w:p>
            <w:pPr>
              <w:spacing w:after="0"/>
              <w:rPr>
                <w:sz w:val="20"/>
                <w:szCs w:val="20"/>
                <w:color w:val="auto"/>
              </w:rPr>
            </w:pPr>
            <w:r>
              <w:rPr>
                <w:rFonts w:ascii="Arial" w:cs="Arial" w:eastAsia="Arial" w:hAnsi="Arial"/>
                <w:sz w:val="18"/>
                <w:szCs w:val="18"/>
                <w:color w:val="auto"/>
              </w:rPr>
              <w:t>/s/ Hugh T. Regan, Jr.</w:t>
            </w:r>
          </w:p>
        </w:tc>
        <w:tc>
          <w:tcPr>
            <w:tcW w:w="2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March 26, 2019</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02"/>
        </w:trPr>
        <w:tc>
          <w:tcPr>
            <w:tcW w:w="4100" w:type="dxa"/>
            <w:vAlign w:val="bottom"/>
            <w:gridSpan w:val="7"/>
          </w:tcPr>
          <w:p>
            <w:pPr>
              <w:spacing w:after="0" w:line="202" w:lineRule="exact"/>
              <w:rPr>
                <w:sz w:val="20"/>
                <w:szCs w:val="20"/>
                <w:color w:val="auto"/>
              </w:rPr>
            </w:pPr>
            <w:r>
              <w:rPr>
                <w:rFonts w:ascii="Arial" w:cs="Arial" w:eastAsia="Arial" w:hAnsi="Arial"/>
                <w:sz w:val="18"/>
                <w:szCs w:val="18"/>
                <w:color w:val="auto"/>
              </w:rPr>
              <w:t>Hugh T. Regan, Jr., Treasurer, Chief</w:t>
            </w: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216"/>
        </w:trPr>
        <w:tc>
          <w:tcPr>
            <w:tcW w:w="4100" w:type="dxa"/>
            <w:vAlign w:val="bottom"/>
            <w:gridSpan w:val="7"/>
          </w:tcPr>
          <w:p>
            <w:pPr>
              <w:spacing w:after="0"/>
              <w:rPr>
                <w:sz w:val="20"/>
                <w:szCs w:val="20"/>
                <w:color w:val="auto"/>
              </w:rPr>
            </w:pPr>
            <w:r>
              <w:rPr>
                <w:rFonts w:ascii="Arial" w:cs="Arial" w:eastAsia="Arial" w:hAnsi="Arial"/>
                <w:sz w:val="18"/>
                <w:szCs w:val="18"/>
                <w:color w:val="auto"/>
              </w:rPr>
              <w:t>Financial Officer and Secretary</w:t>
            </w:r>
          </w:p>
        </w:tc>
        <w:tc>
          <w:tcPr>
            <w:tcW w:w="2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0"/>
        </w:trPr>
        <w:tc>
          <w:tcPr>
            <w:tcW w:w="4100" w:type="dxa"/>
            <w:vAlign w:val="bottom"/>
            <w:gridSpan w:val="7"/>
          </w:tcPr>
          <w:p>
            <w:pPr>
              <w:spacing w:after="0"/>
              <w:rPr>
                <w:sz w:val="20"/>
                <w:szCs w:val="20"/>
                <w:color w:val="auto"/>
              </w:rPr>
            </w:pPr>
            <w:r>
              <w:rPr>
                <w:rFonts w:ascii="Arial" w:cs="Arial" w:eastAsia="Arial" w:hAnsi="Arial"/>
                <w:sz w:val="18"/>
                <w:szCs w:val="18"/>
                <w:color w:val="auto"/>
              </w:rPr>
              <w:t>(Principal Financial Officer)</w:t>
            </w: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824"/>
        </w:trPr>
        <w:tc>
          <w:tcPr>
            <w:tcW w:w="4100" w:type="dxa"/>
            <w:vAlign w:val="bottom"/>
            <w:gridSpan w:val="7"/>
          </w:tcPr>
          <w:p>
            <w:pPr>
              <w:spacing w:after="0"/>
              <w:rPr>
                <w:sz w:val="20"/>
                <w:szCs w:val="20"/>
                <w:color w:val="auto"/>
              </w:rPr>
            </w:pPr>
            <w:r>
              <w:rPr>
                <w:rFonts w:ascii="Arial" w:cs="Arial" w:eastAsia="Arial" w:hAnsi="Arial"/>
                <w:sz w:val="18"/>
                <w:szCs w:val="18"/>
                <w:color w:val="auto"/>
              </w:rPr>
              <w:t>/s/ Robert E. Matthiessen</w:t>
            </w:r>
          </w:p>
        </w:tc>
        <w:tc>
          <w:tcPr>
            <w:tcW w:w="2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March 26, 2019</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37"/>
        </w:trPr>
        <w:tc>
          <w:tcPr>
            <w:tcW w:w="4100" w:type="dxa"/>
            <w:vAlign w:val="bottom"/>
            <w:gridSpan w:val="7"/>
          </w:tcPr>
          <w:p>
            <w:pPr>
              <w:spacing w:after="0"/>
              <w:rPr>
                <w:sz w:val="20"/>
                <w:szCs w:val="20"/>
                <w:color w:val="auto"/>
              </w:rPr>
            </w:pPr>
            <w:r>
              <w:rPr>
                <w:rFonts w:ascii="Arial" w:cs="Arial" w:eastAsia="Arial" w:hAnsi="Arial"/>
                <w:sz w:val="18"/>
                <w:szCs w:val="18"/>
                <w:color w:val="auto"/>
              </w:rPr>
              <w:t>Robert E. Matthiessen, Chairman</w:t>
            </w: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824"/>
        </w:trPr>
        <w:tc>
          <w:tcPr>
            <w:tcW w:w="4100" w:type="dxa"/>
            <w:vAlign w:val="bottom"/>
            <w:gridSpan w:val="7"/>
          </w:tcPr>
          <w:p>
            <w:pPr>
              <w:spacing w:after="0"/>
              <w:rPr>
                <w:sz w:val="20"/>
                <w:szCs w:val="20"/>
                <w:color w:val="auto"/>
              </w:rPr>
            </w:pPr>
            <w:r>
              <w:rPr>
                <w:rFonts w:ascii="Arial" w:cs="Arial" w:eastAsia="Arial" w:hAnsi="Arial"/>
                <w:sz w:val="18"/>
                <w:szCs w:val="18"/>
                <w:color w:val="auto"/>
              </w:rPr>
              <w:t>/s/ Steven J. Abrams</w:t>
            </w:r>
          </w:p>
        </w:tc>
        <w:tc>
          <w:tcPr>
            <w:tcW w:w="2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March 26, 2019</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17"/>
        </w:trPr>
        <w:tc>
          <w:tcPr>
            <w:tcW w:w="4100" w:type="dxa"/>
            <w:vAlign w:val="bottom"/>
            <w:gridSpan w:val="7"/>
          </w:tcPr>
          <w:p>
            <w:pPr>
              <w:spacing w:after="0"/>
              <w:rPr>
                <w:sz w:val="20"/>
                <w:szCs w:val="20"/>
                <w:color w:val="auto"/>
              </w:rPr>
            </w:pPr>
            <w:r>
              <w:rPr>
                <w:rFonts w:ascii="Arial" w:cs="Arial" w:eastAsia="Arial" w:hAnsi="Arial"/>
                <w:sz w:val="18"/>
                <w:szCs w:val="18"/>
                <w:color w:val="auto"/>
              </w:rPr>
              <w:t>Steven J. Abrams, Esq., Director</w:t>
            </w:r>
          </w:p>
        </w:tc>
        <w:tc>
          <w:tcPr>
            <w:tcW w:w="2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824"/>
        </w:trPr>
        <w:tc>
          <w:tcPr>
            <w:tcW w:w="4100" w:type="dxa"/>
            <w:vAlign w:val="bottom"/>
            <w:gridSpan w:val="7"/>
          </w:tcPr>
          <w:p>
            <w:pPr>
              <w:spacing w:after="0"/>
              <w:rPr>
                <w:sz w:val="20"/>
                <w:szCs w:val="20"/>
                <w:color w:val="auto"/>
              </w:rPr>
            </w:pPr>
            <w:r>
              <w:rPr>
                <w:rFonts w:ascii="Arial" w:cs="Arial" w:eastAsia="Arial" w:hAnsi="Arial"/>
                <w:sz w:val="18"/>
                <w:szCs w:val="18"/>
                <w:color w:val="auto"/>
              </w:rPr>
              <w:t>/s/ Joseph W. Dews IV</w:t>
            </w:r>
          </w:p>
        </w:tc>
        <w:tc>
          <w:tcPr>
            <w:tcW w:w="2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March 26, 2019</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37"/>
        </w:trPr>
        <w:tc>
          <w:tcPr>
            <w:tcW w:w="4100" w:type="dxa"/>
            <w:vAlign w:val="bottom"/>
            <w:gridSpan w:val="7"/>
          </w:tcPr>
          <w:p>
            <w:pPr>
              <w:spacing w:after="0"/>
              <w:rPr>
                <w:sz w:val="20"/>
                <w:szCs w:val="20"/>
                <w:color w:val="auto"/>
              </w:rPr>
            </w:pPr>
            <w:r>
              <w:rPr>
                <w:rFonts w:ascii="Arial" w:cs="Arial" w:eastAsia="Arial" w:hAnsi="Arial"/>
                <w:sz w:val="18"/>
                <w:szCs w:val="18"/>
                <w:color w:val="auto"/>
              </w:rPr>
              <w:t>Joseph W. Dews IV, Director</w:t>
            </w: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824"/>
        </w:trPr>
        <w:tc>
          <w:tcPr>
            <w:tcW w:w="4100" w:type="dxa"/>
            <w:vAlign w:val="bottom"/>
            <w:gridSpan w:val="7"/>
          </w:tcPr>
          <w:p>
            <w:pPr>
              <w:spacing w:after="0"/>
              <w:rPr>
                <w:sz w:val="20"/>
                <w:szCs w:val="20"/>
                <w:color w:val="auto"/>
              </w:rPr>
            </w:pPr>
            <w:r>
              <w:rPr>
                <w:rFonts w:ascii="Arial" w:cs="Arial" w:eastAsia="Arial" w:hAnsi="Arial"/>
                <w:sz w:val="18"/>
                <w:szCs w:val="18"/>
                <w:color w:val="auto"/>
              </w:rPr>
              <w:t>/s/ William Kraut</w:t>
            </w:r>
          </w:p>
        </w:tc>
        <w:tc>
          <w:tcPr>
            <w:tcW w:w="2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March 26, 2019</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17"/>
        </w:trPr>
        <w:tc>
          <w:tcPr>
            <w:tcW w:w="4100" w:type="dxa"/>
            <w:vAlign w:val="bottom"/>
            <w:gridSpan w:val="7"/>
          </w:tcPr>
          <w:p>
            <w:pPr>
              <w:spacing w:after="0"/>
              <w:rPr>
                <w:sz w:val="20"/>
                <w:szCs w:val="20"/>
                <w:color w:val="auto"/>
              </w:rPr>
            </w:pPr>
            <w:r>
              <w:rPr>
                <w:rFonts w:ascii="Arial" w:cs="Arial" w:eastAsia="Arial" w:hAnsi="Arial"/>
                <w:sz w:val="18"/>
                <w:szCs w:val="18"/>
                <w:color w:val="auto"/>
              </w:rPr>
              <w:t>William Kraut, Director</w:t>
            </w:r>
          </w:p>
        </w:tc>
        <w:tc>
          <w:tcPr>
            <w:tcW w:w="2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- 31 -</w:t>
            </w:r>
          </w:p>
        </w:tc>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gridSpan w:val="7"/>
          </w:tcPr>
          <w:p>
            <w:pPr>
              <w:jc w:val="center"/>
              <w:ind w:right="1660"/>
              <w:spacing w:after="0"/>
              <w:rPr>
                <w:sz w:val="20"/>
                <w:szCs w:val="20"/>
                <w:color w:val="auto"/>
              </w:rPr>
            </w:pPr>
            <w:r>
              <w:rPr>
                <w:rFonts w:ascii="Arial" w:cs="Arial" w:eastAsia="Arial" w:hAnsi="Arial"/>
                <w:sz w:val="18"/>
                <w:szCs w:val="18"/>
                <w:b w:val="1"/>
                <w:bCs w:val="1"/>
                <w:color w:val="auto"/>
                <w:w w:val="99"/>
              </w:rPr>
              <w:t>inTEST CORPORATION</w:t>
            </w:r>
          </w:p>
        </w:tc>
        <w:tc>
          <w:tcPr>
            <w:tcW w:w="2020" w:type="dxa"/>
            <w:vAlign w:val="bottom"/>
          </w:tcPr>
          <w:p>
            <w:pPr>
              <w:spacing w:after="0"/>
              <w:rPr>
                <w:sz w:val="20"/>
                <w:szCs w:val="20"/>
                <w:color w:val="auto"/>
              </w:rPr>
            </w:pPr>
          </w:p>
        </w:tc>
      </w:tr>
      <w:tr>
        <w:trPr>
          <w:trHeight w:val="414"/>
        </w:trPr>
        <w:tc>
          <w:tcPr>
            <w:tcW w:w="180" w:type="dxa"/>
            <w:vAlign w:val="bottom"/>
          </w:tcPr>
          <w:p>
            <w:pPr>
              <w:spacing w:after="0"/>
              <w:rPr>
                <w:sz w:val="24"/>
                <w:szCs w:val="24"/>
                <w:color w:val="auto"/>
              </w:rPr>
            </w:pPr>
          </w:p>
        </w:tc>
        <w:tc>
          <w:tcPr>
            <w:tcW w:w="9220" w:type="dxa"/>
            <w:vAlign w:val="bottom"/>
            <w:gridSpan w:val="9"/>
          </w:tcPr>
          <w:p>
            <w:pPr>
              <w:jc w:val="center"/>
              <w:ind w:left="1770"/>
              <w:spacing w:after="0"/>
              <w:rPr>
                <w:sz w:val="20"/>
                <w:szCs w:val="20"/>
                <w:color w:val="auto"/>
              </w:rPr>
            </w:pPr>
            <w:r>
              <w:rPr>
                <w:rFonts w:ascii="Arial" w:cs="Arial" w:eastAsia="Arial" w:hAnsi="Arial"/>
                <w:sz w:val="18"/>
                <w:szCs w:val="18"/>
                <w:b w:val="1"/>
                <w:bCs w:val="1"/>
                <w:color w:val="auto"/>
              </w:rPr>
              <w:t>INDEX TO CONSOLIDATED FINANCIAL STATEMENTS AND</w:t>
            </w:r>
          </w:p>
        </w:tc>
        <w:tc>
          <w:tcPr>
            <w:tcW w:w="202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gridSpan w:val="7"/>
          </w:tcPr>
          <w:p>
            <w:pPr>
              <w:jc w:val="center"/>
              <w:ind w:right="1640"/>
              <w:spacing w:after="0"/>
              <w:rPr>
                <w:sz w:val="20"/>
                <w:szCs w:val="20"/>
                <w:color w:val="auto"/>
              </w:rPr>
            </w:pPr>
            <w:r>
              <w:rPr>
                <w:rFonts w:ascii="Arial" w:cs="Arial" w:eastAsia="Arial" w:hAnsi="Arial"/>
                <w:sz w:val="18"/>
                <w:szCs w:val="18"/>
                <w:b w:val="1"/>
                <w:bCs w:val="1"/>
                <w:color w:val="auto"/>
              </w:rPr>
              <w:t>FINANCIAL STATEMENT SCHEDULE</w:t>
            </w:r>
          </w:p>
        </w:tc>
        <w:tc>
          <w:tcPr>
            <w:tcW w:w="202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20" w:type="dxa"/>
            <w:vAlign w:val="bottom"/>
          </w:tcPr>
          <w:p>
            <w:pPr>
              <w:jc w:val="center"/>
              <w:ind w:left="570"/>
              <w:spacing w:after="0"/>
              <w:rPr>
                <w:sz w:val="20"/>
                <w:szCs w:val="20"/>
                <w:color w:val="auto"/>
              </w:rPr>
            </w:pPr>
            <w:r>
              <w:rPr>
                <w:rFonts w:ascii="Arial" w:cs="Arial" w:eastAsia="Arial" w:hAnsi="Arial"/>
                <w:sz w:val="18"/>
                <w:szCs w:val="18"/>
                <w:b w:val="1"/>
                <w:bCs w:val="1"/>
                <w:color w:val="auto"/>
                <w:w w:val="83"/>
              </w:rPr>
              <w:t>Page</w:t>
            </w:r>
          </w:p>
        </w:tc>
      </w:tr>
      <w:tr>
        <w:trPr>
          <w:trHeight w:val="392"/>
        </w:trPr>
        <w:tc>
          <w:tcPr>
            <w:tcW w:w="9400" w:type="dxa"/>
            <w:vAlign w:val="bottom"/>
            <w:gridSpan w:val="1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REPORT OF INDEPENDENT REGISTERED PUBLIC ACCOUNTING FIRM</w:t>
              </w:r>
            </w:hyperlink>
          </w:p>
        </w:tc>
        <w:tc>
          <w:tcPr>
            <w:tcW w:w="2020" w:type="dxa"/>
            <w:vAlign w:val="bottom"/>
          </w:tcPr>
          <w:p>
            <w:pPr>
              <w:jc w:val="center"/>
              <w:ind w:left="550"/>
              <w:spacing w:after="0"/>
              <w:rPr>
                <w:sz w:val="20"/>
                <w:szCs w:val="20"/>
                <w:color w:val="auto"/>
              </w:rPr>
            </w:pPr>
            <w:r>
              <w:rPr>
                <w:rFonts w:ascii="Arial" w:cs="Arial" w:eastAsia="Arial" w:hAnsi="Arial"/>
                <w:sz w:val="18"/>
                <w:szCs w:val="18"/>
                <w:color w:val="auto"/>
                <w:w w:val="91"/>
              </w:rPr>
              <w:t>F - 1</w:t>
            </w:r>
          </w:p>
        </w:tc>
      </w:tr>
      <w:tr>
        <w:trPr>
          <w:trHeight w:val="453"/>
        </w:trPr>
        <w:tc>
          <w:tcPr>
            <w:tcW w:w="58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3600" w:type="dxa"/>
            <w:vAlign w:val="bottom"/>
            <w:gridSpan w:val="5"/>
          </w:tcPr>
          <w:p>
            <w:pPr>
              <w:spacing w:after="0"/>
              <w:rPr>
                <w:sz w:val="24"/>
                <w:szCs w:val="24"/>
                <w:color w:val="auto"/>
              </w:rPr>
            </w:pPr>
          </w:p>
        </w:tc>
        <w:tc>
          <w:tcPr>
            <w:tcW w:w="202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46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Consolidated Balance Sheets as of December 31, 2018 and 2017</w:t>
              </w:r>
            </w:hyperlink>
          </w:p>
        </w:tc>
        <w:tc>
          <w:tcPr>
            <w:tcW w:w="4580" w:type="dxa"/>
            <w:vAlign w:val="bottom"/>
            <w:gridSpan w:val="6"/>
          </w:tcPr>
          <w:p>
            <w:pPr>
              <w:spacing w:after="0"/>
              <w:rPr>
                <w:sz w:val="24"/>
                <w:szCs w:val="24"/>
                <w:color w:val="auto"/>
              </w:rPr>
            </w:pPr>
          </w:p>
        </w:tc>
        <w:tc>
          <w:tcPr>
            <w:tcW w:w="2020" w:type="dxa"/>
            <w:vAlign w:val="bottom"/>
          </w:tcPr>
          <w:p>
            <w:pPr>
              <w:jc w:val="center"/>
              <w:ind w:left="550"/>
              <w:spacing w:after="0"/>
              <w:rPr>
                <w:sz w:val="20"/>
                <w:szCs w:val="20"/>
                <w:color w:val="auto"/>
              </w:rPr>
            </w:pPr>
            <w:r>
              <w:rPr>
                <w:rFonts w:ascii="Arial" w:cs="Arial" w:eastAsia="Arial" w:hAnsi="Arial"/>
                <w:sz w:val="18"/>
                <w:szCs w:val="18"/>
                <w:color w:val="auto"/>
                <w:w w:val="91"/>
              </w:rPr>
              <w:t>F - 2</w:t>
            </w:r>
          </w:p>
        </w:tc>
      </w:tr>
      <w:tr>
        <w:trPr>
          <w:trHeight w:val="412"/>
        </w:trPr>
        <w:tc>
          <w:tcPr>
            <w:tcW w:w="180" w:type="dxa"/>
            <w:vAlign w:val="bottom"/>
          </w:tcPr>
          <w:p>
            <w:pPr>
              <w:spacing w:after="0"/>
              <w:rPr>
                <w:sz w:val="24"/>
                <w:szCs w:val="24"/>
                <w:color w:val="auto"/>
              </w:rPr>
            </w:pPr>
          </w:p>
        </w:tc>
        <w:tc>
          <w:tcPr>
            <w:tcW w:w="64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Consolidated Statements of Operations for the years ended December 31, 2018 and 2017</w:t>
              </w:r>
            </w:hyperlink>
          </w:p>
        </w:tc>
        <w:tc>
          <w:tcPr>
            <w:tcW w:w="2820" w:type="dxa"/>
            <w:vAlign w:val="bottom"/>
            <w:gridSpan w:val="4"/>
          </w:tcPr>
          <w:p>
            <w:pPr>
              <w:spacing w:after="0"/>
              <w:rPr>
                <w:sz w:val="24"/>
                <w:szCs w:val="24"/>
                <w:color w:val="auto"/>
              </w:rPr>
            </w:pPr>
          </w:p>
        </w:tc>
        <w:tc>
          <w:tcPr>
            <w:tcW w:w="2020" w:type="dxa"/>
            <w:vAlign w:val="bottom"/>
          </w:tcPr>
          <w:p>
            <w:pPr>
              <w:jc w:val="center"/>
              <w:ind w:left="550"/>
              <w:spacing w:after="0"/>
              <w:rPr>
                <w:sz w:val="20"/>
                <w:szCs w:val="20"/>
                <w:color w:val="auto"/>
              </w:rPr>
            </w:pPr>
            <w:r>
              <w:rPr>
                <w:rFonts w:ascii="Arial" w:cs="Arial" w:eastAsia="Arial" w:hAnsi="Arial"/>
                <w:sz w:val="18"/>
                <w:szCs w:val="18"/>
                <w:color w:val="auto"/>
                <w:w w:val="91"/>
              </w:rPr>
              <w:t>F - 3</w:t>
            </w:r>
          </w:p>
        </w:tc>
      </w:tr>
      <w:tr>
        <w:trPr>
          <w:trHeight w:val="412"/>
        </w:trPr>
        <w:tc>
          <w:tcPr>
            <w:tcW w:w="180" w:type="dxa"/>
            <w:vAlign w:val="bottom"/>
          </w:tcPr>
          <w:p>
            <w:pPr>
              <w:spacing w:after="0"/>
              <w:rPr>
                <w:sz w:val="24"/>
                <w:szCs w:val="24"/>
                <w:color w:val="auto"/>
              </w:rPr>
            </w:pPr>
          </w:p>
        </w:tc>
        <w:tc>
          <w:tcPr>
            <w:tcW w:w="74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Consolidated Statements of Comprehensive Earnings for the years ended December 31, 2018 and 2017</w:t>
              </w:r>
            </w:hyperlink>
          </w:p>
        </w:tc>
        <w:tc>
          <w:tcPr>
            <w:tcW w:w="1800" w:type="dxa"/>
            <w:vAlign w:val="bottom"/>
          </w:tcPr>
          <w:p>
            <w:pPr>
              <w:spacing w:after="0"/>
              <w:rPr>
                <w:sz w:val="24"/>
                <w:szCs w:val="24"/>
                <w:color w:val="auto"/>
              </w:rPr>
            </w:pPr>
          </w:p>
        </w:tc>
        <w:tc>
          <w:tcPr>
            <w:tcW w:w="2020" w:type="dxa"/>
            <w:vAlign w:val="bottom"/>
          </w:tcPr>
          <w:p>
            <w:pPr>
              <w:jc w:val="center"/>
              <w:ind w:left="550"/>
              <w:spacing w:after="0"/>
              <w:rPr>
                <w:sz w:val="20"/>
                <w:szCs w:val="20"/>
                <w:color w:val="auto"/>
              </w:rPr>
            </w:pPr>
            <w:r>
              <w:rPr>
                <w:rFonts w:ascii="Arial" w:cs="Arial" w:eastAsia="Arial" w:hAnsi="Arial"/>
                <w:sz w:val="18"/>
                <w:szCs w:val="18"/>
                <w:color w:val="auto"/>
                <w:w w:val="91"/>
              </w:rPr>
              <w:t>F - 4</w:t>
            </w:r>
          </w:p>
        </w:tc>
      </w:tr>
      <w:tr>
        <w:trPr>
          <w:trHeight w:val="412"/>
        </w:trPr>
        <w:tc>
          <w:tcPr>
            <w:tcW w:w="180" w:type="dxa"/>
            <w:vAlign w:val="bottom"/>
          </w:tcPr>
          <w:p>
            <w:pPr>
              <w:spacing w:after="0"/>
              <w:rPr>
                <w:sz w:val="24"/>
                <w:szCs w:val="24"/>
                <w:color w:val="auto"/>
              </w:rPr>
            </w:pPr>
          </w:p>
        </w:tc>
        <w:tc>
          <w:tcPr>
            <w:tcW w:w="9220" w:type="dxa"/>
            <w:vAlign w:val="bottom"/>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Statements of Stockholders' Equity for the years ended December 31, 2018 and 2017</w:t>
              </w:r>
            </w:hyperlink>
          </w:p>
        </w:tc>
        <w:tc>
          <w:tcPr>
            <w:tcW w:w="2020" w:type="dxa"/>
            <w:vAlign w:val="bottom"/>
          </w:tcPr>
          <w:p>
            <w:pPr>
              <w:jc w:val="center"/>
              <w:ind w:left="550"/>
              <w:spacing w:after="0"/>
              <w:rPr>
                <w:sz w:val="20"/>
                <w:szCs w:val="20"/>
                <w:color w:val="auto"/>
              </w:rPr>
            </w:pPr>
            <w:r>
              <w:rPr>
                <w:rFonts w:ascii="Arial" w:cs="Arial" w:eastAsia="Arial" w:hAnsi="Arial"/>
                <w:sz w:val="18"/>
                <w:szCs w:val="18"/>
                <w:color w:val="auto"/>
                <w:w w:val="91"/>
              </w:rPr>
              <w:t>F - 5</w:t>
            </w:r>
          </w:p>
        </w:tc>
      </w:tr>
      <w:tr>
        <w:trPr>
          <w:trHeight w:val="412"/>
        </w:trPr>
        <w:tc>
          <w:tcPr>
            <w:tcW w:w="180" w:type="dxa"/>
            <w:vAlign w:val="bottom"/>
          </w:tcPr>
          <w:p>
            <w:pPr>
              <w:spacing w:after="0"/>
              <w:rPr>
                <w:sz w:val="24"/>
                <w:szCs w:val="24"/>
                <w:color w:val="auto"/>
              </w:rPr>
            </w:pPr>
          </w:p>
        </w:tc>
        <w:tc>
          <w:tcPr>
            <w:tcW w:w="7100" w:type="dxa"/>
            <w:vAlign w:val="bottom"/>
            <w:tcBorders>
              <w:top w:val="single" w:sz="8" w:color="0000EE"/>
            </w:tcBorders>
            <w:gridSpan w:val="7"/>
          </w:tcPr>
          <w:p>
            <w:pPr>
              <w:spacing w:after="0"/>
              <w:rPr>
                <w:rFonts w:ascii="Arial" w:cs="Arial" w:eastAsia="Arial" w:hAnsi="Arial"/>
                <w:sz w:val="18"/>
                <w:szCs w:val="18"/>
                <w:color w:val="0000EE"/>
                <w:w w:val="97"/>
              </w:rPr>
            </w:pPr>
            <w:hyperlink w:anchor="page38">
              <w:r>
                <w:rPr>
                  <w:rFonts w:ascii="Arial" w:cs="Arial" w:eastAsia="Arial" w:hAnsi="Arial"/>
                  <w:sz w:val="18"/>
                  <w:szCs w:val="18"/>
                  <w:color w:val="0000EE"/>
                  <w:w w:val="97"/>
                </w:rPr>
                <w:t>Consolidated Statements of Cash Flows for the years ended December 31, 2018 and 2017</w:t>
              </w:r>
            </w:hyperlink>
          </w:p>
        </w:tc>
        <w:tc>
          <w:tcPr>
            <w:tcW w:w="2120" w:type="dxa"/>
            <w:vAlign w:val="bottom"/>
            <w:gridSpan w:val="2"/>
          </w:tcPr>
          <w:p>
            <w:pPr>
              <w:spacing w:after="0"/>
              <w:rPr>
                <w:sz w:val="24"/>
                <w:szCs w:val="24"/>
                <w:color w:val="auto"/>
              </w:rPr>
            </w:pPr>
          </w:p>
        </w:tc>
        <w:tc>
          <w:tcPr>
            <w:tcW w:w="2020" w:type="dxa"/>
            <w:vAlign w:val="bottom"/>
          </w:tcPr>
          <w:p>
            <w:pPr>
              <w:jc w:val="center"/>
              <w:ind w:left="570"/>
              <w:spacing w:after="0"/>
              <w:rPr>
                <w:sz w:val="20"/>
                <w:szCs w:val="20"/>
                <w:color w:val="auto"/>
              </w:rPr>
            </w:pPr>
            <w:r>
              <w:rPr>
                <w:rFonts w:ascii="Arial" w:cs="Arial" w:eastAsia="Arial" w:hAnsi="Arial"/>
                <w:sz w:val="18"/>
                <w:szCs w:val="18"/>
                <w:color w:val="auto"/>
                <w:w w:val="87"/>
              </w:rPr>
              <w:t>F -6</w:t>
            </w:r>
          </w:p>
        </w:tc>
      </w:tr>
      <w:tr>
        <w:trPr>
          <w:trHeight w:val="412"/>
        </w:trPr>
        <w:tc>
          <w:tcPr>
            <w:tcW w:w="180" w:type="dxa"/>
            <w:vAlign w:val="bottom"/>
          </w:tcPr>
          <w:p>
            <w:pPr>
              <w:spacing w:after="0"/>
              <w:rPr>
                <w:sz w:val="24"/>
                <w:szCs w:val="24"/>
                <w:color w:val="auto"/>
              </w:rPr>
            </w:pPr>
          </w:p>
        </w:tc>
        <w:tc>
          <w:tcPr>
            <w:tcW w:w="314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Notes to Consolidated Financial Statements</w:t>
              </w:r>
            </w:hyperlink>
          </w:p>
        </w:tc>
        <w:tc>
          <w:tcPr>
            <w:tcW w:w="3300" w:type="dxa"/>
            <w:vAlign w:val="bottom"/>
            <w:tcBorders>
              <w:top w:val="single" w:sz="8" w:color="0000EE"/>
            </w:tcBorders>
            <w:gridSpan w:val="5"/>
          </w:tcPr>
          <w:p>
            <w:pPr>
              <w:spacing w:after="0"/>
              <w:rPr>
                <w:sz w:val="24"/>
                <w:szCs w:val="24"/>
                <w:color w:val="auto"/>
              </w:rPr>
            </w:pPr>
          </w:p>
        </w:tc>
        <w:tc>
          <w:tcPr>
            <w:tcW w:w="2780" w:type="dxa"/>
            <w:vAlign w:val="bottom"/>
            <w:gridSpan w:val="3"/>
          </w:tcPr>
          <w:p>
            <w:pPr>
              <w:spacing w:after="0"/>
              <w:rPr>
                <w:sz w:val="24"/>
                <w:szCs w:val="24"/>
                <w:color w:val="auto"/>
              </w:rPr>
            </w:pPr>
          </w:p>
        </w:tc>
        <w:tc>
          <w:tcPr>
            <w:tcW w:w="2020" w:type="dxa"/>
            <w:vAlign w:val="bottom"/>
          </w:tcPr>
          <w:p>
            <w:pPr>
              <w:jc w:val="center"/>
              <w:ind w:left="550"/>
              <w:spacing w:after="0"/>
              <w:rPr>
                <w:sz w:val="20"/>
                <w:szCs w:val="20"/>
                <w:color w:val="auto"/>
              </w:rPr>
            </w:pPr>
            <w:r>
              <w:rPr>
                <w:rFonts w:ascii="Arial" w:cs="Arial" w:eastAsia="Arial" w:hAnsi="Arial"/>
                <w:sz w:val="18"/>
                <w:szCs w:val="18"/>
                <w:color w:val="auto"/>
                <w:w w:val="91"/>
              </w:rPr>
              <w:t>F - 7</w:t>
            </w:r>
          </w:p>
        </w:tc>
      </w:tr>
      <w:tr>
        <w:trPr>
          <w:trHeight w:val="453"/>
        </w:trPr>
        <w:tc>
          <w:tcPr>
            <w:tcW w:w="9400" w:type="dxa"/>
            <w:vAlign w:val="bottom"/>
            <w:gridSpan w:val="10"/>
          </w:tcPr>
          <w:p>
            <w:pPr>
              <w:spacing w:after="0"/>
              <w:rPr>
                <w:sz w:val="20"/>
                <w:szCs w:val="20"/>
                <w:color w:val="auto"/>
              </w:rPr>
            </w:pPr>
            <w:r>
              <w:rPr>
                <w:rFonts w:ascii="Arial" w:cs="Arial" w:eastAsia="Arial" w:hAnsi="Arial"/>
                <w:sz w:val="18"/>
                <w:szCs w:val="18"/>
                <w:color w:val="auto"/>
              </w:rPr>
              <w:t>FINANCIAL STATEMENT SCHEDULE</w:t>
            </w:r>
          </w:p>
        </w:tc>
        <w:tc>
          <w:tcPr>
            <w:tcW w:w="202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9220" w:type="dxa"/>
            <w:vAlign w:val="bottom"/>
            <w:gridSpan w:val="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Schedule II - Valuation and Qualifying Accounts</w:t>
              </w:r>
            </w:hyperlink>
          </w:p>
        </w:tc>
        <w:tc>
          <w:tcPr>
            <w:tcW w:w="2020" w:type="dxa"/>
            <w:vAlign w:val="bottom"/>
          </w:tcPr>
          <w:p>
            <w:pPr>
              <w:jc w:val="center"/>
              <w:ind w:left="570"/>
              <w:spacing w:after="0"/>
              <w:rPr>
                <w:sz w:val="20"/>
                <w:szCs w:val="20"/>
                <w:color w:val="auto"/>
              </w:rPr>
            </w:pPr>
            <w:r>
              <w:rPr>
                <w:rFonts w:ascii="Arial" w:cs="Arial" w:eastAsia="Arial" w:hAnsi="Arial"/>
                <w:sz w:val="18"/>
                <w:szCs w:val="18"/>
                <w:color w:val="auto"/>
                <w:w w:val="93"/>
              </w:rPr>
              <w:t>F - 26</w:t>
            </w:r>
          </w:p>
        </w:tc>
      </w:tr>
      <w:tr>
        <w:trPr>
          <w:trHeight w:val="453"/>
        </w:trPr>
        <w:tc>
          <w:tcPr>
            <w:tcW w:w="180" w:type="dxa"/>
            <w:vAlign w:val="bottom"/>
          </w:tcPr>
          <w:p>
            <w:pPr>
              <w:spacing w:after="0"/>
              <w:rPr>
                <w:sz w:val="24"/>
                <w:szCs w:val="24"/>
                <w:color w:val="auto"/>
              </w:rPr>
            </w:pPr>
          </w:p>
        </w:tc>
        <w:tc>
          <w:tcPr>
            <w:tcW w:w="3500" w:type="dxa"/>
            <w:vAlign w:val="bottom"/>
            <w:tcBorders>
              <w:top w:val="single" w:sz="8" w:color="0000EE"/>
            </w:tcBorders>
            <w:gridSpan w:val="2"/>
          </w:tcPr>
          <w:p>
            <w:pPr>
              <w:spacing w:after="0"/>
              <w:rPr>
                <w:sz w:val="24"/>
                <w:szCs w:val="24"/>
                <w:color w:val="auto"/>
              </w:rPr>
            </w:pPr>
          </w:p>
        </w:tc>
        <w:tc>
          <w:tcPr>
            <w:tcW w:w="2900" w:type="dxa"/>
            <w:vAlign w:val="bottom"/>
            <w:gridSpan w:val="3"/>
          </w:tcPr>
          <w:p>
            <w:pPr>
              <w:jc w:val="center"/>
              <w:ind w:left="1070"/>
              <w:spacing w:after="0"/>
              <w:rPr>
                <w:sz w:val="20"/>
                <w:szCs w:val="20"/>
                <w:color w:val="auto"/>
              </w:rPr>
            </w:pPr>
            <w:r>
              <w:rPr>
                <w:rFonts w:ascii="Arial" w:cs="Arial" w:eastAsia="Arial" w:hAnsi="Arial"/>
                <w:sz w:val="18"/>
                <w:szCs w:val="18"/>
                <w:color w:val="auto"/>
                <w:w w:val="90"/>
              </w:rPr>
              <w:t>- 32 -</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5"/>
        </w:trPr>
        <w:tc>
          <w:tcPr>
            <w:tcW w:w="18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inTEST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audited the accompanying consolidated balance sheets of inTEST Corporation and its subsidiaries (the Company) as of December 31, 2018 and 2017, the related consolidated statements of operations, comprehensive earnings, stockholders' equity and cash flows for the years then ended, and the related notes to the consolidated financial statements and schedule (collectively, the financial statements). In our opinion, the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5"/>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17,861</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w w:val="96"/>
              </w:rPr>
              <w:t>Trade accounts receivable, net of allowance for doubtful accounts of $233 and $213, respectively</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10,563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35,621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Machinery and equipment</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5,166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Leasehold improvements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Gross property and equipment</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7,507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(4,790)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Net property and equipment</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2,717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Restricted certificates of deposit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13,738</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13,738</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16,014</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10"/>
        </w:trPr>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67,187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62,493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-582295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-307975</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400" w:space="720"/>
            <w:col w:w="330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1,787</w:t>
            </w: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wages and benefits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Customer deposits and deferred revenue</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1,258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and foreign income taxes payable</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Earnout payable</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12,167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21,418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14,419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Contingent liability for repayment of state and local grant funds received</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Federal transition tax payable, net of current portion</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Contingent consideration liability, net of current portion</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24,307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11 and 13)</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$0.01 par value; 20,000,000 shares authorized; 10,523,035 and 10,427,435 shares issued,</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26,513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15,683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Accumulated other comprehensive earnings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33,077 shares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42,880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67,187</w:t>
            </w:r>
          </w:p>
        </w:tc>
        <w:tc>
          <w:tcPr>
            <w:tcW w:w="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78,563</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39,162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39,401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Selling expense</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9,611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Engineering and product development expense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12,801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 to contingent consideration liability</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34,221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31,079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5,180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income tax expense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3,037</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earnings per common share – 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10,347,947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10,284,572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 outstanding – diluted</w:t>
            </w: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10,382,194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10,339,313</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100" w:type="dxa"/>
            <w:vAlign w:val="bottom"/>
          </w:tcPr>
          <w:p>
            <w:pPr>
              <w:ind w:left="3400"/>
              <w:spacing w:after="0"/>
              <w:rPr>
                <w:sz w:val="20"/>
                <w:szCs w:val="20"/>
                <w:color w:val="auto"/>
              </w:rPr>
            </w:pPr>
            <w:r>
              <w:rPr>
                <w:rFonts w:ascii="Arial" w:cs="Arial" w:eastAsia="Arial" w:hAnsi="Arial"/>
                <w:sz w:val="18"/>
                <w:szCs w:val="18"/>
                <w:color w:val="auto"/>
                <w:w w:val="90"/>
              </w:rPr>
              <w:t>See accompanying Notes to Consolidated Financial Statements.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ind w:left="5560"/>
              <w:spacing w:after="0"/>
              <w:rPr>
                <w:sz w:val="20"/>
                <w:szCs w:val="20"/>
                <w:color w:val="auto"/>
              </w:rPr>
            </w:pPr>
            <w:r>
              <w:rPr>
                <w:rFonts w:ascii="Arial" w:cs="Arial" w:eastAsia="Arial" w:hAnsi="Arial"/>
                <w:sz w:val="18"/>
                <w:szCs w:val="18"/>
                <w:color w:val="auto"/>
              </w:rPr>
              <w:t>F-3</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7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b w:val="1"/>
                <w:bCs w:val="1"/>
                <w:color w:val="auto"/>
              </w:rPr>
              <w:t>Years Ended December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59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3,037</w:t>
            </w:r>
          </w:p>
        </w:tc>
        <w:tc>
          <w:tcPr>
            <w:tcW w:w="10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5"/>
              </w:rPr>
              <w:t>Foreign currency translation adjustments</w:t>
            </w:r>
          </w:p>
        </w:tc>
        <w:tc>
          <w:tcPr>
            <w:tcW w:w="4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w:t>
            </w:r>
          </w:p>
        </w:tc>
        <w:tc>
          <w:tcPr>
            <w:tcW w:w="49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2,938</w:t>
            </w:r>
          </w:p>
        </w:tc>
        <w:tc>
          <w:tcPr>
            <w:tcW w:w="10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3140" w:type="dxa"/>
            <w:vAlign w:val="bottom"/>
            <w:tcBorders>
              <w:top w:val="single" w:sz="8" w:color="CCEEFF"/>
            </w:tcBorders>
          </w:tcPr>
          <w:p>
            <w:pPr>
              <w:spacing w:after="0"/>
              <w:rPr>
                <w:sz w:val="24"/>
                <w:szCs w:val="24"/>
                <w:color w:val="auto"/>
              </w:rPr>
            </w:pPr>
          </w:p>
        </w:tc>
        <w:tc>
          <w:tcPr>
            <w:tcW w:w="496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3"/>
              </w:rPr>
              <w:t>See accompanying Notes to Consolidated Financial Statements</w:t>
            </w:r>
          </w:p>
        </w:tc>
        <w:tc>
          <w:tcPr>
            <w:tcW w:w="10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980" w:type="dxa"/>
            <w:vAlign w:val="bottom"/>
            <w:gridSpan w:val="2"/>
          </w:tcPr>
          <w:p>
            <w:pPr>
              <w:jc w:val="right"/>
              <w:ind w:right="3210"/>
              <w:spacing w:after="0"/>
              <w:rPr>
                <w:sz w:val="20"/>
                <w:szCs w:val="20"/>
                <w:color w:val="auto"/>
              </w:rPr>
            </w:pPr>
            <w:r>
              <w:rPr>
                <w:rFonts w:ascii="Arial" w:cs="Arial" w:eastAsia="Arial" w:hAnsi="Arial"/>
                <w:sz w:val="18"/>
                <w:szCs w:val="18"/>
                <w:color w:val="auto"/>
              </w:rPr>
              <w:t>F-4</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140" w:type="dxa"/>
            <w:vAlign w:val="bottom"/>
            <w:gridSpan w:val="6"/>
            <w:vMerge w:val="restart"/>
          </w:tcPr>
          <w:p>
            <w:pPr>
              <w:ind w:left="44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14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Retained</w:t>
            </w:r>
          </w:p>
        </w:tc>
        <w:tc>
          <w:tcPr>
            <w:tcW w:w="15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Earnings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10,394,018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w w:val="98"/>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Forfeiture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Repurchase and retirement of common</w:t>
            </w: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(13,883)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stock</w:t>
            </w: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10,427,435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25,860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12,646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39,288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unvested shares of restricted</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95,600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10,523,035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26,513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15,683</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720" w:type="dxa"/>
            <w:vAlign w:val="bottom"/>
            <w:gridSpan w:val="16"/>
          </w:tcPr>
          <w:p>
            <w:pPr>
              <w:jc w:val="right"/>
              <w:spacing w:after="0"/>
              <w:rPr>
                <w:sz w:val="20"/>
                <w:szCs w:val="20"/>
                <w:color w:val="auto"/>
              </w:rPr>
            </w:pPr>
            <w:r>
              <w:rPr>
                <w:rFonts w:ascii="Arial" w:cs="Arial" w:eastAsia="Arial" w:hAnsi="Arial"/>
                <w:sz w:val="18"/>
                <w:szCs w:val="18"/>
                <w:color w:val="auto"/>
                <w:w w:val="92"/>
              </w:rPr>
              <w:t>See accompanying Notes to Consolidated Financial Statements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right"/>
              <w:ind w:right="740"/>
              <w:spacing w:after="0"/>
              <w:rPr>
                <w:sz w:val="20"/>
                <w:szCs w:val="20"/>
                <w:color w:val="auto"/>
              </w:rPr>
            </w:pPr>
            <w:r>
              <w:rPr>
                <w:rFonts w:ascii="Arial" w:cs="Arial" w:eastAsia="Arial" w:hAnsi="Arial"/>
                <w:sz w:val="18"/>
                <w:szCs w:val="18"/>
                <w:color w:val="auto"/>
              </w:rPr>
              <w:t>F-5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8"/>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5"/>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3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3,037</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1,871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Payment of earnout for 2017 related to Ambrell acquisition</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(1,710)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Adjustment to earnout payable</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12,645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Adjustment to contingent consideration liability</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(5,744)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Provision for excess and obsolete inventory</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exchange (gain) loss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sale of demonstration equipment, net of gain</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Loss on disposal of property and equipment</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 expense (benefit)</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Trade accounts receivable</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(1,847)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rPr>
              <w:t>Accrued wages and benefits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Customer deposits and deferred revenue</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rPr>
              <w:t>Domestic and foreign income taxes payable</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rPr>
              <w:t>Contingent liability for repayment of state and local grant funds received</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Federal transition tax payable</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10,960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business, net of cash acquired</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Payment of earnout for 2017 related to Ambrell acquisition</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(4,123)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(2,212)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(6,335)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Repurchases of common stock</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rates on cash</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cash provided by (used in) all activities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4,571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13,290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3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17,861</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payments for:</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Domestic and foreign income taxes</w:t>
            </w:r>
          </w:p>
        </w:tc>
        <w:tc>
          <w:tcPr>
            <w:tcW w:w="13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2,855</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Details of acquisition:</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assets acquired, net of cash</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Liabilities assumed</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resulting from acquisition</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w:t>
            </w: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Issuance of unvested shares of restricted stock</w:t>
            </w:r>
          </w:p>
        </w:tc>
        <w:tc>
          <w:tcPr>
            <w:tcW w:w="13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788</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Forfeiture of unvested shares of restricted stock</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964"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ind w:left="500" w:right="1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We are an independent designer, manufacturer and marketer of thermal management products and semiconductor automated test equipment (“ATE”) interface solutions. Our products are used by semiconductor manufacturers to perform development, qualifying and final testing of integrated circuits (“ICs”) and wafers, and for other electronic testing across a range of industries including the automotive, defense/aerospace, energy, industrial and telecommunications markets. We also offer induction heating products for joining and forming metals in a variety of industrial markets, including automotive, aerospace, machinery, wire &amp; fasteners, medical, semiconductor, food &amp; beverage, and packaging. We manufacture our products in the U.S. Marketing and support activities are conducted worldwide from our facilities in the U.S., Germany, Singapore, the Netherlands and the U.K. The consolidated entity is comprised of inTEST Corporation and our wholly owned subsidiaries. We have two reportable segments, which are also our reporting units, Thermal Products ("Thermal") and Electromechanical Semiconductor Products ("EMS").</w:t>
      </w:r>
    </w:p>
    <w:p>
      <w:pPr>
        <w:spacing w:after="0" w:line="166" w:lineRule="exact"/>
        <w:rPr>
          <w:rFonts w:ascii="Arial" w:cs="Arial" w:eastAsia="Arial" w:hAnsi="Arial"/>
          <w:sz w:val="18"/>
          <w:szCs w:val="18"/>
          <w:b w:val="1"/>
          <w:bCs w:val="1"/>
          <w:color w:val="auto"/>
        </w:rPr>
      </w:pPr>
    </w:p>
    <w:p>
      <w:pPr>
        <w:ind w:left="500" w:right="2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May 24, 2017, we completed the acquisition of Ambrell Corporation ("Ambrell"). The acquisition was completed by acquiring all of the outstanding capital stock of Ambrell. Ambrell is a manufacturer of precision induction heating systems, which are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non-semiconductor related markets, such as consumer product packaging, fiber-optics, automotive and other markets. Ambrell's operations are included in our Thermal segment. Ambrell manufactures its products in the U.S. and conducts marketing and support activities from its facilities in the U.S., the Netherlands and the U.K. This acquisition is discussed further in Note 3.</w:t>
      </w:r>
    </w:p>
    <w:p>
      <w:pPr>
        <w:spacing w:after="0" w:line="177" w:lineRule="exact"/>
        <w:rPr>
          <w:rFonts w:ascii="Arial" w:cs="Arial" w:eastAsia="Arial" w:hAnsi="Arial"/>
          <w:sz w:val="18"/>
          <w:szCs w:val="18"/>
          <w:b w:val="1"/>
          <w:bCs w:val="1"/>
          <w:color w:val="auto"/>
        </w:rPr>
      </w:pPr>
    </w:p>
    <w:p>
      <w:pPr>
        <w:ind w:left="500" w:right="1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ATE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ATE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We also continue to implement an acquisition strategy that may cause us to incur substantial expense in reviewing and evaluating potential transactions. We may or may not be successful in locating suitable businesses to acquire.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24" w:lineRule="exact"/>
        <w:rPr>
          <w:rFonts w:ascii="Arial" w:cs="Arial" w:eastAsia="Arial" w:hAnsi="Arial"/>
          <w:sz w:val="18"/>
          <w:szCs w:val="18"/>
          <w:b w:val="1"/>
          <w:bCs w:val="1"/>
          <w:color w:val="auto"/>
        </w:rPr>
      </w:pPr>
    </w:p>
    <w:p>
      <w:pPr>
        <w:ind w:left="500" w:right="6180" w:hanging="492"/>
        <w:spacing w:after="0" w:line="503" w:lineRule="auto"/>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u w:val="single" w:color="auto"/>
          <w:color w:val="auto"/>
        </w:rPr>
        <w:t>Basis of Presentation and Use of Estimates</w:t>
      </w: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contingent consideration and deferred tax assets and liabilities including related valuation allowances, are particularly impacted by estimates.</w:t>
      </w:r>
    </w:p>
    <w:p>
      <w:pPr>
        <w:spacing w:after="0" w:line="18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Certain prior year amounts have been reclassified to be comparable with the current year's presentation.</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Cash and Cash Equivalents</w:t>
      </w:r>
    </w:p>
    <w:p>
      <w:pPr>
        <w:spacing w:after="0" w:line="225" w:lineRule="exact"/>
        <w:rPr>
          <w:sz w:val="20"/>
          <w:szCs w:val="20"/>
          <w:color w:val="auto"/>
        </w:rPr>
      </w:pPr>
    </w:p>
    <w:p>
      <w:pPr>
        <w:ind w:left="500" w:right="440"/>
        <w:spacing w:after="0" w:line="312" w:lineRule="auto"/>
        <w:rPr>
          <w:sz w:val="20"/>
          <w:szCs w:val="20"/>
          <w:color w:val="auto"/>
        </w:rPr>
      </w:pPr>
      <w:r>
        <w:rPr>
          <w:rFonts w:ascii="Arial" w:cs="Arial" w:eastAsia="Arial" w:hAnsi="Arial"/>
          <w:sz w:val="16"/>
          <w:szCs w:val="16"/>
          <w:color w:val="auto"/>
        </w:rPr>
        <w:t>Short-term investments that have maturities of three months or less when purchased are considered to be cash equivalents and are carried at cost, which approximates market value. Our cash balances, which are deposited with highly reputable financial institutions, at times may exceed the federally insured limits. We have not experienced any losses related to these cash balances and believe the credit risk to be minimal.</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Trade Accounts Receivable and Allowance for Doubtful Accounts</w:t>
      </w:r>
    </w:p>
    <w:p>
      <w:pPr>
        <w:spacing w:after="0" w:line="225"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Trade accounts receivable are recorded at the invoiced amount and do not bear interest. We grant credit to customers and generally require no collateral. To minimize our risk, we perform ongoing credit evaluations of our customers' financial condition. The allowance for doubtful accounts is our best estimate of the amount of probable credit losses in our existing accounts receivable. We determine the allowance based on historical write-off experience and the aging of such receivables, among other factors. Account balances are charged off against the allowance after all means of collection have been exhausted and the potential for recovery is considered remote. We do not have any off-balance sheet credit exposure related to our customers. We recorded bad debt expense of $20 and $68 for the years ended December 31, 2018 and 2017, respectively. Cash flows from accounts receivable are recorded in operating cash flows.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225" w:lineRule="exact"/>
        <w:rPr>
          <w:sz w:val="20"/>
          <w:szCs w:val="20"/>
          <w:color w:val="auto"/>
        </w:rPr>
      </w:pPr>
    </w:p>
    <w:p>
      <w:pPr>
        <w:ind w:left="500" w:right="140"/>
        <w:spacing w:after="0" w:line="270" w:lineRule="auto"/>
        <w:rPr>
          <w:sz w:val="20"/>
          <w:szCs w:val="20"/>
          <w:color w:val="auto"/>
        </w:rPr>
      </w:pPr>
      <w:r>
        <w:rPr>
          <w:rFonts w:ascii="Arial" w:cs="Arial" w:eastAsia="Arial" w:hAnsi="Arial"/>
          <w:sz w:val="17"/>
          <w:szCs w:val="17"/>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 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225" w:lineRule="exact"/>
        <w:rPr>
          <w:sz w:val="20"/>
          <w:szCs w:val="20"/>
          <w:color w:val="auto"/>
        </w:rPr>
      </w:pPr>
    </w:p>
    <w:p>
      <w:pPr>
        <w:ind w:left="500" w:right="100"/>
        <w:spacing w:after="0" w:line="290" w:lineRule="auto"/>
        <w:rPr>
          <w:sz w:val="20"/>
          <w:szCs w:val="20"/>
          <w:color w:val="auto"/>
        </w:rPr>
      </w:pPr>
      <w:r>
        <w:rPr>
          <w:rFonts w:ascii="Arial" w:cs="Arial" w:eastAsia="Arial" w:hAnsi="Arial"/>
          <w:sz w:val="16"/>
          <w:szCs w:val="16"/>
          <w:color w:val="auto"/>
        </w:rPr>
        <w:t>Our financial instruments include accounts receivable, accounts payable and our liability for contingent consideration. Our accounts receivable and accounts payable are carried at cost which approximates fair value, due to the short maturities of the accounts. Our liability for contingent consideration is accounted for in accordance with the guidance in Accounting Standards Codification ("ASC") 820 (Fair Value Measurement). ASC 820 establishes a fair value hierarchy for instruments measured at fair value that distinguishes between assumptions based on market data (observable inputs) and our own assumptions (unobservable inputs). Our contingent consideration liability is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Note 4 for further disclosures related to the fair value of our liability for contingent consideration.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00" w:right="40"/>
        <w:spacing w:after="0" w:line="290" w:lineRule="auto"/>
        <w:rPr>
          <w:sz w:val="20"/>
          <w:szCs w:val="20"/>
          <w:color w:val="auto"/>
        </w:rPr>
      </w:pPr>
      <w:r>
        <w:rPr>
          <w:rFonts w:ascii="Arial" w:cs="Arial" w:eastAsia="Arial" w:hAnsi="Arial"/>
          <w:sz w:val="16"/>
          <w:szCs w:val="16"/>
          <w:color w:val="auto"/>
        </w:rPr>
        <w:t>As discussed further under “Effect of Recently Adopted Amendments to Authoritative Accounting Guidance” below, effective January 1, 2018, we recognize revenue in accordance with the guidance in ASC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under short-term lease agreements. We recognize revenue from equipment leases on a straight-line basis over the lease term.</w:t>
      </w:r>
    </w:p>
    <w:p>
      <w:pPr>
        <w:spacing w:after="0" w:line="166" w:lineRule="exact"/>
        <w:rPr>
          <w:sz w:val="20"/>
          <w:szCs w:val="20"/>
          <w:color w:val="auto"/>
        </w:rPr>
      </w:pPr>
    </w:p>
    <w:p>
      <w:pPr>
        <w:ind w:left="500" w:right="160"/>
        <w:spacing w:after="0" w:line="259" w:lineRule="auto"/>
        <w:rPr>
          <w:sz w:val="20"/>
          <w:szCs w:val="20"/>
          <w:color w:val="auto"/>
        </w:rPr>
      </w:pPr>
      <w:r>
        <w:rPr>
          <w:rFonts w:ascii="Arial" w:cs="Arial" w:eastAsia="Arial" w:hAnsi="Arial"/>
          <w:sz w:val="18"/>
          <w:szCs w:val="18"/>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net 30 or net 60 day payment terms. We generally do not provide a right of return to our customers. Revenue is recognized net of any taxes collected from customers, which are subsequently remitted to governmental authorities.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We sell thermal management products and semiconductor ATE interface solutions. Our thermal management products include ThermoStreams, ThermoChambers and process chillers, which we sell under our Temptronic, Sigma and Thermonics product lines, and Ambrell’s precision induction heating systems, including EkoHeat and EasyHeat products. Our semiconductor ATE interface solutions include manipulators, docking hardware and electrical interface products. We provide post-warranty service for the equipment we sell. We sell semiconductor ATE interface solutions and certain thermal management products to the ATE market, which provides automated test equipment to the semiconductor market. We also sell our thermal management products to markets outside the semiconductor market which include the automotive, defense/aerospace, industrial, telecommunications and other markets.</w:t>
      </w:r>
    </w:p>
    <w:p>
      <w:pPr>
        <w:spacing w:after="0" w:line="189"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Types of Contracts with Customers</w:t>
      </w:r>
    </w:p>
    <w:p>
      <w:pPr>
        <w:spacing w:after="0" w:line="225" w:lineRule="exact"/>
        <w:rPr>
          <w:sz w:val="20"/>
          <w:szCs w:val="20"/>
          <w:color w:val="auto"/>
        </w:rPr>
      </w:pPr>
    </w:p>
    <w:p>
      <w:pPr>
        <w:ind w:left="500"/>
        <w:spacing w:after="0" w:line="297" w:lineRule="auto"/>
        <w:rPr>
          <w:sz w:val="20"/>
          <w:szCs w:val="20"/>
          <w:color w:val="auto"/>
        </w:rPr>
      </w:pPr>
      <w:r>
        <w:rPr>
          <w:rFonts w:ascii="Arial" w:cs="Arial" w:eastAsia="Arial" w:hAnsi="Arial"/>
          <w:sz w:val="16"/>
          <w:szCs w:val="16"/>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500" w:right="100"/>
        <w:spacing w:after="0" w:line="259" w:lineRule="auto"/>
        <w:rPr>
          <w:sz w:val="20"/>
          <w:szCs w:val="20"/>
          <w:color w:val="auto"/>
        </w:rPr>
      </w:pPr>
      <w:r>
        <w:rPr>
          <w:rFonts w:ascii="Arial" w:cs="Arial" w:eastAsia="Arial" w:hAnsi="Arial"/>
          <w:sz w:val="18"/>
          <w:szCs w:val="18"/>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87" w:lineRule="exact"/>
        <w:rPr>
          <w:sz w:val="20"/>
          <w:szCs w:val="20"/>
          <w:color w:val="auto"/>
        </w:rPr>
      </w:pPr>
    </w:p>
    <w:p>
      <w:pPr>
        <w:ind w:left="500" w:right="460"/>
        <w:spacing w:after="0" w:line="308" w:lineRule="auto"/>
        <w:rPr>
          <w:sz w:val="20"/>
          <w:szCs w:val="20"/>
          <w:color w:val="auto"/>
        </w:rPr>
      </w:pPr>
      <w:r>
        <w:rPr>
          <w:rFonts w:ascii="Arial" w:cs="Arial" w:eastAsia="Arial" w:hAnsi="Arial"/>
          <w:sz w:val="17"/>
          <w:szCs w:val="17"/>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left="500" w:right="240"/>
        <w:spacing w:after="0" w:line="255" w:lineRule="auto"/>
        <w:rPr>
          <w:sz w:val="20"/>
          <w:szCs w:val="20"/>
          <w:color w:val="auto"/>
        </w:rPr>
      </w:pPr>
      <w:r>
        <w:rPr>
          <w:rFonts w:ascii="Arial" w:cs="Arial" w:eastAsia="Arial" w:hAnsi="Arial"/>
          <w:sz w:val="18"/>
          <w:szCs w:val="18"/>
          <w:color w:val="auto"/>
        </w:rPr>
        <w:t>The only costs we incur associated with obtaining contracts with customers are sales commissions that we pay to our internal sales personnel or third-party sales representatives. These costs are calculated based on an established percentage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Product Warranties</w:t>
      </w:r>
    </w:p>
    <w:p>
      <w:pPr>
        <w:spacing w:after="0" w:line="23" w:lineRule="exact"/>
        <w:rPr>
          <w:sz w:val="20"/>
          <w:szCs w:val="20"/>
          <w:color w:val="auto"/>
        </w:rPr>
      </w:pPr>
    </w:p>
    <w:p>
      <w:pPr>
        <w:ind w:left="500" w:right="60"/>
        <w:spacing w:after="0" w:line="288" w:lineRule="auto"/>
        <w:rPr>
          <w:sz w:val="20"/>
          <w:szCs w:val="20"/>
          <w:color w:val="auto"/>
        </w:rPr>
      </w:pPr>
      <w:r>
        <w:rPr>
          <w:rFonts w:ascii="Arial" w:cs="Arial" w:eastAsia="Arial" w:hAnsi="Arial"/>
          <w:sz w:val="16"/>
          <w:szCs w:val="16"/>
          <w:color w:val="auto"/>
        </w:rPr>
        <w:t>In connection with the sale of our products, we generally provide standard one or two 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In very limited cases, we offer customers an option to separately purchase an extended warranty for certain of our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Notes 6 and 17 for further information about our revenue from contracts with customers.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00"/>
        <w:spacing w:after="0" w:line="291"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$285 and $251 for the years ended December 31, 2018 and 2017, respectively.</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225" w:lineRule="exact"/>
        <w:rPr>
          <w:sz w:val="20"/>
          <w:szCs w:val="20"/>
          <w:color w:val="auto"/>
        </w:rPr>
      </w:pPr>
    </w:p>
    <w:p>
      <w:pPr>
        <w:ind w:left="500" w:right="100"/>
        <w:spacing w:after="0" w:line="255" w:lineRule="auto"/>
        <w:rPr>
          <w:sz w:val="20"/>
          <w:szCs w:val="20"/>
          <w:color w:val="auto"/>
        </w:rPr>
      </w:pPr>
      <w:r>
        <w:rPr>
          <w:rFonts w:ascii="Arial" w:cs="Arial" w:eastAsia="Arial" w:hAnsi="Arial"/>
          <w:sz w:val="18"/>
          <w:szCs w:val="18"/>
          <w:color w:val="auto"/>
        </w:rPr>
        <w:t>Machinery and equipment are stated at cost, except for machinery and equipment acquired in a business combination, which are stated at fair value at the time of acquisition. As further discussed below under "Goodwill, Intangible and Long-Lived Assets," machinery and equipment that has been determined to be impaired is written down to its fair value at the time of the impairment. Depreciation is based upon the estimated useful life of the assets using the straight-line method. The estimated useful lives range from one to ten years. Leasehold improvements are recorded at cost and amortized over the shorter of the lease term or the estimated useful life of the asset. Total depreciation expense was $768 and $618 for the years ended December 31, 2018 and 2017, respectively.</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Contingent Liability for Repayment of State and Local Grant Funds Received</w:t>
      </w:r>
    </w:p>
    <w:p>
      <w:pPr>
        <w:spacing w:after="0" w:line="225" w:lineRule="exact"/>
        <w:rPr>
          <w:sz w:val="20"/>
          <w:szCs w:val="20"/>
          <w:color w:val="auto"/>
        </w:rPr>
      </w:pPr>
    </w:p>
    <w:p>
      <w:pPr>
        <w:ind w:left="500" w:right="40"/>
        <w:spacing w:after="0" w:line="270" w:lineRule="auto"/>
        <w:rPr>
          <w:sz w:val="20"/>
          <w:szCs w:val="20"/>
          <w:color w:val="auto"/>
        </w:rPr>
      </w:pPr>
      <w:r>
        <w:rPr>
          <w:rFonts w:ascii="Arial" w:cs="Arial" w:eastAsia="Arial" w:hAnsi="Arial"/>
          <w:sz w:val="17"/>
          <w:szCs w:val="17"/>
          <w:color w:val="auto"/>
        </w:rPr>
        <w:t>In connection with Ambrell’s new facility in Rochester, New York, which we occupied in May 2018, we entered into agreements with the city of Rochester and the state of New York under which we expect to receive grants totaling $550 to help offset a portion of the cost of the leasehold improvements we have made to this facility. In exchange for the funds granted to us under these agreements, we are required to create and maintain specified levels of employment in this location through various dates ending in 2023. If we fail to meet these employment targets, we will be required to repay a proportionate share of the funds received. As of December 31, 2018, we have received $200 in grant funds. We expect to receive the balance of the grant funds during 2019. We have recorded the amounts received under these agreements as a contingent liability on our balance sheet. As time passes, portions of the funds received will no longer be subject to repayment if we have met the employment requirements of the agreements. Amounts which we are irrevocably entitled to keep will be reclassified to deferred revenue and amortized to income on a straightline basis over the remaining lease term for the Rochester facility.</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00" w:right="140"/>
        <w:spacing w:after="0" w:line="290" w:lineRule="auto"/>
        <w:rPr>
          <w:sz w:val="20"/>
          <w:szCs w:val="20"/>
          <w:color w:val="auto"/>
        </w:rPr>
      </w:pPr>
      <w:r>
        <w:rPr>
          <w:rFonts w:ascii="Arial" w:cs="Arial" w:eastAsia="Arial" w:hAnsi="Arial"/>
          <w:sz w:val="16"/>
          <w:szCs w:val="16"/>
          <w:color w:val="auto"/>
        </w:rPr>
        <w:t>We account for goodwill and intangible assets in accordance with ASC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this is the case, we are required to perform a goodwill impairment test to identify potential goodwill impairment and measure the amount of goodwill impairment loss to be recognized. The impairment test is discussed below. If, as a result of our qualitative assessment, we determine that it is more-likely-than-not that the fair value of the reporting unit is greater than its carrying amounts, the goodwill impairment test is not required.</w:t>
      </w:r>
    </w:p>
    <w:p>
      <w:pPr>
        <w:spacing w:after="0" w:line="166" w:lineRule="exact"/>
        <w:rPr>
          <w:sz w:val="20"/>
          <w:szCs w:val="20"/>
          <w:color w:val="auto"/>
        </w:rPr>
      </w:pPr>
    </w:p>
    <w:p>
      <w:pPr>
        <w:ind w:left="500"/>
        <w:spacing w:after="0" w:line="273" w:lineRule="auto"/>
        <w:rPr>
          <w:sz w:val="20"/>
          <w:szCs w:val="20"/>
          <w:color w:val="auto"/>
        </w:rPr>
      </w:pPr>
      <w:r>
        <w:rPr>
          <w:rFonts w:ascii="Arial" w:cs="Arial" w:eastAsia="Arial" w:hAnsi="Arial"/>
          <w:sz w:val="17"/>
          <w:szCs w:val="17"/>
          <w:color w:val="auto"/>
        </w:rPr>
        <w:t>In January 2017, the FASB issued amendments to the guidance on accounting for goodwill impairment. The amendments simplify the accounting for goodwill impairment by removing step two of the goodwill impairment test, which required a hypothetical purchase price allocation. Under the amendments, a goodwill impairment will now be the amount by which a reporting unit's carrying value exceeds its fair value, not to exceed the carrying amount of goodwill. The amendments are to be applied prospectively and are effective for us as of January 1, 2020, with early application permitted beginning January 1, 2017. We implemented this guidance effective with our impairment assessment that was performed in the fourth quarter of 2018. The implementation of these amendments did not have any impact on our consolidated financial statements.</w:t>
      </w:r>
    </w:p>
    <w:p>
      <w:pPr>
        <w:spacing w:after="0" w:line="178" w:lineRule="exact"/>
        <w:rPr>
          <w:sz w:val="20"/>
          <w:szCs w:val="20"/>
          <w:color w:val="auto"/>
        </w:rPr>
      </w:pPr>
    </w:p>
    <w:p>
      <w:pPr>
        <w:ind w:left="500" w:right="20"/>
        <w:spacing w:after="0" w:line="268" w:lineRule="auto"/>
        <w:rPr>
          <w:sz w:val="20"/>
          <w:szCs w:val="20"/>
          <w:color w:val="auto"/>
        </w:rPr>
      </w:pPr>
      <w:r>
        <w:rPr>
          <w:rFonts w:ascii="Arial" w:cs="Arial" w:eastAsia="Arial" w:hAnsi="Arial"/>
          <w:sz w:val="17"/>
          <w:szCs w:val="17"/>
          <w:color w:val="auto"/>
        </w:rPr>
        <w:t>As previously mentioned, if we determine it is more-likely-than-not that the fair value of a reporting unit is less than its carrying amount as a result of our qualitative assessment, we will perform a quantitative goodwill impairment test. The quantitative goodwill impairment test, used to identify both the existence of impairment and the amount of impairment loss,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shall be recognized in an amount equal to that excess, limited to the total amount of goodwill allocated to that reporting unit.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89" w:lineRule="exact"/>
        <w:rPr>
          <w:sz w:val="20"/>
          <w:szCs w:val="20"/>
          <w:color w:val="auto"/>
        </w:rPr>
      </w:pPr>
    </w:p>
    <w:p>
      <w:pPr>
        <w:ind w:left="500" w:right="80"/>
        <w:spacing w:after="0" w:line="276" w:lineRule="auto"/>
        <w:rPr>
          <w:sz w:val="20"/>
          <w:szCs w:val="20"/>
          <w:color w:val="auto"/>
        </w:rPr>
      </w:pPr>
      <w:r>
        <w:rPr>
          <w:rFonts w:ascii="Arial" w:cs="Arial" w:eastAsia="Arial" w:hAnsi="Arial"/>
          <w:sz w:val="17"/>
          <w:szCs w:val="17"/>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jc w:val="both"/>
        <w:ind w:left="500" w:right="300"/>
        <w:spacing w:after="0" w:line="259"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which is then amortized to expense over the service periods. See further disclosures related to our stock-based compensation plans in Note 14.</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00" w:right="80"/>
        <w:spacing w:after="0" w:line="277"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year ended December 31, 2018.</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Engineering and Product Development</w:t>
      </w:r>
    </w:p>
    <w:p>
      <w:pPr>
        <w:spacing w:after="0" w:line="225" w:lineRule="exact"/>
        <w:rPr>
          <w:sz w:val="20"/>
          <w:szCs w:val="20"/>
          <w:color w:val="auto"/>
        </w:rPr>
      </w:pPr>
    </w:p>
    <w:p>
      <w:pPr>
        <w:ind w:left="500" w:right="60"/>
        <w:spacing w:after="0" w:line="277" w:lineRule="auto"/>
        <w:rPr>
          <w:sz w:val="20"/>
          <w:szCs w:val="20"/>
          <w:color w:val="auto"/>
        </w:rPr>
      </w:pPr>
      <w:r>
        <w:rPr>
          <w:rFonts w:ascii="Arial" w:cs="Arial" w:eastAsia="Arial" w:hAnsi="Arial"/>
          <w:sz w:val="18"/>
          <w:szCs w:val="18"/>
          <w:color w:val="auto"/>
        </w:rPr>
        <w:t>Engineering and product development costs, which consist primarily of the salary and related benefits costs of our technical staff, as well as the cost of materials used in product development, are expensed as incurred.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225"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color w:val="auto"/>
        </w:rPr>
        <w:t>For our foreign subsidiaries whose functional currencies are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years ended December 31, 2018 and 2017, foreign currency transaction gains (losses) were $(165) and $146, respectively.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00"/>
        <w:spacing w:after="0" w:line="293"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65" w:lineRule="exact"/>
        <w:rPr>
          <w:sz w:val="20"/>
          <w:szCs w:val="20"/>
          <w:color w:val="auto"/>
        </w:rPr>
      </w:pPr>
    </w:p>
    <w:p>
      <w:pPr>
        <w:ind w:left="500" w:right="60"/>
        <w:spacing w:after="0" w:line="259" w:lineRule="auto"/>
        <w:rPr>
          <w:sz w:val="20"/>
          <w:szCs w:val="20"/>
          <w:color w:val="auto"/>
        </w:rPr>
      </w:pPr>
      <w:r>
        <w:rPr>
          <w:rFonts w:ascii="Arial" w:cs="Arial" w:eastAsia="Arial" w:hAnsi="Arial"/>
          <w:sz w:val="18"/>
          <w:szCs w:val="18"/>
          <w:color w:val="auto"/>
        </w:rPr>
        <w:t>On December 22, 2017, the President of the United States signed into law the Tax Cuts and Jobs Act (the “Tax Act”). This legislation made significant changes in the U.S. tax laws including reducing the corporate tax rate to 21% and creating a territorial tax system with a one-time mandatory transition tax payable on previously unremitted earnings of foreign subsidiaries, among other things. See Note 12 for additional information regarding income taxes.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00" w:right="160"/>
        <w:spacing w:after="0" w:line="302"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54" w:lineRule="exact"/>
        <w:rPr>
          <w:sz w:val="20"/>
          <w:szCs w:val="20"/>
          <w:color w:val="auto"/>
        </w:rPr>
      </w:pPr>
    </w:p>
    <w:p>
      <w:pPr>
        <w:ind w:left="500" w:right="100"/>
        <w:spacing w:after="0" w:line="264"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7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340" w:type="dxa"/>
            <w:vAlign w:val="bottom"/>
            <w:gridSpan w:val="4"/>
          </w:tcPr>
          <w:p>
            <w:pPr>
              <w:ind w:left="58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5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10,347,947</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Unvested shares of restricted stock and employee stock options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34,247</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tcPr>
          <w:p>
            <w:pPr>
              <w:spacing w:after="0"/>
              <w:rPr>
                <w:sz w:val="20"/>
                <w:szCs w:val="20"/>
                <w:color w:val="auto"/>
              </w:rPr>
            </w:pPr>
            <w:r>
              <w:rPr>
                <w:rFonts w:ascii="Arial" w:cs="Arial" w:eastAsia="Arial" w:hAnsi="Arial"/>
                <w:sz w:val="18"/>
                <w:szCs w:val="18"/>
                <w:color w:val="auto"/>
              </w:rPr>
              <w:t>Weighted average common shares and common share equivalents outstanding–diluted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10,382,194</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10,339,313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number of potentially dilutive securities excluded from calculation</w:t>
            </w:r>
          </w:p>
        </w:tc>
        <w:tc>
          <w:tcPr>
            <w:tcW w:w="17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216,420</w:t>
            </w:r>
          </w:p>
        </w:tc>
        <w:tc>
          <w:tcPr>
            <w:tcW w:w="16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77,047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00" w:right="60"/>
        <w:spacing w:after="0" w:line="297" w:lineRule="auto"/>
        <w:rPr>
          <w:sz w:val="20"/>
          <w:szCs w:val="20"/>
          <w:color w:val="auto"/>
        </w:rPr>
      </w:pPr>
      <w:r>
        <w:rPr>
          <w:rFonts w:ascii="Arial" w:cs="Arial" w:eastAsia="Arial" w:hAnsi="Arial"/>
          <w:sz w:val="16"/>
          <w:szCs w:val="16"/>
          <w:color w:val="auto"/>
        </w:rPr>
        <w:t>In May 2017, the FASB issued amendments to the guidance on accounting for a change to the terms or conditions (modification) of a share-based payment award. The amendments provide that an entity should account for the effects of a modification unless the fair value and vesting conditions of the modified award and the classification of the modified award (equity or liability instrument) are the same as the original award immediately before the modification. The amendments were effective for us as of January 1, 2018. The amendments will be applied prospectively to an award modified on or after the adoption date. The implementation of these amendments did not have any impact on our consolidated financial statements.</w:t>
      </w:r>
    </w:p>
    <w:p>
      <w:pPr>
        <w:spacing w:after="0" w:line="158" w:lineRule="exact"/>
        <w:rPr>
          <w:sz w:val="20"/>
          <w:szCs w:val="20"/>
          <w:color w:val="auto"/>
        </w:rPr>
      </w:pPr>
    </w:p>
    <w:p>
      <w:pPr>
        <w:ind w:left="500" w:right="160"/>
        <w:spacing w:after="0" w:line="279" w:lineRule="auto"/>
        <w:rPr>
          <w:sz w:val="20"/>
          <w:szCs w:val="20"/>
          <w:color w:val="auto"/>
        </w:rPr>
      </w:pPr>
      <w:r>
        <w:rPr>
          <w:rFonts w:ascii="Arial" w:cs="Arial" w:eastAsia="Arial" w:hAnsi="Arial"/>
          <w:sz w:val="17"/>
          <w:szCs w:val="17"/>
          <w:color w:val="auto"/>
        </w:rPr>
        <w:t>In January 2017, the FASB issued amendments to the guidance on accounting for goodwill impairment. As previously discussed, the amendments simplify the accounting for goodwill impairment by removing step two of the goodwill impairment test, which required a hypothetical purchase price allocation. As permitted, we applied this new guidance for our goodwill impairment assessment completed during the fourth quarter of 2018. The implementation of these amendments did not have any impact on our consolidated financial statements.</w:t>
      </w:r>
    </w:p>
    <w:p>
      <w:pPr>
        <w:spacing w:after="0" w:line="171"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In January 2017, the FASB issued amendments to clarify the current guidance on the definition of a business. The objective of the amendments is to assist entities with evaluating whether transactions should be accounted for as acquisitions (or disposals) of assets or businesses. The amendments were effective for us as of January 1, 2018. The implementation of these amendments did not have any impact on our consolidated financial statements. The amendments will be considered prospectively on future acquisitions.</w:t>
      </w:r>
    </w:p>
    <w:p>
      <w:pPr>
        <w:spacing w:after="0" w:line="187" w:lineRule="exact"/>
        <w:rPr>
          <w:sz w:val="20"/>
          <w:szCs w:val="20"/>
          <w:color w:val="auto"/>
        </w:rPr>
      </w:pPr>
    </w:p>
    <w:p>
      <w:pPr>
        <w:ind w:left="500" w:right="160"/>
        <w:spacing w:after="0" w:line="259" w:lineRule="auto"/>
        <w:rPr>
          <w:sz w:val="20"/>
          <w:szCs w:val="20"/>
          <w:color w:val="auto"/>
        </w:rPr>
      </w:pPr>
      <w:r>
        <w:rPr>
          <w:rFonts w:ascii="Arial" w:cs="Arial" w:eastAsia="Arial" w:hAnsi="Arial"/>
          <w:sz w:val="18"/>
          <w:szCs w:val="18"/>
          <w:color w:val="auto"/>
        </w:rPr>
        <w:t>In November 2016, the FASB issued amendments to the guidance on presentation of restricted cash within the statement of cash flows. The amendments require that restricted cash be included within cash and cash equivalents on the statement of cash flows. The amendments were effective for us as of January 1, 2018, and have been applied retrospectively. The implementation of these amendments did not have any impact on our consolidated financial statements.</w:t>
      </w:r>
    </w:p>
    <w:p>
      <w:pPr>
        <w:spacing w:after="0" w:line="187" w:lineRule="exact"/>
        <w:rPr>
          <w:sz w:val="20"/>
          <w:szCs w:val="20"/>
          <w:color w:val="auto"/>
        </w:rPr>
      </w:pPr>
    </w:p>
    <w:p>
      <w:pPr>
        <w:ind w:left="500"/>
        <w:spacing w:after="0" w:line="273" w:lineRule="auto"/>
        <w:rPr>
          <w:sz w:val="20"/>
          <w:szCs w:val="20"/>
          <w:color w:val="auto"/>
        </w:rPr>
      </w:pPr>
      <w:r>
        <w:rPr>
          <w:rFonts w:ascii="Arial" w:cs="Arial" w:eastAsia="Arial" w:hAnsi="Arial"/>
          <w:sz w:val="17"/>
          <w:szCs w:val="17"/>
          <w:color w:val="auto"/>
        </w:rPr>
        <w:t>In May 2014, the FASB issued new guidance on the recognition of revenue from contracts with customers. This new guidance is presented in ASC 606 and replaced most existing revenue recognition guidance in U.S. GAAP when it became effective. In August 2015, the FASB deferred the effective date of this new guidance for one additional year. As a result, this new guidance was effective for us as of January 1, 2018. As previously discussed, we implemented this new guidance on January 1, 2018 using the cumulative effect transition method. However, we did not have a cumulative adjustment to retained earnings to record as of the transition date as this new guidance did not have a significant impact on the timing or amount of revenue we recognized in any given period in comparison to the amount recognized under prior guidance.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00" w:right="80"/>
        <w:spacing w:after="0" w:line="289" w:lineRule="auto"/>
        <w:rPr>
          <w:sz w:val="20"/>
          <w:szCs w:val="20"/>
          <w:color w:val="auto"/>
        </w:rPr>
      </w:pPr>
      <w:r>
        <w:rPr>
          <w:rFonts w:ascii="Arial" w:cs="Arial" w:eastAsia="Arial" w:hAnsi="Arial"/>
          <w:sz w:val="16"/>
          <w:szCs w:val="16"/>
          <w:color w:val="auto"/>
        </w:rPr>
        <w:t>In February 2016, the FASB issued amendments to the current guidance on accounting for lease transactions, which is presented in ASC Topic 842 (Leases). Subsequent to February 2016, the FASB has issued additional clarifying guidance on certain aspects of this new guidance, along with certain practical expedients that may be applied.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will be required to record a right-of-use asset and a lease liability on the balance sheet for all leases with terms longer than 12 months. Leases will be classified as either finance or operating, with classification affecting the pattern of expense recognition in the income statement. The amendments are effective for us as of January 1, 2019. The two permitted transition methods under the guidance are the modified retrospective transition approach, which requires application of the guidance for all comparative periods presented, and the cumulative effect adjustment approach, which requires prospective application at the adoption date.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spacing w:after="0" w:line="271" w:lineRule="auto"/>
        <w:rPr>
          <w:sz w:val="20"/>
          <w:szCs w:val="20"/>
          <w:color w:val="auto"/>
        </w:rPr>
      </w:pPr>
      <w:r>
        <w:rPr>
          <w:rFonts w:ascii="Arial" w:cs="Arial" w:eastAsia="Arial" w:hAnsi="Arial"/>
          <w:sz w:val="17"/>
          <w:szCs w:val="17"/>
          <w:color w:val="auto"/>
        </w:rPr>
        <w:t>We will adopt the amendments on January 1, 2019 using the cumulative effect adjustment approach. Accordingly, prior periods will not be restated. The implementation of this new guidance will have a significant impact on our consolidated balance sheet as a result of recording right-of-use assets and lease liabilities for all of our multi-year leases. Under current guidance, none of these leases has any related asset recorded on our balance sheets. The only related liability currently recorded on our balance sheets is the amount which represents the difference between the lease payments we have made and the straightline rent expense we have recorded in our statements of operations. At December 31, 2018, that liability was $380 and is included in Other Current Liabilities on our balance sheet. At January 1, 2019, we expect to record an increase in total assets and liabilities of approximately $4,873 as a result of the implementation of this new guidance. We do not expect that the implementation of this new guidance will have a significant impact on our pattern of expense recognition for any of our multi-year leases.</w:t>
      </w:r>
    </w:p>
    <w:p>
      <w:pPr>
        <w:spacing w:after="0" w:line="200" w:lineRule="exact"/>
        <w:rPr>
          <w:sz w:val="20"/>
          <w:szCs w:val="20"/>
          <w:color w:val="auto"/>
        </w:rPr>
      </w:pPr>
    </w:p>
    <w:p>
      <w:pPr>
        <w:spacing w:after="0" w:line="218"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29" w:lineRule="exact"/>
        <w:rPr>
          <w:rFonts w:ascii="Arial" w:cs="Arial" w:eastAsia="Arial" w:hAnsi="Arial"/>
          <w:sz w:val="18"/>
          <w:szCs w:val="18"/>
          <w:b w:val="1"/>
          <w:bCs w:val="1"/>
          <w:color w:val="auto"/>
        </w:rPr>
      </w:pPr>
    </w:p>
    <w:p>
      <w:pPr>
        <w:ind w:left="50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May 24, 2017, we completed our acquisition of Ambrell. The purchase price for Ambrell was $22,000 in cash paid at closing, subject to a customary post-closing working capital adjustment, and additional contingent consideration of up to $18,000 in the form of earnouts paid based upon a multiple of adjusted EBITDA for 2017 and 2018, as further discussed below. The acquisition was completed by acquiring all of the outstanding capital stock of Ambrell. Total acquisition costs incurred to complete this transaction were $935. Acquisition costs were expensed as incurred and included in general and administrative expense.</w:t>
      </w:r>
    </w:p>
    <w:p>
      <w:pPr>
        <w:spacing w:after="0" w:line="188" w:lineRule="exact"/>
        <w:rPr>
          <w:rFonts w:ascii="Arial" w:cs="Arial" w:eastAsia="Arial" w:hAnsi="Arial"/>
          <w:sz w:val="18"/>
          <w:szCs w:val="18"/>
          <w:b w:val="1"/>
          <w:bCs w:val="1"/>
          <w:color w:val="auto"/>
        </w:rPr>
      </w:pPr>
    </w:p>
    <w:p>
      <w:pPr>
        <w:ind w:left="50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acquisition of Ambrell has been accounted for as a business combination using purchase accounting and, accordingly, the results of Ambrell have been included in our consolidated results of operations from the date of acquisition. The allocation of the Ambrell purchase price was based on fair values as of May 24, 2017. The determination of fair value reflects our estimates and assumptions based on the information available as of the date the estimate is calculated.</w:t>
      </w:r>
    </w:p>
    <w:p>
      <w:pPr>
        <w:spacing w:after="0" w:line="186" w:lineRule="exact"/>
        <w:rPr>
          <w:rFonts w:ascii="Arial" w:cs="Arial" w:eastAsia="Arial" w:hAnsi="Arial"/>
          <w:sz w:val="18"/>
          <w:szCs w:val="18"/>
          <w:b w:val="1"/>
          <w:bCs w:val="1"/>
          <w:color w:val="auto"/>
        </w:rPr>
      </w:pPr>
    </w:p>
    <w:p>
      <w:pPr>
        <w:ind w:left="500" w:right="7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spacing w:after="0" w:line="14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The total purchase price of $26,733 was comprised of:</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acquire the capital stock of Ambrell</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Estimated fair value of contingent consideration</w:t>
            </w: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640"/>
              <w:spacing w:after="0"/>
              <w:rPr>
                <w:sz w:val="20"/>
                <w:szCs w:val="20"/>
                <w:color w:val="auto"/>
              </w:rPr>
            </w:pPr>
            <w:r>
              <w:rPr>
                <w:rFonts w:ascii="Arial" w:cs="Arial" w:eastAsia="Arial" w:hAnsi="Arial"/>
                <w:sz w:val="18"/>
                <w:szCs w:val="18"/>
                <w:color w:val="auto"/>
              </w:rPr>
              <w:t>Total purchase price</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line="287" w:lineRule="auto"/>
        <w:rPr>
          <w:sz w:val="20"/>
          <w:szCs w:val="20"/>
          <w:color w:val="auto"/>
        </w:rPr>
      </w:pPr>
      <w:r>
        <w:rPr>
          <w:rFonts w:ascii="Arial" w:cs="Arial" w:eastAsia="Arial" w:hAnsi="Arial"/>
          <w:sz w:val="16"/>
          <w:szCs w:val="16"/>
          <w:color w:val="auto"/>
        </w:rPr>
        <w:t>As noted above, the consideration paid for the acquisition of Ambrell includes contingent consideration in the form of earnouts based on the adjusted EBITDA of Ambrell for 2017 and 2018. Adjusted EBITDA is earnings (or loss) from operations before interest expense, benefit or provision for income taxes, depreciation and amortization, and excludes other non-recurring income and expense items as defined in the stock purchase agreement for Ambrell. The first earnout paid after calendar year 2017 was completed was an amount equal to 8x Ambrell's adjusted EBITDA for 2017 minus the $22,000 paid at closing. This amount was $5,833 and was paid in April 2018. The second earnout to be paid after calendar year 2018 is completed, will be an amount equal to 8x Ambrell's adjusted EBITDA for 2018 minus the sum of the $22,000 paid at closing and $5,833, the earnout paid with respect to 2017. The 2017 and 2018 earnouts, in the aggregate, are capped at $18,000. At December 31, 2018, we have accrued $12,167 as additional acquisition consideration payable on our balance sheet representing the amount of the second earnout. To estimate the fair value of the contingent consideration, an option based income approach using a Monte Carlo simulation model was utilized due to the non-linear payout structure. As of the acquisition date, this resulted in an estimated fair value of $4,123 for the 2017 and 2018 earnouts. This amount was recorded as a contingent consideration liability and included in the purchase price as of the acquisition date. Changes in the amount of the estimated fair value of the earnouts after the acquisition date were recorded as operating expenses in our statement of operations in the quarter in which they occurred.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The total purchase price of $26,733 has been allocated as follows: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 and liabilities assumed:</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Cash</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receivable</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advances</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Deferred tax liability</w:t>
            </w:r>
          </w:p>
        </w:tc>
        <w:tc>
          <w:tcPr>
            <w:tcW w:w="5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640"/>
              <w:spacing w:after="0"/>
              <w:rPr>
                <w:sz w:val="20"/>
                <w:szCs w:val="20"/>
                <w:color w:val="auto"/>
              </w:rPr>
            </w:pPr>
            <w:r>
              <w:rPr>
                <w:rFonts w:ascii="Arial" w:cs="Arial" w:eastAsia="Arial" w:hAnsi="Arial"/>
                <w:sz w:val="18"/>
                <w:szCs w:val="18"/>
                <w:color w:val="auto"/>
              </w:rPr>
              <w:t>Total purchase price</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0"/>
        <w:spacing w:after="0" w:line="302" w:lineRule="auto"/>
        <w:rPr>
          <w:sz w:val="20"/>
          <w:szCs w:val="20"/>
          <w:color w:val="auto"/>
        </w:rPr>
      </w:pPr>
      <w:r>
        <w:rPr>
          <w:rFonts w:ascii="Arial" w:cs="Arial" w:eastAsia="Arial" w:hAnsi="Arial"/>
          <w:sz w:val="16"/>
          <w:szCs w:val="16"/>
          <w:color w:val="auto"/>
        </w:rPr>
        <w:t>We estimated the fair value of identifiable intangible assets acquired using a combination of the income, cost and market approaches. Identifiable intangible assets acquired include customer relationships, customer backlog, technology and trademarks. 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w:t>
      </w:r>
    </w:p>
    <w:p>
      <w:pPr>
        <w:spacing w:after="0" w:line="154"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color w:val="auto"/>
        </w:rPr>
        <w:t>The following table summarizes the estimated fair value of Ambrell's identifiable intangible assets and their estimated useful lives as of the acquisition date:</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Fair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Useful Life</w:t>
            </w: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9,000</w:t>
            </w:r>
          </w:p>
        </w:tc>
        <w:tc>
          <w:tcPr>
            <w:tcW w:w="180" w:type="dxa"/>
            <w:vAlign w:val="bottom"/>
          </w:tcPr>
          <w:p>
            <w:pPr>
              <w:spacing w:after="0"/>
              <w:rPr>
                <w:sz w:val="18"/>
                <w:szCs w:val="18"/>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10,100</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16,300</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For the period from May 24, 2017 to December 31, 2017, Ambrell contributed $13,562 of net revenues and had a net loss of $6,238, which includes the impact of a $6,976 increase in the amount of our contingent consideration liability from the date of acquisition through December 31, 2017. During 2018, Ambrell contributed $26,446 of net revenues and had a net loss of $5,162, which includes the impact of a $6,901 increase in the amount of our contingent consideration liability during 2018.</w:t>
      </w:r>
    </w:p>
    <w:p>
      <w:pPr>
        <w:spacing w:after="0" w:line="187" w:lineRule="exact"/>
        <w:rPr>
          <w:sz w:val="20"/>
          <w:szCs w:val="20"/>
          <w:color w:val="auto"/>
        </w:rPr>
      </w:pPr>
    </w:p>
    <w:p>
      <w:pPr>
        <w:ind w:left="500"/>
        <w:spacing w:after="0" w:line="279" w:lineRule="auto"/>
        <w:rPr>
          <w:sz w:val="20"/>
          <w:szCs w:val="20"/>
          <w:color w:val="auto"/>
        </w:rPr>
      </w:pPr>
      <w:r>
        <w:rPr>
          <w:rFonts w:ascii="Arial" w:cs="Arial" w:eastAsia="Arial" w:hAnsi="Arial"/>
          <w:sz w:val="17"/>
          <w:szCs w:val="17"/>
          <w:color w:val="auto"/>
        </w:rPr>
        <w:t>The following unaudited pro forma information gives effect to the acquisition of Ambrell as if the acquisition occurred on January 1, 2017. This proforma summary does not reflect any operating efficiencies or costs savings that may be achieved by the combined businesses. This proforma summary is presented for informational purposes only and is not necessarily indicative of what the actual results of operations would have been had the acquisition taken place as of that date, nor is it indicative of future consolidated results of operations:</w:t>
      </w:r>
    </w:p>
    <w:p>
      <w:pPr>
        <w:spacing w:after="0" w:line="167"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7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20"/>
                <w:szCs w:val="20"/>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74,421</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Net earnings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1,593</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r>
    </w:tbl>
    <w:p>
      <w:pPr>
        <w:spacing w:after="0" w:line="202" w:lineRule="exact"/>
        <w:rPr>
          <w:sz w:val="20"/>
          <w:szCs w:val="20"/>
          <w:color w:val="auto"/>
        </w:rPr>
      </w:pPr>
    </w:p>
    <w:p>
      <w:pPr>
        <w:ind w:left="500" w:right="80"/>
        <w:spacing w:after="0" w:line="264" w:lineRule="auto"/>
        <w:rPr>
          <w:sz w:val="20"/>
          <w:szCs w:val="20"/>
          <w:color w:val="auto"/>
        </w:rPr>
      </w:pPr>
      <w:r>
        <w:rPr>
          <w:rFonts w:ascii="Arial" w:cs="Arial" w:eastAsia="Arial" w:hAnsi="Arial"/>
          <w:sz w:val="18"/>
          <w:szCs w:val="18"/>
          <w:color w:val="auto"/>
        </w:rPr>
        <w:t>The pro forma results shown above do not reflect the impact on general and administrative expense of investment advisory costs, legal costs and other costs of $935 incurred by us as a direct result of the transaction. The pro forma results shown above include a $6,976 increase in the amount of our contingent consideration liability which we recorded during the second half of 2017.</w:t>
      </w:r>
    </w:p>
    <w:p>
      <w:pPr>
        <w:spacing w:after="0" w:line="200" w:lineRule="exact"/>
        <w:rPr>
          <w:sz w:val="20"/>
          <w:szCs w:val="20"/>
          <w:color w:val="auto"/>
        </w:rPr>
      </w:pPr>
    </w:p>
    <w:p>
      <w:pPr>
        <w:spacing w:after="0" w:line="220"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500"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383"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500" w:right="200"/>
        <w:spacing w:after="0" w:line="264"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Level 1 Valuations based on unadjusted quoted prices in active markets for identical assets or liabilities that we have the ability to access.</w:t>
      </w:r>
    </w:p>
    <w:p>
      <w:pPr>
        <w:spacing w:after="0" w:line="291" w:lineRule="exact"/>
        <w:rPr>
          <w:sz w:val="20"/>
          <w:szCs w:val="20"/>
          <w:color w:val="auto"/>
        </w:rPr>
      </w:pPr>
    </w:p>
    <w:p>
      <w:pPr>
        <w:ind w:left="1140" w:right="100" w:hanging="647"/>
        <w:spacing w:after="0" w:line="277" w:lineRule="auto"/>
        <w:rPr>
          <w:sz w:val="20"/>
          <w:szCs w:val="20"/>
          <w:color w:val="auto"/>
        </w:rPr>
      </w:pPr>
      <w:r>
        <w:rPr>
          <w:rFonts w:ascii="Arial" w:cs="Arial" w:eastAsia="Arial" w:hAnsi="Arial"/>
          <w:sz w:val="18"/>
          <w:szCs w:val="18"/>
          <w:color w:val="auto"/>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Valuations based on inputs that are unobservable and significant to the overall fair value measurement.</w:t>
      </w:r>
    </w:p>
    <w:p>
      <w:pPr>
        <w:spacing w:after="0" w:line="252" w:lineRule="exact"/>
        <w:rPr>
          <w:sz w:val="20"/>
          <w:szCs w:val="20"/>
          <w:color w:val="auto"/>
        </w:rPr>
      </w:pPr>
    </w:p>
    <w:p>
      <w:pPr>
        <w:ind w:left="500" w:right="60"/>
        <w:spacing w:after="0" w:line="291"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w:t>
      </w:r>
    </w:p>
    <w:p>
      <w:pPr>
        <w:ind w:left="500" w:right="1000" w:hanging="6"/>
        <w:spacing w:after="0" w:line="261"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Recurring Fair Value Measurements</w:t>
      </w:r>
    </w:p>
    <w:p>
      <w:pPr>
        <w:spacing w:after="0" w:line="225" w:lineRule="exact"/>
        <w:rPr>
          <w:sz w:val="20"/>
          <w:szCs w:val="20"/>
          <w:color w:val="auto"/>
        </w:rPr>
      </w:pPr>
    </w:p>
    <w:p>
      <w:pPr>
        <w:ind w:left="500" w:right="20"/>
        <w:spacing w:after="0" w:line="273" w:lineRule="auto"/>
        <w:rPr>
          <w:sz w:val="20"/>
          <w:szCs w:val="20"/>
          <w:color w:val="auto"/>
        </w:rPr>
      </w:pPr>
      <w:r>
        <w:rPr>
          <w:rFonts w:ascii="Arial" w:cs="Arial" w:eastAsia="Arial" w:hAnsi="Arial"/>
          <w:sz w:val="17"/>
          <w:szCs w:val="17"/>
          <w:color w:val="auto"/>
        </w:rPr>
        <w:t>The contingent consideration liability on our balance sheets is measured at fair value on a recurring basis using Level 3 inputs. Our contingent consideration liability is a result of our acquisition of Ambrell on May 24, 2017, and it represents the estimated fair value of the additional cash consideration payable that is contingent upon the achievement of certain financial results by Ambrell, as discussed more fully in Note 3. Estimating the fair value of this Level 3 instrument involves generating various scenarios for projected adjusted EBITDA over a specified time period, calculating the associated contingent consideration payments and discounting the average payments to present value. Changes in the projected adjusted EBITDA of Ambrell can result in significant fluctuations in the estimated fair value of this liability during interim periods.</w:t>
      </w:r>
    </w:p>
    <w:p>
      <w:pPr>
        <w:spacing w:after="0" w:line="178" w:lineRule="exact"/>
        <w:rPr>
          <w:sz w:val="20"/>
          <w:szCs w:val="20"/>
          <w:color w:val="auto"/>
        </w:rPr>
      </w:pPr>
    </w:p>
    <w:p>
      <w:pPr>
        <w:ind w:left="500" w:right="20"/>
        <w:spacing w:after="0" w:line="302" w:lineRule="auto"/>
        <w:rPr>
          <w:sz w:val="20"/>
          <w:szCs w:val="20"/>
          <w:color w:val="auto"/>
        </w:rPr>
      </w:pPr>
      <w:r>
        <w:rPr>
          <w:rFonts w:ascii="Arial" w:cs="Arial" w:eastAsia="Arial" w:hAnsi="Arial"/>
          <w:sz w:val="16"/>
          <w:szCs w:val="16"/>
          <w:color w:val="auto"/>
        </w:rPr>
        <w:t>During the second half of 2017, we recorded a $6,976 increase in the fair value of our contingent consideration liability. This increase primarily reflected higher actual adjusted EBITDA for the year ended December 31, 2017, as a result of significantly higher than expected levels of net revenues and EBITDA in the fourth quarter of 2017, and an increase in the projected adjusted EBITDA for the year ended December 31, 2018. At December 31, 2017, our forecasts for both 2018 net revenues and 2018 EBITDA significantly exceeded the amounts projected as of the acquisition date.</w:t>
      </w:r>
    </w:p>
    <w:p>
      <w:pPr>
        <w:spacing w:after="0" w:line="154" w:lineRule="exact"/>
        <w:rPr>
          <w:sz w:val="20"/>
          <w:szCs w:val="20"/>
          <w:color w:val="auto"/>
        </w:rPr>
      </w:pPr>
    </w:p>
    <w:p>
      <w:pPr>
        <w:ind w:left="500" w:right="520"/>
        <w:spacing w:after="0" w:line="277" w:lineRule="auto"/>
        <w:rPr>
          <w:sz w:val="20"/>
          <w:szCs w:val="20"/>
          <w:color w:val="auto"/>
        </w:rPr>
      </w:pPr>
      <w:r>
        <w:rPr>
          <w:rFonts w:ascii="Arial" w:cs="Arial" w:eastAsia="Arial" w:hAnsi="Arial"/>
          <w:sz w:val="18"/>
          <w:szCs w:val="18"/>
          <w:color w:val="auto"/>
        </w:rPr>
        <w:t>During 2018, we recorded a $6,901 increase in the fair value of our contingent consideration liability as a result of further increases in the actual adjusted EBITDA of Ambrell for the year ended December 31, 2018.</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fair value hierarchy table presents information about liabilities measured at fair value on a recurring basis: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Amounts at</w:t>
            </w:r>
          </w:p>
        </w:tc>
        <w:tc>
          <w:tcPr>
            <w:tcW w:w="200" w:type="dxa"/>
            <w:vAlign w:val="bottom"/>
          </w:tcPr>
          <w:p>
            <w:pPr>
              <w:spacing w:after="0"/>
              <w:rPr>
                <w:sz w:val="20"/>
                <w:szCs w:val="20"/>
                <w:color w:val="auto"/>
              </w:rPr>
            </w:pPr>
          </w:p>
        </w:tc>
        <w:tc>
          <w:tcPr>
            <w:tcW w:w="374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Fair Value Measurement Using</w:t>
            </w:r>
          </w:p>
        </w:tc>
      </w:t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jc w:val="right"/>
              <w:ind w:right="680"/>
              <w:spacing w:after="0"/>
              <w:rPr>
                <w:sz w:val="20"/>
                <w:szCs w:val="20"/>
                <w:color w:val="auto"/>
              </w:rPr>
            </w:pPr>
            <w:r>
              <w:rPr>
                <w:rFonts w:ascii="Arial" w:cs="Arial" w:eastAsia="Arial" w:hAnsi="Arial"/>
                <w:sz w:val="18"/>
                <w:szCs w:val="18"/>
                <w:b w:val="1"/>
                <w:bCs w:val="1"/>
                <w:color w:val="auto"/>
              </w:rPr>
              <w:t>Level 1</w:t>
            </w:r>
          </w:p>
        </w:tc>
        <w:tc>
          <w:tcPr>
            <w:tcW w:w="1340" w:type="dxa"/>
            <w:vAlign w:val="bottom"/>
            <w:tcBorders>
              <w:top w:val="single" w:sz="8" w:color="auto"/>
            </w:tcBorders>
            <w:gridSpan w:val="3"/>
          </w:tcPr>
          <w:p>
            <w:pPr>
              <w:jc w:val="center"/>
              <w:ind w:right="580"/>
              <w:spacing w:after="0"/>
              <w:rPr>
                <w:sz w:val="20"/>
                <w:szCs w:val="20"/>
                <w:color w:val="auto"/>
              </w:rPr>
            </w:pPr>
            <w:r>
              <w:rPr>
                <w:rFonts w:ascii="Arial" w:cs="Arial" w:eastAsia="Arial" w:hAnsi="Arial"/>
                <w:sz w:val="18"/>
                <w:szCs w:val="18"/>
                <w:b w:val="1"/>
                <w:bCs w:val="1"/>
                <w:color w:val="auto"/>
                <w:w w:val="91"/>
              </w:rPr>
              <w:t>Level 2</w:t>
            </w: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5,744</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5,744</w:t>
            </w:r>
          </w:p>
        </w:tc>
      </w:tr>
      <w:tr>
        <w:trPr>
          <w:trHeight w:val="20"/>
        </w:trPr>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Changes in the fair value of our Level 3 contingent consideration liability for the years ended December 31, 2018 and 2017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2017</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Contingent consideration liability established in connection with the acquisition of Ambrell</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4,123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Transfer of contingent consideration liability to 2017 earnout payable</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(5,355)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Balance – December 31, 2017</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5,744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Transfer of contingent consideration liability to 2018 earnout payable</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(12,645)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Balance – December 31, 2018</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0" w:type="dxa"/>
            <w:vAlign w:val="bottom"/>
            <w:vMerge w:val="restart"/>
          </w:tcPr>
          <w:p>
            <w:pPr>
              <w:ind w:left="5040"/>
              <w:spacing w:after="0"/>
              <w:rPr>
                <w:sz w:val="20"/>
                <w:szCs w:val="20"/>
                <w:color w:val="auto"/>
              </w:rPr>
            </w:pPr>
            <w:r>
              <w:rPr>
                <w:rFonts w:ascii="Arial" w:cs="Arial" w:eastAsia="Arial" w:hAnsi="Arial"/>
                <w:sz w:val="18"/>
                <w:szCs w:val="18"/>
                <w:color w:val="auto"/>
              </w:rPr>
              <w:t>F-15</w:t>
            </w:r>
          </w:p>
        </w:tc>
        <w:tc>
          <w:tcPr>
            <w:tcW w:w="1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76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76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rFonts w:ascii="Arial" w:cs="Arial" w:eastAsia="Arial" w:hAnsi="Arial"/>
          <w:sz w:val="18"/>
          <w:szCs w:val="18"/>
          <w:b w:val="1"/>
          <w:bCs w:val="1"/>
          <w:color w:val="auto"/>
        </w:rPr>
      </w:pPr>
    </w:p>
    <w:p>
      <w:pPr>
        <w:ind w:left="50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Goodwill and intangible assets on our balance sheets are the result of our acquisitions of Sigma Systems Corp. ("Sigma") in October 2008, Thermonics, Inc. ("Thermonics") in January 2012 and Ambrell in May 2017. All of our goodwill and intangible assets are allocated to our Thermal segment.</w:t>
      </w:r>
    </w:p>
    <w:p>
      <w:pPr>
        <w:spacing w:after="0" w:line="16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74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Goodwill</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80" w:type="dxa"/>
            <w:vAlign w:val="bottom"/>
            <w:gridSpan w:val="3"/>
          </w:tcPr>
          <w:p>
            <w:pPr>
              <w:spacing w:after="0"/>
              <w:rPr>
                <w:sz w:val="20"/>
                <w:szCs w:val="20"/>
                <w:color w:val="auto"/>
              </w:rPr>
            </w:pPr>
            <w:r>
              <w:rPr>
                <w:rFonts w:ascii="Arial" w:cs="Arial" w:eastAsia="Arial" w:hAnsi="Arial"/>
                <w:sz w:val="18"/>
                <w:szCs w:val="18"/>
                <w:color w:val="auto"/>
                <w:w w:val="94"/>
              </w:rPr>
              <w:t>Goodwill totaled $13,738 at both December 31, 2018 and 2017 and was comprised of the following:</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Sigma</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Thermonics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Ambrell</w:t>
            </w: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Changes in the amount of the carrying value of finite-lived intangible assets for the years ended December 31, 2018 and 2017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2017</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Acquisition of Ambrell</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Balance - December 31, 2017</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9,304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tcPr>
          <w:p>
            <w:pPr>
              <w:ind w:left="500"/>
              <w:spacing w:after="0"/>
              <w:rPr>
                <w:sz w:val="20"/>
                <w:szCs w:val="20"/>
                <w:color w:val="auto"/>
              </w:rPr>
            </w:pPr>
            <w:r>
              <w:rPr>
                <w:rFonts w:ascii="Arial" w:cs="Arial" w:eastAsia="Arial" w:hAnsi="Arial"/>
                <w:sz w:val="18"/>
                <w:szCs w:val="18"/>
                <w:color w:val="auto"/>
              </w:rPr>
              <w:t>Balance - December 31, 2018</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8,201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60" w:type="dxa"/>
            <w:vAlign w:val="bottom"/>
            <w:gridSpan w:val="9"/>
          </w:tcPr>
          <w:p>
            <w:pPr>
              <w:ind w:left="500"/>
              <w:spacing w:after="0"/>
              <w:rPr>
                <w:sz w:val="20"/>
                <w:szCs w:val="20"/>
                <w:color w:val="auto"/>
              </w:rPr>
            </w:pPr>
            <w:r>
              <w:rPr>
                <w:rFonts w:ascii="Arial" w:cs="Arial" w:eastAsia="Arial" w:hAnsi="Arial"/>
                <w:sz w:val="18"/>
                <w:szCs w:val="18"/>
                <w:color w:val="auto"/>
                <w:w w:val="94"/>
              </w:rPr>
              <w:t>The following tables provide further detail about our intangible assets as of December 31, 2018 and 2017: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0"/>
              </w:rPr>
              <w:t>December 31, 2018</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10,480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2,717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7,763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backlog</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4,379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8,201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6,710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4,379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100" w:type="dxa"/>
            <w:vAlign w:val="bottom"/>
            <w:shd w:val="clear" w:color="auto" w:fill="CCEEFF"/>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500" w:type="dxa"/>
            <w:vAlign w:val="bottom"/>
          </w:tcPr>
          <w:p>
            <w:pPr>
              <w:spacing w:after="0"/>
              <w:rPr>
                <w:sz w:val="24"/>
                <w:szCs w:val="24"/>
                <w:color w:val="auto"/>
              </w:rPr>
            </w:pPr>
          </w:p>
        </w:tc>
        <w:tc>
          <w:tcPr>
            <w:tcW w:w="4580" w:type="dxa"/>
            <w:vAlign w:val="bottom"/>
            <w:tcBorders>
              <w:top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10,480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1,828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8,652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127</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backlog</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9,304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6,710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3,276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16,014</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00" w:type="dxa"/>
            <w:vAlign w:val="bottom"/>
          </w:tcPr>
          <w:p>
            <w:pPr>
              <w:spacing w:after="0"/>
              <w:rPr>
                <w:sz w:val="24"/>
                <w:szCs w:val="24"/>
                <w:color w:val="auto"/>
              </w:rPr>
            </w:pPr>
          </w:p>
        </w:tc>
        <w:tc>
          <w:tcPr>
            <w:tcW w:w="45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F-16</w:t>
            </w: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500" w:right="500"/>
        <w:spacing w:after="0" w:line="264"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amortization expense for our finite-lived intangible assets was $1,103 and $1,161, respectively, for the years ended December 31, 2018 and 2017.</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estimated annual amortization expense for each of the next five years: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940" w:type="dxa"/>
            <w:vAlign w:val="bottom"/>
            <w:shd w:val="clear" w:color="auto" w:fill="CCEEFF"/>
          </w:tcPr>
          <w:p>
            <w:pPr>
              <w:jc w:val="right"/>
              <w:ind w:right="3490"/>
              <w:spacing w:after="0"/>
              <w:rPr>
                <w:sz w:val="20"/>
                <w:szCs w:val="20"/>
                <w:color w:val="auto"/>
              </w:rPr>
            </w:pPr>
            <w:r>
              <w:rPr>
                <w:rFonts w:ascii="Arial" w:cs="Arial" w:eastAsia="Arial" w:hAnsi="Arial"/>
                <w:sz w:val="18"/>
                <w:szCs w:val="18"/>
                <w:color w:val="auto"/>
                <w:w w:val="84"/>
              </w:rPr>
              <w:t>2019</w:t>
            </w:r>
          </w:p>
        </w:tc>
        <w:tc>
          <w:tcPr>
            <w:tcW w:w="41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16"/>
        </w:trPr>
        <w:tc>
          <w:tcPr>
            <w:tcW w:w="3940" w:type="dxa"/>
            <w:vAlign w:val="bottom"/>
          </w:tcPr>
          <w:p>
            <w:pPr>
              <w:jc w:val="right"/>
              <w:ind w:right="3490"/>
              <w:spacing w:after="0"/>
              <w:rPr>
                <w:sz w:val="20"/>
                <w:szCs w:val="20"/>
                <w:color w:val="auto"/>
              </w:rPr>
            </w:pPr>
            <w:r>
              <w:rPr>
                <w:rFonts w:ascii="Arial" w:cs="Arial" w:eastAsia="Arial" w:hAnsi="Arial"/>
                <w:sz w:val="18"/>
                <w:szCs w:val="18"/>
                <w:color w:val="auto"/>
                <w:w w:val="84"/>
              </w:rPr>
              <w:t>2020</w:t>
            </w:r>
          </w:p>
        </w:tc>
        <w:tc>
          <w:tcPr>
            <w:tcW w:w="41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1,233</w:t>
            </w:r>
          </w:p>
        </w:tc>
      </w:tr>
      <w:tr>
        <w:trPr>
          <w:trHeight w:val="216"/>
        </w:trPr>
        <w:tc>
          <w:tcPr>
            <w:tcW w:w="3940" w:type="dxa"/>
            <w:vAlign w:val="bottom"/>
            <w:shd w:val="clear" w:color="auto" w:fill="CCEEFF"/>
          </w:tcPr>
          <w:p>
            <w:pPr>
              <w:jc w:val="right"/>
              <w:ind w:right="3490"/>
              <w:spacing w:after="0"/>
              <w:rPr>
                <w:sz w:val="20"/>
                <w:szCs w:val="20"/>
                <w:color w:val="auto"/>
              </w:rPr>
            </w:pPr>
            <w:r>
              <w:rPr>
                <w:rFonts w:ascii="Arial" w:cs="Arial" w:eastAsia="Arial" w:hAnsi="Arial"/>
                <w:sz w:val="18"/>
                <w:szCs w:val="18"/>
                <w:color w:val="auto"/>
                <w:w w:val="84"/>
              </w:rPr>
              <w:t>2021</w:t>
            </w:r>
          </w:p>
        </w:tc>
        <w:tc>
          <w:tcPr>
            <w:tcW w:w="41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r>
      <w:tr>
        <w:trPr>
          <w:trHeight w:val="216"/>
        </w:trPr>
        <w:tc>
          <w:tcPr>
            <w:tcW w:w="3940" w:type="dxa"/>
            <w:vAlign w:val="bottom"/>
          </w:tcPr>
          <w:p>
            <w:pPr>
              <w:jc w:val="right"/>
              <w:ind w:right="3490"/>
              <w:spacing w:after="0"/>
              <w:rPr>
                <w:sz w:val="20"/>
                <w:szCs w:val="20"/>
                <w:color w:val="auto"/>
              </w:rPr>
            </w:pPr>
            <w:r>
              <w:rPr>
                <w:rFonts w:ascii="Arial" w:cs="Arial" w:eastAsia="Arial" w:hAnsi="Arial"/>
                <w:sz w:val="18"/>
                <w:szCs w:val="18"/>
                <w:color w:val="auto"/>
                <w:w w:val="84"/>
              </w:rPr>
              <w:t>2022</w:t>
            </w:r>
          </w:p>
        </w:tc>
        <w:tc>
          <w:tcPr>
            <w:tcW w:w="41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1,167</w:t>
            </w:r>
          </w:p>
        </w:tc>
      </w:tr>
      <w:tr>
        <w:trPr>
          <w:trHeight w:val="216"/>
        </w:trPr>
        <w:tc>
          <w:tcPr>
            <w:tcW w:w="3940" w:type="dxa"/>
            <w:vAlign w:val="bottom"/>
            <w:shd w:val="clear" w:color="auto" w:fill="CCEEFF"/>
          </w:tcPr>
          <w:p>
            <w:pPr>
              <w:jc w:val="right"/>
              <w:ind w:right="3490"/>
              <w:spacing w:after="0"/>
              <w:rPr>
                <w:sz w:val="20"/>
                <w:szCs w:val="20"/>
                <w:color w:val="auto"/>
              </w:rPr>
            </w:pPr>
            <w:r>
              <w:rPr>
                <w:rFonts w:ascii="Arial" w:cs="Arial" w:eastAsia="Arial" w:hAnsi="Arial"/>
                <w:sz w:val="18"/>
                <w:szCs w:val="18"/>
                <w:color w:val="auto"/>
                <w:w w:val="84"/>
              </w:rPr>
              <w:t>2023</w:t>
            </w:r>
          </w:p>
        </w:tc>
        <w:tc>
          <w:tcPr>
            <w:tcW w:w="41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Impairment of Goodwill and Indefinite Life Intangible Assets</w:t>
      </w:r>
    </w:p>
    <w:p>
      <w:pPr>
        <w:spacing w:after="0" w:line="225" w:lineRule="exact"/>
        <w:rPr>
          <w:sz w:val="20"/>
          <w:szCs w:val="20"/>
          <w:color w:val="auto"/>
        </w:rPr>
      </w:pPr>
    </w:p>
    <w:p>
      <w:pPr>
        <w:ind w:left="500" w:right="100"/>
        <w:spacing w:after="0" w:line="287" w:lineRule="auto"/>
        <w:rPr>
          <w:sz w:val="20"/>
          <w:szCs w:val="20"/>
          <w:color w:val="auto"/>
        </w:rPr>
      </w:pPr>
      <w:r>
        <w:rPr>
          <w:rFonts w:ascii="Arial" w:cs="Arial" w:eastAsia="Arial" w:hAnsi="Arial"/>
          <w:sz w:val="16"/>
          <w:szCs w:val="16"/>
          <w:color w:val="auto"/>
        </w:rPr>
        <w:t>During December 2018 and 2017, we assessed our goodwill and indefinite life intangible asset for impairment in accordance with the requirements of ASC 350 using a quantitative approach. Our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discount rates used in 2018 and 2017 for the discounted cash flows were 18.5% and 14.5%, respectively. The selection of these rates was based upon our analysis of market based estimates of capital costs and discount rates. The peer companies used in the market approach operate in our market segment.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goodwill impairment assessment in both 2018 and 2017, we compared the fair value of our Thermal reporting unit with its carrying value.</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This assessment indicated no impairment existed as the fair value of the reporting unit exceeded its carrying value in both 2018 and 2017.</w:t>
      </w:r>
    </w:p>
    <w:p>
      <w:pPr>
        <w:spacing w:after="0" w:line="222" w:lineRule="exact"/>
        <w:rPr>
          <w:sz w:val="20"/>
          <w:szCs w:val="20"/>
          <w:color w:val="auto"/>
        </w:rPr>
      </w:pPr>
    </w:p>
    <w:p>
      <w:pPr>
        <w:jc w:val="both"/>
        <w:ind w:left="500" w:right="80"/>
        <w:spacing w:after="0" w:line="264" w:lineRule="auto"/>
        <w:rPr>
          <w:sz w:val="20"/>
          <w:szCs w:val="20"/>
          <w:color w:val="auto"/>
        </w:rPr>
      </w:pPr>
      <w:r>
        <w:rPr>
          <w:rFonts w:ascii="Arial" w:cs="Arial" w:eastAsia="Arial" w:hAnsi="Arial"/>
          <w:sz w:val="18"/>
          <w:szCs w:val="18"/>
          <w:color w:val="auto"/>
        </w:rPr>
        <w:t>During the indefinite life intangible asset impairment assessment in both 2018 and 2017, we compared the fair value of our intangible assets with their carrying values. This assessment indicated no impairment existed as the fair value of the intangible assets exceeded their carrying values in both 2018 and 2017.</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Impairment of Long-Lived Assets and Finite-lived Intangible Assets</w:t>
      </w:r>
    </w:p>
    <w:p>
      <w:pPr>
        <w:spacing w:after="0" w:line="225"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During 2018 and 2017, we did not review any of our long lived assets for impairment as there were no events or changes in business circumstances that would indicate an impairment might exist.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rFonts w:ascii="Arial" w:cs="Arial" w:eastAsia="Arial" w:hAnsi="Arial"/>
          <w:sz w:val="18"/>
          <w:szCs w:val="18"/>
          <w:b w:val="1"/>
          <w:bCs w:val="1"/>
          <w:color w:val="auto"/>
        </w:rPr>
      </w:pPr>
    </w:p>
    <w:p>
      <w:pPr>
        <w:ind w:left="50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tables provide additional information about our revenue from contracts with customers, including revenue by customer and product type and revenue by market. See also Note 12 for information about revenue by operating segment and geographic region.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Years Ended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7"/>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customer type:</w:t>
            </w:r>
          </w:p>
        </w:tc>
        <w:tc>
          <w:tcPr>
            <w:tcW w:w="2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End user</w:t>
            </w:r>
          </w:p>
        </w:tc>
        <w:tc>
          <w:tcPr>
            <w:tcW w:w="33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68,093</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60,731</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OEM/Integrator</w:t>
            </w:r>
          </w:p>
        </w:tc>
        <w:tc>
          <w:tcPr>
            <w:tcW w:w="2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10,470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3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78,563</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66,801</w:t>
            </w: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Net revenues by product type:</w:t>
            </w:r>
          </w:p>
        </w:tc>
        <w:tc>
          <w:tcPr>
            <w:tcW w:w="2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Thermal test</w:t>
            </w:r>
          </w:p>
        </w:tc>
        <w:tc>
          <w:tcPr>
            <w:tcW w:w="33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25,289</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24,657</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Induction heating</w:t>
            </w:r>
          </w:p>
        </w:tc>
        <w:tc>
          <w:tcPr>
            <w:tcW w:w="2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24,104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11,915</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Semiconductor production test</w:t>
            </w:r>
          </w:p>
        </w:tc>
        <w:tc>
          <w:tcPr>
            <w:tcW w:w="2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21,445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22,952</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Service/other</w:t>
            </w:r>
          </w:p>
        </w:tc>
        <w:tc>
          <w:tcPr>
            <w:tcW w:w="2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3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78,563</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66,801</w:t>
            </w: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Net revenues by market:</w:t>
            </w:r>
          </w:p>
        </w:tc>
        <w:tc>
          <w:tcPr>
            <w:tcW w:w="2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Semiconductor</w:t>
            </w:r>
          </w:p>
        </w:tc>
        <w:tc>
          <w:tcPr>
            <w:tcW w:w="33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45,378</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37,763</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21,220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14,148</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Telecommunications</w:t>
            </w:r>
          </w:p>
        </w:tc>
        <w:tc>
          <w:tcPr>
            <w:tcW w:w="2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10,262</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non-semiconductor markets</w:t>
            </w:r>
          </w:p>
        </w:tc>
        <w:tc>
          <w:tcPr>
            <w:tcW w:w="2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78,563</w:t>
            </w:r>
          </w:p>
        </w:tc>
        <w:tc>
          <w:tcPr>
            <w:tcW w:w="80" w:type="dxa"/>
            <w:vAlign w:val="bottom"/>
          </w:tcPr>
          <w:p>
            <w:pPr>
              <w:spacing w:after="0"/>
              <w:rPr>
                <w:sz w:val="18"/>
                <w:szCs w:val="18"/>
                <w:color w:val="auto"/>
              </w:rPr>
            </w:pP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66,801</w:t>
            </w: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40" w:type="dxa"/>
            <w:vAlign w:val="bottom"/>
            <w:gridSpan w:val="2"/>
          </w:tcPr>
          <w:p>
            <w:pPr>
              <w:jc w:val="right"/>
              <w:ind w:right="1950"/>
              <w:spacing w:after="0"/>
              <w:rPr>
                <w:sz w:val="20"/>
                <w:szCs w:val="20"/>
                <w:color w:val="auto"/>
              </w:rPr>
            </w:pPr>
            <w:r>
              <w:rPr>
                <w:rFonts w:ascii="Arial" w:cs="Arial" w:eastAsia="Arial" w:hAnsi="Arial"/>
                <w:sz w:val="18"/>
                <w:szCs w:val="18"/>
                <w:color w:val="auto"/>
              </w:rPr>
              <w:t>F-17</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846"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Changes in the amount of the allowance for doubtful accounts for the years ended December 31, 2018 and 2017 are as follows:</w:t>
      </w:r>
    </w:p>
    <w:p>
      <w:pPr>
        <w:sectPr>
          <w:pgSz w:w="11900" w:h="16838" w:orient="portrait"/>
          <w:cols w:equalWidth="0" w:num="1">
            <w:col w:w="11420"/>
          </w:cols>
          <w:pgMar w:left="240" w:top="118" w:right="239" w:bottom="1440" w:gutter="0" w:footer="0" w:header="0"/>
        </w:sectPr>
      </w:pP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975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Bad debt expense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-130810</wp:posOffset>
            </wp:positionV>
            <wp:extent cx="579755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Balance - December 31, 2017</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-130810</wp:posOffset>
            </wp:positionV>
            <wp:extent cx="579755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9755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Balance - December 31, 2018</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282" w:hanging="1282"/>
        <w:spacing w:after="0"/>
        <w:tabs>
          <w:tab w:leader="none" w:pos="12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146</w:t>
      </w:r>
    </w:p>
    <w:p>
      <w:pPr>
        <w:spacing w:after="0" w:line="23" w:lineRule="exact"/>
        <w:rPr>
          <w:rFonts w:ascii="Arial" w:cs="Arial" w:eastAsia="Arial" w:hAnsi="Arial"/>
          <w:sz w:val="18"/>
          <w:szCs w:val="18"/>
          <w:color w:val="auto"/>
        </w:rPr>
      </w:pPr>
    </w:p>
    <w:p>
      <w:pPr>
        <w:ind w:left="1382"/>
        <w:spacing w:after="0"/>
        <w:rPr>
          <w:rFonts w:ascii="Arial" w:cs="Arial" w:eastAsia="Arial" w:hAnsi="Arial"/>
          <w:sz w:val="18"/>
          <w:szCs w:val="18"/>
          <w:color w:val="auto"/>
        </w:rPr>
      </w:pPr>
      <w:r>
        <w:rPr>
          <w:rFonts w:ascii="Arial" w:cs="Arial" w:eastAsia="Arial" w:hAnsi="Arial"/>
          <w:sz w:val="18"/>
          <w:szCs w:val="18"/>
          <w:color w:val="auto"/>
        </w:rPr>
        <w:t>68</w:t>
      </w:r>
    </w:p>
    <w:p>
      <w:pPr>
        <w:spacing w:after="0" w:line="9" w:lineRule="exact"/>
        <w:rPr>
          <w:rFonts w:ascii="Arial" w:cs="Arial" w:eastAsia="Arial" w:hAnsi="Arial"/>
          <w:sz w:val="18"/>
          <w:szCs w:val="18"/>
          <w:color w:val="auto"/>
        </w:rPr>
      </w:pPr>
    </w:p>
    <w:p>
      <w:pPr>
        <w:ind w:left="1402"/>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213</w:t>
      </w:r>
    </w:p>
    <w:p>
      <w:pPr>
        <w:spacing w:after="0" w:line="23"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20</w:t>
      </w:r>
    </w:p>
    <w:p>
      <w:pPr>
        <w:spacing w:after="0" w:line="9"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2" w:hanging="1282"/>
        <w:spacing w:after="0"/>
        <w:tabs>
          <w:tab w:leader="none" w:pos="12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9861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127" w:lineRule="exact"/>
        <w:rPr>
          <w:sz w:val="20"/>
          <w:szCs w:val="20"/>
          <w:color w:val="auto"/>
        </w:rPr>
      </w:pPr>
    </w:p>
    <w:p>
      <w:pPr>
        <w:sectPr>
          <w:pgSz w:w="11900" w:h="16838" w:orient="portrait"/>
          <w:cols w:equalWidth="0" w:num="2">
            <w:col w:w="7918" w:space="720"/>
            <w:col w:w="2782"/>
          </w:cols>
          <w:pgMar w:left="240" w:top="118" w:right="239" w:bottom="1440" w:gutter="0" w:footer="0" w:header="0"/>
          <w:type w:val="continuous"/>
        </w:sectPr>
      </w:pPr>
    </w:p>
    <w:p>
      <w:pPr>
        <w:spacing w:after="0" w:line="29" w:lineRule="exact"/>
        <w:rPr>
          <w:sz w:val="20"/>
          <w:szCs w:val="20"/>
          <w:color w:val="auto"/>
        </w:rPr>
      </w:pPr>
    </w:p>
    <w:p>
      <w:pPr>
        <w:ind w:left="500" w:right="40"/>
        <w:spacing w:after="0" w:line="257" w:lineRule="auto"/>
        <w:rPr>
          <w:sz w:val="20"/>
          <w:szCs w:val="20"/>
          <w:color w:val="auto"/>
        </w:rPr>
      </w:pPr>
      <w:r>
        <w:rPr>
          <w:rFonts w:ascii="Arial" w:cs="Arial" w:eastAsia="Arial" w:hAnsi="Arial"/>
          <w:sz w:val="18"/>
          <w:szCs w:val="18"/>
          <w:color w:val="auto"/>
        </w:rPr>
        <w:t>During the years ended December 31, 2018 and 2017, Texas Instruments Incorporated accounted for 11% of our consolidated net revenues. While both of our operating segments sold products to this customer, these revenues were primarily generated by our EMS segment. During the year ended December 31, 2017, Hakuto Co. Ltd., one of our distributors, accounted for 11% of our consolidated net revenues. These revenues were generated by our Thermal segment. During the years ended December 31, 2018 and 2017, no other customer accounted for 10% or more of our consolidated net revenues.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Inventories held at December 31 were comprised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3,424</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Work in process</w:t>
            </w:r>
          </w:p>
        </w:tc>
        <w:tc>
          <w:tcPr>
            <w:tcW w:w="1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791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1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Finished goods</w:t>
            </w:r>
          </w:p>
        </w:tc>
        <w:tc>
          <w:tcPr>
            <w:tcW w:w="18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18"/>
                <w:szCs w:val="18"/>
                <w:color w:val="auto"/>
              </w:rPr>
            </w:pP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8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4,966</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liabilities at December 31 were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6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717</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Accrued sales commissions</w:t>
            </w:r>
          </w:p>
        </w:tc>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529</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Accrued rent</w:t>
            </w:r>
          </w:p>
        </w:tc>
        <w:tc>
          <w:tcPr>
            <w:tcW w:w="2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Accrued warranty</w:t>
            </w:r>
          </w:p>
        </w:tc>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4360" w:type="dxa"/>
            <w:vAlign w:val="bottom"/>
            <w:gridSpan w:val="2"/>
          </w:tcPr>
          <w:p>
            <w:pPr>
              <w:ind w:left="1140"/>
              <w:spacing w:after="0"/>
              <w:rPr>
                <w:sz w:val="20"/>
                <w:szCs w:val="20"/>
                <w:color w:val="auto"/>
              </w:rPr>
            </w:pPr>
            <w:r>
              <w:rPr>
                <w:rFonts w:ascii="Arial" w:cs="Arial" w:eastAsia="Arial" w:hAnsi="Arial"/>
                <w:sz w:val="18"/>
                <w:szCs w:val="18"/>
                <w:color w:val="auto"/>
              </w:rPr>
              <w:t>Total other current liabilities</w:t>
            </w:r>
          </w:p>
        </w:tc>
        <w:tc>
          <w:tcPr>
            <w:tcW w:w="2540" w:type="dxa"/>
            <w:vAlign w:val="bottom"/>
          </w:tcPr>
          <w:p>
            <w:pPr>
              <w:spacing w:after="0"/>
              <w:rPr>
                <w:sz w:val="18"/>
                <w:szCs w:val="18"/>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2,585</w:t>
            </w:r>
          </w:p>
        </w:tc>
        <w:tc>
          <w:tcPr>
            <w:tcW w:w="8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2,166</w:t>
            </w: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620" w:type="dxa"/>
            <w:vAlign w:val="bottom"/>
            <w:gridSpan w:val="2"/>
          </w:tcPr>
          <w:p>
            <w:pPr>
              <w:jc w:val="right"/>
              <w:ind w:right="2010"/>
              <w:spacing w:after="0"/>
              <w:rPr>
                <w:sz w:val="20"/>
                <w:szCs w:val="20"/>
                <w:color w:val="auto"/>
              </w:rPr>
            </w:pPr>
            <w:r>
              <w:rPr>
                <w:rFonts w:ascii="Arial" w:cs="Arial" w:eastAsia="Arial" w:hAnsi="Arial"/>
                <w:sz w:val="18"/>
                <w:szCs w:val="18"/>
                <w:color w:val="auto"/>
              </w:rPr>
              <w:t>F-18</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type w:val="continuous"/>
        </w:sectPr>
      </w:pPr>
    </w:p>
    <w:bookmarkStart w:id="50" w:name="page51"/>
    <w:bookmarkEnd w:id="5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rFonts w:ascii="Arial" w:cs="Arial" w:eastAsia="Arial" w:hAnsi="Arial"/>
          <w:sz w:val="18"/>
          <w:szCs w:val="18"/>
          <w:b w:val="1"/>
          <w:bCs w:val="1"/>
          <w:color w:val="auto"/>
        </w:rPr>
      </w:pPr>
    </w:p>
    <w:p>
      <w:pPr>
        <w:ind w:left="500" w:right="1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In accordance with the terms of our lease, the letter of credit related to our facility in Mt. Laurel, New Jersey will be reduced from $125 to $90 on April 1, 2019. Our outstanding letters of credit at December 31, 2018 and 2017 consisted of the following:</w:t>
      </w:r>
    </w:p>
    <w:p>
      <w:pPr>
        <w:spacing w:after="0" w:line="169"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Letters of Credit</w:t>
            </w:r>
          </w:p>
        </w:tc>
      </w:tr>
      <w:tr>
        <w:trPr>
          <w:trHeight w:val="234"/>
        </w:trPr>
        <w:tc>
          <w:tcPr>
            <w:tcW w:w="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L/C</w:t>
            </w:r>
          </w:p>
        </w:tc>
        <w:tc>
          <w:tcPr>
            <w:tcW w:w="156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86"/>
              </w:rPr>
              <w:t>Lease</w:t>
            </w:r>
          </w:p>
        </w:tc>
        <w:tc>
          <w:tcPr>
            <w:tcW w:w="27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Amount Outstanding</w:t>
            </w:r>
          </w:p>
        </w:tc>
      </w:tr>
      <w:tr>
        <w:trPr>
          <w:trHeight w:val="191"/>
        </w:trPr>
        <w:tc>
          <w:tcPr>
            <w:tcW w:w="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36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6"/>
              </w:rPr>
              <w:t>Original L/C</w:t>
            </w:r>
          </w:p>
        </w:tc>
        <w:tc>
          <w:tcPr>
            <w:tcW w:w="13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5"/>
              </w:rPr>
              <w:t>Expiration</w:t>
            </w:r>
          </w:p>
        </w:tc>
        <w:tc>
          <w:tcPr>
            <w:tcW w:w="13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Expiration</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40"/>
              <w:spacing w:after="0" w:line="191" w:lineRule="exact"/>
              <w:rPr>
                <w:sz w:val="20"/>
                <w:szCs w:val="20"/>
                <w:color w:val="auto"/>
              </w:rPr>
            </w:pPr>
            <w:r>
              <w:rPr>
                <w:rFonts w:ascii="Arial" w:cs="Arial" w:eastAsia="Arial" w:hAnsi="Arial"/>
                <w:sz w:val="18"/>
                <w:szCs w:val="18"/>
                <w:b w:val="1"/>
                <w:bCs w:val="1"/>
                <w:color w:val="auto"/>
              </w:rPr>
              <w:t>Dec. 31</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Dec. 31</w:t>
            </w:r>
          </w:p>
        </w:tc>
        <w:tc>
          <w:tcPr>
            <w:tcW w:w="100" w:type="dxa"/>
            <w:vAlign w:val="bottom"/>
          </w:tcPr>
          <w:p>
            <w:pPr>
              <w:spacing w:after="0"/>
              <w:rPr>
                <w:sz w:val="16"/>
                <w:szCs w:val="16"/>
                <w:color w:val="auto"/>
              </w:rPr>
            </w:pPr>
          </w:p>
        </w:tc>
      </w:tr>
      <w:tr>
        <w:trPr>
          <w:trHeight w:val="207"/>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Facility</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Issue Date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56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Mt. Laurel, NJ</w:t>
            </w:r>
          </w:p>
        </w:tc>
        <w:tc>
          <w:tcPr>
            <w:tcW w:w="13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3/29/2010</w:t>
            </w:r>
          </w:p>
        </w:tc>
        <w:tc>
          <w:tcPr>
            <w:tcW w:w="13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3/31/2020</w:t>
            </w:r>
          </w:p>
        </w:tc>
        <w:tc>
          <w:tcPr>
            <w:tcW w:w="1560" w:type="dxa"/>
            <w:vAlign w:val="bottom"/>
            <w:gridSpan w:val="3"/>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4/30/2021 $</w:t>
            </w:r>
          </w:p>
        </w:tc>
        <w:tc>
          <w:tcPr>
            <w:tcW w:w="12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125</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10/27/2010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11/08/2019</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8/31/2021</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30"/>
        </w:trPr>
        <w:tc>
          <w:tcPr>
            <w:tcW w:w="58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right="7480" w:hanging="492"/>
        <w:spacing w:after="0" w:line="503" w:lineRule="auto"/>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u w:val="single" w:color="auto"/>
          <w:color w:val="auto"/>
        </w:rPr>
        <w:t>Operating Lease Commitments</w:t>
      </w:r>
    </w:p>
    <w:p>
      <w:pPr>
        <w:ind w:left="500" w:right="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We lease our offices, warehouse facilities and certain equipment under non-cancellable operating leases which expire at various dates through 2029. Total rental expense for the years ended December 31, 2018 and 2017 was $1,848 and $1,600, respectively. Certain of our operating leases contain predetermined fixed escalations of minimum rentals and rent holidays during the original lease terms. Rent holidays are periods during which we have control of the leased facility but are not obligated to pay rent. For these leases, we recognize the related rental expense on a straight-line basis over the life of the lease, which includes any rent holiday, and record the difference between the amounts charged to operations and amounts paid as Other Current Liabilities on our balance sheet. In addition to the monthly rental payments due, most of our leases for our offices and warehouse facilities require us to pay our portion of the common area maintenance, property taxes and insurance charges incurred by the landlord for the facilities which we occupy. These amounts are not included in the minimum rental commitments disclosed below as they are based on actual charges incurred in the periods to which they apply.</w:t>
      </w:r>
    </w:p>
    <w:p>
      <w:pPr>
        <w:spacing w:after="0" w:line="18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aggregate minimum rental commitments under the non-cancellable operating leases in effect at December 31, 2018 are as follows: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2020</w:t>
            </w:r>
          </w:p>
        </w:tc>
        <w:tc>
          <w:tcPr>
            <w:tcW w:w="3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1,612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2022</w:t>
            </w:r>
          </w:p>
        </w:tc>
        <w:tc>
          <w:tcPr>
            <w:tcW w:w="3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Thereafter</w:t>
            </w:r>
          </w:p>
        </w:tc>
        <w:tc>
          <w:tcPr>
            <w:tcW w:w="33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80" w:type="dxa"/>
            <w:vAlign w:val="bottom"/>
          </w:tcPr>
          <w:p>
            <w:pPr>
              <w:spacing w:after="0"/>
              <w:rPr>
                <w:sz w:val="18"/>
                <w:szCs w:val="18"/>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6.193</w:t>
            </w: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We are subject to Federal and certain state income taxes. In addition, we are taxed in certain foreign countries.</w:t>
      </w:r>
    </w:p>
    <w:p>
      <w:pPr>
        <w:spacing w:after="0" w:line="225" w:lineRule="exact"/>
        <w:rPr>
          <w:rFonts w:ascii="Arial" w:cs="Arial" w:eastAsia="Arial" w:hAnsi="Arial"/>
          <w:sz w:val="18"/>
          <w:szCs w:val="18"/>
          <w:b w:val="1"/>
          <w:bCs w:val="1"/>
          <w:color w:val="auto"/>
        </w:rPr>
      </w:pPr>
    </w:p>
    <w:p>
      <w:pPr>
        <w:ind w:left="5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As previously discussed in Note 2, on December 22, 2017 the President of the United States signed into law the Tax Act. The two principal elements of the Tax Act impacting our 2018 and 2017 consolidated statement of operations and our balance sheet as of December 31, 2018 and 2017 were the reduction in the corporate tax rate from 35% to 21% and the one-time transition tax that is imposed on the previously unremitted earnings of our foreign subsidiaries. As a result of the legislative changes enacted, we were required to revalue our deferred tax assets and liabilities to the new rate of 21% as of December 31, 2017, which resulted in our recording a current period tax benefit of $1,743 in our 2017 consolidated statement of operations and a corresponding reduction in the amount of the net deferred tax liability. Due to the complexities involved in determining the previously unremitted earnings of our foreign subsidiaries, at December 31, 2017, we recorded a provisional amount for the transition tax payable on those unremitted earnings. The provisional amount recorded, net of related foreign tax credits, was a tax of $476. During the first half of 2018 we completed the process of obtaining, preparing and analyzing the required information, including a Section 965 analysis and an earnings and profits study. As a result, we have determined that no transition tax is due, and, accordingly, during the second quarter of 2018 we reversed the $476 that had been accrued in the fourth quarter of 2017.</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Earnings before income taxes was as follows:</w:t>
            </w:r>
          </w:p>
        </w:tc>
        <w:tc>
          <w:tcPr>
            <w:tcW w:w="1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6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2,580</w:t>
            </w:r>
          </w:p>
        </w:tc>
      </w:tr>
      <w:tr>
        <w:trPr>
          <w:trHeight w:val="216"/>
        </w:trPr>
        <w:tc>
          <w:tcPr>
            <w:tcW w:w="6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Foreign</w:t>
            </w:r>
          </w:p>
        </w:tc>
        <w:tc>
          <w:tcPr>
            <w:tcW w:w="15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80" w:type="dxa"/>
            <w:vAlign w:val="bottom"/>
          </w:tcPr>
          <w:p>
            <w:pPr>
              <w:spacing w:after="0"/>
              <w:rPr>
                <w:sz w:val="18"/>
                <w:szCs w:val="18"/>
                <w:color w:val="auto"/>
              </w:rPr>
            </w:pPr>
          </w:p>
        </w:tc>
      </w:tr>
      <w:tr>
        <w:trPr>
          <w:trHeight w:val="230"/>
        </w:trPr>
        <w:tc>
          <w:tcPr>
            <w:tcW w:w="64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16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3,838</w:t>
            </w:r>
          </w:p>
        </w:tc>
      </w:tr>
      <w:tr>
        <w:trPr>
          <w:trHeight w:val="20"/>
        </w:trPr>
        <w:tc>
          <w:tcPr>
            <w:tcW w:w="640" w:type="dxa"/>
            <w:vAlign w:val="bottom"/>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840" w:type="dxa"/>
            <w:vAlign w:val="bottom"/>
            <w:gridSpan w:val="2"/>
          </w:tcPr>
          <w:p>
            <w:pPr>
              <w:spacing w:after="0"/>
              <w:rPr>
                <w:sz w:val="20"/>
                <w:szCs w:val="20"/>
                <w:color w:val="auto"/>
              </w:rPr>
            </w:pPr>
            <w:r>
              <w:rPr>
                <w:rFonts w:ascii="Arial" w:cs="Arial" w:eastAsia="Arial" w:hAnsi="Arial"/>
                <w:sz w:val="18"/>
                <w:szCs w:val="18"/>
                <w:color w:val="auto"/>
              </w:rPr>
              <w:t>Income tax expense (benefit) was as follows:</w:t>
            </w: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Domestic – Federal</w:t>
            </w:r>
          </w:p>
        </w:tc>
        <w:tc>
          <w:tcPr>
            <w:tcW w:w="260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1,352</w:t>
            </w:r>
          </w:p>
        </w:tc>
        <w:tc>
          <w:tcPr>
            <w:tcW w:w="160" w:type="dxa"/>
            <w:vAlign w:val="bottom"/>
          </w:tcPr>
          <w:p>
            <w:pPr>
              <w:spacing w:after="0"/>
              <w:rPr>
                <w:sz w:val="18"/>
                <w:szCs w:val="18"/>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4,106</w:t>
            </w:r>
          </w:p>
        </w:tc>
      </w:tr>
      <w:tr>
        <w:trPr>
          <w:trHeight w:val="216"/>
        </w:trPr>
        <w:tc>
          <w:tcPr>
            <w:tcW w:w="64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 state</w:t>
            </w:r>
          </w:p>
        </w:tc>
        <w:tc>
          <w:tcPr>
            <w:tcW w:w="1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r>
      <w:tr>
        <w:trPr>
          <w:trHeight w:val="216"/>
        </w:trPr>
        <w:tc>
          <w:tcPr>
            <w:tcW w:w="64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Foreign</w:t>
            </w:r>
          </w:p>
        </w:tc>
        <w:tc>
          <w:tcPr>
            <w:tcW w:w="15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4,493</w:t>
            </w:r>
          </w:p>
        </w:tc>
      </w:tr>
      <w:tr>
        <w:trPr>
          <w:trHeight w:val="210"/>
        </w:trPr>
        <w:tc>
          <w:tcPr>
            <w:tcW w:w="640" w:type="dxa"/>
            <w:vAlign w:val="bottom"/>
          </w:tcPr>
          <w:p>
            <w:pPr>
              <w:spacing w:after="0"/>
              <w:rPr>
                <w:sz w:val="18"/>
                <w:szCs w:val="18"/>
                <w:color w:val="auto"/>
              </w:rPr>
            </w:pPr>
          </w:p>
        </w:tc>
        <w:tc>
          <w:tcPr>
            <w:tcW w:w="4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156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 Federal</w:t>
            </w:r>
          </w:p>
        </w:tc>
        <w:tc>
          <w:tcPr>
            <w:tcW w:w="26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(1,886)</w:t>
            </w:r>
          </w:p>
        </w:tc>
      </w:tr>
      <w:tr>
        <w:trPr>
          <w:trHeight w:val="216"/>
        </w:trPr>
        <w:tc>
          <w:tcPr>
            <w:tcW w:w="64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Domestic – state</w:t>
            </w: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r>
      <w:tr>
        <w:trPr>
          <w:trHeight w:val="216"/>
        </w:trPr>
        <w:tc>
          <w:tcPr>
            <w:tcW w:w="64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15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(1,630)</w:t>
            </w:r>
          </w:p>
        </w:tc>
      </w:tr>
      <w:tr>
        <w:trPr>
          <w:trHeight w:val="20"/>
        </w:trPr>
        <w:tc>
          <w:tcPr>
            <w:tcW w:w="6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4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6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2,863</w:t>
            </w:r>
          </w:p>
        </w:tc>
      </w:tr>
      <w:tr>
        <w:trPr>
          <w:trHeight w:val="20"/>
        </w:trPr>
        <w:tc>
          <w:tcPr>
            <w:tcW w:w="640" w:type="dxa"/>
            <w:vAlign w:val="bottom"/>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color w:val="auto"/>
        </w:rPr>
        <w:t>Deferred income taxes reflect the net tax effect of net operating loss and tax credit carryforwards as well as temporary differences between the carrying amount of assets and liabilities for financial reporting purposes and the amounts used for income tax purposes. The following is a summary of the significant components of our deferred tax assets and liabilities as of December 31, 2018 and 2017:</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w w:val="95"/>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Net operating loss (state and foreign)</w:t>
            </w: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299</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0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Accrued vacation pay and stock-based compensation</w:t>
            </w: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Tax credit carryforwards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Depreciation of property and equipment</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Allowance for doubtful accounts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Accrued warranty</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Acquisition costs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Valuation allowance</w:t>
            </w:r>
          </w:p>
        </w:tc>
        <w:tc>
          <w:tcPr>
            <w:tcW w:w="10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intangible assets</w:t>
            </w:r>
          </w:p>
        </w:tc>
        <w:tc>
          <w:tcPr>
            <w:tcW w:w="10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(3,167)</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Depreciation of property and equipment</w:t>
            </w:r>
          </w:p>
        </w:tc>
        <w:tc>
          <w:tcPr>
            <w:tcW w:w="10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(3,321)</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color w:val="auto"/>
              </w:rPr>
              <w:t>Net deferred tax liabilities</w:t>
            </w: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(2,689)</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spacing w:after="0" w:line="293" w:lineRule="auto"/>
        <w:rPr>
          <w:sz w:val="20"/>
          <w:szCs w:val="20"/>
          <w:color w:val="auto"/>
        </w:rPr>
      </w:pPr>
      <w:r>
        <w:rPr>
          <w:rFonts w:ascii="Arial" w:cs="Arial" w:eastAsia="Arial" w:hAnsi="Arial"/>
          <w:sz w:val="16"/>
          <w:szCs w:val="16"/>
          <w:color w:val="auto"/>
        </w:rPr>
        <w:t>The net change in the valuation allowance for the years ended December 31, 2018 and 2017 was a decrease of $129 and an increase of $370, respectively. 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tax credit carryforwards which expire in various years through 2038.</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right="60"/>
        <w:spacing w:after="0" w:line="277" w:lineRule="auto"/>
        <w:rPr>
          <w:sz w:val="20"/>
          <w:szCs w:val="20"/>
          <w:color w:val="auto"/>
        </w:rPr>
      </w:pPr>
      <w:r>
        <w:rPr>
          <w:rFonts w:ascii="Arial" w:cs="Arial" w:eastAsia="Arial" w:hAnsi="Arial"/>
          <w:sz w:val="18"/>
          <w:szCs w:val="18"/>
          <w:color w:val="auto"/>
        </w:rPr>
        <w:t>An analysis of the effective tax rate for the years ended December 31, 2018 and 2017 and a reconciliation from the expected statutory rate of 21% (for 2018) and 35% (for 2017) is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gridSpan w:val="3"/>
          </w:tcPr>
          <w:p>
            <w:pPr>
              <w:jc w:val="right"/>
              <w:ind w:right="85"/>
              <w:spacing w:after="0"/>
              <w:rPr>
                <w:sz w:val="20"/>
                <w:szCs w:val="20"/>
                <w:color w:val="auto"/>
              </w:rPr>
            </w:pPr>
            <w:r>
              <w:rPr>
                <w:rFonts w:ascii="Arial" w:cs="Arial" w:eastAsia="Arial" w:hAnsi="Arial"/>
                <w:sz w:val="18"/>
                <w:szCs w:val="18"/>
                <w:b w:val="1"/>
                <w:bCs w:val="1"/>
                <w:color w:val="auto"/>
                <w:w w:val="97"/>
              </w:rPr>
              <w:t>Years Ended</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7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2017</w:t>
            </w:r>
          </w:p>
        </w:tc>
        <w:tc>
          <w:tcPr>
            <w:tcW w:w="80" w:type="dxa"/>
            <w:vAlign w:val="bottom"/>
          </w:tcPr>
          <w:p>
            <w:pPr>
              <w:spacing w:after="0"/>
              <w:rPr>
                <w:sz w:val="18"/>
                <w:szCs w:val="18"/>
                <w:color w:val="auto"/>
              </w:rPr>
            </w:pPr>
          </w:p>
        </w:tc>
      </w:tr>
      <w:tr>
        <w:trPr>
          <w:trHeight w:val="210"/>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income tax provision at U.S. statutory rate</w:t>
            </w:r>
          </w:p>
        </w:tc>
        <w:tc>
          <w:tcPr>
            <w:tcW w:w="1040" w:type="dxa"/>
            <w:vAlign w:val="bottom"/>
            <w:shd w:val="clear" w:color="auto" w:fill="CCEEFF"/>
          </w:tcPr>
          <w:p>
            <w:pPr>
              <w:jc w:val="right"/>
              <w:ind w:right="8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Increase (decrease) in tax from:</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Nondeductible expenses</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2,463</w:t>
            </w: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Domestic tax expense, net of Federal benefit</w:t>
            </w:r>
          </w:p>
        </w:tc>
        <w:tc>
          <w:tcPr>
            <w:tcW w:w="10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5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791</w:t>
            </w:r>
          </w:p>
        </w:tc>
      </w:tr>
      <w:tr>
        <w:trPr>
          <w:trHeight w:val="216"/>
        </w:trPr>
        <w:tc>
          <w:tcPr>
            <w:tcW w:w="5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Deemed dividend from foreign subsidiaries</w:t>
            </w:r>
          </w:p>
        </w:tc>
        <w:tc>
          <w:tcPr>
            <w:tcW w:w="10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NOL carryforwards utilized</w:t>
            </w:r>
          </w:p>
        </w:tc>
        <w:tc>
          <w:tcPr>
            <w:tcW w:w="10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5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r>
      <w:tr>
        <w:trPr>
          <w:trHeight w:val="216"/>
        </w:trPr>
        <w:tc>
          <w:tcPr>
            <w:tcW w:w="5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income tax rate differences</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Restricted stock</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5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Global intangible low taxed income</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Current year tax credits (foreign and research)</w:t>
            </w:r>
          </w:p>
        </w:tc>
        <w:tc>
          <w:tcPr>
            <w:tcW w:w="10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5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r>
      <w:tr>
        <w:trPr>
          <w:trHeight w:val="216"/>
        </w:trPr>
        <w:tc>
          <w:tcPr>
            <w:tcW w:w="5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 transition tax payable</w:t>
            </w:r>
          </w:p>
        </w:tc>
        <w:tc>
          <w:tcPr>
            <w:tcW w:w="10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w:t>
            </w: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Section 250 foreign derived intangible income deduction</w:t>
            </w:r>
          </w:p>
        </w:tc>
        <w:tc>
          <w:tcPr>
            <w:tcW w:w="10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5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valuation allowance</w:t>
            </w:r>
          </w:p>
        </w:tc>
        <w:tc>
          <w:tcPr>
            <w:tcW w:w="10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Federal tax rate changes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(1,843)</w:t>
            </w:r>
          </w:p>
        </w:tc>
      </w:tr>
      <w:tr>
        <w:trPr>
          <w:trHeight w:val="216"/>
        </w:trPr>
        <w:tc>
          <w:tcPr>
            <w:tcW w:w="5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Domestic production activities deduction</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w:t>
            </w: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r>
      <w:tr>
        <w:trPr>
          <w:trHeight w:val="216"/>
        </w:trPr>
        <w:tc>
          <w:tcPr>
            <w:tcW w:w="5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0"/>
        </w:trPr>
        <w:tc>
          <w:tcPr>
            <w:tcW w:w="5780" w:type="dxa"/>
            <w:vAlign w:val="bottom"/>
            <w:tcBorders>
              <w:right w:val="single" w:sz="8" w:color="CCEEFF"/>
            </w:tcBorders>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Income tax expense</w:t>
            </w:r>
          </w:p>
        </w:tc>
        <w:tc>
          <w:tcPr>
            <w:tcW w:w="1040" w:type="dxa"/>
            <w:vAlign w:val="bottom"/>
          </w:tcPr>
          <w:p>
            <w:pPr>
              <w:jc w:val="right"/>
              <w:ind w:right="8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18"/>
                <w:szCs w:val="18"/>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2,863</w:t>
            </w:r>
          </w:p>
        </w:tc>
      </w:tr>
      <w:tr>
        <w:trPr>
          <w:trHeight w:val="20"/>
        </w:trPr>
        <w:tc>
          <w:tcPr>
            <w:tcW w:w="57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line="276" w:lineRule="auto"/>
        <w:rPr>
          <w:sz w:val="20"/>
          <w:szCs w:val="20"/>
          <w:color w:val="auto"/>
        </w:rPr>
      </w:pPr>
      <w:r>
        <w:rPr>
          <w:rFonts w:ascii="Arial" w:cs="Arial" w:eastAsia="Arial" w:hAnsi="Arial"/>
          <w:sz w:val="17"/>
          <w:szCs w:val="17"/>
          <w:color w:val="auto"/>
        </w:rPr>
        <w:t>In accounting for income taxes, we follow the guidance in ASC Topic 740 (Income Taxes) regarding the recognition and measurement of uncertain tax positions in our financial statements. Recognition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 As of December 31, 2018 and 2017, we did not have an accrual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229" w:lineRule="exact"/>
        <w:rPr>
          <w:rFonts w:ascii="Arial" w:cs="Arial" w:eastAsia="Arial" w:hAnsi="Arial"/>
          <w:sz w:val="18"/>
          <w:szCs w:val="18"/>
          <w:b w:val="1"/>
          <w:bCs w:val="1"/>
          <w:color w:val="auto"/>
        </w:rPr>
      </w:pPr>
    </w:p>
    <w:p>
      <w:pPr>
        <w:jc w:val="both"/>
        <w:ind w:left="50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w:t>
      </w:r>
    </w:p>
    <w:p>
      <w:pPr>
        <w:spacing w:after="0" w:line="229" w:lineRule="exact"/>
        <w:rPr>
          <w:rFonts w:ascii="Arial" w:cs="Arial" w:eastAsia="Arial" w:hAnsi="Arial"/>
          <w:sz w:val="18"/>
          <w:szCs w:val="18"/>
          <w:b w:val="1"/>
          <w:bCs w:val="1"/>
          <w:color w:val="auto"/>
        </w:rPr>
      </w:pPr>
    </w:p>
    <w:p>
      <w:pPr>
        <w:ind w:left="500" w:right="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As of December 31, 2018, we have unvested restricted stock awards and stock options outstanding which were granted under the inTEST Corporation 2007 Stock Plan (the "2007 Stock Plan") and the inTEST Corporation Amended and Restated 2014 Stock Plan (the "2014 Stock Plan"). The 2007 Stock Plan was approved at our annual meeting of stockholders held on June 13, 2007 and permitted the granting of stock options or restricted stock for up to 500,000 shares of our common stock to officers, other key employees and consultants. No further grants may be made under the 2007 Stock Plan. The 2014 Stock Plan was originally approved at our annual meeting of stockholders held on June 25, 2014 and permits the granting of stock options, restricted stock, stock appreciation rights or restricted stock units for up to 500,000 shares of our common stock to directors, officers, other key employees and consultants. On June 27, 2018, our stockholders approved the amendment and restatement of the 2014 Stock Plan to increase the number of shares of common stock that may be delivered pursuant to awards granted under the 2014 Stock Plan from 500,000 to 1,000,000 shares. As of December 31, 2018, there were 561,600 aggregate shares available to grant under these plans.</w:t>
      </w:r>
    </w:p>
    <w:p>
      <w:pPr>
        <w:spacing w:after="0" w:line="167" w:lineRule="exact"/>
        <w:rPr>
          <w:sz w:val="20"/>
          <w:szCs w:val="20"/>
          <w:color w:val="auto"/>
        </w:rPr>
      </w:pPr>
    </w:p>
    <w:p>
      <w:pPr>
        <w:jc w:val="both"/>
        <w:ind w:left="500" w:right="720"/>
        <w:spacing w:after="0" w:line="264" w:lineRule="auto"/>
        <w:rPr>
          <w:sz w:val="20"/>
          <w:szCs w:val="20"/>
          <w:color w:val="auto"/>
        </w:rPr>
      </w:pPr>
      <w:r>
        <w:rPr>
          <w:rFonts w:ascii="Arial" w:cs="Arial" w:eastAsia="Arial" w:hAnsi="Arial"/>
          <w:sz w:val="18"/>
          <w:szCs w:val="18"/>
          <w:color w:val="auto"/>
        </w:rPr>
        <w:t>Our unvested restricted stock awards and stock options are accounted for based on their grant date fair value. As of December 31, 2018, total compensation expense to be recognized in future periods was $1,253. The weighted average period over which this expense is expected to be recognized is 2.9 years.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right="80"/>
        <w:spacing w:after="0" w:line="277" w:lineRule="auto"/>
        <w:rPr>
          <w:sz w:val="20"/>
          <w:szCs w:val="20"/>
          <w:color w:val="auto"/>
        </w:rPr>
      </w:pPr>
      <w:r>
        <w:rPr>
          <w:rFonts w:ascii="Arial" w:cs="Arial" w:eastAsia="Arial" w:hAnsi="Arial"/>
          <w:sz w:val="18"/>
          <w:szCs w:val="18"/>
          <w:color w:val="auto"/>
        </w:rPr>
        <w:t>The following table summarizes the compensation expense we recorded during 2018 and 2017, related to unvested shares of restricted stock and stock options.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8"/>
              </w:rPr>
              <w:t>Years Ended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5"/>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Selling expense</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1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r>
      <w:tr>
        <w:trPr>
          <w:trHeight w:val="230"/>
        </w:trPr>
        <w:tc>
          <w:tcPr>
            <w:tcW w:w="4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compensation expense capitalized in 2018 or 2017.</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500" w:right="20"/>
        <w:spacing w:after="0" w:line="264"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1"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fair value for stock options granted during 2018 and 2017 was estimated at the date of grant using the Black-Scholes option pricing model with the following weighted average assumptions: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r>
      <w:tr>
        <w:trPr>
          <w:trHeight w:val="210"/>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6.25</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per share weighted average fair value of stock options issued during 2018 and 2017 was $3.50 and $2.64, respectively.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related to stock options for the two years ended December 31, 2018:</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76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5760" w:type="dxa"/>
            <w:vAlign w:val="bottom"/>
          </w:tcPr>
          <w:p>
            <w:pPr>
              <w:spacing w:after="0"/>
              <w:rPr>
                <w:sz w:val="20"/>
                <w:szCs w:val="20"/>
                <w:color w:val="auto"/>
              </w:rPr>
            </w:pP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of Shares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Exercise Price</w:t>
            </w:r>
          </w:p>
        </w:tc>
        <w:tc>
          <w:tcPr>
            <w:tcW w:w="80" w:type="dxa"/>
            <w:vAlign w:val="bottom"/>
          </w:tcPr>
          <w:p>
            <w:pPr>
              <w:spacing w:after="0"/>
              <w:rPr>
                <w:sz w:val="20"/>
                <w:szCs w:val="20"/>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January 1, 2017</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96,000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6.35</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(39,400)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December 31, 2017 (4,950 exercisable)</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189,800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8.14</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(1,800)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4.37</w:t>
            </w:r>
          </w:p>
        </w:tc>
      </w:tr>
      <w:tr>
        <w:trPr>
          <w:trHeight w:val="250"/>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December 31, 2018 (21,800 exercisable)</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264,400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7.54</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500" w:right="140"/>
        <w:spacing w:after="0" w:line="264" w:lineRule="auto"/>
        <w:rPr>
          <w:sz w:val="20"/>
          <w:szCs w:val="20"/>
          <w:color w:val="auto"/>
        </w:rPr>
      </w:pPr>
      <w:r>
        <w:rPr>
          <w:rFonts w:ascii="Arial" w:cs="Arial" w:eastAsia="Arial" w:hAnsi="Arial"/>
          <w:sz w:val="18"/>
          <w:szCs w:val="18"/>
          <w:color w:val="auto"/>
        </w:rPr>
        <w:t>We record compensation expense for restricted stock awards (unvested shares) based on the quoted market price of our stock at the grant date and amortize the expense over the vesting period. Restricted stock awards generally vest over four years, except for restricted stock awards granted to our directors, which vest over one year.</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related to unvested shares for the two years ended December 31, 2018:</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76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760" w:type="dxa"/>
            <w:vAlign w:val="bottom"/>
          </w:tcPr>
          <w:p>
            <w:pPr>
              <w:spacing w:after="0"/>
              <w:rPr>
                <w:sz w:val="20"/>
                <w:szCs w:val="20"/>
                <w:color w:val="auto"/>
              </w:rPr>
            </w:pP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of Shares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80" w:type="dxa"/>
            <w:vAlign w:val="bottom"/>
          </w:tcPr>
          <w:p>
            <w:pPr>
              <w:spacing w:after="0"/>
              <w:rPr>
                <w:sz w:val="20"/>
                <w:szCs w:val="20"/>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2017</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97,025</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66,000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6.54</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(18,700)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December 31, 2017</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95,600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8.24</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(56,075)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0"/>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outstanding, December 31, 2018</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114,750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w:t>
            </w:r>
          </w:p>
        </w:tc>
      </w:tr>
    </w:tbl>
    <w:p>
      <w:pPr>
        <w:spacing w:after="0" w:line="202" w:lineRule="exact"/>
        <w:rPr>
          <w:sz w:val="20"/>
          <w:szCs w:val="20"/>
          <w:color w:val="auto"/>
        </w:rPr>
      </w:pPr>
    </w:p>
    <w:p>
      <w:pPr>
        <w:ind w:left="500" w:right="260"/>
        <w:spacing w:after="0" w:line="277" w:lineRule="auto"/>
        <w:rPr>
          <w:sz w:val="20"/>
          <w:szCs w:val="20"/>
          <w:color w:val="auto"/>
        </w:rPr>
      </w:pPr>
      <w:r>
        <w:rPr>
          <w:rFonts w:ascii="Arial" w:cs="Arial" w:eastAsia="Arial" w:hAnsi="Arial"/>
          <w:sz w:val="18"/>
          <w:szCs w:val="18"/>
          <w:color w:val="auto"/>
        </w:rPr>
        <w:t>The total fair value of the shares that vested during the years ended December 31, 2018 and 2017 was $423 and $493, respectively, as of the vesting dates of these shares.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PLAN</w:t>
      </w:r>
    </w:p>
    <w:p>
      <w:pPr>
        <w:spacing w:after="0" w:line="229" w:lineRule="exact"/>
        <w:rPr>
          <w:rFonts w:ascii="Arial" w:cs="Arial" w:eastAsia="Arial" w:hAnsi="Arial"/>
          <w:sz w:val="18"/>
          <w:szCs w:val="18"/>
          <w:b w:val="1"/>
          <w:bCs w:val="1"/>
          <w:color w:val="auto"/>
        </w:rPr>
      </w:pPr>
    </w:p>
    <w:p>
      <w:pPr>
        <w:ind w:left="50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October 27, 2015, our Board of Directors authorized the repurchase, from time to time, of up to $5,000 of our common stock on the open market, in compliance with Rule 10b-18 under the Securities Exchange Act of 1934, or in privately negotiated transactions (the "2015 Repurchase Plan"). Repurchases may also be made under trading plans entered into with RW Baird &amp; Co. (each a "10b5-1 Plan"), which permit shares to be repurchased when we might otherwise be precluded from doing so under insider trading laws. The 2015 Repurchase Plan does not obligate us to repurchase any particular amount of common stock and may be suspended or discontinued at any time without prior notice. The 2015 Repurchase Plan is funded using our operating cash flow or available cash. The timing, price and amount of any shares repurchased under the 2015 Repurchase Plan is determined by our board and management, based on our evaluation of market conditions and other factors. To date, all purchases have been made in accordance with 10b5-1 Plans which provided for purchases to be made so long as the price did not exceed a maximum price. Management is considering new parameters for future purchases and may enter into a new 10b5-1 Plan at some point under those new parameters. As of December 31, 2018, all of the Company’s 10b5-1 Plans entered into in connection with the 2015 Repurchase Plan had expired. No new plans were put in place during 2018.</w:t>
      </w:r>
    </w:p>
    <w:p>
      <w:pPr>
        <w:spacing w:after="0" w:line="169" w:lineRule="exact"/>
        <w:rPr>
          <w:rFonts w:ascii="Arial" w:cs="Arial" w:eastAsia="Arial" w:hAnsi="Arial"/>
          <w:sz w:val="18"/>
          <w:szCs w:val="18"/>
          <w:b w:val="1"/>
          <w:bCs w:val="1"/>
          <w:color w:val="auto"/>
        </w:rPr>
      </w:pPr>
    </w:p>
    <w:p>
      <w:pPr>
        <w:ind w:left="50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No shares were repurchased during 2018. During 2017, we repurchased 13,883 shares under the 2015 Repurchase Plan. The total cost to repurchase these shares, including fees paid to our broker, was $62. As of December 31, 2018, we had repurchased a total of 297,020 shares under the 2015 Repurchase Plan at a cost of $1,195. All of the repurchased shares were retired.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rFonts w:ascii="Arial" w:cs="Arial" w:eastAsia="Arial" w:hAnsi="Arial"/>
          <w:sz w:val="18"/>
          <w:szCs w:val="18"/>
          <w:b w:val="1"/>
          <w:bCs w:val="1"/>
          <w:color w:val="auto"/>
        </w:rPr>
      </w:pPr>
    </w:p>
    <w:p>
      <w:pPr>
        <w:ind w:left="5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have defined contribution 401(k) plans for our employees who work in the U.S. All permanent employees of inTEST Corporation, Temptronic Corporation (“Temptronic”) and inTEST Silicon Valley Corporation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years ended December 31, 2018 and 2017, we made matching contributions of $299 and $338, respectively.</w:t>
      </w:r>
    </w:p>
    <w:p>
      <w:pPr>
        <w:spacing w:after="0" w:line="188" w:lineRule="exact"/>
        <w:rPr>
          <w:rFonts w:ascii="Arial" w:cs="Arial" w:eastAsia="Arial" w:hAnsi="Arial"/>
          <w:sz w:val="18"/>
          <w:szCs w:val="18"/>
          <w:b w:val="1"/>
          <w:bCs w:val="1"/>
          <w:color w:val="auto"/>
        </w:rPr>
      </w:pPr>
    </w:p>
    <w:p>
      <w:pPr>
        <w:ind w:left="500"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permanent employees of Ambrell are immediately eligible to participate in the Ambrell Corporation Savings &amp; Profit Sharing Plan (the "Ambrell Plan") upon employment and are eligible for employer matching contributions after completing one year of service, as defined in the Ambrell Plan. The Ambrell Plan allows eligible employees to make voluntary contributions up to 100% of compensation, up to the federal government contribution limits. We will make a matching contribution of 25% of each employee's contributions up to a maximum of 2% of such employee's annual compensation. For the year ended December 31, 2018 we made matching contributions of $68. From the date of acquisition through December 31, 2017, we made matching contributions of $35.</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8" w:lineRule="exact"/>
        <w:rPr>
          <w:rFonts w:ascii="Arial" w:cs="Arial" w:eastAsia="Arial" w:hAnsi="Arial"/>
          <w:sz w:val="18"/>
          <w:szCs w:val="18"/>
          <w:b w:val="1"/>
          <w:bCs w:val="1"/>
          <w:color w:val="auto"/>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rFonts w:ascii="Arial" w:cs="Arial" w:eastAsia="Arial" w:hAnsi="Arial"/>
          <w:sz w:val="18"/>
          <w:szCs w:val="18"/>
          <w:b w:val="1"/>
          <w:bCs w:val="1"/>
          <w:color w:val="auto"/>
        </w:rPr>
      </w:pPr>
    </w:p>
    <w:p>
      <w:pPr>
        <w:ind w:left="50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have two reportable segments, which are also our reporting units, Thermal and EMS. Thermal includes the operations of Temptronic, Thermonics, Sigma, inTEST Thermal Solutions GmbH (Germany), inTEST Pte, Limited (Singapore) and Ambrell, which we acquired in May 2017, as discussed in Note 3.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 EMS includes the operations of our manufacturing facilities in Mt. Laurel, New Jersey and Fremont, California. Sales of this segment consist primarily of manipulator, docking hardware and tester interface products, which we design, manufacture and market.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right="160"/>
        <w:spacing w:after="0" w:line="259" w:lineRule="auto"/>
        <w:rPr>
          <w:sz w:val="20"/>
          <w:szCs w:val="20"/>
          <w:color w:val="auto"/>
        </w:rPr>
      </w:pPr>
      <w:r>
        <w:rPr>
          <w:rFonts w:ascii="Arial" w:cs="Arial" w:eastAsia="Arial" w:hAnsi="Arial"/>
          <w:sz w:val="18"/>
          <w:szCs w:val="18"/>
          <w:color w:val="auto"/>
        </w:rPr>
        <w:t>We operate our business worldwide and sell our products both domestically and internationally. Both of our segments sell to semiconductor manufacturers, third-party test and assembly houses and ATE manufacturers. Thermal also sells into a variety of markets outside of the ATE market, including the automotive, consumer electronics, consumer product packaging, defense/aerospace, energy, fiber optics, industrial, telecommunications and other markets.</w:t>
      </w:r>
    </w:p>
    <w:p>
      <w:pPr>
        <w:spacing w:after="0" w:line="183"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Years Ended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Thermal</w:t>
            </w:r>
          </w:p>
        </w:tc>
        <w:tc>
          <w:tcPr>
            <w:tcW w:w="100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55,994</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42,233</w:t>
            </w: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22,569</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tcPr>
          <w:p>
            <w:pPr>
              <w:spacing w:after="0"/>
              <w:rPr>
                <w:sz w:val="18"/>
                <w:szCs w:val="18"/>
                <w:color w:val="auto"/>
              </w:rPr>
            </w:pPr>
          </w:p>
        </w:tc>
        <w:tc>
          <w:tcPr>
            <w:tcW w:w="100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78,563</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66,801</w:t>
            </w: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Depreciation/amortization:</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Thermal</w:t>
            </w:r>
          </w:p>
        </w:tc>
        <w:tc>
          <w:tcPr>
            <w:tcW w:w="100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1,739</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1,628</w:t>
            </w: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tcPr>
          <w:p>
            <w:pPr>
              <w:spacing w:after="0"/>
              <w:rPr>
                <w:sz w:val="18"/>
                <w:szCs w:val="18"/>
                <w:color w:val="auto"/>
              </w:rPr>
            </w:pPr>
          </w:p>
        </w:tc>
        <w:tc>
          <w:tcPr>
            <w:tcW w:w="100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1,871</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1,779</w:t>
            </w:r>
          </w:p>
        </w:tc>
      </w:tr>
      <w:tr>
        <w:trPr>
          <w:trHeight w:val="20"/>
        </w:trPr>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8"/>
              </w:rPr>
              <w:t>Years Ended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8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800" w:type="dxa"/>
            <w:vAlign w:val="bottom"/>
          </w:tcPr>
          <w:p>
            <w:pPr>
              <w:spacing w:after="0"/>
              <w:rPr>
                <w:sz w:val="18"/>
                <w:szCs w:val="18"/>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r>
      <w:tr>
        <w:trPr>
          <w:trHeight w:val="210"/>
        </w:trPr>
        <w:tc>
          <w:tcPr>
            <w:tcW w:w="5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Thermal</w:t>
            </w:r>
          </w:p>
        </w:tc>
        <w:tc>
          <w:tcPr>
            <w:tcW w:w="1000" w:type="dxa"/>
            <w:vAlign w:val="bottom"/>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1,218</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(822)</w:t>
            </w:r>
          </w:p>
        </w:tc>
      </w:tr>
      <w:tr>
        <w:trPr>
          <w:trHeight w:val="216"/>
        </w:trPr>
        <w:tc>
          <w:tcPr>
            <w:tcW w:w="5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Corporate</w:t>
            </w: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(1,420)</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(2,397)</w:t>
            </w:r>
          </w:p>
        </w:tc>
      </w:tr>
      <w:tr>
        <w:trPr>
          <w:trHeight w:val="20"/>
        </w:trPr>
        <w:tc>
          <w:tcPr>
            <w:tcW w:w="5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800" w:type="dxa"/>
            <w:vAlign w:val="bottom"/>
            <w:tcBorders>
              <w:right w:val="single" w:sz="8" w:color="CCEEFF"/>
            </w:tcBorders>
            <w:shd w:val="clear" w:color="auto" w:fill="CCEEFF"/>
          </w:tcPr>
          <w:p>
            <w:pPr>
              <w:spacing w:after="0"/>
              <w:rPr>
                <w:sz w:val="21"/>
                <w:szCs w:val="21"/>
                <w:color w:val="auto"/>
              </w:rPr>
            </w:pPr>
          </w:p>
        </w:tc>
        <w:tc>
          <w:tcPr>
            <w:tcW w:w="1000" w:type="dxa"/>
            <w:vAlign w:val="bottom"/>
            <w:shd w:val="clear" w:color="auto" w:fill="CCEEFF"/>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3,611</w:t>
            </w:r>
          </w:p>
        </w:tc>
      </w:tr>
      <w:tr>
        <w:trPr>
          <w:trHeight w:val="197"/>
        </w:trPr>
        <w:tc>
          <w:tcPr>
            <w:tcW w:w="58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10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Thermal</w:t>
            </w:r>
          </w:p>
        </w:tc>
        <w:tc>
          <w:tcPr>
            <w:tcW w:w="1000" w:type="dxa"/>
            <w:vAlign w:val="bottom"/>
            <w:shd w:val="clear" w:color="auto" w:fill="CCEEFF"/>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EMS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5,416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6,869</w:t>
            </w:r>
          </w:p>
        </w:tc>
      </w:tr>
      <w:tr>
        <w:trPr>
          <w:trHeight w:val="216"/>
        </w:trPr>
        <w:tc>
          <w:tcPr>
            <w:tcW w:w="5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(2,345)</w:t>
            </w:r>
          </w:p>
        </w:tc>
      </w:tr>
      <w:tr>
        <w:trPr>
          <w:trHeight w:val="20"/>
        </w:trPr>
        <w:tc>
          <w:tcPr>
            <w:tcW w:w="580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800" w:type="dxa"/>
            <w:vAlign w:val="bottom"/>
          </w:tcPr>
          <w:p>
            <w:pPr>
              <w:spacing w:after="0"/>
              <w:rPr>
                <w:sz w:val="18"/>
                <w:szCs w:val="18"/>
                <w:color w:val="auto"/>
              </w:rPr>
            </w:pPr>
          </w:p>
        </w:tc>
        <w:tc>
          <w:tcPr>
            <w:tcW w:w="1000" w:type="dxa"/>
            <w:vAlign w:val="bottom"/>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5,043</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3,838</w:t>
            </w:r>
          </w:p>
        </w:tc>
      </w:tr>
      <w:tr>
        <w:trPr>
          <w:trHeight w:val="20"/>
        </w:trPr>
        <w:tc>
          <w:tcPr>
            <w:tcW w:w="5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8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Income tax expense (benefit):</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Thermal</w:t>
            </w:r>
          </w:p>
        </w:tc>
        <w:tc>
          <w:tcPr>
            <w:tcW w:w="1000" w:type="dxa"/>
            <w:vAlign w:val="bottom"/>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1,331</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1,665</w:t>
            </w:r>
          </w:p>
        </w:tc>
      </w:tr>
      <w:tr>
        <w:trPr>
          <w:trHeight w:val="216"/>
        </w:trPr>
        <w:tc>
          <w:tcPr>
            <w:tcW w:w="5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1,819</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Corporate</w:t>
            </w: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(621)</w:t>
            </w:r>
          </w:p>
        </w:tc>
      </w:tr>
      <w:tr>
        <w:trPr>
          <w:trHeight w:val="20"/>
        </w:trPr>
        <w:tc>
          <w:tcPr>
            <w:tcW w:w="5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800" w:type="dxa"/>
            <w:vAlign w:val="bottom"/>
            <w:tcBorders>
              <w:right w:val="single" w:sz="8" w:color="CCEEFF"/>
            </w:tcBorders>
            <w:shd w:val="clear" w:color="auto" w:fill="CCEEFF"/>
          </w:tcPr>
          <w:p>
            <w:pPr>
              <w:spacing w:after="0"/>
              <w:rPr>
                <w:sz w:val="21"/>
                <w:szCs w:val="21"/>
                <w:color w:val="auto"/>
              </w:rPr>
            </w:pPr>
          </w:p>
        </w:tc>
        <w:tc>
          <w:tcPr>
            <w:tcW w:w="1000" w:type="dxa"/>
            <w:vAlign w:val="bottom"/>
            <w:shd w:val="clear" w:color="auto" w:fill="CCEEFF"/>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2,863</w:t>
            </w:r>
          </w:p>
        </w:tc>
      </w:tr>
      <w:tr>
        <w:trPr>
          <w:trHeight w:val="197"/>
        </w:trPr>
        <w:tc>
          <w:tcPr>
            <w:tcW w:w="58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Net earnings (loss):</w:t>
            </w:r>
          </w:p>
        </w:tc>
        <w:tc>
          <w:tcPr>
            <w:tcW w:w="10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Thermal</w:t>
            </w:r>
          </w:p>
        </w:tc>
        <w:tc>
          <w:tcPr>
            <w:tcW w:w="1000" w:type="dxa"/>
            <w:vAlign w:val="bottom"/>
            <w:shd w:val="clear" w:color="auto" w:fill="CCEEFF"/>
          </w:tcPr>
          <w:p>
            <w:pPr>
              <w:jc w:val="right"/>
              <w:ind w:right="886"/>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(2,351)</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EMS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4,506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5,050</w:t>
            </w:r>
          </w:p>
        </w:tc>
      </w:tr>
      <w:tr>
        <w:trPr>
          <w:trHeight w:val="216"/>
        </w:trPr>
        <w:tc>
          <w:tcPr>
            <w:tcW w:w="5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(1,724)</w:t>
            </w:r>
          </w:p>
        </w:tc>
      </w:tr>
      <w:tr>
        <w:trPr>
          <w:trHeight w:val="20"/>
        </w:trPr>
        <w:tc>
          <w:tcPr>
            <w:tcW w:w="580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800" w:type="dxa"/>
            <w:vAlign w:val="bottom"/>
          </w:tcPr>
          <w:p>
            <w:pPr>
              <w:spacing w:after="0"/>
              <w:rPr>
                <w:sz w:val="18"/>
                <w:szCs w:val="18"/>
                <w:color w:val="auto"/>
              </w:rPr>
            </w:pPr>
          </w:p>
        </w:tc>
        <w:tc>
          <w:tcPr>
            <w:tcW w:w="1000" w:type="dxa"/>
            <w:vAlign w:val="bottom"/>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3,037</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975</w:t>
            </w:r>
          </w:p>
        </w:tc>
      </w:tr>
      <w:tr>
        <w:trPr>
          <w:trHeight w:val="20"/>
        </w:trPr>
        <w:tc>
          <w:tcPr>
            <w:tcW w:w="5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8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Capital expenditures: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Thermal</w:t>
            </w:r>
          </w:p>
        </w:tc>
        <w:tc>
          <w:tcPr>
            <w:tcW w:w="1000" w:type="dxa"/>
            <w:vAlign w:val="bottom"/>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2,149</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659</w:t>
            </w:r>
          </w:p>
        </w:tc>
      </w:tr>
      <w:tr>
        <w:trPr>
          <w:trHeight w:val="216"/>
        </w:trPr>
        <w:tc>
          <w:tcPr>
            <w:tcW w:w="5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800" w:type="dxa"/>
            <w:vAlign w:val="bottom"/>
          </w:tcPr>
          <w:p>
            <w:pPr>
              <w:spacing w:after="0"/>
              <w:rPr>
                <w:sz w:val="18"/>
                <w:szCs w:val="18"/>
                <w:color w:val="auto"/>
              </w:rPr>
            </w:pPr>
          </w:p>
        </w:tc>
        <w:tc>
          <w:tcPr>
            <w:tcW w:w="1000" w:type="dxa"/>
            <w:vAlign w:val="bottom"/>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2,212</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745</w:t>
            </w:r>
          </w:p>
        </w:tc>
      </w:tr>
      <w:tr>
        <w:trPr>
          <w:trHeight w:val="20"/>
        </w:trPr>
        <w:tc>
          <w:tcPr>
            <w:tcW w:w="5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2018</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4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Thermal</w:t>
            </w: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55,343</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50,408</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11,844</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67,187</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62,493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120"/>
        <w:spacing w:after="0" w:line="277"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Years Ended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2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U.S.</w:t>
            </w:r>
          </w:p>
        </w:tc>
        <w:tc>
          <w:tcPr>
            <w:tcW w:w="30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25,517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20,205</w:t>
            </w:r>
          </w:p>
        </w:tc>
        <w:tc>
          <w:tcPr>
            <w:tcW w:w="9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20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53,046</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46,596</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0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78,563</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66,801</w:t>
            </w:r>
          </w:p>
        </w:tc>
        <w:tc>
          <w:tcPr>
            <w:tcW w:w="98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80" w:type="dxa"/>
            <w:vAlign w:val="bottom"/>
            <w:gridSpan w:val="2"/>
          </w:tcPr>
          <w:p>
            <w:pPr>
              <w:jc w:val="right"/>
              <w:ind w:right="2110"/>
              <w:spacing w:after="0"/>
              <w:rPr>
                <w:sz w:val="20"/>
                <w:szCs w:val="20"/>
                <w:color w:val="auto"/>
              </w:rPr>
            </w:pPr>
            <w:r>
              <w:rPr>
                <w:rFonts w:ascii="Arial" w:cs="Arial" w:eastAsia="Arial" w:hAnsi="Arial"/>
                <w:sz w:val="18"/>
                <w:szCs w:val="18"/>
                <w:color w:val="auto"/>
              </w:rPr>
              <w:t>F-24</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130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914"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87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2,327</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991</w:t>
            </w: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tcPr>
          <w:p>
            <w:pPr>
              <w:spacing w:after="0"/>
              <w:rPr>
                <w:sz w:val="18"/>
                <w:szCs w:val="18"/>
                <w:color w:val="auto"/>
              </w:rPr>
            </w:pPr>
          </w:p>
        </w:tc>
        <w:tc>
          <w:tcPr>
            <w:tcW w:w="1040" w:type="dxa"/>
            <w:vAlign w:val="bottom"/>
            <w:gridSpan w:val="2"/>
          </w:tcPr>
          <w:p>
            <w:pPr>
              <w:jc w:val="right"/>
              <w:ind w:right="87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2,717</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1,541</w:t>
            </w:r>
          </w:p>
        </w:tc>
      </w:tr>
      <w:tr>
        <w:trPr>
          <w:trHeight w:val="20"/>
        </w:trPr>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CONSOLIDATED FINANCIAL DATA (Unaudited)</w:t>
      </w:r>
    </w:p>
    <w:p>
      <w:pPr>
        <w:spacing w:after="0" w:line="229" w:lineRule="exact"/>
        <w:rPr>
          <w:rFonts w:ascii="Arial" w:cs="Arial" w:eastAsia="Arial" w:hAnsi="Arial"/>
          <w:sz w:val="18"/>
          <w:szCs w:val="18"/>
          <w:b w:val="1"/>
          <w:bCs w:val="1"/>
          <w:color w:val="auto"/>
        </w:rPr>
      </w:pPr>
    </w:p>
    <w:p>
      <w:pPr>
        <w:ind w:left="5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following tables present certain unaudited consolidated quarterly financial information for each of the eight quarters ended December 31, 2018. In our opinion, this quarterly information has been prepared on the same basis as the consolidated financial statements and includes all adjustments (consisting only of normal recurring adjustments) necessary to present fairly the information for the periods presented. The results of operations for any quarter are not necessarily indicative of results for the full year or for any future period.</w:t>
      </w:r>
    </w:p>
    <w:p>
      <w:pPr>
        <w:spacing w:after="0" w:line="171" w:lineRule="exact"/>
        <w:rPr>
          <w:rFonts w:ascii="Arial" w:cs="Arial" w:eastAsia="Arial" w:hAnsi="Arial"/>
          <w:sz w:val="18"/>
          <w:szCs w:val="18"/>
          <w:b w:val="1"/>
          <w:bCs w:val="1"/>
          <w:color w:val="auto"/>
        </w:rPr>
      </w:pPr>
    </w:p>
    <w:p>
      <w:pPr>
        <w:ind w:left="500" w:right="1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Year-over-year quarterly comparisons of our results of operations may not be as meaningful as the sequential quarterly comparisons set forth below that tend to reflect the cyclical and seasonal activity of the semiconductor and ATE markets. Quarterly fluctuations in expenses are related directly to sales activity and volume and may also reflect the timing of operating expenses incurred throughout the year.</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8"/>
                <w:szCs w:val="18"/>
                <w:b w:val="1"/>
                <w:bCs w:val="1"/>
                <w:color w:val="auto"/>
              </w:rPr>
              <w:t>Quarters Ended</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30"/>
              <w:spacing w:after="0" w:line="251" w:lineRule="exact"/>
              <w:rPr>
                <w:sz w:val="20"/>
                <w:szCs w:val="20"/>
                <w:color w:val="auto"/>
              </w:rPr>
            </w:pPr>
            <w:r>
              <w:rPr>
                <w:rFonts w:ascii="Arial" w:cs="Arial" w:eastAsia="Arial" w:hAnsi="Arial"/>
                <w:sz w:val="18"/>
                <w:szCs w:val="18"/>
                <w:b w:val="1"/>
                <w:bCs w:val="1"/>
                <w:color w:val="auto"/>
                <w:w w:val="90"/>
              </w:rPr>
              <w:t>3/31/18</w:t>
            </w:r>
            <w:r>
              <w:rPr>
                <w:rFonts w:ascii="Arial" w:cs="Arial" w:eastAsia="Arial" w:hAnsi="Arial"/>
                <w:sz w:val="29"/>
                <w:szCs w:val="29"/>
                <w:b w:val="1"/>
                <w:bCs w:val="1"/>
                <w:color w:val="auto"/>
                <w:w w:val="90"/>
                <w:vertAlign w:val="superscript"/>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30"/>
              <w:spacing w:after="0" w:line="251" w:lineRule="exact"/>
              <w:rPr>
                <w:sz w:val="20"/>
                <w:szCs w:val="20"/>
                <w:color w:val="auto"/>
              </w:rPr>
            </w:pPr>
            <w:r>
              <w:rPr>
                <w:rFonts w:ascii="Arial" w:cs="Arial" w:eastAsia="Arial" w:hAnsi="Arial"/>
                <w:sz w:val="18"/>
                <w:szCs w:val="18"/>
                <w:b w:val="1"/>
                <w:bCs w:val="1"/>
                <w:color w:val="auto"/>
                <w:w w:val="83"/>
              </w:rPr>
              <w:t>6/30/18</w:t>
            </w:r>
            <w:r>
              <w:rPr>
                <w:rFonts w:ascii="Arial" w:cs="Arial" w:eastAsia="Arial" w:hAnsi="Arial"/>
                <w:sz w:val="29"/>
                <w:szCs w:val="29"/>
                <w:b w:val="1"/>
                <w:bCs w:val="1"/>
                <w:color w:val="auto"/>
                <w:w w:val="83"/>
                <w:vertAlign w:val="superscript"/>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line="251" w:lineRule="exact"/>
              <w:rPr>
                <w:sz w:val="20"/>
                <w:szCs w:val="20"/>
                <w:color w:val="auto"/>
              </w:rPr>
            </w:pPr>
            <w:r>
              <w:rPr>
                <w:rFonts w:ascii="Arial" w:cs="Arial" w:eastAsia="Arial" w:hAnsi="Arial"/>
                <w:sz w:val="18"/>
                <w:szCs w:val="18"/>
                <w:b w:val="1"/>
                <w:bCs w:val="1"/>
                <w:color w:val="auto"/>
                <w:w w:val="93"/>
              </w:rPr>
              <w:t>9/30/18</w:t>
            </w:r>
            <w:r>
              <w:rPr>
                <w:rFonts w:ascii="Arial" w:cs="Arial" w:eastAsia="Arial" w:hAnsi="Arial"/>
                <w:sz w:val="29"/>
                <w:szCs w:val="29"/>
                <w:b w:val="1"/>
                <w:bCs w:val="1"/>
                <w:color w:val="auto"/>
                <w:w w:val="93"/>
                <w:vertAlign w:val="superscript"/>
              </w:rPr>
              <w:t>(4)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0"/>
              <w:spacing w:after="0" w:line="251" w:lineRule="exact"/>
              <w:rPr>
                <w:sz w:val="20"/>
                <w:szCs w:val="20"/>
                <w:color w:val="auto"/>
              </w:rPr>
            </w:pPr>
            <w:r>
              <w:rPr>
                <w:rFonts w:ascii="Arial" w:cs="Arial" w:eastAsia="Arial" w:hAnsi="Arial"/>
                <w:sz w:val="18"/>
                <w:szCs w:val="18"/>
                <w:b w:val="1"/>
                <w:bCs w:val="1"/>
                <w:color w:val="auto"/>
                <w:w w:val="93"/>
              </w:rPr>
              <w:t>12/31/18</w:t>
            </w:r>
            <w:r>
              <w:rPr>
                <w:rFonts w:ascii="Arial" w:cs="Arial" w:eastAsia="Arial" w:hAnsi="Arial"/>
                <w:sz w:val="29"/>
                <w:szCs w:val="29"/>
                <w:b w:val="1"/>
                <w:bCs w:val="1"/>
                <w:color w:val="auto"/>
                <w:w w:val="93"/>
                <w:vertAlign w:val="superscript"/>
              </w:rPr>
              <w:t>(5)</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21,097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10,910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10,092</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9,004</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 expense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basic</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spacing w:after="0" w:line="201" w:lineRule="exact"/>
              <w:rPr>
                <w:sz w:val="20"/>
                <w:szCs w:val="20"/>
                <w:color w:val="auto"/>
              </w:rPr>
            </w:pPr>
            <w:r>
              <w:rPr>
                <w:rFonts w:ascii="Arial" w:cs="Arial" w:eastAsia="Arial" w:hAnsi="Arial"/>
                <w:sz w:val="18"/>
                <w:szCs w:val="18"/>
                <w:color w:val="auto"/>
                <w:w w:val="98"/>
              </w:rPr>
              <w:t>Weighted average common shares outstanding –</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10,326,309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10,342,674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10,355,673</w:t>
            </w: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10,367,132</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10,347,947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diluted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spacing w:after="0" w:line="201" w:lineRule="exact"/>
              <w:rPr>
                <w:sz w:val="20"/>
                <w:szCs w:val="20"/>
                <w:color w:val="auto"/>
              </w:rPr>
            </w:pPr>
            <w:r>
              <w:rPr>
                <w:rFonts w:ascii="Arial" w:cs="Arial" w:eastAsia="Arial" w:hAnsi="Arial"/>
                <w:sz w:val="18"/>
                <w:szCs w:val="18"/>
                <w:color w:val="auto"/>
                <w:w w:val="98"/>
              </w:rPr>
              <w:t>Weighted average common shares outstanding –</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10,365,306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10,370,318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10,355,673</w:t>
            </w: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10,367,132</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10,382,194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8"/>
                <w:szCs w:val="18"/>
                <w:b w:val="1"/>
                <w:bCs w:val="1"/>
                <w:color w:val="auto"/>
              </w:rPr>
              <w:t>Quarters Ended</w:t>
            </w: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3/31/17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6/30/17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line="251" w:lineRule="exact"/>
              <w:rPr>
                <w:sz w:val="20"/>
                <w:szCs w:val="20"/>
                <w:color w:val="auto"/>
              </w:rPr>
            </w:pPr>
            <w:r>
              <w:rPr>
                <w:rFonts w:ascii="Arial" w:cs="Arial" w:eastAsia="Arial" w:hAnsi="Arial"/>
                <w:sz w:val="18"/>
                <w:szCs w:val="18"/>
                <w:b w:val="1"/>
                <w:bCs w:val="1"/>
                <w:color w:val="auto"/>
                <w:w w:val="93"/>
              </w:rPr>
              <w:t>9/30/17</w:t>
            </w:r>
            <w:r>
              <w:rPr>
                <w:rFonts w:ascii="Arial" w:cs="Arial" w:eastAsia="Arial" w:hAnsi="Arial"/>
                <w:sz w:val="29"/>
                <w:szCs w:val="29"/>
                <w:b w:val="1"/>
                <w:bCs w:val="1"/>
                <w:color w:val="auto"/>
                <w:w w:val="93"/>
                <w:vertAlign w:val="superscript"/>
              </w:rPr>
              <w:t>(6)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18"/>
                <w:szCs w:val="18"/>
                <w:b w:val="1"/>
                <w:bCs w:val="1"/>
                <w:color w:val="auto"/>
                <w:w w:val="83"/>
              </w:rPr>
              <w:t>12/31/17</w:t>
            </w:r>
            <w:r>
              <w:rPr>
                <w:rFonts w:ascii="Arial" w:cs="Arial" w:eastAsia="Arial" w:hAnsi="Arial"/>
                <w:sz w:val="29"/>
                <w:szCs w:val="29"/>
                <w:b w:val="1"/>
                <w:bCs w:val="1"/>
                <w:color w:val="auto"/>
                <w:w w:val="83"/>
                <w:vertAlign w:val="superscript"/>
              </w:rPr>
              <w:t>(7)(8)</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8,421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8,796</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9,745</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 expense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basic</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spacing w:after="0" w:line="201" w:lineRule="exact"/>
              <w:rPr>
                <w:sz w:val="20"/>
                <w:szCs w:val="20"/>
                <w:color w:val="auto"/>
              </w:rPr>
            </w:pPr>
            <w:r>
              <w:rPr>
                <w:rFonts w:ascii="Arial" w:cs="Arial" w:eastAsia="Arial" w:hAnsi="Arial"/>
                <w:sz w:val="18"/>
                <w:szCs w:val="18"/>
                <w:color w:val="auto"/>
                <w:w w:val="98"/>
              </w:rPr>
              <w:t>Weighted average common shares outstanding –</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10,264,565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10,277,155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10,288,325</w:t>
            </w: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10,308,243</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10,284,572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diluted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spacing w:after="0" w:line="201" w:lineRule="exact"/>
              <w:rPr>
                <w:sz w:val="20"/>
                <w:szCs w:val="20"/>
                <w:color w:val="auto"/>
              </w:rPr>
            </w:pPr>
            <w:r>
              <w:rPr>
                <w:rFonts w:ascii="Arial" w:cs="Arial" w:eastAsia="Arial" w:hAnsi="Arial"/>
                <w:sz w:val="18"/>
                <w:szCs w:val="18"/>
                <w:color w:val="auto"/>
                <w:w w:val="98"/>
              </w:rPr>
              <w:t>Weighted average common shares outstanding –</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10,295,337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10,334,894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10,351,009</w:t>
            </w: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10,308,243</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10,339,313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right="300" w:hanging="486"/>
        <w:spacing w:after="0" w:line="25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 ended March 31, 2018 includes a $1,726 increase in the fair value of contingent consideration, which was not deductible for tax purposes.</w:t>
      </w:r>
    </w:p>
    <w:p>
      <w:pPr>
        <w:spacing w:after="0" w:line="1" w:lineRule="exact"/>
        <w:rPr>
          <w:rFonts w:ascii="Arial" w:cs="Arial" w:eastAsia="Arial" w:hAnsi="Arial"/>
          <w:sz w:val="18"/>
          <w:szCs w:val="18"/>
          <w:color w:val="auto"/>
        </w:rPr>
      </w:pPr>
    </w:p>
    <w:p>
      <w:pPr>
        <w:ind w:left="980" w:hanging="48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 ended June 30, 2018 includes a $710 reduction in the fair value of contingent consideration, which was not taxable.</w:t>
      </w:r>
    </w:p>
    <w:p>
      <w:pPr>
        <w:spacing w:after="0" w:line="9" w:lineRule="exact"/>
        <w:rPr>
          <w:rFonts w:ascii="Arial" w:cs="Arial" w:eastAsia="Arial" w:hAnsi="Arial"/>
          <w:sz w:val="18"/>
          <w:szCs w:val="18"/>
          <w:color w:val="auto"/>
        </w:rPr>
      </w:pPr>
    </w:p>
    <w:p>
      <w:pPr>
        <w:ind w:left="980" w:right="20" w:hanging="486"/>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 ended June 30, 2018 includes the reversal of certain adjustments originally recorded in the quarter ended December 31, 2017 which were related to tax legislation enacted in December 2017, as discussed in Notes 2 and 12.</w:t>
      </w:r>
    </w:p>
    <w:p>
      <w:pPr>
        <w:ind w:left="980" w:right="120" w:hanging="486"/>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 ended September 30, 2018 includes $3,057 increase in the fair value of contingent consideration, which was not deductible for tax purposes.</w:t>
      </w:r>
    </w:p>
    <w:p>
      <w:pPr>
        <w:ind w:left="980" w:right="20" w:hanging="486"/>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 ended December 31, 2018 includes a $2,828 increase in the fair value of contingent consideration, which was not deductible for tax purposes.</w:t>
      </w:r>
    </w:p>
    <w:p>
      <w:pPr>
        <w:ind w:left="980" w:hanging="486"/>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quarter ended September 30, 2017 includes a $549 reduction in the fair value of contingent consideration, which was not taxable.</w:t>
      </w:r>
    </w:p>
    <w:p>
      <w:pPr>
        <w:spacing w:after="0" w:line="20" w:lineRule="exact"/>
        <w:rPr>
          <w:rFonts w:ascii="Arial" w:cs="Arial" w:eastAsia="Arial" w:hAnsi="Arial"/>
          <w:sz w:val="17"/>
          <w:szCs w:val="17"/>
          <w:color w:val="auto"/>
        </w:rPr>
      </w:pPr>
    </w:p>
    <w:p>
      <w:pPr>
        <w:ind w:left="980" w:right="20" w:hanging="486"/>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 ended December 31, 2017 includes a $7,525 increase in the fair value of contingent consideration, which was not deductible for tax purposes.</w:t>
      </w:r>
    </w:p>
    <w:p>
      <w:pPr>
        <w:ind w:left="980" w:hanging="486"/>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quarter ended December 31, 2017 includes adjustments related to tax legislation enacted in December 2017, as discussed in Note 2 and 12.</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Expense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End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(Recovery)</w:t>
            </w:r>
          </w:p>
        </w:tc>
        <w:tc>
          <w:tcPr>
            <w:tcW w:w="1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Deductions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2018</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40" w:type="dxa"/>
            <w:vAlign w:val="bottom"/>
            <w:gridSpan w:val="2"/>
          </w:tcPr>
          <w:p>
            <w:pPr>
              <w:jc w:val="right"/>
              <w:ind w:right="340"/>
              <w:spacing w:after="0"/>
              <w:rPr>
                <w:sz w:val="20"/>
                <w:szCs w:val="20"/>
                <w:color w:val="auto"/>
              </w:rPr>
            </w:pPr>
            <w:r>
              <w:rPr>
                <w:rFonts w:ascii="Arial" w:cs="Arial" w:eastAsia="Arial" w:hAnsi="Arial"/>
                <w:sz w:val="18"/>
                <w:szCs w:val="18"/>
                <w:color w:val="auto"/>
              </w:rPr>
              <w:t>F-26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u w:val="single" w:color="auto"/>
          <w:color w:val="auto"/>
        </w:rPr>
        <w:t>EXHIBIT 10.18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COMPENSATORY ARRANGEMENTS OF EXECUTIVE OFFICERS AND DIRECTORS</w:t>
      </w:r>
    </w:p>
    <w:p>
      <w:pPr>
        <w:spacing w:after="0" w:line="200" w:lineRule="exact"/>
        <w:rPr>
          <w:sz w:val="20"/>
          <w:szCs w:val="20"/>
          <w:color w:val="auto"/>
        </w:rPr>
      </w:pPr>
    </w:p>
    <w:p>
      <w:pPr>
        <w:spacing w:after="0" w:line="24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On March 11, 2019, (i) the Compensation Committee (the "Committee") of the Board of Directors (the "Board") of inTEST Corporation (the "Company") approved the 2019 Executive Compensation Plan for our President and Chief Executive Officer, James Pelrin, and our Secretary, Treasurer and Chief Financial Officer, Hugh T. Regan, Jr., and (ii) the Board approved grants of restricted stock to our non-employee directors (as defined below) under the Company’s Amended and Restated 2014 Stock Plan. The details of the 2019 Executive Compensation Plan and the restricted stock grants to non-employee directors were previously disclosed on our Current Report on Form 8-K filed on March 15, 2019, and are incorporated herein by reference.</w:t>
      </w:r>
    </w:p>
    <w:p>
      <w:pPr>
        <w:spacing w:after="0" w:line="15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addition, each of our executive officers receives our standard benefits package. Messrs. Pelrin and Regan are also parties to Change of Control Agreements with the Company that provide for the payment of certain benefits upon the executive's termination of employment following a change of control, as defined therein.</w:t>
      </w:r>
    </w:p>
    <w:p>
      <w:pPr>
        <w:spacing w:after="0" w:line="18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Directors who are not also our officers (each a "non-employee director") currently receive an annual retainer of $25,000 (Steven J. Abrams, Esq., Joseph W. Dews IV, William Kraut and Robert E. Matthiessen). The Board Chairman is paid an additional annual retainer of $40,000 (Mr. Matthiessen) and the Lead Independent Director is paid an additional annual retainer of $10,000 (Mr. Kraut). The Chair of each of the committees of the Board are paid an additional annual fee as follows: the Chair of the Audit Committee is paid an additional annual fee of $20,000 (Mr. Kraut); the Chair of the Compensation Committee is paid an additional annual fee of $10,000 (Mr. Dews); and the Chair of the Nominating and Corporate Governance Committee is paid an additional annual fee of $10,000 (Mr. Abrams). The members of the committees, other than the Chair, are paid additional annual fees as follows: members of the Audit Committee are paid an additional annual fee of $10,000 (Messrs. Abrams and Dews), members of the Compensation Committee are paid an additional annual fee of $5,000 (Messrs. Kraut and Abrams), and members of the Nominating and Corporate Governance Committee are paid an additional annual fee of $5,000 (Messrs. Kraut and Dews). In addition, we reimburse non-employee directors' travel expenses and other costs associated with attending Board or committee meetings. We do not pay compensation to our executive officers for their service as directors.</w:t>
      </w:r>
    </w:p>
    <w:p>
      <w:pPr>
        <w:sectPr>
          <w:pgSz w:w="11900" w:h="16838" w:orient="portrait"/>
          <w:cols w:equalWidth="0" w:num="1">
            <w:col w:w="11420"/>
          </w:cols>
          <w:pgMar w:left="240" w:top="121"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7100" w:type="dxa"/>
            <w:vAlign w:val="bottom"/>
            <w:gridSpan w:val="3"/>
          </w:tcPr>
          <w:p>
            <w:pPr>
              <w:ind w:left="240"/>
              <w:spacing w:after="0"/>
              <w:rPr>
                <w:sz w:val="20"/>
                <w:szCs w:val="20"/>
                <w:color w:val="auto"/>
              </w:rPr>
            </w:pPr>
            <w:r>
              <w:rPr>
                <w:rFonts w:ascii="Arial" w:cs="Arial" w:eastAsia="Arial" w:hAnsi="Arial"/>
                <w:sz w:val="18"/>
                <w:szCs w:val="18"/>
                <w:b w:val="1"/>
                <w:bCs w:val="1"/>
                <w:color w:val="auto"/>
              </w:rPr>
              <w:t>Subsidiaries of the Registrant</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7100" w:type="dxa"/>
            <w:vAlign w:val="bottom"/>
            <w:gridSpan w:val="3"/>
          </w:tcPr>
          <w:p>
            <w:pPr>
              <w:jc w:val="center"/>
              <w:ind w:left="4930"/>
              <w:spacing w:after="0"/>
              <w:rPr>
                <w:sz w:val="20"/>
                <w:szCs w:val="20"/>
                <w:color w:val="auto"/>
              </w:rPr>
            </w:pPr>
            <w:r>
              <w:rPr>
                <w:rFonts w:ascii="Arial" w:cs="Arial" w:eastAsia="Arial" w:hAnsi="Arial"/>
                <w:sz w:val="18"/>
                <w:szCs w:val="18"/>
                <w:b w:val="1"/>
                <w:bCs w:val="1"/>
                <w:color w:val="auto"/>
                <w:w w:val="90"/>
              </w:rPr>
              <w:t>Jurisdiction</w:t>
            </w: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Subsidiaries</w:t>
            </w:r>
          </w:p>
        </w:tc>
        <w:tc>
          <w:tcPr>
            <w:tcW w:w="7100" w:type="dxa"/>
            <w:vAlign w:val="bottom"/>
            <w:gridSpan w:val="3"/>
          </w:tcPr>
          <w:p>
            <w:pPr>
              <w:jc w:val="center"/>
              <w:ind w:left="4930"/>
              <w:spacing w:after="0"/>
              <w:rPr>
                <w:sz w:val="20"/>
                <w:szCs w:val="20"/>
                <w:color w:val="auto"/>
              </w:rPr>
            </w:pPr>
            <w:r>
              <w:rPr>
                <w:rFonts w:ascii="Arial" w:cs="Arial" w:eastAsia="Arial" w:hAnsi="Arial"/>
                <w:sz w:val="18"/>
                <w:szCs w:val="18"/>
                <w:b w:val="1"/>
                <w:bCs w:val="1"/>
                <w:color w:val="auto"/>
                <w:w w:val="92"/>
              </w:rPr>
              <w:t>of Incorporation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Borders>
              <w:top w:val="single" w:sz="8" w:color="auto"/>
            </w:tcBorders>
          </w:tcPr>
          <w:p>
            <w:pPr>
              <w:spacing w:after="0"/>
              <w:rPr>
                <w:sz w:val="18"/>
                <w:szCs w:val="18"/>
                <w:color w:val="auto"/>
              </w:rPr>
            </w:pPr>
          </w:p>
        </w:tc>
        <w:tc>
          <w:tcPr>
            <w:tcW w:w="60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Ambrell Corporation</w:t>
            </w:r>
          </w:p>
        </w:tc>
        <w:tc>
          <w:tcPr>
            <w:tcW w:w="7080" w:type="dxa"/>
            <w:vAlign w:val="bottom"/>
            <w:gridSpan w:val="2"/>
            <w:shd w:val="clear" w:color="auto" w:fill="CCEEFF"/>
          </w:tcPr>
          <w:p>
            <w:pPr>
              <w:jc w:val="center"/>
              <w:ind w:left="4950"/>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inTEST EMS LLC</w:t>
            </w:r>
          </w:p>
        </w:tc>
        <w:tc>
          <w:tcPr>
            <w:tcW w:w="7080" w:type="dxa"/>
            <w:vAlign w:val="bottom"/>
            <w:gridSpan w:val="2"/>
          </w:tcPr>
          <w:p>
            <w:pPr>
              <w:jc w:val="center"/>
              <w:ind w:left="495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inTEST Silicon Valley Corporation</w:t>
            </w:r>
          </w:p>
        </w:tc>
        <w:tc>
          <w:tcPr>
            <w:tcW w:w="7080" w:type="dxa"/>
            <w:vAlign w:val="bottom"/>
            <w:gridSpan w:val="2"/>
            <w:shd w:val="clear" w:color="auto" w:fill="CCEEFF"/>
          </w:tcPr>
          <w:p>
            <w:pPr>
              <w:jc w:val="center"/>
              <w:ind w:left="495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Temptronic Corporation (a)</w:t>
            </w:r>
          </w:p>
        </w:tc>
        <w:tc>
          <w:tcPr>
            <w:tcW w:w="7080" w:type="dxa"/>
            <w:vAlign w:val="bottom"/>
            <w:gridSpan w:val="2"/>
          </w:tcPr>
          <w:p>
            <w:pPr>
              <w:jc w:val="center"/>
              <w:ind w:left="495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Ambrell B.V.</w:t>
            </w:r>
          </w:p>
        </w:tc>
        <w:tc>
          <w:tcPr>
            <w:tcW w:w="7080" w:type="dxa"/>
            <w:vAlign w:val="bottom"/>
            <w:gridSpan w:val="2"/>
            <w:shd w:val="clear" w:color="auto" w:fill="CCEEFF"/>
          </w:tcPr>
          <w:p>
            <w:pPr>
              <w:jc w:val="center"/>
              <w:ind w:left="4950"/>
              <w:spacing w:after="0"/>
              <w:rPr>
                <w:sz w:val="20"/>
                <w:szCs w:val="20"/>
                <w:color w:val="auto"/>
              </w:rPr>
            </w:pPr>
            <w:r>
              <w:rPr>
                <w:rFonts w:ascii="Arial" w:cs="Arial" w:eastAsia="Arial" w:hAnsi="Arial"/>
                <w:sz w:val="18"/>
                <w:szCs w:val="18"/>
                <w:color w:val="auto"/>
                <w:w w:val="90"/>
              </w:rPr>
              <w:t>Netherlands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Ambrell Limited</w:t>
            </w:r>
          </w:p>
        </w:tc>
        <w:tc>
          <w:tcPr>
            <w:tcW w:w="7080" w:type="dxa"/>
            <w:vAlign w:val="bottom"/>
            <w:gridSpan w:val="2"/>
          </w:tcPr>
          <w:p>
            <w:pPr>
              <w:jc w:val="center"/>
              <w:ind w:left="4950"/>
              <w:spacing w:after="0"/>
              <w:rPr>
                <w:sz w:val="20"/>
                <w:szCs w:val="20"/>
                <w:color w:val="auto"/>
              </w:rPr>
            </w:pPr>
            <w:r>
              <w:rPr>
                <w:rFonts w:ascii="Arial" w:cs="Arial" w:eastAsia="Arial" w:hAnsi="Arial"/>
                <w:sz w:val="18"/>
                <w:szCs w:val="18"/>
                <w:color w:val="auto"/>
              </w:rPr>
              <w:t>U.K.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inTEST PTE, Ltd.</w:t>
            </w:r>
          </w:p>
        </w:tc>
        <w:tc>
          <w:tcPr>
            <w:tcW w:w="7080" w:type="dxa"/>
            <w:vAlign w:val="bottom"/>
            <w:gridSpan w:val="2"/>
            <w:shd w:val="clear" w:color="auto" w:fill="CCEEFF"/>
          </w:tcPr>
          <w:p>
            <w:pPr>
              <w:jc w:val="center"/>
              <w:ind w:left="4950"/>
              <w:spacing w:after="0"/>
              <w:rPr>
                <w:sz w:val="20"/>
                <w:szCs w:val="20"/>
                <w:color w:val="auto"/>
              </w:rPr>
            </w:pPr>
            <w:r>
              <w:rPr>
                <w:rFonts w:ascii="Arial" w:cs="Arial" w:eastAsia="Arial" w:hAnsi="Arial"/>
                <w:sz w:val="18"/>
                <w:szCs w:val="18"/>
                <w:color w:val="auto"/>
                <w:w w:val="87"/>
              </w:rPr>
              <w:t>Singapore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inTEST Thermal Solutions GmbH</w:t>
            </w:r>
          </w:p>
        </w:tc>
        <w:tc>
          <w:tcPr>
            <w:tcW w:w="7080" w:type="dxa"/>
            <w:vAlign w:val="bottom"/>
            <w:gridSpan w:val="2"/>
          </w:tcPr>
          <w:p>
            <w:pPr>
              <w:jc w:val="center"/>
              <w:ind w:left="4950"/>
              <w:spacing w:after="0"/>
              <w:rPr>
                <w:sz w:val="20"/>
                <w:szCs w:val="20"/>
                <w:color w:val="auto"/>
              </w:rPr>
            </w:pPr>
            <w:r>
              <w:rPr>
                <w:rFonts w:ascii="Arial" w:cs="Arial" w:eastAsia="Arial" w:hAnsi="Arial"/>
                <w:sz w:val="18"/>
                <w:szCs w:val="18"/>
                <w:color w:val="auto"/>
                <w:w w:val="91"/>
              </w:rPr>
              <w:t>Germany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340" w:type="dxa"/>
            <w:vAlign w:val="bottom"/>
            <w:gridSpan w:val="2"/>
          </w:tcPr>
          <w:p>
            <w:pPr>
              <w:spacing w:after="0"/>
              <w:rPr>
                <w:sz w:val="20"/>
                <w:szCs w:val="20"/>
                <w:color w:val="auto"/>
              </w:rPr>
            </w:pPr>
            <w:r>
              <w:rPr>
                <w:rFonts w:ascii="Arial" w:cs="Arial" w:eastAsia="Arial" w:hAnsi="Arial"/>
                <w:sz w:val="18"/>
                <w:szCs w:val="18"/>
                <w:color w:val="auto"/>
                <w:w w:val="97"/>
              </w:rPr>
              <w:t>(a)  Doing business as inTEST Thermal Solutions Corp.</w:t>
            </w:r>
          </w:p>
        </w:tc>
        <w:tc>
          <w:tcPr>
            <w:tcW w:w="6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(No. 333-145176, 333-197858 and 333-226815) on Form S-8 and the Registration Statement (No. 333-221558) on Form S-3 of inTEST Corporation of our report dated March 26, 2019, relating to the consolidated financial statements and the financial statement schedule of inTEST Corporation, appearing in this Annual Report on Form 10-K of inTEST Corporation for the year ended December 31, 2018.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2019</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James Pelrin, certify that:</w:t>
      </w:r>
    </w:p>
    <w:p>
      <w:pPr>
        <w:spacing w:after="0" w:line="225" w:lineRule="exact"/>
        <w:rPr>
          <w:sz w:val="20"/>
          <w:szCs w:val="20"/>
          <w:color w:val="auto"/>
        </w:rPr>
      </w:pPr>
    </w:p>
    <w:p>
      <w:pPr>
        <w:ind w:left="820" w:hanging="358"/>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225" w:lineRule="exact"/>
        <w:rPr>
          <w:rFonts w:ascii="Arial" w:cs="Arial" w:eastAsia="Arial" w:hAnsi="Arial"/>
          <w:sz w:val="18"/>
          <w:szCs w:val="18"/>
          <w:color w:val="auto"/>
        </w:rPr>
      </w:pPr>
    </w:p>
    <w:p>
      <w:pPr>
        <w:ind w:right="120" w:firstLine="462"/>
        <w:spacing w:after="0" w:line="342" w:lineRule="auto"/>
        <w:tabs>
          <w:tab w:leader="none" w:pos="814"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462"/>
        <w:spacing w:after="0" w:line="277" w:lineRule="auto"/>
        <w:tabs>
          <w:tab w:leader="none" w:pos="81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2"/>
        <w:spacing w:after="0" w:line="264" w:lineRule="auto"/>
        <w:tabs>
          <w:tab w:leader="none" w:pos="8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20" w:right="80" w:firstLine="398"/>
        <w:spacing w:after="0" w:line="264" w:lineRule="auto"/>
        <w:tabs>
          <w:tab w:leader="none" w:pos="12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20" w:right="360" w:firstLine="398"/>
        <w:spacing w:after="0" w:line="264" w:lineRule="auto"/>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20" w:right="500" w:firstLine="398"/>
        <w:spacing w:after="0" w:line="342" w:lineRule="auto"/>
        <w:tabs>
          <w:tab w:leader="none" w:pos="125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20" w:right="40" w:firstLine="398"/>
        <w:spacing w:after="0" w:line="264" w:lineRule="auto"/>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0" w:firstLine="462"/>
        <w:spacing w:after="0" w:line="308" w:lineRule="auto"/>
        <w:tabs>
          <w:tab w:leader="none" w:pos="81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right="700" w:firstLine="398"/>
        <w:spacing w:after="0" w:line="308" w:lineRule="auto"/>
        <w:tabs>
          <w:tab w:leader="none" w:pos="12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20" w:right="400" w:firstLine="398"/>
        <w:spacing w:after="0" w:line="277" w:lineRule="auto"/>
        <w:tabs>
          <w:tab w:leader="none" w:pos="12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March 26, 2019</w:t>
            </w:r>
          </w:p>
        </w:tc>
        <w:tc>
          <w:tcPr>
            <w:tcW w:w="5480" w:type="dxa"/>
            <w:vAlign w:val="bottom"/>
            <w:gridSpan w:val="2"/>
          </w:tcPr>
          <w:p>
            <w:pPr>
              <w:ind w:left="1420"/>
              <w:spacing w:after="0"/>
              <w:rPr>
                <w:sz w:val="20"/>
                <w:szCs w:val="20"/>
                <w:color w:val="auto"/>
              </w:rPr>
            </w:pPr>
            <w:r>
              <w:rPr>
                <w:rFonts w:ascii="Arial" w:cs="Arial" w:eastAsia="Arial" w:hAnsi="Arial"/>
                <w:sz w:val="18"/>
                <w:szCs w:val="18"/>
                <w:color w:val="auto"/>
              </w:rPr>
              <w:t>/s/ James Pelrin</w:t>
            </w:r>
          </w:p>
        </w:tc>
      </w:tr>
      <w:tr>
        <w:trPr>
          <w:trHeight w:val="195"/>
        </w:trPr>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Borders>
              <w:top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Pelrin</w:t>
            </w:r>
          </w:p>
        </w:tc>
      </w:tr>
      <w:tr>
        <w:trPr>
          <w:trHeight w:val="230"/>
        </w:trPr>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80" w:type="dxa"/>
            <w:vAlign w:val="bottom"/>
            <w:gridSpan w:val="2"/>
          </w:tcPr>
          <w:p>
            <w:pPr>
              <w:ind w:left="14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Hugh T. Regan, Jr., certify that:</w:t>
      </w:r>
    </w:p>
    <w:p>
      <w:pPr>
        <w:spacing w:after="0" w:line="225" w:lineRule="exact"/>
        <w:rPr>
          <w:sz w:val="20"/>
          <w:szCs w:val="20"/>
          <w:color w:val="auto"/>
        </w:rPr>
      </w:pPr>
    </w:p>
    <w:p>
      <w:pPr>
        <w:ind w:left="820" w:hanging="358"/>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225" w:lineRule="exact"/>
        <w:rPr>
          <w:rFonts w:ascii="Arial" w:cs="Arial" w:eastAsia="Arial" w:hAnsi="Arial"/>
          <w:sz w:val="18"/>
          <w:szCs w:val="18"/>
          <w:color w:val="auto"/>
        </w:rPr>
      </w:pPr>
    </w:p>
    <w:p>
      <w:pPr>
        <w:ind w:right="120" w:firstLine="462"/>
        <w:spacing w:after="0" w:line="342" w:lineRule="auto"/>
        <w:tabs>
          <w:tab w:leader="none" w:pos="814"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462"/>
        <w:spacing w:after="0" w:line="277" w:lineRule="auto"/>
        <w:tabs>
          <w:tab w:leader="none" w:pos="8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2"/>
        <w:spacing w:after="0" w:line="264" w:lineRule="auto"/>
        <w:tabs>
          <w:tab w:leader="none" w:pos="8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20" w:right="80" w:firstLine="398"/>
        <w:spacing w:after="0" w:line="264" w:lineRule="auto"/>
        <w:tabs>
          <w:tab w:leader="none" w:pos="12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20" w:right="360" w:firstLine="398"/>
        <w:spacing w:after="0" w:line="264"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20" w:right="500" w:firstLine="398"/>
        <w:spacing w:after="0" w:line="342" w:lineRule="auto"/>
        <w:tabs>
          <w:tab w:leader="none" w:pos="125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20" w:right="40" w:firstLine="398"/>
        <w:spacing w:after="0" w:line="264"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0" w:firstLine="462"/>
        <w:spacing w:after="0" w:line="308" w:lineRule="auto"/>
        <w:tabs>
          <w:tab w:leader="none" w:pos="81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right="700" w:firstLine="398"/>
        <w:spacing w:after="0" w:line="308"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20" w:right="400" w:firstLine="398"/>
        <w:spacing w:after="0" w:line="277" w:lineRule="auto"/>
        <w:tabs>
          <w:tab w:leader="none" w:pos="12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2340" w:type="dxa"/>
            <w:vAlign w:val="bottom"/>
            <w:gridSpan w:val="2"/>
          </w:tcPr>
          <w:p>
            <w:pPr>
              <w:ind w:left="220"/>
              <w:spacing w:after="0"/>
              <w:rPr>
                <w:sz w:val="20"/>
                <w:szCs w:val="20"/>
                <w:color w:val="auto"/>
              </w:rPr>
            </w:pPr>
            <w:r>
              <w:rPr>
                <w:rFonts w:ascii="Arial" w:cs="Arial" w:eastAsia="Arial" w:hAnsi="Arial"/>
                <w:sz w:val="18"/>
                <w:szCs w:val="18"/>
                <w:color w:val="auto"/>
              </w:rPr>
              <w:t>March 26, 2019</w:t>
            </w:r>
          </w:p>
        </w:tc>
        <w:tc>
          <w:tcPr>
            <w:tcW w:w="7120" w:type="dxa"/>
            <w:vAlign w:val="bottom"/>
            <w:gridSpan w:val="2"/>
          </w:tcPr>
          <w:p>
            <w:pPr>
              <w:ind w:left="1520"/>
              <w:spacing w:after="0"/>
              <w:rPr>
                <w:sz w:val="20"/>
                <w:szCs w:val="20"/>
                <w:color w:val="auto"/>
              </w:rPr>
            </w:pPr>
            <w:r>
              <w:rPr>
                <w:rFonts w:ascii="Arial" w:cs="Arial" w:eastAsia="Arial" w:hAnsi="Arial"/>
                <w:sz w:val="18"/>
                <w:szCs w:val="18"/>
                <w:color w:val="auto"/>
              </w:rPr>
              <w:t>/s/ Hugh T. Regan, Jr.</w:t>
            </w:r>
          </w:p>
        </w:tc>
      </w:tr>
      <w:tr>
        <w:trPr>
          <w:trHeight w:val="195"/>
        </w:trPr>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Hugh T. Regan, Jr.</w:t>
            </w:r>
          </w:p>
        </w:tc>
      </w:tr>
      <w:tr>
        <w:trPr>
          <w:trHeight w:val="230"/>
        </w:trPr>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120" w:type="dxa"/>
            <w:vAlign w:val="bottom"/>
            <w:gridSpan w:val="2"/>
          </w:tcPr>
          <w:p>
            <w:pPr>
              <w:ind w:left="1520"/>
              <w:spacing w:after="0"/>
              <w:rPr>
                <w:sz w:val="20"/>
                <w:szCs w:val="20"/>
                <w:color w:val="auto"/>
              </w:rPr>
            </w:pPr>
            <w:r>
              <w:rPr>
                <w:rFonts w:ascii="Arial" w:cs="Arial" w:eastAsia="Arial" w:hAnsi="Arial"/>
                <w:sz w:val="18"/>
                <w:szCs w:val="18"/>
                <w:color w:val="auto"/>
              </w:rPr>
              <w:t>Secretary, Treasurer and Chief Financial Officer</w:t>
            </w:r>
          </w:p>
        </w:tc>
      </w:tr>
    </w:tbl>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In connection with the Annual Report of inTEST Corporation (the "Company") on Form 10-K for the year ended December 31, 2018 as filed with the Securities and Exchange Commission on the date hereof (the "Report"), I, James Pelrin, President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2540" w:type="dxa"/>
            <w:vAlign w:val="bottom"/>
            <w:gridSpan w:val="2"/>
          </w:tcPr>
          <w:p>
            <w:pPr>
              <w:ind w:left="240"/>
              <w:spacing w:after="0"/>
              <w:rPr>
                <w:sz w:val="20"/>
                <w:szCs w:val="20"/>
                <w:color w:val="auto"/>
              </w:rPr>
            </w:pPr>
            <w:r>
              <w:rPr>
                <w:rFonts w:ascii="Arial" w:cs="Arial" w:eastAsia="Arial" w:hAnsi="Arial"/>
                <w:sz w:val="18"/>
                <w:szCs w:val="18"/>
                <w:color w:val="auto"/>
              </w:rPr>
              <w:t>March 26, 2019</w:t>
            </w:r>
          </w:p>
        </w:tc>
        <w:tc>
          <w:tcPr>
            <w:tcW w:w="20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 James Pelrin</w:t>
            </w:r>
          </w:p>
        </w:tc>
      </w:tr>
      <w:tr>
        <w:trPr>
          <w:trHeight w:val="195"/>
        </w:trPr>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c>
          <w:tcPr>
            <w:tcW w:w="2080" w:type="dxa"/>
            <w:vAlign w:val="bottom"/>
          </w:tcPr>
          <w:p>
            <w:pPr>
              <w:spacing w:after="0"/>
              <w:rPr>
                <w:sz w:val="16"/>
                <w:szCs w:val="16"/>
                <w:color w:val="auto"/>
              </w:rPr>
            </w:pPr>
          </w:p>
        </w:tc>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Pelrin</w:t>
            </w:r>
          </w:p>
        </w:tc>
      </w:tr>
      <w:tr>
        <w:trPr>
          <w:trHeight w:val="230"/>
        </w:trPr>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600"/>
        <w:spacing w:after="0" w:line="312" w:lineRule="auto"/>
        <w:rPr>
          <w:sz w:val="20"/>
          <w:szCs w:val="20"/>
          <w:color w:val="auto"/>
        </w:rPr>
      </w:pPr>
      <w:r>
        <w:rPr>
          <w:rFonts w:ascii="Arial" w:cs="Arial" w:eastAsia="Arial" w:hAnsi="Arial"/>
          <w:sz w:val="16"/>
          <w:szCs w:val="16"/>
          <w:color w:val="auto"/>
        </w:rPr>
        <w:t>In connection with the Annual Report of inTEST Corporation (the "Company") on Form 10-K for the year ended December 31, 2018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147"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26, 2019</w:t>
            </w:r>
          </w:p>
        </w:tc>
        <w:tc>
          <w:tcPr>
            <w:tcW w:w="1420" w:type="dxa"/>
            <w:vAlign w:val="bottom"/>
          </w:tcPr>
          <w:p>
            <w:pPr>
              <w:spacing w:after="0"/>
              <w:rPr>
                <w:sz w:val="20"/>
                <w:szCs w:val="20"/>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Hugh T. Regan, Jr.</w:t>
            </w:r>
          </w:p>
        </w:tc>
      </w:tr>
      <w:tr>
        <w:trPr>
          <w:trHeight w:val="195"/>
        </w:trPr>
        <w:tc>
          <w:tcPr>
            <w:tcW w:w="8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80" w:type="dxa"/>
            <w:vAlign w:val="bottom"/>
          </w:tcPr>
          <w:p>
            <w:pPr>
              <w:spacing w:after="0" w:line="195" w:lineRule="exact"/>
              <w:rPr>
                <w:sz w:val="20"/>
                <w:szCs w:val="20"/>
                <w:color w:val="auto"/>
              </w:rPr>
            </w:pPr>
            <w:r>
              <w:rPr>
                <w:rFonts w:ascii="Arial" w:cs="Arial" w:eastAsia="Arial" w:hAnsi="Arial"/>
                <w:sz w:val="18"/>
                <w:szCs w:val="18"/>
                <w:color w:val="auto"/>
              </w:rPr>
              <w:t>Hugh T. Regan, Jr.</w:t>
            </w:r>
          </w:p>
        </w:tc>
      </w:tr>
      <w:tr>
        <w:trPr>
          <w:trHeight w:val="230"/>
        </w:trPr>
        <w:tc>
          <w:tcPr>
            <w:tcW w:w="8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Secretary, Treasurer and 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lvl w:ilvl="1">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lowerLetter"/>
      <w:start w:val="1"/>
    </w:lvl>
    <w:lvl w:ilvl="1">
      <w:lvlJc w:val="left"/>
      <w:lvlText w:val="(%2)"/>
      <w:numFmt w:val="lowerRoman"/>
      <w:start w:val="1"/>
    </w:lvl>
  </w:abstractNum>
  <w:abstractNum w:abstractNumId="11">
    <w:nsid w:val="4353D0CD"/>
    <w:multiLevelType w:val="hybridMultilevel"/>
    <w:lvl w:ilvl="0">
      <w:lvlJc w:val="left"/>
      <w:lvlText w:val="%1"/>
      <w:numFmt w:val="decimal"/>
      <w:start w:val="14"/>
    </w:lvl>
  </w:abstractNum>
  <w:abstractNum w:abstractNumId="12">
    <w:nsid w:val="B03E0C6"/>
    <w:multiLevelType w:val="hybridMultilevel"/>
    <w:lvl w:ilvl="0">
      <w:lvlJc w:val="left"/>
      <w:lvlText w:val="%1"/>
      <w:numFmt w:val="decimal"/>
      <w:start w:val="21"/>
    </w:lvl>
  </w:abstractNum>
  <w:abstractNum w:abstractNumId="13">
    <w:nsid w:val="189A769B"/>
    <w:multiLevelType w:val="hybridMultilevel"/>
    <w:lvl w:ilvl="0">
      <w:lvlJc w:val="left"/>
      <w:lvlText w:val="%1"/>
      <w:numFmt w:val="decimal"/>
      <w:start w:val="23"/>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upperLetter"/>
      <w:start w:val="1"/>
    </w:lvl>
    <w:lvl w:ilvl="1">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3"/>
    </w:lvl>
  </w:abstractNum>
  <w:abstractNum w:abstractNumId="19">
    <w:nsid w:val="3A95F874"/>
    <w:multiLevelType w:val="hybridMultilevel"/>
    <w:lvl w:ilvl="0">
      <w:lvlJc w:val="left"/>
      <w:lvlText w:val="(%1)"/>
      <w:numFmt w:val="decimal"/>
      <w:start w:val="4"/>
    </w:lvl>
  </w:abstractNum>
  <w:abstractNum w:abstractNumId="20">
    <w:nsid w:val="8138641"/>
    <w:multiLevelType w:val="hybridMultilevel"/>
    <w:lvl w:ilvl="0">
      <w:lvlJc w:val="left"/>
      <w:lvlText w:val="%1."/>
      <w:numFmt w:val="decimal"/>
      <w:start w:val="3"/>
    </w:lvl>
  </w:abstractNum>
  <w:abstractNum w:abstractNumId="21">
    <w:nsid w:val="1E7FF521"/>
    <w:multiLevelType w:val="hybridMultilevel"/>
    <w:lvl w:ilvl="0">
      <w:lvlJc w:val="left"/>
      <w:lvlText w:val="(%1)"/>
      <w:numFmt w:val="decimal"/>
      <w:start w:val="5"/>
    </w:lvl>
  </w:abstractNum>
  <w:abstractNum w:abstractNumId="22">
    <w:nsid w:val="7C3DBD3D"/>
    <w:multiLevelType w:val="hybridMultilevel"/>
    <w:lvl w:ilvl="0">
      <w:lvlJc w:val="left"/>
      <w:lvlText w:val="(%1)"/>
      <w:numFmt w:val="decimal"/>
      <w:start w:val="6"/>
    </w:lvl>
  </w:abstractNum>
  <w:abstractNum w:abstractNumId="23">
    <w:nsid w:val="737B8DDC"/>
    <w:multiLevelType w:val="hybridMultilevel"/>
    <w:lvl w:ilvl="0">
      <w:lvlJc w:val="left"/>
      <w:lvlText w:val="(%1)"/>
      <w:numFmt w:val="decimal"/>
      <w:start w:val="7"/>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8"/>
    </w:lvl>
  </w:abstractNum>
  <w:abstractNum w:abstractNumId="27">
    <w:nsid w:val="3006C83E"/>
    <w:multiLevelType w:val="hybridMultilevel"/>
    <w:lvl w:ilvl="0">
      <w:lvlJc w:val="left"/>
      <w:lvlText w:val="(%1)"/>
      <w:numFmt w:val="decimal"/>
      <w:start w:val="9"/>
    </w:lvl>
  </w:abstractNum>
  <w:abstractNum w:abstractNumId="28">
    <w:nsid w:val="614FD4A1"/>
    <w:multiLevelType w:val="hybridMultilevel"/>
    <w:lvl w:ilvl="0">
      <w:lvlJc w:val="left"/>
      <w:lvlText w:val="(%1)"/>
      <w:numFmt w:val="decimal"/>
      <w:start w:val="10"/>
    </w:lvl>
  </w:abstractNum>
  <w:abstractNum w:abstractNumId="29">
    <w:nsid w:val="419AC241"/>
    <w:multiLevelType w:val="hybridMultilevel"/>
    <w:lvl w:ilvl="0">
      <w:lvlJc w:val="left"/>
      <w:lvlText w:val="(%1)"/>
      <w:numFmt w:val="decimal"/>
      <w:start w:val="11"/>
    </w:lvl>
  </w:abstractNum>
  <w:abstractNum w:abstractNumId="30">
    <w:nsid w:val="5577F8E1"/>
    <w:multiLevelType w:val="hybridMultilevel"/>
    <w:lvl w:ilvl="0">
      <w:lvlJc w:val="left"/>
      <w:lvlText w:val="(%1)"/>
      <w:numFmt w:val="decimal"/>
      <w:start w:val="12"/>
    </w:lvl>
  </w:abstractNum>
  <w:abstractNum w:abstractNumId="31">
    <w:nsid w:val="440BADFC"/>
    <w:multiLevelType w:val="hybridMultilevel"/>
    <w:lvl w:ilvl="0">
      <w:lvlJc w:val="left"/>
      <w:lvlText w:val="(%1)"/>
      <w:numFmt w:val="decimal"/>
      <w:start w:val="13"/>
    </w:lvl>
  </w:abstractNum>
  <w:abstractNum w:abstractNumId="32">
    <w:nsid w:val="5072367"/>
    <w:multiLevelType w:val="hybridMultilevel"/>
    <w:lvl w:ilvl="0">
      <w:lvlJc w:val="left"/>
      <w:lvlText w:val="(%1)"/>
      <w:numFmt w:val="decimal"/>
      <w:start w:val="15"/>
    </w:lvl>
  </w:abstractNum>
  <w:abstractNum w:abstractNumId="33">
    <w:nsid w:val="3804823E"/>
    <w:multiLevelType w:val="hybridMultilevel"/>
    <w:lvl w:ilvl="0">
      <w:lvlJc w:val="left"/>
      <w:lvlText w:val="(%1)"/>
      <w:numFmt w:val="decimal"/>
      <w:start w:val="18"/>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34" Type="http://schemas.openxmlformats.org/officeDocument/2006/relationships/hyperlink" Target="http://www.sec.gov/Archives/edgar/data/1036262/000103626217000037/exh2.1-8k052417.htm" TargetMode="External"/><Relationship Id="rId35" Type="http://schemas.openxmlformats.org/officeDocument/2006/relationships/hyperlink" Target="http://www.sec.gov/Archives/edgar/data/1036262/0000950116-97-000845.txt" TargetMode="External"/><Relationship Id="rId36" Type="http://schemas.openxmlformats.org/officeDocument/2006/relationships/hyperlink" Target="http://www.sec.gov/Archives/edgar/data/1036262/000143774918007703/ex_111081.htm" TargetMode="External"/><Relationship Id="rId37" Type="http://schemas.openxmlformats.org/officeDocument/2006/relationships/hyperlink" Target="http://www.sec.gov/Archives/edgar/data/1036262/000103626210000025/ex101-8k051010.htm" TargetMode="External"/><Relationship Id="rId38" Type="http://schemas.openxmlformats.org/officeDocument/2006/relationships/hyperlink" Target="http://www.sec.gov/Archives/edgar/data/1036262/000103626210000043/ex101-8k102710.htm" TargetMode="External"/><Relationship Id="rId39" Type="http://schemas.openxmlformats.org/officeDocument/2006/relationships/hyperlink" Target="http://www.sec.gov/Archives/edgar/data/1036262/000103626212000022/ex101-10q033112.htm" TargetMode="External"/><Relationship Id="rId40" Type="http://schemas.openxmlformats.org/officeDocument/2006/relationships/hyperlink" Target="http://www.sec.gov/Archives/edgar/data/1036262/000103626216000065/exh101-f8k111816.htm" TargetMode="External"/><Relationship Id="rId41" Type="http://schemas.openxmlformats.org/officeDocument/2006/relationships/hyperlink" Target="http://www.sec.gov/Archives/edgar/data/1036262/000103626212000022/ex102-10q033112.htm" TargetMode="External"/><Relationship Id="rId42" Type="http://schemas.openxmlformats.org/officeDocument/2006/relationships/hyperlink" Target="http://www.sec.gov/Archives/edgar/data/1036262/000143774917021126/ex_102407.htm" TargetMode="External"/><Relationship Id="rId43" Type="http://schemas.openxmlformats.org/officeDocument/2006/relationships/hyperlink" Target="http://www.sec.gov/Archives/edgar/data/1036262/000143774917021126/ex_102408.htm" TargetMode="External"/><Relationship Id="rId44" Type="http://schemas.openxmlformats.org/officeDocument/2006/relationships/hyperlink" Target="http://www.sec.gov/Archives/edgar/data/1036262/000103626217000050/ex101-8k100217.htm" TargetMode="External"/><Relationship Id="rId45" Type="http://schemas.openxmlformats.org/officeDocument/2006/relationships/hyperlink" Target="http://www.sec.gov/Archives/edgar/data/1036262/000143774918012797/ex_117199.htm" TargetMode="External"/><Relationship Id="rId46" Type="http://schemas.openxmlformats.org/officeDocument/2006/relationships/hyperlink" Target="http://www.sec.gov/Archives/edgar/data/1036262/000143774918005659/ex_108795.htm" TargetMode="External"/><Relationship Id="rId47" Type="http://schemas.openxmlformats.org/officeDocument/2006/relationships/hyperlink" Target="http://www.sec.gov/Archives/edgar/data/1036262/000103626216000045/ex101-10q033116.htm" TargetMode="External"/><Relationship Id="rId48" Type="http://schemas.openxmlformats.org/officeDocument/2006/relationships/hyperlink" Target="http://www.sec.gov/Archives/edgar/data/1036262/000103626216000045/ex102-10q033116.htm" TargetMode="External"/><Relationship Id="rId49" Type="http://schemas.openxmlformats.org/officeDocument/2006/relationships/hyperlink" Target="http://www.sec.gov/Archives/edgar/data/1036262/000103626216000045/ex103-10q033116.htm" TargetMode="External"/><Relationship Id="rId50" Type="http://schemas.openxmlformats.org/officeDocument/2006/relationships/hyperlink" Target="http://www.sec.gov/Archives/edgar/data/1036262/000103626208000009/e1014-10k2007.htm" TargetMode="External"/><Relationship Id="rId51" Type="http://schemas.openxmlformats.org/officeDocument/2006/relationships/hyperlink" Target="http://www.sec.gov/Archives/edgar/data/1036262/000103626208000026/ex102-10q063008.htm" TargetMode="External"/><Relationship Id="rId52" Type="http://schemas.openxmlformats.org/officeDocument/2006/relationships/hyperlink" Target="http://www.sec.gov/Archives/edgar/data/1036262/000103626209000043/ex102-10q063009.htm" TargetMode="External"/><Relationship Id="rId53" Type="http://schemas.openxmlformats.org/officeDocument/2006/relationships/hyperlink" Target="http://www.sec.gov/Archives/edgar/data/1036262/000103626209000043/ex104-10q063009.htm" TargetMode="External"/><Relationship Id="rId54" Type="http://schemas.openxmlformats.org/officeDocument/2006/relationships/hyperlink" Target="http://www.sec.gov/Archives/edgar/data/1036262/000103626216000054/exh14-10q063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2019-12-28T14:31:32Z</dcterms:created>
  <dcterms:modified xsi:type="dcterms:W3CDTF">2019-12-28T14:31:32Z</dcterms:modified>
</cp:coreProperties>
</file>