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3401060</wp:posOffset>
            </wp:positionH>
            <wp:positionV relativeFrom="paragraph">
              <wp:posOffset>131445</wp:posOffset>
            </wp:positionV>
            <wp:extent cx="4673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7360" cy="342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3401060</wp:posOffset>
            </wp:positionH>
            <wp:positionV relativeFrom="paragraph">
              <wp:posOffset>135890</wp:posOffset>
            </wp:positionV>
            <wp:extent cx="46736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360" cy="342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QUARTERLY REPORT PURSUANT TO SECTION 13 OR 15(d) OF THE SECURITIES EXCHANGE ACT OF 1934</w:t>
      </w:r>
    </w:p>
    <w:p>
      <w:pPr>
        <w:spacing w:after="0" w:line="21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September 30, 2014</w:t>
      </w:r>
      <w:r>
        <w:rPr>
          <w:rFonts w:ascii="Arial" w:cs="Arial" w:eastAsia="Arial" w:hAnsi="Arial"/>
          <w:sz w:val="18"/>
          <w:szCs w:val="18"/>
          <w:color w:val="auto"/>
        </w:rPr>
        <w:t xml:space="preserve"> or</w:t>
      </w:r>
    </w:p>
    <w:p>
      <w:pPr>
        <w:spacing w:after="0" w:line="219" w:lineRule="exact"/>
        <w:rPr>
          <w:sz w:val="24"/>
          <w:szCs w:val="24"/>
          <w:color w:val="auto"/>
        </w:rPr>
      </w:pPr>
    </w:p>
    <w:p>
      <w:pPr>
        <w:ind w:left="2160" w:right="1920" w:hanging="2152"/>
        <w:spacing w:after="0" w:line="478" w:lineRule="auto"/>
        <w:tabs>
          <w:tab w:leader="none" w:pos="18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146" w:lineRule="exact"/>
        <w:rPr>
          <w:sz w:val="24"/>
          <w:szCs w:val="24"/>
          <w:color w:val="auto"/>
        </w:rPr>
      </w:pPr>
    </w:p>
    <w:p>
      <w:pPr>
        <w:jc w:val="center"/>
        <w:ind w:right="-139"/>
        <w:spacing w:after="0"/>
        <w:rPr>
          <w:sz w:val="20"/>
          <w:szCs w:val="20"/>
          <w:color w:val="auto"/>
        </w:rPr>
      </w:pPr>
      <w:r>
        <w:rPr>
          <w:rFonts w:ascii="Arial" w:cs="Arial" w:eastAsia="Arial" w:hAnsi="Arial"/>
          <w:sz w:val="24"/>
          <w:szCs w:val="24"/>
          <w:u w:val="single" w:color="auto"/>
          <w:color w:val="0000FF"/>
        </w:rPr>
        <w:t>inTEST Corporation</w:t>
      </w:r>
    </w:p>
    <w:p>
      <w:pPr>
        <w:spacing w:after="0" w:line="2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5"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1874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7440" cy="342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2" w:lineRule="exact"/>
        <w:rPr>
          <w:sz w:val="24"/>
          <w:szCs w:val="24"/>
          <w:color w:val="auto"/>
        </w:rPr>
      </w:pPr>
    </w:p>
    <w:tbl>
      <w:tblPr>
        <w:tblLayout w:type="fixed"/>
        <w:tblInd w:w="560" w:type="dxa"/>
        <w:tblCellMar>
          <w:top w:w="0" w:type="dxa"/>
          <w:left w:w="0" w:type="dxa"/>
          <w:bottom w:w="0" w:type="dxa"/>
          <w:right w:w="0" w:type="dxa"/>
        </w:tblCellMar>
      </w:tblPr>
      <w:tr>
        <w:trPr>
          <w:trHeight w:val="222"/>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480" w:type="dxa"/>
            <w:vAlign w:val="bottom"/>
          </w:tcPr>
          <w:p>
            <w:pPr>
              <w:jc w:val="right"/>
              <w:ind w:right="3072"/>
              <w:spacing w:after="0"/>
              <w:rPr>
                <w:sz w:val="20"/>
                <w:szCs w:val="20"/>
                <w:color w:val="auto"/>
              </w:rPr>
            </w:pPr>
            <w:r>
              <w:rPr>
                <w:rFonts w:ascii="Arial" w:cs="Arial" w:eastAsia="Arial" w:hAnsi="Arial"/>
                <w:sz w:val="18"/>
                <w:szCs w:val="18"/>
                <w:color w:val="auto"/>
                <w:w w:val="99"/>
              </w:rPr>
              <w:t>___</w:t>
            </w:r>
          </w:p>
        </w:tc>
        <w:tc>
          <w:tcPr>
            <w:tcW w:w="2880" w:type="dxa"/>
            <w:vAlign w:val="bottom"/>
            <w:gridSpan w:val="2"/>
          </w:tcPr>
          <w:p>
            <w:pPr>
              <w:ind w:left="640"/>
              <w:spacing w:after="0"/>
              <w:rPr>
                <w:sz w:val="20"/>
                <w:szCs w:val="20"/>
                <w:color w:val="auto"/>
              </w:rPr>
            </w:pPr>
            <w:r>
              <w:rPr>
                <w:rFonts w:ascii="Arial" w:cs="Arial" w:eastAsia="Arial" w:hAnsi="Arial"/>
                <w:sz w:val="18"/>
                <w:szCs w:val="18"/>
                <w:color w:val="auto"/>
              </w:rPr>
              <w:t>Accelerated filer ___</w:t>
            </w:r>
          </w:p>
        </w:tc>
      </w:tr>
      <w:tr>
        <w:trPr>
          <w:trHeight w:val="421"/>
        </w:trPr>
        <w:tc>
          <w:tcPr>
            <w:tcW w:w="1600" w:type="dxa"/>
            <w:vAlign w:val="bottom"/>
          </w:tcPr>
          <w:p>
            <w:pPr>
              <w:spacing w:after="0"/>
              <w:rPr>
                <w:sz w:val="20"/>
                <w:szCs w:val="20"/>
                <w:color w:val="auto"/>
              </w:rPr>
            </w:pPr>
            <w:r>
              <w:rPr>
                <w:rFonts w:ascii="Arial" w:cs="Arial" w:eastAsia="Arial" w:hAnsi="Arial"/>
                <w:sz w:val="18"/>
                <w:szCs w:val="18"/>
                <w:color w:val="auto"/>
                <w:w w:val="95"/>
              </w:rPr>
              <w:t>Non-accelerated filer</w:t>
            </w:r>
          </w:p>
        </w:tc>
        <w:tc>
          <w:tcPr>
            <w:tcW w:w="3480" w:type="dxa"/>
            <w:vAlign w:val="bottom"/>
          </w:tcPr>
          <w:p>
            <w:pPr>
              <w:jc w:val="right"/>
              <w:ind w:right="572"/>
              <w:spacing w:after="0"/>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880" w:type="dxa"/>
            <w:vAlign w:val="bottom"/>
            <w:gridSpan w:val="2"/>
          </w:tcPr>
          <w:p>
            <w:pPr>
              <w:ind w:left="640"/>
              <w:spacing w:after="0"/>
              <w:rPr>
                <w:sz w:val="20"/>
                <w:szCs w:val="20"/>
                <w:color w:val="auto"/>
              </w:rPr>
            </w:pPr>
            <w:r>
              <w:rPr>
                <w:rFonts w:ascii="Arial" w:cs="Arial" w:eastAsia="Arial" w:hAnsi="Arial"/>
                <w:sz w:val="18"/>
                <w:szCs w:val="18"/>
                <w:color w:val="auto"/>
                <w:w w:val="95"/>
              </w:rPr>
              <w:t>Smaller reporting company X</w:t>
            </w:r>
          </w:p>
        </w:tc>
      </w:tr>
      <w:tr>
        <w:trPr>
          <w:trHeight w:val="20"/>
        </w:trPr>
        <w:tc>
          <w:tcPr>
            <w:tcW w:w="1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___</w:t>
        <w:tab/>
        <w:t xml:space="preserve">NO </w:t>
      </w:r>
      <w:r>
        <w:rPr>
          <w:rFonts w:ascii="Arial" w:cs="Arial" w:eastAsia="Arial" w:hAnsi="Arial"/>
          <w:sz w:val="18"/>
          <w:szCs w:val="18"/>
          <w:u w:val="single" w:color="auto"/>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October 31, 2014:</w:t>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10,562,678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960"/>
        <w:spacing w:after="0"/>
        <w:tabs>
          <w:tab w:leader="none" w:pos="1720" w:val="left"/>
        </w:tabs>
        <w:rPr>
          <w:sz w:val="20"/>
          <w:szCs w:val="20"/>
          <w:color w:val="auto"/>
        </w:rPr>
      </w:pPr>
      <w:r>
        <w:rPr>
          <w:rFonts w:ascii="Arial" w:cs="Arial" w:eastAsia="Arial" w:hAnsi="Arial"/>
          <w:sz w:val="18"/>
          <w:szCs w:val="18"/>
          <w:b w:val="1"/>
          <w:bCs w:val="1"/>
          <w:color w:val="auto"/>
        </w:rPr>
        <w:t>PART I.</w:t>
        <w:tab/>
        <w:t>FINANCIAL INFORMATION</w:t>
      </w:r>
    </w:p>
    <w:p>
      <w:pPr>
        <w:spacing w:after="0" w:line="19"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1160" w:type="dxa"/>
            <w:vAlign w:val="bottom"/>
            <w:gridSpan w:val="2"/>
          </w:tcPr>
          <w:p>
            <w:pPr>
              <w:jc w:val="center"/>
              <w:ind w:left="712"/>
              <w:spacing w:after="0"/>
              <w:rPr>
                <w:sz w:val="20"/>
                <w:szCs w:val="20"/>
                <w:color w:val="auto"/>
              </w:rPr>
            </w:pPr>
            <w:r>
              <w:rPr>
                <w:rFonts w:ascii="Arial" w:cs="Arial" w:eastAsia="Arial" w:hAnsi="Arial"/>
                <w:sz w:val="18"/>
                <w:szCs w:val="18"/>
                <w:b w:val="1"/>
                <w:bCs w:val="1"/>
                <w:color w:val="auto"/>
                <w:w w:val="83"/>
              </w:rPr>
              <w:t>Page</w:t>
            </w:r>
          </w:p>
        </w:tc>
      </w:tr>
      <w:tr>
        <w:trPr>
          <w:trHeight w:val="262"/>
        </w:trPr>
        <w:tc>
          <w:tcPr>
            <w:tcW w:w="8220" w:type="dxa"/>
            <w:vAlign w:val="bottom"/>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8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r>
      <w:tr>
        <w:trPr>
          <w:trHeight w:val="513"/>
        </w:trPr>
        <w:tc>
          <w:tcPr>
            <w:tcW w:w="8220" w:type="dxa"/>
            <w:vAlign w:val="bottom"/>
          </w:tcPr>
          <w:p>
            <w:pPr>
              <w:ind w:left="780"/>
              <w:spacing w:after="0"/>
              <w:rPr>
                <w:sz w:val="20"/>
                <w:szCs w:val="20"/>
                <w:color w:val="auto"/>
              </w:rPr>
            </w:pPr>
            <w:r>
              <w:rPr>
                <w:rFonts w:ascii="Arial" w:cs="Arial" w:eastAsia="Arial" w:hAnsi="Arial"/>
                <w:sz w:val="18"/>
                <w:szCs w:val="18"/>
                <w:color w:val="auto"/>
                <w:w w:val="99"/>
              </w:rPr>
              <w:t>Consolidated Balance Sheets as of September 30, 2014 (Unaudited) and December 31, 2013</w:t>
            </w:r>
          </w:p>
        </w:tc>
        <w:tc>
          <w:tcPr>
            <w:tcW w:w="1160" w:type="dxa"/>
            <w:vAlign w:val="bottom"/>
            <w:gridSpan w:val="2"/>
          </w:tcPr>
          <w:p>
            <w:pPr>
              <w:jc w:val="center"/>
              <w:ind w:left="692"/>
              <w:spacing w:after="0"/>
              <w:rPr>
                <w:sz w:val="20"/>
                <w:szCs w:val="20"/>
                <w:color w:val="auto"/>
              </w:rPr>
            </w:pPr>
            <w:r>
              <w:rPr>
                <w:rFonts w:ascii="Arial" w:cs="Arial" w:eastAsia="Arial" w:hAnsi="Arial"/>
                <w:sz w:val="18"/>
                <w:szCs w:val="18"/>
                <w:color w:val="auto"/>
                <w:w w:val="99"/>
              </w:rPr>
              <w:t>1</w:t>
            </w:r>
          </w:p>
        </w:tc>
      </w:tr>
      <w:tr>
        <w:trPr>
          <w:trHeight w:val="237"/>
        </w:trPr>
        <w:tc>
          <w:tcPr>
            <w:tcW w:w="8220" w:type="dxa"/>
            <w:vAlign w:val="bottom"/>
          </w:tcPr>
          <w:p>
            <w:pPr>
              <w:ind w:left="780"/>
              <w:spacing w:after="0"/>
              <w:rPr>
                <w:sz w:val="20"/>
                <w:szCs w:val="20"/>
                <w:color w:val="auto"/>
              </w:rPr>
            </w:pPr>
            <w:r>
              <w:rPr>
                <w:rFonts w:ascii="Arial" w:cs="Arial" w:eastAsia="Arial" w:hAnsi="Arial"/>
                <w:sz w:val="18"/>
                <w:szCs w:val="18"/>
                <w:color w:val="auto"/>
                <w:w w:val="97"/>
              </w:rPr>
              <w:t>Unaudited Consolidated Statements of Operations for the three months and nine months ended</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2"/>
        </w:trPr>
        <w:tc>
          <w:tcPr>
            <w:tcW w:w="8220" w:type="dxa"/>
            <w:vAlign w:val="bottom"/>
          </w:tcPr>
          <w:p>
            <w:pPr>
              <w:ind w:left="900"/>
              <w:spacing w:after="0"/>
              <w:rPr>
                <w:sz w:val="20"/>
                <w:szCs w:val="20"/>
                <w:color w:val="auto"/>
              </w:rPr>
            </w:pPr>
            <w:r>
              <w:rPr>
                <w:rFonts w:ascii="Arial" w:cs="Arial" w:eastAsia="Arial" w:hAnsi="Arial"/>
                <w:sz w:val="18"/>
                <w:szCs w:val="18"/>
                <w:color w:val="auto"/>
              </w:rPr>
              <w:t>September 30, 2014 and 2013</w:t>
            </w:r>
          </w:p>
        </w:tc>
        <w:tc>
          <w:tcPr>
            <w:tcW w:w="1160" w:type="dxa"/>
            <w:vAlign w:val="bottom"/>
            <w:gridSpan w:val="2"/>
          </w:tcPr>
          <w:p>
            <w:pPr>
              <w:jc w:val="center"/>
              <w:ind w:left="692"/>
              <w:spacing w:after="0"/>
              <w:rPr>
                <w:sz w:val="20"/>
                <w:szCs w:val="20"/>
                <w:color w:val="auto"/>
              </w:rPr>
            </w:pPr>
            <w:r>
              <w:rPr>
                <w:rFonts w:ascii="Arial" w:cs="Arial" w:eastAsia="Arial" w:hAnsi="Arial"/>
                <w:sz w:val="18"/>
                <w:szCs w:val="18"/>
                <w:color w:val="auto"/>
                <w:w w:val="99"/>
              </w:rPr>
              <w:t>2</w:t>
            </w:r>
          </w:p>
        </w:tc>
      </w:tr>
    </w:tbl>
    <w:p>
      <w:pPr>
        <w:sectPr>
          <w:pgSz w:w="11900" w:h="16841" w:orient="portrait"/>
          <w:cols w:equalWidth="0" w:num="1">
            <w:col w:w="11280"/>
          </w:cols>
          <w:pgMar w:left="240" w:top="239" w:right="379" w:bottom="0" w:gutter="0" w:footer="0" w:header="0"/>
        </w:sectPr>
      </w:pPr>
    </w:p>
    <w:bookmarkStart w:id="1" w:name="page2"/>
    <w:bookmarkEnd w:id="1"/>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17"/>
        </w:trPr>
        <w:tc>
          <w:tcPr>
            <w:tcW w:w="720" w:type="dxa"/>
            <w:vAlign w:val="bottom"/>
          </w:tcPr>
          <w:p>
            <w:pPr>
              <w:spacing w:after="0"/>
              <w:rPr>
                <w:sz w:val="18"/>
                <w:szCs w:val="18"/>
                <w:color w:val="auto"/>
              </w:rPr>
            </w:pPr>
          </w:p>
        </w:tc>
        <w:tc>
          <w:tcPr>
            <w:tcW w:w="7940" w:type="dxa"/>
            <w:vAlign w:val="bottom"/>
          </w:tcPr>
          <w:p>
            <w:pPr>
              <w:ind w:left="60"/>
              <w:spacing w:after="0"/>
              <w:rPr>
                <w:sz w:val="20"/>
                <w:szCs w:val="20"/>
                <w:color w:val="auto"/>
              </w:rPr>
            </w:pPr>
            <w:r>
              <w:rPr>
                <w:rFonts w:ascii="Arial" w:cs="Arial" w:eastAsia="Arial" w:hAnsi="Arial"/>
                <w:sz w:val="18"/>
                <w:szCs w:val="18"/>
                <w:color w:val="auto"/>
                <w:w w:val="95"/>
              </w:rPr>
              <w:t>Unaudited Consolidated Statements of Comprehensive Earnings for the three months and nine months</w:t>
            </w:r>
          </w:p>
        </w:tc>
        <w:tc>
          <w:tcPr>
            <w:tcW w:w="78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7940" w:type="dxa"/>
            <w:vAlign w:val="bottom"/>
          </w:tcPr>
          <w:p>
            <w:pPr>
              <w:ind w:left="180"/>
              <w:spacing w:after="0"/>
              <w:rPr>
                <w:sz w:val="20"/>
                <w:szCs w:val="20"/>
                <w:color w:val="auto"/>
              </w:rPr>
            </w:pPr>
            <w:r>
              <w:rPr>
                <w:rFonts w:ascii="Arial" w:cs="Arial" w:eastAsia="Arial" w:hAnsi="Arial"/>
                <w:sz w:val="18"/>
                <w:szCs w:val="18"/>
                <w:color w:val="auto"/>
              </w:rPr>
              <w:t>ended September 30, 2014 and 2013</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99"/>
              </w:rPr>
              <w:t>3</w:t>
            </w:r>
          </w:p>
        </w:tc>
      </w:tr>
      <w:tr>
        <w:trPr>
          <w:trHeight w:val="284"/>
        </w:trPr>
        <w:tc>
          <w:tcPr>
            <w:tcW w:w="720" w:type="dxa"/>
            <w:vAlign w:val="bottom"/>
          </w:tcPr>
          <w:p>
            <w:pPr>
              <w:spacing w:after="0"/>
              <w:rPr>
                <w:sz w:val="24"/>
                <w:szCs w:val="24"/>
                <w:color w:val="auto"/>
              </w:rPr>
            </w:pPr>
          </w:p>
        </w:tc>
        <w:tc>
          <w:tcPr>
            <w:tcW w:w="7940" w:type="dxa"/>
            <w:vAlign w:val="bottom"/>
          </w:tcPr>
          <w:p>
            <w:pPr>
              <w:ind w:left="60"/>
              <w:spacing w:after="0"/>
              <w:rPr>
                <w:sz w:val="20"/>
                <w:szCs w:val="20"/>
                <w:color w:val="auto"/>
              </w:rPr>
            </w:pPr>
            <w:r>
              <w:rPr>
                <w:rFonts w:ascii="Arial" w:cs="Arial" w:eastAsia="Arial" w:hAnsi="Arial"/>
                <w:sz w:val="18"/>
                <w:szCs w:val="18"/>
                <w:color w:val="auto"/>
                <w:w w:val="92"/>
              </w:rPr>
              <w:t>Unaudited Consolidated Statement of Stockholders' Equity for the nine months ended September 30, 2014</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99"/>
              </w:rPr>
              <w:t>3</w:t>
            </w:r>
          </w:p>
        </w:tc>
      </w:tr>
      <w:tr>
        <w:trPr>
          <w:trHeight w:val="243"/>
        </w:trPr>
        <w:tc>
          <w:tcPr>
            <w:tcW w:w="720" w:type="dxa"/>
            <w:vAlign w:val="bottom"/>
          </w:tcPr>
          <w:p>
            <w:pPr>
              <w:spacing w:after="0"/>
              <w:rPr>
                <w:sz w:val="21"/>
                <w:szCs w:val="21"/>
                <w:color w:val="auto"/>
              </w:rPr>
            </w:pPr>
          </w:p>
        </w:tc>
        <w:tc>
          <w:tcPr>
            <w:tcW w:w="7940" w:type="dxa"/>
            <w:vAlign w:val="bottom"/>
          </w:tcPr>
          <w:p>
            <w:pPr>
              <w:ind w:left="60"/>
              <w:spacing w:after="0"/>
              <w:rPr>
                <w:sz w:val="20"/>
                <w:szCs w:val="20"/>
                <w:color w:val="auto"/>
              </w:rPr>
            </w:pPr>
            <w:r>
              <w:rPr>
                <w:rFonts w:ascii="Arial" w:cs="Arial" w:eastAsia="Arial" w:hAnsi="Arial"/>
                <w:sz w:val="18"/>
                <w:szCs w:val="18"/>
                <w:color w:val="auto"/>
                <w:w w:val="90"/>
              </w:rPr>
              <w:t>Unaudited Consolidated Statements of Cash Flows for the nine months ended September 30, 2014 and 2013</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99"/>
              </w:rPr>
              <w:t>4</w:t>
            </w:r>
          </w:p>
        </w:tc>
      </w:tr>
      <w:tr>
        <w:trPr>
          <w:trHeight w:val="243"/>
        </w:trPr>
        <w:tc>
          <w:tcPr>
            <w:tcW w:w="720" w:type="dxa"/>
            <w:vAlign w:val="bottom"/>
          </w:tcPr>
          <w:p>
            <w:pPr>
              <w:spacing w:after="0"/>
              <w:rPr>
                <w:sz w:val="21"/>
                <w:szCs w:val="21"/>
                <w:color w:val="auto"/>
              </w:rPr>
            </w:pPr>
          </w:p>
        </w:tc>
        <w:tc>
          <w:tcPr>
            <w:tcW w:w="7940" w:type="dxa"/>
            <w:vAlign w:val="bottom"/>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91"/>
              </w:rPr>
              <w:t>5 - 13</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14 - 21</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21</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Controls and Procedures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21 - 22</w:t>
            </w:r>
          </w:p>
        </w:tc>
      </w:tr>
      <w:tr>
        <w:trPr>
          <w:trHeight w:val="756"/>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940" w:type="dxa"/>
            <w:vAlign w:val="bottom"/>
          </w:tcPr>
          <w:p>
            <w:pPr>
              <w:ind w:left="60"/>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4"/>
                <w:szCs w:val="24"/>
                <w:color w:val="auto"/>
              </w:rPr>
            </w:pP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Legal Proceedings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Risk Factors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Mine Safety Disclosures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Other Information</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22</w:t>
            </w:r>
          </w:p>
        </w:tc>
      </w:tr>
      <w:tr>
        <w:trPr>
          <w:trHeight w:val="513"/>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22</w:t>
            </w:r>
          </w:p>
        </w:tc>
      </w:tr>
      <w:tr>
        <w:trPr>
          <w:trHeight w:val="513"/>
        </w:trPr>
        <w:tc>
          <w:tcPr>
            <w:tcW w:w="8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23</w:t>
            </w:r>
          </w:p>
        </w:tc>
      </w:tr>
      <w:tr>
        <w:trPr>
          <w:trHeight w:val="243"/>
        </w:trPr>
        <w:tc>
          <w:tcPr>
            <w:tcW w:w="8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780" w:type="dxa"/>
            <w:vAlign w:val="bottom"/>
          </w:tcPr>
          <w:p>
            <w:pPr>
              <w:jc w:val="center"/>
              <w:ind w:left="192"/>
              <w:spacing w:after="0"/>
              <w:rPr>
                <w:sz w:val="20"/>
                <w:szCs w:val="20"/>
                <w:color w:val="auto"/>
              </w:rPr>
            </w:pPr>
            <w:r>
              <w:rPr>
                <w:rFonts w:ascii="Arial" w:cs="Arial" w:eastAsia="Arial" w:hAnsi="Arial"/>
                <w:sz w:val="18"/>
                <w:szCs w:val="18"/>
                <w:color w:val="auto"/>
                <w:w w:val="89"/>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gridSpan w:val="4"/>
          </w:tcPr>
          <w:p>
            <w:pPr>
              <w:jc w:val="center"/>
              <w:ind w:left="2992"/>
              <w:spacing w:after="0"/>
              <w:rPr>
                <w:sz w:val="20"/>
                <w:szCs w:val="20"/>
                <w:color w:val="auto"/>
              </w:rPr>
            </w:pPr>
            <w:r>
              <w:rPr>
                <w:rFonts w:ascii="Arial" w:cs="Arial" w:eastAsia="Arial" w:hAnsi="Arial"/>
                <w:sz w:val="18"/>
                <w:szCs w:val="18"/>
                <w:b w:val="1"/>
                <w:bCs w:val="1"/>
                <w:color w:val="auto"/>
                <w:w w:val="99"/>
              </w:rPr>
              <w:t>PART 1. FINANCIAL INFORMATION</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2"/>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6"/>
              </w:rPr>
              <w:t>Sept. 30,</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2014</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2013</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$20,147</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$19,018</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$146 and $147,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7,549</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5,748</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3,786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3,243</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707</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701</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413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371</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32,602</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29,081</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4,278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4,190</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594</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4,871</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4,784</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(3,653)</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(3,530)</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1,218</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1,254</w:t>
            </w:r>
          </w:p>
        </w:tc>
        <w:tc>
          <w:tcPr>
            <w:tcW w:w="100" w:type="dxa"/>
            <w:vAlign w:val="bottom"/>
          </w:tcPr>
          <w:p>
            <w:pPr>
              <w:spacing w:after="0"/>
              <w:rPr>
                <w:sz w:val="15"/>
                <w:szCs w:val="15"/>
                <w:color w:val="auto"/>
              </w:rPr>
            </w:pP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742</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1,030</w:t>
            </w:r>
          </w:p>
        </w:tc>
        <w:tc>
          <w:tcPr>
            <w:tcW w:w="100" w:type="dxa"/>
            <w:vAlign w:val="bottom"/>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1,470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1,748</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195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212</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$38,383</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$35,481</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$ 1,553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$ 1,064</w:t>
            </w:r>
          </w:p>
        </w:tc>
        <w:tc>
          <w:tcPr>
            <w:tcW w:w="100" w:type="dxa"/>
            <w:vAlign w:val="bottom"/>
          </w:tcPr>
          <w:p>
            <w:pPr>
              <w:spacing w:after="0"/>
              <w:rPr>
                <w:sz w:val="17"/>
                <w:szCs w:val="17"/>
                <w:color w:val="auto"/>
              </w:rPr>
            </w:pPr>
          </w:p>
        </w:tc>
      </w:tr>
    </w:tbl>
    <w:p>
      <w:pPr>
        <w:sectPr>
          <w:pgSz w:w="11900" w:h="16838" w:orient="portrait"/>
          <w:cols w:equalWidth="0" w:num="1">
            <w:col w:w="10400"/>
          </w:cols>
          <w:pgMar w:left="240" w:top="90" w:right="125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ind w:left="220"/>
              <w:spacing w:after="0"/>
              <w:rPr>
                <w:sz w:val="20"/>
                <w:szCs w:val="20"/>
                <w:color w:val="auto"/>
              </w:rPr>
            </w:pPr>
            <w:r>
              <w:rPr>
                <w:rFonts w:ascii="Courier New" w:cs="Courier New" w:eastAsia="Courier New" w:hAnsi="Courier New"/>
                <w:sz w:val="18"/>
                <w:szCs w:val="18"/>
                <w:color w:val="auto"/>
              </w:rPr>
              <w:t>Accrued wages and benefits</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1,573</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1,635</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604</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364</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421</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305</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337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301</w:t>
            </w:r>
          </w:p>
        </w:tc>
        <w:tc>
          <w:tcPr>
            <w:tcW w:w="100" w:type="dxa"/>
            <w:vAlign w:val="bottom"/>
          </w:tcPr>
          <w:p>
            <w:pPr>
              <w:spacing w:after="0"/>
              <w:rPr>
                <w:sz w:val="14"/>
                <w:szCs w:val="14"/>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96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4,884</w:t>
            </w:r>
          </w:p>
        </w:tc>
        <w:tc>
          <w:tcPr>
            <w:tcW w:w="260" w:type="dxa"/>
            <w:vAlign w:val="bottom"/>
          </w:tcPr>
          <w:p>
            <w:pPr>
              <w:spacing w:after="0"/>
              <w:rPr>
                <w:sz w:val="15"/>
                <w:szCs w:val="15"/>
                <w:color w:val="auto"/>
              </w:rPr>
            </w:pPr>
          </w:p>
        </w:tc>
        <w:tc>
          <w:tcPr>
            <w:tcW w:w="10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4,332</w:t>
            </w:r>
          </w:p>
        </w:tc>
      </w:tr>
      <w:tr>
        <w:trPr>
          <w:trHeight w:val="424"/>
        </w:trPr>
        <w:tc>
          <w:tcPr>
            <w:tcW w:w="7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10,595,755 and 10,590,755 shares issued, respectively</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26,291</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26,187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6,193</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3,713</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1,113</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1,347</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 stock, at cost; 33,077 and 33,077 shares, respectively</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33,499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31,149</w:t>
            </w:r>
          </w:p>
        </w:tc>
        <w:tc>
          <w:tcPr>
            <w:tcW w:w="100" w:type="dxa"/>
            <w:vAlign w:val="bottom"/>
          </w:tcPr>
          <w:p>
            <w:pPr>
              <w:spacing w:after="0"/>
              <w:rPr>
                <w:sz w:val="15"/>
                <w:szCs w:val="15"/>
                <w:color w:val="auto"/>
              </w:rPr>
            </w:pPr>
          </w:p>
        </w:tc>
      </w:tr>
      <w:tr>
        <w:trPr>
          <w:trHeight w:val="221"/>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$38,383</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$35,481</w:t>
            </w:r>
          </w:p>
        </w:tc>
        <w:tc>
          <w:tcPr>
            <w:tcW w:w="100" w:type="dxa"/>
            <w:vAlign w:val="bottom"/>
          </w:tcPr>
          <w:p>
            <w:pPr>
              <w:spacing w:after="0"/>
              <w:rPr>
                <w:sz w:val="19"/>
                <w:szCs w:val="19"/>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- 1 -</w:t>
      </w:r>
    </w:p>
    <w:p>
      <w:pPr>
        <w:spacing w:after="0" w:line="200" w:lineRule="exact"/>
        <w:rPr>
          <w:sz w:val="20"/>
          <w:szCs w:val="20"/>
          <w:color w:val="auto"/>
        </w:rPr>
      </w:pPr>
    </w:p>
    <w:p>
      <w:pPr>
        <w:spacing w:after="0" w:line="39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STATEMENTS OF OPERATIONS</w:t>
      </w:r>
    </w:p>
    <w:p>
      <w:pPr>
        <w:jc w:val="center"/>
        <w:ind w:right="-1200"/>
        <w:spacing w:after="0" w:line="230" w:lineRule="auto"/>
        <w:rPr>
          <w:sz w:val="20"/>
          <w:szCs w:val="20"/>
          <w:color w:val="auto"/>
        </w:rPr>
      </w:pPr>
      <w:r>
        <w:rPr>
          <w:rFonts w:ascii="Arial" w:cs="Arial" w:eastAsia="Arial" w:hAnsi="Arial"/>
          <w:sz w:val="22"/>
          <w:szCs w:val="22"/>
          <w:color w:val="auto"/>
        </w:rPr>
        <w:t>(In thousands, except share and per share data)</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58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c>
          <w:tcPr>
            <w:tcW w:w="2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480" w:type="dxa"/>
            <w:vAlign w:val="bottom"/>
          </w:tcPr>
          <w:p>
            <w:pPr>
              <w:spacing w:after="0"/>
              <w:rPr>
                <w:sz w:val="17"/>
                <w:szCs w:val="17"/>
                <w:color w:val="auto"/>
              </w:rPr>
            </w:pPr>
          </w:p>
        </w:tc>
        <w:tc>
          <w:tcPr>
            <w:tcW w:w="258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Sept. 30,</w:t>
            </w:r>
          </w:p>
        </w:tc>
        <w:tc>
          <w:tcPr>
            <w:tcW w:w="21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Sept. 30,</w:t>
            </w:r>
          </w:p>
        </w:tc>
      </w:tr>
      <w:tr>
        <w:trPr>
          <w:trHeight w:val="203"/>
        </w:trPr>
        <w:tc>
          <w:tcPr>
            <w:tcW w:w="4480" w:type="dxa"/>
            <w:vAlign w:val="bottom"/>
          </w:tcPr>
          <w:p>
            <w:pPr>
              <w:spacing w:after="0"/>
              <w:rPr>
                <w:sz w:val="17"/>
                <w:szCs w:val="17"/>
                <w:color w:val="auto"/>
              </w:rPr>
            </w:pPr>
          </w:p>
        </w:tc>
        <w:tc>
          <w:tcPr>
            <w:tcW w:w="25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2014</w:t>
            </w:r>
          </w:p>
        </w:tc>
        <w:tc>
          <w:tcPr>
            <w:tcW w:w="2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2013</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$10,794</w:t>
            </w:r>
          </w:p>
        </w:tc>
        <w:tc>
          <w:tcPr>
            <w:tcW w:w="22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$ 9,900</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$31,934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$30,091</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5,626</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5,144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16,499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15,765</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Gross margin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5,168</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4,756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15,435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14,326</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1,462</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4,318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3,972</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894</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2,704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2,866</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1,528</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1,469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4,681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4,548</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3,884</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3,669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11,703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11,386</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1,284</w:t>
            </w:r>
          </w:p>
        </w:tc>
        <w:tc>
          <w:tcPr>
            <w:tcW w:w="22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1,087</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3,732</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2,940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(16)</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1,268</w:t>
            </w:r>
          </w:p>
        </w:tc>
        <w:tc>
          <w:tcPr>
            <w:tcW w:w="22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1,114</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3,733</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2,971</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837</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$ 1,090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$ 2,480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$ 2,385</w:t>
            </w:r>
          </w:p>
        </w:tc>
      </w:tr>
      <w:tr>
        <w:trPr>
          <w:trHeight w:val="203"/>
        </w:trPr>
        <w:tc>
          <w:tcPr>
            <w:tcW w:w="4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$0.08</w:t>
            </w:r>
          </w:p>
        </w:tc>
        <w:tc>
          <w:tcPr>
            <w:tcW w:w="22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$0.11</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$0.24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$0.23</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 basic</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10,440,803</w:t>
            </w:r>
          </w:p>
        </w:tc>
        <w:tc>
          <w:tcPr>
            <w:tcW w:w="34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10,377,189 10,424,001 10,358,960</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$0.08</w:t>
            </w:r>
          </w:p>
        </w:tc>
        <w:tc>
          <w:tcPr>
            <w:tcW w:w="22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$0.10</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$0.24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$0.23</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equivalents outstanding - diluted</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10,477,814</w:t>
            </w:r>
          </w:p>
        </w:tc>
        <w:tc>
          <w:tcPr>
            <w:tcW w:w="34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10,404,095 10,461,075 10,383,970</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361"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See accompanying Notes to Consolidated Financial Statements.</w:t>
      </w:r>
    </w:p>
    <w:p>
      <w:pPr>
        <w:sectPr>
          <w:pgSz w:w="11900" w:h="16838" w:orient="portrait"/>
          <w:cols w:equalWidth="0" w:num="1">
            <w:col w:w="10219"/>
          </w:cols>
          <w:pgMar w:left="240" w:top="136" w:right="1440" w:bottom="0" w:gutter="0" w:footer="0" w:header="0"/>
          <w:type w:val="continuous"/>
        </w:sectPr>
      </w:pPr>
    </w:p>
    <w:bookmarkStart w:id="3" w:name="page4"/>
    <w:bookmarkEnd w:id="3"/>
    <w:p>
      <w:pPr>
        <w:spacing w:after="0" w:line="2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CONSOLIDATED STATEMENTS OF COMPREHENSIVE EARNINGS</w:t>
      </w:r>
    </w:p>
    <w:p>
      <w:pPr>
        <w:jc w:val="center"/>
        <w:ind w:right="-1200"/>
        <w:spacing w:after="0" w:line="232" w:lineRule="auto"/>
        <w:rPr>
          <w:sz w:val="20"/>
          <w:szCs w:val="20"/>
          <w:color w:val="auto"/>
        </w:rPr>
      </w:pPr>
      <w:r>
        <w:rPr>
          <w:rFonts w:ascii="Arial" w:cs="Arial" w:eastAsia="Arial" w:hAnsi="Arial"/>
          <w:sz w:val="22"/>
          <w:szCs w:val="22"/>
          <w:color w:val="auto"/>
        </w:rPr>
        <w:t>(In thousands)</w:t>
      </w:r>
    </w:p>
    <w:p>
      <w:pPr>
        <w:jc w:val="center"/>
        <w:ind w:right="-12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216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Three Months Ended</w:t>
            </w:r>
          </w:p>
        </w:tc>
        <w:tc>
          <w:tcPr>
            <w:tcW w:w="1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Sept. 30,</w:t>
            </w: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Sept. 30,</w:t>
            </w:r>
          </w:p>
        </w:tc>
      </w:tr>
      <w:tr>
        <w:trPr>
          <w:trHeight w:val="203"/>
        </w:trPr>
        <w:tc>
          <w:tcPr>
            <w:tcW w:w="4320" w:type="dxa"/>
            <w:vAlign w:val="bottom"/>
          </w:tcPr>
          <w:p>
            <w:pPr>
              <w:spacing w:after="0"/>
              <w:rPr>
                <w:sz w:val="17"/>
                <w:szCs w:val="17"/>
                <w:color w:val="auto"/>
              </w:rPr>
            </w:pPr>
          </w:p>
        </w:tc>
        <w:tc>
          <w:tcPr>
            <w:tcW w:w="216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2014</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2013</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2014</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2013</w:t>
            </w:r>
          </w:p>
        </w:tc>
      </w:tr>
      <w:tr>
        <w:trPr>
          <w:trHeight w:val="203"/>
        </w:trPr>
        <w:tc>
          <w:tcPr>
            <w:tcW w:w="432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837</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$ 1,090</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$ 2,480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$ 2,385</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Foreign currency translation adjustments</w:t>
            </w:r>
          </w:p>
        </w:tc>
        <w:tc>
          <w:tcPr>
            <w:tcW w:w="3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(223)</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88</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(234)</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56</w:t>
            </w:r>
          </w:p>
        </w:tc>
      </w:tr>
      <w:tr>
        <w:trPr>
          <w:trHeight w:val="203"/>
        </w:trPr>
        <w:tc>
          <w:tcPr>
            <w:tcW w:w="432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614</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$ 1,178</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$ 2,246</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$ 2,441</w:t>
            </w:r>
          </w:p>
        </w:tc>
      </w:tr>
      <w:tr>
        <w:trPr>
          <w:trHeight w:val="203"/>
        </w:trPr>
        <w:tc>
          <w:tcPr>
            <w:tcW w:w="432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8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inTEST CORPORATION</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CONSOLIDATED STATEMENT OF STOCKHOLDERS' EQUITY</w:t>
      </w:r>
    </w:p>
    <w:p>
      <w:pPr>
        <w:jc w:val="center"/>
        <w:ind w:right="-1200"/>
        <w:spacing w:after="0" w:line="230" w:lineRule="auto"/>
        <w:rPr>
          <w:sz w:val="20"/>
          <w:szCs w:val="20"/>
          <w:color w:val="auto"/>
        </w:rPr>
      </w:pPr>
      <w:r>
        <w:rPr>
          <w:rFonts w:ascii="Arial" w:cs="Arial" w:eastAsia="Arial" w:hAnsi="Arial"/>
          <w:sz w:val="22"/>
          <w:szCs w:val="22"/>
          <w:color w:val="auto"/>
        </w:rPr>
        <w:t>(In thousands, except share data)</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Accumulated</w:t>
            </w: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Common</w:t>
            </w:r>
          </w:p>
        </w:tc>
        <w:tc>
          <w:tcPr>
            <w:tcW w:w="480" w:type="dxa"/>
            <w:vAlign w:val="bottom"/>
          </w:tcPr>
          <w:p>
            <w:pPr>
              <w:spacing w:after="0"/>
              <w:rPr>
                <w:sz w:val="20"/>
                <w:szCs w:val="20"/>
                <w:color w:val="auto"/>
              </w:rPr>
            </w:pPr>
            <w:r>
              <w:rPr>
                <w:rFonts w:ascii="Courier New" w:cs="Courier New" w:eastAsia="Courier New" w:hAnsi="Courier New"/>
                <w:sz w:val="12"/>
                <w:szCs w:val="12"/>
                <w:color w:val="auto"/>
              </w:rPr>
              <w:t>Stock</w:t>
            </w:r>
          </w:p>
        </w:tc>
        <w:tc>
          <w:tcPr>
            <w:tcW w:w="840" w:type="dxa"/>
            <w:vAlign w:val="bottom"/>
          </w:tcPr>
          <w:p>
            <w:pPr>
              <w:jc w:val="right"/>
              <w:ind w:right="19"/>
              <w:spacing w:after="0"/>
              <w:rPr>
                <w:sz w:val="20"/>
                <w:szCs w:val="20"/>
                <w:color w:val="auto"/>
              </w:rPr>
            </w:pPr>
            <w:r>
              <w:rPr>
                <w:rFonts w:ascii="Courier New" w:cs="Courier New" w:eastAsia="Courier New" w:hAnsi="Courier New"/>
                <w:sz w:val="12"/>
                <w:szCs w:val="12"/>
                <w:color w:val="auto"/>
              </w:rPr>
              <w:t>Additional</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w w:val="99"/>
              </w:rPr>
              <w:t>Other</w:t>
            </w:r>
          </w:p>
        </w:tc>
        <w:tc>
          <w:tcPr>
            <w:tcW w:w="720" w:type="dxa"/>
            <w:vAlign w:val="bottom"/>
          </w:tcPr>
          <w:p>
            <w:pPr>
              <w:spacing w:after="0"/>
              <w:rPr>
                <w:sz w:val="11"/>
                <w:szCs w:val="11"/>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080" w:type="dxa"/>
            <w:vAlign w:val="bottom"/>
          </w:tcPr>
          <w:p>
            <w:pPr>
              <w:spacing w:after="0"/>
              <w:rPr>
                <w:sz w:val="11"/>
                <w:szCs w:val="11"/>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Paid-In</w:t>
            </w:r>
          </w:p>
        </w:tc>
        <w:tc>
          <w:tcPr>
            <w:tcW w:w="7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Retained</w:t>
            </w:r>
          </w:p>
        </w:tc>
        <w:tc>
          <w:tcPr>
            <w:tcW w:w="27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Comprehensive Treasury Stockholders'</w:t>
            </w:r>
          </w:p>
        </w:tc>
      </w:tr>
      <w:tr>
        <w:trPr>
          <w:trHeight w:val="135"/>
        </w:trPr>
        <w:tc>
          <w:tcPr>
            <w:tcW w:w="2080" w:type="dxa"/>
            <w:vAlign w:val="bottom"/>
          </w:tcPr>
          <w:p>
            <w:pPr>
              <w:spacing w:after="0"/>
              <w:rPr>
                <w:sz w:val="11"/>
                <w:szCs w:val="11"/>
                <w:color w:val="auto"/>
              </w:rPr>
            </w:pP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80" w:type="dxa"/>
            <w:vAlign w:val="bottom"/>
          </w:tcPr>
          <w:p>
            <w:pPr>
              <w:spacing w:after="0"/>
              <w:rPr>
                <w:sz w:val="20"/>
                <w:szCs w:val="20"/>
                <w:color w:val="auto"/>
              </w:rPr>
            </w:pPr>
            <w:r>
              <w:rPr>
                <w:rFonts w:ascii="Courier New" w:cs="Courier New" w:eastAsia="Courier New" w:hAnsi="Courier New"/>
                <w:sz w:val="12"/>
                <w:szCs w:val="12"/>
                <w:color w:val="auto"/>
              </w:rPr>
              <w:t>Amount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Capital</w:t>
            </w:r>
          </w:p>
        </w:tc>
        <w:tc>
          <w:tcPr>
            <w:tcW w:w="76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Earnings</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Earnings</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Stock</w:t>
            </w:r>
          </w:p>
        </w:tc>
        <w:tc>
          <w:tcPr>
            <w:tcW w:w="920" w:type="dxa"/>
            <w:vAlign w:val="bottom"/>
          </w:tcPr>
          <w:p>
            <w:pPr>
              <w:ind w:left="180"/>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c>
          <w:tcPr>
            <w:tcW w:w="4340" w:type="dxa"/>
            <w:vAlign w:val="bottom"/>
            <w:gridSpan w:val="6"/>
          </w:tcPr>
          <w:p>
            <w:pPr>
              <w:jc w:val="center"/>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2080" w:type="dxa"/>
            <w:vAlign w:val="bottom"/>
          </w:tcPr>
          <w:p>
            <w:pPr>
              <w:spacing w:after="0"/>
              <w:rPr>
                <w:sz w:val="20"/>
                <w:szCs w:val="20"/>
                <w:color w:val="auto"/>
              </w:rPr>
            </w:pPr>
            <w:r>
              <w:rPr>
                <w:rFonts w:ascii="Courier New" w:cs="Courier New" w:eastAsia="Courier New" w:hAnsi="Courier New"/>
                <w:sz w:val="12"/>
                <w:szCs w:val="12"/>
                <w:color w:val="auto"/>
              </w:rPr>
              <w:t>Balance, January 1, 2014</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10,590,755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$ 106</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$26,187</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3,713</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$1,347</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$(204)</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$31,149</w:t>
            </w:r>
          </w:p>
        </w:tc>
      </w:tr>
      <w:tr>
        <w:trPr>
          <w:trHeight w:val="270"/>
        </w:trPr>
        <w:tc>
          <w:tcPr>
            <w:tcW w:w="208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2,480</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2,480</w:t>
            </w:r>
          </w:p>
        </w:tc>
      </w:tr>
      <w:tr>
        <w:trPr>
          <w:trHeight w:val="270"/>
        </w:trPr>
        <w:tc>
          <w:tcPr>
            <w:tcW w:w="208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23"/>
                <w:szCs w:val="23"/>
                <w:color w:val="auto"/>
              </w:rPr>
            </w:pP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(234)</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(234)</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7"/>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104</w:t>
            </w:r>
          </w:p>
        </w:tc>
        <w:tc>
          <w:tcPr>
            <w:tcW w:w="220" w:type="dxa"/>
            <w:vAlign w:val="bottom"/>
          </w:tcPr>
          <w:p>
            <w:pPr>
              <w:spacing w:after="0"/>
              <w:rPr>
                <w:sz w:val="11"/>
                <w:szCs w:val="11"/>
                <w:color w:val="auto"/>
              </w:rPr>
            </w:pP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104</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Forfeiture of non-vested</w:t>
            </w: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7"/>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(5,000)</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Issuance of non-vested</w:t>
            </w: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35"/>
        </w:trPr>
        <w:tc>
          <w:tcPr>
            <w:tcW w:w="208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10,000</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220" w:type="dxa"/>
            <w:vAlign w:val="bottom"/>
          </w:tcPr>
          <w:p>
            <w:pPr>
              <w:spacing w:after="0"/>
              <w:rPr>
                <w:sz w:val="11"/>
                <w:szCs w:val="11"/>
                <w:color w:val="auto"/>
              </w:rPr>
            </w:pP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137"/>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2"/>
                <w:szCs w:val="12"/>
                <w:color w:val="auto"/>
              </w:rPr>
              <w:t>Balance, September 30, 2014</w:t>
            </w: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10,595,755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$ 106</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$26,291</w:t>
            </w:r>
          </w:p>
        </w:tc>
        <w:tc>
          <w:tcPr>
            <w:tcW w:w="22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6,193</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$1,113</w:t>
            </w:r>
          </w:p>
        </w:tc>
        <w:tc>
          <w:tcPr>
            <w:tcW w:w="7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$(204)</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$33,499</w:t>
            </w:r>
          </w:p>
        </w:tc>
      </w:tr>
      <w:tr>
        <w:trPr>
          <w:trHeight w:val="137"/>
        </w:trPr>
        <w:tc>
          <w:tcPr>
            <w:tcW w:w="20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760" w:type="dxa"/>
            <w:vAlign w:val="bottom"/>
            <w:gridSpan w:val="2"/>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r>
    </w:tbl>
    <w:p>
      <w:pPr>
        <w:spacing w:after="0" w:line="38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900" w:type="dxa"/>
            <w:vAlign w:val="bottom"/>
          </w:tcPr>
          <w:p>
            <w:pPr>
              <w:spacing w:after="0"/>
              <w:rPr>
                <w:sz w:val="11"/>
                <w:szCs w:val="11"/>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Nine Months</w:t>
            </w:r>
          </w:p>
        </w:tc>
        <w:tc>
          <w:tcPr>
            <w:tcW w:w="400" w:type="dxa"/>
            <w:vAlign w:val="bottom"/>
          </w:tcPr>
          <w:p>
            <w:pPr>
              <w:ind w:left="40"/>
              <w:spacing w:after="0"/>
              <w:rPr>
                <w:sz w:val="20"/>
                <w:szCs w:val="20"/>
                <w:color w:val="auto"/>
              </w:rPr>
            </w:pPr>
            <w:r>
              <w:rPr>
                <w:rFonts w:ascii="Courier New" w:cs="Courier New" w:eastAsia="Courier New" w:hAnsi="Courier New"/>
                <w:sz w:val="12"/>
                <w:szCs w:val="12"/>
                <w:color w:val="auto"/>
                <w:w w:val="94"/>
              </w:rPr>
              <w:t>Ended</w:t>
            </w: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600" w:type="dxa"/>
            <w:vAlign w:val="bottom"/>
            <w:gridSpan w:val="3"/>
          </w:tcPr>
          <w:p>
            <w:pPr>
              <w:jc w:val="right"/>
              <w:ind w:right="239"/>
              <w:spacing w:after="0"/>
              <w:rPr>
                <w:sz w:val="20"/>
                <w:szCs w:val="20"/>
                <w:color w:val="auto"/>
              </w:rPr>
            </w:pPr>
            <w:r>
              <w:rPr>
                <w:rFonts w:ascii="Courier New" w:cs="Courier New" w:eastAsia="Courier New" w:hAnsi="Courier New"/>
                <w:sz w:val="12"/>
                <w:szCs w:val="12"/>
                <w:color w:val="auto"/>
              </w:rPr>
              <w:t>Sept. 30,</w:t>
            </w: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6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2014</w:t>
            </w:r>
          </w:p>
        </w:tc>
        <w:tc>
          <w:tcPr>
            <w:tcW w:w="260" w:type="dxa"/>
            <w:vAlign w:val="bottom"/>
          </w:tcPr>
          <w:p>
            <w:pPr>
              <w:spacing w:after="0"/>
              <w:rPr>
                <w:sz w:val="11"/>
                <w:szCs w:val="11"/>
                <w:color w:val="auto"/>
              </w:rPr>
            </w:pPr>
          </w:p>
        </w:tc>
        <w:tc>
          <w:tcPr>
            <w:tcW w:w="400" w:type="dxa"/>
            <w:vAlign w:val="bottom"/>
          </w:tcPr>
          <w:p>
            <w:pPr>
              <w:ind w:left="40"/>
              <w:spacing w:after="0"/>
              <w:rPr>
                <w:sz w:val="20"/>
                <w:szCs w:val="20"/>
                <w:color w:val="auto"/>
              </w:rPr>
            </w:pPr>
            <w:r>
              <w:rPr>
                <w:rFonts w:ascii="Courier New" w:cs="Courier New" w:eastAsia="Courier New" w:hAnsi="Courier New"/>
                <w:sz w:val="12"/>
                <w:szCs w:val="12"/>
                <w:color w:val="auto"/>
              </w:rPr>
              <w:t>2013</w:t>
            </w:r>
          </w:p>
        </w:tc>
        <w:tc>
          <w:tcPr>
            <w:tcW w:w="0" w:type="dxa"/>
            <w:vAlign w:val="bottom"/>
          </w:tcPr>
          <w:p>
            <w:pPr>
              <w:spacing w:after="0"/>
              <w:rPr>
                <w:sz w:val="1"/>
                <w:szCs w:val="1"/>
                <w:color w:val="auto"/>
              </w:rPr>
            </w:pPr>
          </w:p>
        </w:tc>
      </w:tr>
      <w:tr>
        <w:trPr>
          <w:trHeight w:val="137"/>
        </w:trPr>
        <w:tc>
          <w:tcPr>
            <w:tcW w:w="490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490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00" w:type="dxa"/>
            <w:vAlign w:val="bottom"/>
          </w:tcPr>
          <w:p>
            <w:pPr>
              <w:ind w:left="160"/>
              <w:spacing w:after="0"/>
              <w:rPr>
                <w:sz w:val="20"/>
                <w:szCs w:val="20"/>
                <w:color w:val="auto"/>
              </w:rPr>
            </w:pPr>
            <w:r>
              <w:rPr>
                <w:rFonts w:ascii="Courier New" w:cs="Courier New" w:eastAsia="Courier New" w:hAnsi="Courier New"/>
                <w:sz w:val="12"/>
                <w:szCs w:val="12"/>
                <w:color w:val="auto"/>
              </w:rPr>
              <w:t>Net earnings</w:t>
            </w:r>
          </w:p>
        </w:tc>
        <w:tc>
          <w:tcPr>
            <w:tcW w:w="9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$ 2,480</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2,385</w:t>
            </w:r>
          </w:p>
        </w:tc>
        <w:tc>
          <w:tcPr>
            <w:tcW w:w="0" w:type="dxa"/>
            <w:vAlign w:val="bottom"/>
          </w:tcPr>
          <w:p>
            <w:pPr>
              <w:spacing w:after="0"/>
              <w:rPr>
                <w:sz w:val="1"/>
                <w:szCs w:val="1"/>
                <w:color w:val="auto"/>
              </w:rPr>
            </w:pPr>
          </w:p>
        </w:tc>
      </w:tr>
      <w:tr>
        <w:trPr>
          <w:trHeight w:val="137"/>
        </w:trPr>
        <w:tc>
          <w:tcPr>
            <w:tcW w:w="4900" w:type="dxa"/>
            <w:vAlign w:val="bottom"/>
          </w:tcPr>
          <w:p>
            <w:pPr>
              <w:ind w:left="160"/>
              <w:spacing w:after="0"/>
              <w:rPr>
                <w:sz w:val="20"/>
                <w:szCs w:val="20"/>
                <w:color w:val="auto"/>
              </w:rPr>
            </w:pPr>
            <w:r>
              <w:rPr>
                <w:rFonts w:ascii="Courier New" w:cs="Courier New" w:eastAsia="Courier New" w:hAnsi="Courier New"/>
                <w:sz w:val="12"/>
                <w:szCs w:val="12"/>
                <w:color w:val="auto"/>
              </w:rPr>
              <w:t>Adjustments to reconcile net earnings to net cash provided by</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66" w:orient="portrait"/>
          <w:cols w:equalWidth="0" w:num="1">
            <w:col w:w="10219"/>
          </w:cols>
          <w:pgMar w:left="240" w:top="131"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120" w:type="dxa"/>
            <w:vAlign w:val="bottom"/>
          </w:tcPr>
          <w:p>
            <w:pPr>
              <w:ind w:left="220"/>
              <w:spacing w:after="0"/>
              <w:rPr>
                <w:sz w:val="20"/>
                <w:szCs w:val="20"/>
                <w:color w:val="auto"/>
              </w:rPr>
            </w:pPr>
            <w:r>
              <w:rPr>
                <w:rFonts w:ascii="Courier New" w:cs="Courier New" w:eastAsia="Courier New" w:hAnsi="Courier New"/>
                <w:sz w:val="12"/>
                <w:szCs w:val="12"/>
                <w:color w:val="auto"/>
              </w:rPr>
              <w:t>operating activities: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Depreciation and amortization</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663</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640</w:t>
            </w: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232</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264</w:t>
            </w: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Foreign exchange loss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24</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w:t>
            </w: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104</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86</w:t>
            </w: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(Gain) loss on sale of property and equipment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20</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(3)</w:t>
            </w: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112</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24</w:t>
            </w: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Deferred income tax expense (benefit)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282</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(52)</w:t>
            </w:r>
          </w:p>
        </w:tc>
      </w:tr>
      <w:tr>
        <w:trPr>
          <w:trHeight w:val="135"/>
        </w:trPr>
        <w:tc>
          <w:tcPr>
            <w:tcW w:w="512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5"/>
              </w:rPr>
              <w:t>(1,879)</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(1,892)</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(791)</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(612)</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(45)</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(23)</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491</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465</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(42)</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(88)</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rent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27</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41</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42</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116</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54</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(51)</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249</w:t>
            </w:r>
          </w:p>
        </w:tc>
      </w:tr>
      <w:tr>
        <w:trPr>
          <w:trHeight w:val="135"/>
        </w:trPr>
        <w:tc>
          <w:tcPr>
            <w:tcW w:w="5120" w:type="dxa"/>
            <w:vAlign w:val="bottom"/>
          </w:tcPr>
          <w:p>
            <w:pPr>
              <w:ind w:left="440"/>
              <w:spacing w:after="0"/>
              <w:rPr>
                <w:sz w:val="20"/>
                <w:szCs w:val="20"/>
                <w:color w:val="auto"/>
              </w:rPr>
            </w:pPr>
            <w:r>
              <w:rPr>
                <w:rFonts w:ascii="Courier New" w:cs="Courier New" w:eastAsia="Courier New" w:hAnsi="Courier New"/>
                <w:sz w:val="12"/>
                <w:szCs w:val="12"/>
                <w:color w:val="auto"/>
              </w:rPr>
              <w:t>Other current liabilities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45</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(229)</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1,787</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1,356</w:t>
            </w:r>
          </w:p>
        </w:tc>
      </w:tr>
      <w:tr>
        <w:trPr>
          <w:trHeight w:val="137"/>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(536)</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(257)</w:t>
            </w: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(528)</w:t>
            </w: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(247)</w:t>
            </w:r>
          </w:p>
        </w:tc>
      </w:tr>
      <w:tr>
        <w:trPr>
          <w:trHeight w:val="137"/>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stock options exercised</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financing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30</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40" w:type="dxa"/>
            <w:vAlign w:val="bottom"/>
          </w:tcPr>
          <w:p>
            <w:pPr>
              <w:spacing w:after="0"/>
              <w:rPr>
                <w:sz w:val="11"/>
                <w:szCs w:val="11"/>
                <w:color w:val="auto"/>
              </w:rPr>
            </w:pP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(130)</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36</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Net cash provided by all activities</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1,129</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1,175</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14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19,018</w:t>
            </w:r>
          </w:p>
        </w:tc>
        <w:tc>
          <w:tcPr>
            <w:tcW w:w="180" w:type="dxa"/>
            <w:vAlign w:val="bottom"/>
          </w:tcPr>
          <w:p>
            <w:pPr>
              <w:spacing w:after="0"/>
              <w:rPr>
                <w:sz w:val="11"/>
                <w:szCs w:val="11"/>
                <w:color w:val="auto"/>
              </w:rPr>
            </w:pP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7"/>
              </w:rPr>
              <w:t>15,576</w:t>
            </w:r>
          </w:p>
        </w:tc>
      </w:tr>
      <w:tr>
        <w:trPr>
          <w:trHeight w:val="135"/>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$20,147</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$16,751</w:t>
            </w:r>
          </w:p>
        </w:tc>
      </w:tr>
      <w:tr>
        <w:trPr>
          <w:trHeight w:val="137"/>
        </w:trPr>
        <w:tc>
          <w:tcPr>
            <w:tcW w:w="5120" w:type="dxa"/>
            <w:vAlign w:val="bottom"/>
          </w:tcPr>
          <w:p>
            <w:pPr>
              <w:spacing w:after="0"/>
              <w:rPr>
                <w:sz w:val="11"/>
                <w:szCs w:val="11"/>
                <w:color w:val="auto"/>
              </w:rPr>
            </w:pP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120" w:type="dxa"/>
            <w:vAlign w:val="bottom"/>
          </w:tcPr>
          <w:p>
            <w:pPr>
              <w:spacing w:after="0"/>
              <w:rPr>
                <w:sz w:val="20"/>
                <w:szCs w:val="20"/>
                <w:color w:val="auto"/>
              </w:rPr>
            </w:pPr>
            <w:r>
              <w:rPr>
                <w:rFonts w:ascii="Courier New" w:cs="Courier New" w:eastAsia="Courier New" w:hAnsi="Courier New"/>
                <w:sz w:val="12"/>
                <w:szCs w:val="12"/>
                <w:color w:val="auto"/>
              </w:rPr>
              <w:t>Cash payments for:</w:t>
            </w: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137"/>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76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$ 1,023</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389</w:t>
            </w:r>
          </w:p>
        </w:tc>
      </w:tr>
      <w:tr>
        <w:trPr>
          <w:trHeight w:val="403"/>
        </w:trPr>
        <w:tc>
          <w:tcPr>
            <w:tcW w:w="5120" w:type="dxa"/>
            <w:vAlign w:val="bottom"/>
          </w:tcPr>
          <w:p>
            <w:pPr>
              <w:spacing w:after="0"/>
              <w:rPr>
                <w:sz w:val="20"/>
                <w:szCs w:val="20"/>
                <w:color w:val="auto"/>
              </w:rPr>
            </w:pPr>
            <w:r>
              <w:rPr>
                <w:rFonts w:ascii="Courier New" w:cs="Courier New" w:eastAsia="Courier New" w:hAnsi="Courier New"/>
                <w:sz w:val="12"/>
                <w:szCs w:val="12"/>
                <w:color w:val="auto"/>
              </w:rPr>
              <w:t>SUPPLEMENTAL SCHEDULE OF NON-CASH INVESTING AND FINANCING ACTIVITIES: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5"/>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Issuance of non-vested shares of restricted stock</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41</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124</w:t>
            </w:r>
          </w:p>
        </w:tc>
      </w:tr>
      <w:tr>
        <w:trPr>
          <w:trHeight w:val="137"/>
        </w:trPr>
        <w:tc>
          <w:tcPr>
            <w:tcW w:w="5120" w:type="dxa"/>
            <w:vAlign w:val="bottom"/>
          </w:tcPr>
          <w:p>
            <w:pPr>
              <w:ind w:left="160"/>
              <w:spacing w:after="0"/>
              <w:rPr>
                <w:sz w:val="20"/>
                <w:szCs w:val="20"/>
                <w:color w:val="auto"/>
              </w:rPr>
            </w:pPr>
            <w:r>
              <w:rPr>
                <w:rFonts w:ascii="Courier New" w:cs="Courier New" w:eastAsia="Courier New" w:hAnsi="Courier New"/>
                <w:sz w:val="12"/>
                <w:szCs w:val="12"/>
                <w:color w:val="auto"/>
              </w:rPr>
              <w:t>Forfeiture of non-vested shares of restricted stock</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(20)</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bl>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0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markets outside the ATE market, such as the automotive, consumer electronics, defense/aerospace, energy, industrial and telecommunications markets.</w:t>
      </w:r>
    </w:p>
    <w:p>
      <w:pPr>
        <w:spacing w:after="0" w:line="197"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semiconductor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As a result of these or other factors, we may experience significant period-to-period fluctuations in future operating results.</w:t>
      </w:r>
    </w:p>
    <w:p>
      <w:pPr>
        <w:spacing w:after="0" w:line="342" w:lineRule="exact"/>
        <w:rPr>
          <w:sz w:val="20"/>
          <w:szCs w:val="20"/>
          <w:color w:val="auto"/>
        </w:rPr>
      </w:pPr>
    </w:p>
    <w:p>
      <w:pPr>
        <w:ind w:left="540" w:right="6500" w:hanging="532"/>
        <w:spacing w:after="0" w:line="541" w:lineRule="auto"/>
        <w:tabs>
          <w:tab w:leader="none" w:pos="292"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60"/>
        <w:spacing w:after="0" w:line="291"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tax assets and liabilities including related valuation allowances and product warranty reserves, are particularly</w:t>
      </w:r>
    </w:p>
    <w:p>
      <w:pPr>
        <w:sectPr>
          <w:pgSz w:w="11900" w:h="16838" w:orient="portrait"/>
          <w:cols w:equalWidth="0" w:num="1">
            <w:col w:w="11380"/>
          </w:cols>
          <w:pgMar w:left="240" w:top="132" w:right="279" w:bottom="0" w:gutter="0" w:footer="0" w:header="0"/>
        </w:sectPr>
      </w:pPr>
    </w:p>
    <w:bookmarkStart w:id="5" w:name="page6"/>
    <w:bookmarkEnd w:id="5"/>
    <w:p>
      <w:pPr>
        <w:ind w:left="540"/>
        <w:spacing w:after="0"/>
        <w:rPr>
          <w:sz w:val="20"/>
          <w:szCs w:val="20"/>
          <w:color w:val="auto"/>
        </w:rPr>
      </w:pPr>
      <w:r>
        <w:rPr>
          <w:rFonts w:ascii="Arial" w:cs="Arial" w:eastAsia="Arial" w:hAnsi="Arial"/>
          <w:sz w:val="18"/>
          <w:szCs w:val="18"/>
          <w:color w:val="auto"/>
        </w:rPr>
        <w:t>impacted by estimates.</w:t>
      </w:r>
    </w:p>
    <w:p>
      <w:pPr>
        <w:spacing w:after="0" w:line="225"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2013 filed with the Securities and Exchange Commission on March 27, 2014 (the "2013 Form 10-K").</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jc w:val="both"/>
        <w:ind w:left="540" w:right="60"/>
        <w:spacing w:after="0" w:line="259" w:lineRule="auto"/>
        <w:rPr>
          <w:sz w:val="20"/>
          <w:szCs w:val="20"/>
          <w:color w:val="auto"/>
        </w:rPr>
      </w:pPr>
      <w:r>
        <w:rPr>
          <w:rFonts w:ascii="Arial" w:cs="Arial" w:eastAsia="Arial" w:hAnsi="Arial"/>
          <w:sz w:val="18"/>
          <w:szCs w:val="18"/>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jc w:val="both"/>
        <w:ind w:left="540" w:right="20"/>
        <w:spacing w:after="0" w:line="294" w:lineRule="auto"/>
        <w:rPr>
          <w:sz w:val="20"/>
          <w:szCs w:val="20"/>
          <w:color w:val="auto"/>
        </w:rPr>
      </w:pPr>
      <w:r>
        <w:rPr>
          <w:rFonts w:ascii="Arial" w:cs="Arial" w:eastAsia="Arial" w:hAnsi="Arial"/>
          <w:sz w:val="16"/>
          <w:szCs w:val="16"/>
          <w:color w:val="auto"/>
        </w:rPr>
        <w:t>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$232 and $264 for the nine months ended September 30, 2014 and 2013, respectively.</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40" w:right="220"/>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Topic 350 (Intangibles -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81"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201"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131" w:right="259" w:bottom="364" w:gutter="0" w:footer="0" w:header="0"/>
        </w:sectPr>
      </w:pPr>
    </w:p>
    <w:bookmarkStart w:id="6" w:name="page7"/>
    <w:bookmarkEnd w:id="6"/>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ind w:left="292" w:hanging="292"/>
        <w:spacing w:after="0"/>
        <w:tabs>
          <w:tab w:leader="none" w:pos="2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32" w:right="2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7.</w:t>
      </w:r>
    </w:p>
    <w:p>
      <w:pPr>
        <w:spacing w:after="0" w:line="197"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32"/>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nine months ended September 30, 2014.</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32" w:right="6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32"/>
        <w:spacing w:after="0"/>
        <w:rPr>
          <w:sz w:val="20"/>
          <w:szCs w:val="20"/>
          <w:color w:val="auto"/>
        </w:rPr>
      </w:pPr>
      <w:r>
        <w:rPr>
          <w:rFonts w:ascii="Arial" w:cs="Arial" w:eastAsia="Arial" w:hAnsi="Arial"/>
          <w:sz w:val="16"/>
          <w:szCs w:val="16"/>
          <w:color w:val="auto"/>
        </w:rPr>
        <w:t>In addition, in our Thermal and Mechanical Products segments, we lease certain of our equipment to customers under non-cancellable operating leases.</w:t>
      </w:r>
    </w:p>
    <w:p>
      <w:pPr>
        <w:spacing w:after="0" w:line="38" w:lineRule="exact"/>
        <w:rPr>
          <w:sz w:val="20"/>
          <w:szCs w:val="20"/>
          <w:color w:val="auto"/>
        </w:rPr>
      </w:pPr>
    </w:p>
    <w:p>
      <w:pPr>
        <w:ind w:left="532"/>
        <w:spacing w:after="0"/>
        <w:rPr>
          <w:sz w:val="20"/>
          <w:szCs w:val="20"/>
          <w:color w:val="auto"/>
        </w:rPr>
      </w:pPr>
      <w:r>
        <w:rPr>
          <w:rFonts w:ascii="Arial" w:cs="Arial" w:eastAsia="Arial" w:hAnsi="Arial"/>
          <w:sz w:val="16"/>
          <w:szCs w:val="16"/>
          <w:color w:val="auto"/>
        </w:rPr>
        <w:t>These leases generally have an initial term of six months. We recognize revenue for these leases on a straight-line basis over the term of the lease.</w:t>
      </w:r>
    </w:p>
    <w:p>
      <w:pPr>
        <w:spacing w:after="0" w:line="242" w:lineRule="exact"/>
        <w:rPr>
          <w:sz w:val="20"/>
          <w:szCs w:val="20"/>
          <w:color w:val="auto"/>
        </w:rPr>
      </w:pPr>
    </w:p>
    <w:p>
      <w:pPr>
        <w:ind w:left="532" w:right="28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32" w:right="34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32" w:right="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35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ind w:left="292" w:hanging="292"/>
        <w:spacing w:after="0"/>
        <w:tabs>
          <w:tab w:leader="none" w:pos="2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32" w:right="8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stock options and non-vested shares of restricted stock and are calculated using the treasury stock method. Common share equivalents are excluded from the calculation if their effect is anti-dilutive.</w:t>
      </w:r>
    </w:p>
    <w:p>
      <w:pPr>
        <w:spacing w:after="0" w:line="167" w:lineRule="exact"/>
        <w:rPr>
          <w:sz w:val="20"/>
          <w:szCs w:val="20"/>
          <w:color w:val="auto"/>
        </w:rPr>
      </w:pPr>
    </w:p>
    <w:p>
      <w:pPr>
        <w:ind w:left="532" w:right="4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ectPr>
          <w:pgSz w:w="11900" w:h="16838" w:orient="portrait"/>
          <w:cols w:equalWidth="0" w:num="1">
            <w:col w:w="11392"/>
          </w:cols>
          <w:pgMar w:left="248" w:top="341" w:right="259" w:bottom="0" w:gutter="0" w:footer="0" w:header="0"/>
        </w:sectPr>
      </w:pPr>
    </w:p>
    <w:bookmarkStart w:id="7" w:name="page8"/>
    <w:bookmarkEnd w:id="7"/>
    <w:p>
      <w:pPr>
        <w:spacing w:after="0" w:line="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i w:val="1"/>
                <w:iCs w:val="1"/>
                <w:color w:val="auto"/>
                <w:w w:val="98"/>
              </w:rPr>
              <w:t>September 30,</w:t>
            </w:r>
          </w:p>
        </w:tc>
        <w:tc>
          <w:tcPr>
            <w:tcW w:w="2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i w:val="1"/>
                <w:iCs w:val="1"/>
                <w:color w:val="auto"/>
                <w:w w:val="98"/>
              </w:rPr>
              <w:t>September 30,</w:t>
            </w:r>
          </w:p>
        </w:tc>
        <w:tc>
          <w:tcPr>
            <w:tcW w:w="200" w:type="dxa"/>
            <w:vAlign w:val="bottom"/>
          </w:tcPr>
          <w:p>
            <w:pPr>
              <w:spacing w:after="0"/>
              <w:rPr>
                <w:sz w:val="14"/>
                <w:szCs w:val="14"/>
                <w:color w:val="auto"/>
              </w:rPr>
            </w:pPr>
          </w:p>
        </w:tc>
      </w:tr>
      <w:tr>
        <w:trPr>
          <w:trHeight w:val="223"/>
        </w:trPr>
        <w:tc>
          <w:tcPr>
            <w:tcW w:w="5100" w:type="dxa"/>
            <w:vAlign w:val="bottom"/>
          </w:tcPr>
          <w:p>
            <w:pPr>
              <w:spacing w:after="0"/>
              <w:rPr>
                <w:sz w:val="19"/>
                <w:szCs w:val="19"/>
                <w:color w:val="auto"/>
              </w:rPr>
            </w:pPr>
          </w:p>
        </w:tc>
        <w:tc>
          <w:tcPr>
            <w:tcW w:w="540" w:type="dxa"/>
            <w:vAlign w:val="bottom"/>
            <w:gridSpan w:val="4"/>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3"/>
              </w:rPr>
              <w:t>2014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i w:val="1"/>
                <w:iCs w:val="1"/>
                <w:color w:val="auto"/>
              </w:rPr>
              <w:t>2013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5"/>
          </w:tcPr>
          <w:p>
            <w:pPr>
              <w:jc w:val="right"/>
              <w:ind w:right="260"/>
              <w:spacing w:after="0"/>
              <w:rPr>
                <w:sz w:val="20"/>
                <w:szCs w:val="20"/>
                <w:color w:val="auto"/>
              </w:rPr>
            </w:pPr>
            <w:r>
              <w:rPr>
                <w:rFonts w:ascii="Arial" w:cs="Arial" w:eastAsia="Arial" w:hAnsi="Arial"/>
                <w:sz w:val="14"/>
                <w:szCs w:val="14"/>
                <w:b w:val="1"/>
                <w:bCs w:val="1"/>
                <w:i w:val="1"/>
                <w:iCs w:val="1"/>
                <w:color w:val="auto"/>
              </w:rPr>
              <w:t>2014</w:t>
            </w:r>
          </w:p>
        </w:tc>
        <w:tc>
          <w:tcPr>
            <w:tcW w:w="660" w:type="dxa"/>
            <w:vAlign w:val="bottom"/>
            <w:gridSpan w:val="5"/>
          </w:tcPr>
          <w:p>
            <w:pPr>
              <w:jc w:val="right"/>
              <w:ind w:right="80"/>
              <w:spacing w:after="0"/>
              <w:rPr>
                <w:sz w:val="20"/>
                <w:szCs w:val="20"/>
                <w:color w:val="auto"/>
              </w:rPr>
            </w:pPr>
            <w:r>
              <w:rPr>
                <w:rFonts w:ascii="Arial" w:cs="Arial" w:eastAsia="Arial" w:hAnsi="Arial"/>
                <w:sz w:val="14"/>
                <w:szCs w:val="14"/>
                <w:b w:val="1"/>
                <w:bCs w:val="1"/>
                <w:i w:val="1"/>
                <w:iCs w:val="1"/>
                <w:color w:val="auto"/>
              </w:rPr>
              <w:t>2013</w:t>
            </w:r>
          </w:p>
        </w:tc>
        <w:tc>
          <w:tcPr>
            <w:tcW w:w="2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35"/>
        </w:trPr>
        <w:tc>
          <w:tcPr>
            <w:tcW w:w="51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140" w:type="dxa"/>
            <w:vAlign w:val="bottom"/>
            <w:gridSpan w:val="7"/>
          </w:tcPr>
          <w:p>
            <w:pPr>
              <w:jc w:val="right"/>
              <w:ind w:right="60"/>
              <w:spacing w:after="0"/>
              <w:rPr>
                <w:sz w:val="20"/>
                <w:szCs w:val="20"/>
                <w:color w:val="auto"/>
              </w:rPr>
            </w:pPr>
            <w:r>
              <w:rPr>
                <w:rFonts w:ascii="Arial" w:cs="Arial" w:eastAsia="Arial" w:hAnsi="Arial"/>
                <w:sz w:val="18"/>
                <w:szCs w:val="18"/>
                <w:color w:val="auto"/>
              </w:rPr>
              <w:t>10,440,803</w:t>
            </w:r>
          </w:p>
        </w:tc>
        <w:tc>
          <w:tcPr>
            <w:tcW w:w="860" w:type="dxa"/>
            <w:vAlign w:val="bottom"/>
            <w:gridSpan w:val="6"/>
          </w:tcPr>
          <w:p>
            <w:pPr>
              <w:jc w:val="right"/>
              <w:ind w:right="60"/>
              <w:spacing w:after="0"/>
              <w:rPr>
                <w:sz w:val="20"/>
                <w:szCs w:val="20"/>
                <w:color w:val="auto"/>
              </w:rPr>
            </w:pPr>
            <w:r>
              <w:rPr>
                <w:rFonts w:ascii="Arial" w:cs="Arial" w:eastAsia="Arial" w:hAnsi="Arial"/>
                <w:sz w:val="18"/>
                <w:szCs w:val="18"/>
                <w:color w:val="auto"/>
                <w:w w:val="86"/>
              </w:rPr>
              <w:t>10,377,189</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w w:val="84"/>
              </w:rPr>
              <w:t>10,424,001</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w w:val="93"/>
              </w:rPr>
              <w:t>10,358,960</w:t>
            </w:r>
          </w:p>
        </w:tc>
      </w:tr>
      <w:tr>
        <w:trPr>
          <w:trHeight w:val="459"/>
        </w:trPr>
        <w:tc>
          <w:tcPr>
            <w:tcW w:w="510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21"/>
        </w:trPr>
        <w:tc>
          <w:tcPr>
            <w:tcW w:w="5100" w:type="dxa"/>
            <w:vAlign w:val="bottom"/>
          </w:tcPr>
          <w:p>
            <w:pPr>
              <w:ind w:left="220"/>
              <w:spacing w:after="0"/>
              <w:rPr>
                <w:sz w:val="20"/>
                <w:szCs w:val="20"/>
                <w:color w:val="auto"/>
              </w:rPr>
            </w:pPr>
            <w:r>
              <w:rPr>
                <w:rFonts w:ascii="Arial" w:cs="Arial" w:eastAsia="Arial" w:hAnsi="Arial"/>
                <w:sz w:val="18"/>
                <w:szCs w:val="18"/>
                <w:color w:val="auto"/>
                <w:w w:val="92"/>
              </w:rPr>
              <w:t>Employee stock options and non-vested shares of restricted stock</w:t>
            </w:r>
          </w:p>
        </w:tc>
        <w:tc>
          <w:tcPr>
            <w:tcW w:w="1140" w:type="dxa"/>
            <w:vAlign w:val="bottom"/>
            <w:gridSpan w:val="7"/>
          </w:tcPr>
          <w:p>
            <w:pPr>
              <w:jc w:val="right"/>
              <w:ind w:right="60"/>
              <w:spacing w:after="0"/>
              <w:rPr>
                <w:sz w:val="20"/>
                <w:szCs w:val="20"/>
                <w:color w:val="auto"/>
              </w:rPr>
            </w:pPr>
            <w:r>
              <w:rPr>
                <w:rFonts w:ascii="Arial" w:cs="Arial" w:eastAsia="Arial" w:hAnsi="Arial"/>
                <w:sz w:val="18"/>
                <w:szCs w:val="18"/>
                <w:color w:val="auto"/>
              </w:rPr>
              <w:t>37,011</w:t>
            </w:r>
          </w:p>
        </w:tc>
        <w:tc>
          <w:tcPr>
            <w:tcW w:w="860" w:type="dxa"/>
            <w:vAlign w:val="bottom"/>
            <w:gridSpan w:val="6"/>
          </w:tcPr>
          <w:p>
            <w:pPr>
              <w:jc w:val="right"/>
              <w:ind w:right="60"/>
              <w:spacing w:after="0"/>
              <w:rPr>
                <w:sz w:val="20"/>
                <w:szCs w:val="20"/>
                <w:color w:val="auto"/>
              </w:rPr>
            </w:pPr>
            <w:r>
              <w:rPr>
                <w:rFonts w:ascii="Arial" w:cs="Arial" w:eastAsia="Arial" w:hAnsi="Arial"/>
                <w:sz w:val="18"/>
                <w:szCs w:val="18"/>
                <w:color w:val="auto"/>
              </w:rPr>
              <w:t>26,906</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37,074</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25,010</w:t>
            </w:r>
          </w:p>
        </w:tc>
      </w:tr>
      <w:tr>
        <w:trPr>
          <w:trHeight w:val="471"/>
        </w:trPr>
        <w:tc>
          <w:tcPr>
            <w:tcW w:w="5100" w:type="dxa"/>
            <w:vAlign w:val="bottom"/>
          </w:tcPr>
          <w:p>
            <w:pPr>
              <w:spacing w:after="0"/>
              <w:rPr>
                <w:sz w:val="20"/>
                <w:szCs w:val="20"/>
                <w:color w:val="auto"/>
              </w:rPr>
            </w:pPr>
            <w:r>
              <w:rPr>
                <w:rFonts w:ascii="Arial" w:cs="Arial" w:eastAsia="Arial" w:hAnsi="Arial"/>
                <w:sz w:val="18"/>
                <w:szCs w:val="18"/>
                <w:color w:val="auto"/>
              </w:rPr>
              <w:t>Weighted average common shares and common share</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r>
      <w:tr>
        <w:trPr>
          <w:trHeight w:val="184"/>
        </w:trPr>
        <w:tc>
          <w:tcPr>
            <w:tcW w:w="5100" w:type="dxa"/>
            <w:vAlign w:val="bottom"/>
          </w:tcPr>
          <w:p>
            <w:pPr>
              <w:ind w:left="80"/>
              <w:spacing w:after="0" w:line="184" w:lineRule="exact"/>
              <w:rPr>
                <w:sz w:val="20"/>
                <w:szCs w:val="20"/>
                <w:color w:val="auto"/>
              </w:rPr>
            </w:pPr>
            <w:r>
              <w:rPr>
                <w:rFonts w:ascii="Arial" w:cs="Arial" w:eastAsia="Arial" w:hAnsi="Arial"/>
                <w:sz w:val="18"/>
                <w:szCs w:val="18"/>
                <w:color w:val="auto"/>
              </w:rPr>
              <w:t>equivalents outstanding - diluted</w:t>
            </w:r>
          </w:p>
        </w:tc>
        <w:tc>
          <w:tcPr>
            <w:tcW w:w="1140" w:type="dxa"/>
            <w:vAlign w:val="bottom"/>
            <w:gridSpan w:val="7"/>
          </w:tcPr>
          <w:p>
            <w:pPr>
              <w:jc w:val="right"/>
              <w:ind w:right="60"/>
              <w:spacing w:after="0" w:line="184" w:lineRule="exact"/>
              <w:rPr>
                <w:sz w:val="20"/>
                <w:szCs w:val="20"/>
                <w:color w:val="auto"/>
              </w:rPr>
            </w:pPr>
            <w:r>
              <w:rPr>
                <w:rFonts w:ascii="Arial" w:cs="Arial" w:eastAsia="Arial" w:hAnsi="Arial"/>
                <w:sz w:val="18"/>
                <w:szCs w:val="18"/>
                <w:color w:val="auto"/>
              </w:rPr>
              <w:t>10,477,814</w:t>
            </w:r>
          </w:p>
        </w:tc>
        <w:tc>
          <w:tcPr>
            <w:tcW w:w="860" w:type="dxa"/>
            <w:vAlign w:val="bottom"/>
            <w:gridSpan w:val="6"/>
          </w:tcPr>
          <w:p>
            <w:pPr>
              <w:jc w:val="right"/>
              <w:ind w:right="60"/>
              <w:spacing w:after="0" w:line="184" w:lineRule="exact"/>
              <w:rPr>
                <w:sz w:val="20"/>
                <w:szCs w:val="20"/>
                <w:color w:val="auto"/>
              </w:rPr>
            </w:pPr>
            <w:r>
              <w:rPr>
                <w:rFonts w:ascii="Arial" w:cs="Arial" w:eastAsia="Arial" w:hAnsi="Arial"/>
                <w:sz w:val="18"/>
                <w:szCs w:val="18"/>
                <w:color w:val="auto"/>
                <w:w w:val="86"/>
              </w:rPr>
              <w:t>10,404,095</w:t>
            </w:r>
          </w:p>
        </w:tc>
        <w:tc>
          <w:tcPr>
            <w:tcW w:w="780" w:type="dxa"/>
            <w:vAlign w:val="bottom"/>
            <w:gridSpan w:val="5"/>
          </w:tcPr>
          <w:p>
            <w:pPr>
              <w:jc w:val="right"/>
              <w:spacing w:after="0" w:line="184" w:lineRule="exact"/>
              <w:rPr>
                <w:sz w:val="20"/>
                <w:szCs w:val="20"/>
                <w:color w:val="auto"/>
              </w:rPr>
            </w:pPr>
            <w:r>
              <w:rPr>
                <w:rFonts w:ascii="Arial" w:cs="Arial" w:eastAsia="Arial" w:hAnsi="Arial"/>
                <w:sz w:val="18"/>
                <w:szCs w:val="18"/>
                <w:color w:val="auto"/>
                <w:w w:val="84"/>
              </w:rPr>
              <w:t>10,461,075</w:t>
            </w:r>
          </w:p>
        </w:tc>
        <w:tc>
          <w:tcPr>
            <w:tcW w:w="860" w:type="dxa"/>
            <w:vAlign w:val="bottom"/>
            <w:gridSpan w:val="6"/>
          </w:tcPr>
          <w:p>
            <w:pPr>
              <w:jc w:val="right"/>
              <w:spacing w:after="0" w:line="184" w:lineRule="exact"/>
              <w:rPr>
                <w:sz w:val="20"/>
                <w:szCs w:val="20"/>
                <w:color w:val="auto"/>
              </w:rPr>
            </w:pPr>
            <w:r>
              <w:rPr>
                <w:rFonts w:ascii="Arial" w:cs="Arial" w:eastAsia="Arial" w:hAnsi="Arial"/>
                <w:sz w:val="18"/>
                <w:szCs w:val="18"/>
                <w:color w:val="auto"/>
                <w:w w:val="93"/>
              </w:rPr>
              <w:t>10,383,970</w:t>
            </w:r>
          </w:p>
        </w:tc>
      </w:tr>
      <w:tr>
        <w:trPr>
          <w:trHeight w:val="714"/>
        </w:trPr>
        <w:tc>
          <w:tcPr>
            <w:tcW w:w="510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w:t>
            </w:r>
          </w:p>
        </w:tc>
        <w:tc>
          <w:tcPr>
            <w:tcW w:w="3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r>
      <w:tr>
        <w:trPr>
          <w:trHeight w:val="222"/>
        </w:trPr>
        <w:tc>
          <w:tcPr>
            <w:tcW w:w="5100" w:type="dxa"/>
            <w:vAlign w:val="bottom"/>
          </w:tcPr>
          <w:p>
            <w:pPr>
              <w:ind w:left="140"/>
              <w:spacing w:after="0"/>
              <w:rPr>
                <w:sz w:val="20"/>
                <w:szCs w:val="20"/>
                <w:color w:val="auto"/>
              </w:rPr>
            </w:pPr>
            <w:r>
              <w:rPr>
                <w:rFonts w:ascii="Arial" w:cs="Arial" w:eastAsia="Arial" w:hAnsi="Arial"/>
                <w:sz w:val="18"/>
                <w:szCs w:val="18"/>
                <w:color w:val="auto"/>
              </w:rPr>
              <w:t>from calculation</w:t>
            </w:r>
          </w:p>
        </w:tc>
        <w:tc>
          <w:tcPr>
            <w:tcW w:w="1140" w:type="dxa"/>
            <w:vAlign w:val="bottom"/>
            <w:gridSpan w:val="7"/>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6"/>
          </w:tcPr>
          <w:p>
            <w:pPr>
              <w:jc w:val="right"/>
              <w:ind w:right="60"/>
              <w:spacing w:after="0"/>
              <w:rPr>
                <w:sz w:val="20"/>
                <w:szCs w:val="20"/>
                <w:color w:val="auto"/>
              </w:rPr>
            </w:pPr>
            <w:r>
              <w:rPr>
                <w:rFonts w:ascii="Arial" w:cs="Arial" w:eastAsia="Arial" w:hAnsi="Arial"/>
                <w:sz w:val="18"/>
                <w:szCs w:val="18"/>
                <w:color w:val="auto"/>
              </w:rPr>
              <w:t>12,500</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64,028</w:t>
            </w: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19,904</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jc w:val="both"/>
        <w:ind w:left="540"/>
        <w:spacing w:after="0" w:line="303" w:lineRule="auto"/>
        <w:rPr>
          <w:sz w:val="20"/>
          <w:szCs w:val="20"/>
          <w:color w:val="auto"/>
        </w:rPr>
      </w:pPr>
      <w:r>
        <w:rPr>
          <w:rFonts w:ascii="Arial" w:cs="Arial" w:eastAsia="Arial" w:hAnsi="Arial"/>
          <w:sz w:val="15"/>
          <w:szCs w:val="15"/>
          <w:color w:val="auto"/>
        </w:rPr>
        <w:t>In May 2014, the FASB issued new guidance on the recognition of revenue from contracts with customers. This guidance is presented in ASC Topic 606 (Revenue from Contracts with Customers). This new guidance will replace most existing revenue recognition guidance in U.S. GAAP when it becomes effective. Companies can use either the retrospective or cumulative effect transition method. This new guidance is effective for us on January 1, 2017.</w:t>
      </w:r>
    </w:p>
    <w:p>
      <w:pPr>
        <w:spacing w:after="0" w:line="1" w:lineRule="exact"/>
        <w:rPr>
          <w:sz w:val="20"/>
          <w:szCs w:val="20"/>
          <w:color w:val="auto"/>
        </w:rPr>
      </w:pPr>
    </w:p>
    <w:p>
      <w:pPr>
        <w:ind w:left="540" w:right="100"/>
        <w:spacing w:after="0" w:line="261" w:lineRule="auto"/>
        <w:rPr>
          <w:sz w:val="20"/>
          <w:szCs w:val="20"/>
          <w:color w:val="auto"/>
        </w:rPr>
      </w:pPr>
      <w:r>
        <w:rPr>
          <w:rFonts w:ascii="Arial" w:cs="Arial" w:eastAsia="Arial" w:hAnsi="Arial"/>
          <w:sz w:val="18"/>
          <w:szCs w:val="18"/>
          <w:color w:val="auto"/>
        </w:rPr>
        <w:t>Early application is not permitted. We have not yet selected a transition method and we are still evaluating the effect that this guidance will have on our consolidated financial statements and related disclosures.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91" w:lineRule="exact"/>
        <w:rPr>
          <w:sz w:val="20"/>
          <w:szCs w:val="20"/>
          <w:color w:val="auto"/>
        </w:rPr>
      </w:pPr>
    </w:p>
    <w:p>
      <w:pPr>
        <w:ind w:left="540" w:right="74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Inc. ("Thermonics") in January 2012.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All of our goodwill is allocated to our Thermal Products segment. There was no change in the amount of the carrying value of goodwill for the nine months ended September 30, 2014.</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provide further detail about our intangible assets as of September 30, 2014 and December 31, 2013:</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i w:val="1"/>
                <w:iCs w:val="1"/>
                <w:color w:val="auto"/>
                <w:w w:val="82"/>
              </w:rPr>
              <w:t>September 30, 2014</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8"/>
        </w:trPr>
        <w:tc>
          <w:tcPr>
            <w:tcW w:w="3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gridSpan w:val="4"/>
          </w:tcPr>
          <w:p>
            <w:pPr>
              <w:jc w:val="center"/>
              <w:ind w:right="7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5"/>
          </w:tcPr>
          <w:p>
            <w:pPr>
              <w:jc w:val="center"/>
              <w:ind w:right="14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500" w:type="dxa"/>
            <w:vAlign w:val="bottom"/>
          </w:tcPr>
          <w:p>
            <w:pPr>
              <w:spacing w:after="0"/>
              <w:rPr>
                <w:sz w:val="12"/>
                <w:szCs w:val="12"/>
                <w:color w:val="auto"/>
              </w:rPr>
            </w:pPr>
          </w:p>
        </w:tc>
        <w:tc>
          <w:tcPr>
            <w:tcW w:w="1080" w:type="dxa"/>
            <w:vAlign w:val="bottom"/>
            <w:gridSpan w:val="5"/>
          </w:tcPr>
          <w:p>
            <w:pPr>
              <w:jc w:val="center"/>
              <w:ind w:left="295"/>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4"/>
              </w:rPr>
              <w:t>Accumulated</w:t>
            </w:r>
          </w:p>
        </w:tc>
        <w:tc>
          <w:tcPr>
            <w:tcW w:w="64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4"/>
          </w:tcPr>
          <w:p>
            <w:pPr>
              <w:jc w:val="center"/>
              <w:ind w:right="72"/>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040" w:type="dxa"/>
            <w:vAlign w:val="bottom"/>
            <w:gridSpan w:val="5"/>
          </w:tcPr>
          <w:p>
            <w:pPr>
              <w:jc w:val="center"/>
              <w:ind w:right="60"/>
              <w:spacing w:after="0" w:line="146" w:lineRule="exact"/>
              <w:rPr>
                <w:sz w:val="20"/>
                <w:szCs w:val="20"/>
                <w:color w:val="auto"/>
              </w:rPr>
            </w:pPr>
            <w:r>
              <w:rPr>
                <w:rFonts w:ascii="Arial" w:cs="Arial" w:eastAsia="Arial" w:hAnsi="Arial"/>
                <w:sz w:val="14"/>
                <w:szCs w:val="14"/>
                <w:b w:val="1"/>
                <w:bCs w:val="1"/>
                <w:i w:val="1"/>
                <w:iCs w:val="1"/>
                <w:color w:val="auto"/>
                <w:w w:val="86"/>
              </w:rPr>
              <w:t>Amortization</w:t>
            </w:r>
          </w:p>
        </w:tc>
        <w:tc>
          <w:tcPr>
            <w:tcW w:w="60" w:type="dxa"/>
            <w:vAlign w:val="bottom"/>
          </w:tcPr>
          <w:p>
            <w:pPr>
              <w:spacing w:after="0"/>
              <w:rPr>
                <w:sz w:val="12"/>
                <w:szCs w:val="12"/>
                <w:color w:val="auto"/>
              </w:rPr>
            </w:pPr>
          </w:p>
        </w:tc>
        <w:tc>
          <w:tcPr>
            <w:tcW w:w="580" w:type="dxa"/>
            <w:vAlign w:val="bottom"/>
            <w:gridSpan w:val="5"/>
          </w:tcPr>
          <w:p>
            <w:pPr>
              <w:jc w:val="center"/>
              <w:ind w:right="14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5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459"/>
        </w:trPr>
        <w:tc>
          <w:tcPr>
            <w:tcW w:w="350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$1,480</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  927</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  553</w:t>
            </w:r>
          </w:p>
        </w:tc>
      </w:tr>
      <w:tr>
        <w:trPr>
          <w:trHeight w:val="459"/>
        </w:trPr>
        <w:tc>
          <w:tcPr>
            <w:tcW w:w="350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590</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254</w:t>
            </w:r>
          </w:p>
        </w:tc>
      </w:tr>
      <w:tr>
        <w:trPr>
          <w:trHeight w:val="459"/>
        </w:trPr>
        <w:tc>
          <w:tcPr>
            <w:tcW w:w="350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270</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108</w:t>
            </w:r>
          </w:p>
        </w:tc>
      </w:tr>
      <w:tr>
        <w:trPr>
          <w:trHeight w:val="459"/>
        </w:trPr>
        <w:tc>
          <w:tcPr>
            <w:tcW w:w="350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45</w:t>
            </w:r>
          </w:p>
        </w:tc>
      </w:tr>
      <w:tr>
        <w:trPr>
          <w:trHeight w:val="459"/>
        </w:trPr>
        <w:tc>
          <w:tcPr>
            <w:tcW w:w="350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70</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350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64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w:t>
            </w:r>
          </w:p>
        </w:tc>
        <w:tc>
          <w:tcPr>
            <w:tcW w:w="38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r>
      <w:tr>
        <w:trPr>
          <w:trHeight w:val="439"/>
        </w:trPr>
        <w:tc>
          <w:tcPr>
            <w:tcW w:w="350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2,598</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1,638</w:t>
            </w:r>
          </w:p>
        </w:tc>
        <w:tc>
          <w:tcPr>
            <w:tcW w:w="180" w:type="dxa"/>
            <w:vAlign w:val="bottom"/>
          </w:tcPr>
          <w:p>
            <w:pPr>
              <w:spacing w:after="0"/>
              <w:rPr>
                <w:sz w:val="24"/>
                <w:szCs w:val="24"/>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960</w:t>
            </w:r>
          </w:p>
        </w:tc>
      </w:tr>
      <w:tr>
        <w:trPr>
          <w:trHeight w:val="478"/>
        </w:trPr>
        <w:tc>
          <w:tcPr>
            <w:tcW w:w="35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bl>
    <w:p>
      <w:pPr>
        <w:sectPr>
          <w:pgSz w:w="11900" w:h="16841" w:orient="portrait"/>
          <w:cols w:equalWidth="0" w:num="1">
            <w:col w:w="11280"/>
          </w:cols>
          <w:pgMar w:left="240" w:top="195" w:right="379" w:bottom="0" w:gutter="0" w:footer="0" w:header="0"/>
        </w:sectPr>
      </w:pPr>
    </w:p>
    <w:bookmarkStart w:id="8" w:name="page9"/>
    <w:bookmarkEnd w:id="8"/>
    <w:p>
      <w:pPr>
        <w:spacing w:after="0" w:line="83"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500" w:type="dxa"/>
            <w:vAlign w:val="bottom"/>
          </w:tcPr>
          <w:p>
            <w:pPr>
              <w:ind w:left="80"/>
              <w:spacing w:after="0"/>
              <w:rPr>
                <w:sz w:val="20"/>
                <w:szCs w:val="20"/>
                <w:color w:val="auto"/>
              </w:rPr>
            </w:pPr>
            <w:r>
              <w:rPr>
                <w:rFonts w:ascii="Arial" w:cs="Arial" w:eastAsia="Arial" w:hAnsi="Arial"/>
                <w:sz w:val="18"/>
                <w:szCs w:val="18"/>
                <w:color w:val="auto"/>
              </w:rPr>
              <w:t>Sigma trademark</w:t>
            </w:r>
          </w:p>
        </w:tc>
        <w:tc>
          <w:tcPr>
            <w:tcW w:w="640" w:type="dxa"/>
            <w:vAlign w:val="bottom"/>
            <w:gridSpan w:val="2"/>
          </w:tcPr>
          <w:p>
            <w:pPr>
              <w:spacing w:after="0"/>
              <w:rPr>
                <w:sz w:val="17"/>
                <w:szCs w:val="17"/>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510</w:t>
            </w:r>
          </w:p>
        </w:tc>
        <w:tc>
          <w:tcPr>
            <w:tcW w:w="320" w:type="dxa"/>
            <w:vAlign w:val="bottom"/>
            <w:gridSpan w:val="2"/>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gridSpan w:val="3"/>
          </w:tcPr>
          <w:p>
            <w:pPr>
              <w:spacing w:after="0"/>
              <w:rPr>
                <w:sz w:val="17"/>
                <w:szCs w:val="17"/>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35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0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1,638</w:t>
            </w:r>
          </w:p>
        </w:tc>
        <w:tc>
          <w:tcPr>
            <w:tcW w:w="180" w:type="dxa"/>
            <w:vAlign w:val="bottom"/>
          </w:tcPr>
          <w:p>
            <w:pPr>
              <w:spacing w:after="0"/>
              <w:rPr>
                <w:sz w:val="24"/>
                <w:szCs w:val="24"/>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1,470</w:t>
            </w:r>
          </w:p>
        </w:tc>
      </w:tr>
      <w:tr>
        <w:trPr>
          <w:trHeight w:val="20"/>
        </w:trPr>
        <w:tc>
          <w:tcPr>
            <w:tcW w:w="3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642"/>
        </w:trPr>
        <w:tc>
          <w:tcPr>
            <w:tcW w:w="3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i w:val="1"/>
                <w:iCs w:val="1"/>
                <w:color w:val="auto"/>
                <w:w w:val="85"/>
              </w:rPr>
              <w:t>December 31, 2013</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58"/>
        </w:trPr>
        <w:tc>
          <w:tcPr>
            <w:tcW w:w="3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gridSpan w:val="4"/>
          </w:tcPr>
          <w:p>
            <w:pPr>
              <w:jc w:val="center"/>
              <w:ind w:right="7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i w:val="1"/>
                <w:iCs w:val="1"/>
                <w:color w:val="auto"/>
                <w:w w:val="70"/>
              </w:rPr>
              <w:t>Net</w:t>
            </w:r>
          </w:p>
        </w:tc>
      </w:tr>
      <w:tr>
        <w:trPr>
          <w:trHeight w:val="149"/>
        </w:trPr>
        <w:tc>
          <w:tcPr>
            <w:tcW w:w="3500" w:type="dxa"/>
            <w:vAlign w:val="bottom"/>
          </w:tcPr>
          <w:p>
            <w:pPr>
              <w:spacing w:after="0"/>
              <w:rPr>
                <w:sz w:val="12"/>
                <w:szCs w:val="12"/>
                <w:color w:val="auto"/>
              </w:rPr>
            </w:pPr>
          </w:p>
        </w:tc>
        <w:tc>
          <w:tcPr>
            <w:tcW w:w="1080" w:type="dxa"/>
            <w:vAlign w:val="bottom"/>
            <w:gridSpan w:val="5"/>
          </w:tcPr>
          <w:p>
            <w:pPr>
              <w:jc w:val="center"/>
              <w:ind w:left="294"/>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4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4"/>
              </w:rPr>
              <w:t>Accumulated</w:t>
            </w:r>
          </w:p>
        </w:tc>
        <w:tc>
          <w:tcPr>
            <w:tcW w:w="6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4"/>
          </w:tcPr>
          <w:p>
            <w:pPr>
              <w:jc w:val="center"/>
              <w:ind w:right="72"/>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040" w:type="dxa"/>
            <w:vAlign w:val="bottom"/>
            <w:gridSpan w:val="6"/>
          </w:tcPr>
          <w:p>
            <w:pPr>
              <w:jc w:val="center"/>
              <w:ind w:right="60"/>
              <w:spacing w:after="0" w:line="146" w:lineRule="exact"/>
              <w:rPr>
                <w:sz w:val="20"/>
                <w:szCs w:val="20"/>
                <w:color w:val="auto"/>
              </w:rPr>
            </w:pPr>
            <w:r>
              <w:rPr>
                <w:rFonts w:ascii="Arial" w:cs="Arial" w:eastAsia="Arial" w:hAnsi="Arial"/>
                <w:sz w:val="14"/>
                <w:szCs w:val="14"/>
                <w:b w:val="1"/>
                <w:bCs w:val="1"/>
                <w:i w:val="1"/>
                <w:iCs w:val="1"/>
                <w:color w:val="auto"/>
                <w:w w:val="86"/>
              </w:rPr>
              <w:t>Amortization</w:t>
            </w:r>
          </w:p>
        </w:tc>
        <w:tc>
          <w:tcPr>
            <w:tcW w:w="60" w:type="dxa"/>
            <w:vAlign w:val="bottom"/>
          </w:tcPr>
          <w:p>
            <w:pPr>
              <w:spacing w:after="0"/>
              <w:rPr>
                <w:sz w:val="12"/>
                <w:szCs w:val="12"/>
                <w:color w:val="auto"/>
              </w:rPr>
            </w:pPr>
          </w:p>
        </w:tc>
        <w:tc>
          <w:tcPr>
            <w:tcW w:w="580" w:type="dxa"/>
            <w:vAlign w:val="bottom"/>
            <w:gridSpan w:val="4"/>
          </w:tcPr>
          <w:p>
            <w:pPr>
              <w:jc w:val="center"/>
              <w:ind w:right="14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5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459"/>
        </w:trPr>
        <w:tc>
          <w:tcPr>
            <w:tcW w:w="350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$1,480</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  725</w:t>
            </w:r>
          </w:p>
        </w:tc>
        <w:tc>
          <w:tcPr>
            <w:tcW w:w="180" w:type="dxa"/>
            <w:vAlign w:val="bottom"/>
          </w:tcPr>
          <w:p>
            <w:pPr>
              <w:spacing w:after="0"/>
              <w:rPr>
                <w:sz w:val="24"/>
                <w:szCs w:val="24"/>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  755</w:t>
            </w:r>
          </w:p>
        </w:tc>
      </w:tr>
      <w:tr>
        <w:trPr>
          <w:trHeight w:val="459"/>
        </w:trPr>
        <w:tc>
          <w:tcPr>
            <w:tcW w:w="350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590</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24"/>
                <w:szCs w:val="24"/>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283</w:t>
            </w:r>
          </w:p>
        </w:tc>
      </w:tr>
      <w:tr>
        <w:trPr>
          <w:trHeight w:val="459"/>
        </w:trPr>
        <w:tc>
          <w:tcPr>
            <w:tcW w:w="350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270</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4"/>
                <w:szCs w:val="24"/>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128</w:t>
            </w:r>
          </w:p>
        </w:tc>
      </w:tr>
      <w:tr>
        <w:trPr>
          <w:trHeight w:val="459"/>
        </w:trPr>
        <w:tc>
          <w:tcPr>
            <w:tcW w:w="350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4"/>
                <w:szCs w:val="24"/>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72</w:t>
            </w:r>
          </w:p>
        </w:tc>
      </w:tr>
      <w:tr>
        <w:trPr>
          <w:trHeight w:val="459"/>
        </w:trPr>
        <w:tc>
          <w:tcPr>
            <w:tcW w:w="350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70</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350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64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w:t>
            </w:r>
          </w:p>
        </w:tc>
        <w:tc>
          <w:tcPr>
            <w:tcW w:w="420" w:type="dxa"/>
            <w:vAlign w:val="bottom"/>
            <w:gridSpan w:val="3"/>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r>
      <w:tr>
        <w:trPr>
          <w:trHeight w:val="439"/>
        </w:trPr>
        <w:tc>
          <w:tcPr>
            <w:tcW w:w="350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2,598</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1,360</w:t>
            </w:r>
          </w:p>
        </w:tc>
        <w:tc>
          <w:tcPr>
            <w:tcW w:w="180" w:type="dxa"/>
            <w:vAlign w:val="bottom"/>
          </w:tcPr>
          <w:p>
            <w:pPr>
              <w:spacing w:after="0"/>
              <w:rPr>
                <w:sz w:val="24"/>
                <w:szCs w:val="24"/>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1,238</w:t>
            </w:r>
          </w:p>
        </w:tc>
      </w:tr>
      <w:tr>
        <w:trPr>
          <w:trHeight w:val="478"/>
        </w:trPr>
        <w:tc>
          <w:tcPr>
            <w:tcW w:w="35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r>
        <w:trPr>
          <w:trHeight w:val="421"/>
        </w:trPr>
        <w:tc>
          <w:tcPr>
            <w:tcW w:w="3500" w:type="dxa"/>
            <w:vAlign w:val="bottom"/>
          </w:tcPr>
          <w:p>
            <w:pPr>
              <w:ind w:left="80"/>
              <w:spacing w:after="0"/>
              <w:rPr>
                <w:sz w:val="20"/>
                <w:szCs w:val="20"/>
                <w:color w:val="auto"/>
              </w:rPr>
            </w:pPr>
            <w:r>
              <w:rPr>
                <w:rFonts w:ascii="Arial" w:cs="Arial" w:eastAsia="Arial" w:hAnsi="Arial"/>
                <w:sz w:val="18"/>
                <w:szCs w:val="18"/>
                <w:color w:val="auto"/>
              </w:rPr>
              <w:t>Sigma trademark</w:t>
            </w:r>
          </w:p>
        </w:tc>
        <w:tc>
          <w:tcPr>
            <w:tcW w:w="64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510</w:t>
            </w:r>
          </w:p>
        </w:tc>
        <w:tc>
          <w:tcPr>
            <w:tcW w:w="420" w:type="dxa"/>
            <w:vAlign w:val="bottom"/>
            <w:gridSpan w:val="3"/>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35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0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1,360</w:t>
            </w:r>
          </w:p>
        </w:tc>
        <w:tc>
          <w:tcPr>
            <w:tcW w:w="180" w:type="dxa"/>
            <w:vAlign w:val="bottom"/>
          </w:tcPr>
          <w:p>
            <w:pPr>
              <w:spacing w:after="0"/>
              <w:rPr>
                <w:sz w:val="24"/>
                <w:szCs w:val="24"/>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1,748</w:t>
            </w:r>
          </w:p>
        </w:tc>
      </w:tr>
      <w:tr>
        <w:trPr>
          <w:trHeight w:val="20"/>
        </w:trPr>
        <w:tc>
          <w:tcPr>
            <w:tcW w:w="3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both"/>
        <w:ind w:left="540" w:right="120"/>
        <w:spacing w:after="0" w:line="259"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changes in the amount of the carrying value of intangible assets for the nine months ended September 30, 2014:</w:t>
      </w:r>
    </w:p>
    <w:p>
      <w:pPr>
        <w:spacing w:after="0" w:line="262"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Balance - January 1, 2014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$1,748</w:t>
            </w:r>
          </w:p>
        </w:tc>
        <w:tc>
          <w:tcPr>
            <w:tcW w:w="40" w:type="dxa"/>
            <w:vAlign w:val="bottom"/>
          </w:tcPr>
          <w:p>
            <w:pPr>
              <w:spacing w:after="0"/>
              <w:rPr>
                <w:sz w:val="19"/>
                <w:szCs w:val="19"/>
                <w:color w:val="auto"/>
              </w:rPr>
            </w:pPr>
          </w:p>
        </w:tc>
      </w:tr>
      <w:tr>
        <w:trPr>
          <w:trHeight w:val="421"/>
        </w:trPr>
        <w:tc>
          <w:tcPr>
            <w:tcW w:w="4040" w:type="dxa"/>
            <w:vAlign w:val="bottom"/>
          </w:tcPr>
          <w:p>
            <w:pPr>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(278)</w:t>
            </w: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040" w:type="dxa"/>
            <w:vAlign w:val="bottom"/>
          </w:tcPr>
          <w:p>
            <w:pPr>
              <w:spacing w:after="0"/>
              <w:rPr>
                <w:sz w:val="20"/>
                <w:szCs w:val="20"/>
                <w:color w:val="auto"/>
              </w:rPr>
            </w:pPr>
            <w:r>
              <w:rPr>
                <w:rFonts w:ascii="Arial" w:cs="Arial" w:eastAsia="Arial" w:hAnsi="Arial"/>
                <w:sz w:val="18"/>
                <w:szCs w:val="18"/>
                <w:color w:val="auto"/>
              </w:rPr>
              <w:t>Balance - September 30, 2014</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1,470</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GOODWILL AND INTANGIBLE ASSETS </w:t>
      </w:r>
      <w:r>
        <w:rPr>
          <w:rFonts w:ascii="Arial" w:cs="Arial" w:eastAsia="Arial" w:hAnsi="Arial"/>
          <w:sz w:val="18"/>
          <w:szCs w:val="18"/>
          <w:color w:val="auto"/>
        </w:rPr>
        <w:t>(Continued)</w:t>
      </w:r>
    </w:p>
    <w:p>
      <w:pPr>
        <w:spacing w:after="0" w:line="19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Total amortization expense for the nine months ended September 30, 2014 and 2013 was $278 and $349, respectively. The following table sets forth the estimated annual amortization expense for our finite-lived intangible assets for each of the next five years:</w:t>
      </w:r>
    </w:p>
    <w:p>
      <w:pPr>
        <w:spacing w:after="0" w:line="159" w:lineRule="exact"/>
        <w:rPr>
          <w:sz w:val="20"/>
          <w:szCs w:val="20"/>
          <w:color w:val="auto"/>
        </w:rPr>
      </w:pPr>
    </w:p>
    <w:tbl>
      <w:tblPr>
        <w:tblLayout w:type="fixed"/>
        <w:tblInd w:w="2180" w:type="dxa"/>
        <w:tblCellMar>
          <w:top w:w="0" w:type="dxa"/>
          <w:left w:w="0" w:type="dxa"/>
          <w:bottom w:w="0" w:type="dxa"/>
          <w:right w:w="0" w:type="dxa"/>
        </w:tblCellMar>
      </w:tblPr>
      <w:tr>
        <w:trPr>
          <w:trHeight w:val="222"/>
        </w:trPr>
        <w:tc>
          <w:tcPr>
            <w:tcW w:w="1920" w:type="dxa"/>
            <w:vAlign w:val="bottom"/>
          </w:tcPr>
          <w:p>
            <w:pPr>
              <w:spacing w:after="0"/>
              <w:rPr>
                <w:sz w:val="20"/>
                <w:szCs w:val="20"/>
                <w:color w:val="auto"/>
              </w:rPr>
            </w:pPr>
            <w:r>
              <w:rPr>
                <w:rFonts w:ascii="Arial" w:cs="Arial" w:eastAsia="Arial" w:hAnsi="Arial"/>
                <w:sz w:val="18"/>
                <w:szCs w:val="18"/>
                <w:color w:val="auto"/>
              </w:rPr>
              <w:t>2014 (remainder)</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59"/>
        </w:trPr>
        <w:tc>
          <w:tcPr>
            <w:tcW w:w="1920" w:type="dxa"/>
            <w:vAlign w:val="bottom"/>
          </w:tcPr>
          <w:p>
            <w:pPr>
              <w:spacing w:after="0"/>
              <w:rPr>
                <w:sz w:val="20"/>
                <w:szCs w:val="20"/>
                <w:color w:val="auto"/>
              </w:rPr>
            </w:pPr>
            <w:r>
              <w:rPr>
                <w:rFonts w:ascii="Arial" w:cs="Arial" w:eastAsia="Arial" w:hAnsi="Arial"/>
                <w:sz w:val="18"/>
                <w:szCs w:val="18"/>
                <w:color w:val="auto"/>
              </w:rPr>
              <w:t>2015</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289</w:t>
            </w:r>
          </w:p>
        </w:tc>
      </w:tr>
      <w:tr>
        <w:trPr>
          <w:trHeight w:val="459"/>
        </w:trPr>
        <w:tc>
          <w:tcPr>
            <w:tcW w:w="1920" w:type="dxa"/>
            <w:vAlign w:val="bottom"/>
          </w:tcPr>
          <w:p>
            <w:pPr>
              <w:spacing w:after="0"/>
              <w:rPr>
                <w:sz w:val="20"/>
                <w:szCs w:val="20"/>
                <w:color w:val="auto"/>
              </w:rPr>
            </w:pPr>
            <w:r>
              <w:rPr>
                <w:rFonts w:ascii="Arial" w:cs="Arial" w:eastAsia="Arial" w:hAnsi="Arial"/>
                <w:sz w:val="18"/>
                <w:szCs w:val="18"/>
                <w:color w:val="auto"/>
              </w:rPr>
              <w:t>2016</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229</w:t>
            </w:r>
          </w:p>
        </w:tc>
      </w:tr>
      <w:tr>
        <w:trPr>
          <w:trHeight w:val="459"/>
        </w:trPr>
        <w:tc>
          <w:tcPr>
            <w:tcW w:w="1920" w:type="dxa"/>
            <w:vAlign w:val="bottom"/>
          </w:tcPr>
          <w:p>
            <w:pPr>
              <w:spacing w:after="0"/>
              <w:rPr>
                <w:sz w:val="20"/>
                <w:szCs w:val="20"/>
                <w:color w:val="auto"/>
              </w:rPr>
            </w:pPr>
            <w:r>
              <w:rPr>
                <w:rFonts w:ascii="Arial" w:cs="Arial" w:eastAsia="Arial" w:hAnsi="Arial"/>
                <w:sz w:val="18"/>
                <w:szCs w:val="18"/>
                <w:color w:val="auto"/>
              </w:rPr>
              <w:t>2017</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212</w:t>
            </w:r>
          </w:p>
        </w:tc>
      </w:tr>
      <w:tr>
        <w:trPr>
          <w:trHeight w:val="459"/>
        </w:trPr>
        <w:tc>
          <w:tcPr>
            <w:tcW w:w="1920" w:type="dxa"/>
            <w:vAlign w:val="bottom"/>
          </w:tcPr>
          <w:p>
            <w:pPr>
              <w:spacing w:after="0"/>
              <w:rPr>
                <w:sz w:val="20"/>
                <w:szCs w:val="20"/>
                <w:color w:val="auto"/>
              </w:rPr>
            </w:pPr>
            <w:r>
              <w:rPr>
                <w:rFonts w:ascii="Arial" w:cs="Arial" w:eastAsia="Arial" w:hAnsi="Arial"/>
                <w:sz w:val="18"/>
                <w:szCs w:val="18"/>
                <w:color w:val="auto"/>
              </w:rPr>
              <w:t>2018</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MAJOR CUSTOMERS</w:t>
      </w:r>
    </w:p>
    <w:p>
      <w:pPr>
        <w:spacing w:after="0" w:line="191" w:lineRule="exact"/>
        <w:rPr>
          <w:sz w:val="20"/>
          <w:szCs w:val="20"/>
          <w:color w:val="auto"/>
        </w:rPr>
      </w:pPr>
    </w:p>
    <w:p>
      <w:pPr>
        <w:ind w:left="540"/>
        <w:spacing w:after="0" w:line="370" w:lineRule="auto"/>
        <w:rPr>
          <w:sz w:val="20"/>
          <w:szCs w:val="20"/>
          <w:color w:val="auto"/>
        </w:rPr>
      </w:pPr>
      <w:r>
        <w:rPr>
          <w:rFonts w:ascii="Arial" w:cs="Arial" w:eastAsia="Arial" w:hAnsi="Arial"/>
          <w:sz w:val="15"/>
          <w:szCs w:val="15"/>
          <w:color w:val="auto"/>
        </w:rPr>
        <w:t>During the nine months ended September 30, 2014 and 2013, Texas Instruments Incorporated accounted for 11% and 12%, respectively, of our consolidated net revenues. While all of our operating segments sold products to this customer, these revenues were primarily generated by our Mechanical</w:t>
      </w:r>
    </w:p>
    <w:p>
      <w:pPr>
        <w:sectPr>
          <w:pgSz w:w="11900" w:h="16921" w:orient="portrait"/>
          <w:cols w:equalWidth="0" w:num="1">
            <w:col w:w="11400"/>
          </w:cols>
          <w:pgMar w:left="240" w:top="135" w:right="259" w:bottom="0" w:gutter="0" w:footer="0" w:header="0"/>
        </w:sectPr>
      </w:pPr>
    </w:p>
    <w:bookmarkStart w:id="9" w:name="page10"/>
    <w:bookmarkEnd w:id="9"/>
    <w:p>
      <w:pPr>
        <w:jc w:val="both"/>
        <w:ind w:left="540" w:right="200"/>
        <w:spacing w:after="0" w:line="306" w:lineRule="auto"/>
        <w:rPr>
          <w:sz w:val="20"/>
          <w:szCs w:val="20"/>
          <w:color w:val="auto"/>
        </w:rPr>
      </w:pPr>
      <w:r>
        <w:rPr>
          <w:rFonts w:ascii="Arial" w:cs="Arial" w:eastAsia="Arial" w:hAnsi="Arial"/>
          <w:sz w:val="16"/>
          <w:szCs w:val="16"/>
          <w:color w:val="auto"/>
        </w:rPr>
        <w:t>Products and our Electrical Products segments. During the nine months ended September 30, 2014, Hakuto Co., Ltd., one of our distributors, accounted for 11% of our consolidated net revenues. These revenues were generated by our Thermal Products segment. No other customers accounted for 10% or more of our consolidated net revenues during the nine months ended September 30, 2014 and 2013.</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September 30, 2014 and December 31, 2013 were comprised of the following:</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440" w:type="dxa"/>
            <w:vAlign w:val="bottom"/>
            <w:gridSpan w:val="4"/>
          </w:tcPr>
          <w:p>
            <w:pPr>
              <w:ind w:left="680"/>
              <w:spacing w:after="0"/>
              <w:rPr>
                <w:sz w:val="20"/>
                <w:szCs w:val="20"/>
                <w:color w:val="auto"/>
              </w:rPr>
            </w:pPr>
            <w:r>
              <w:rPr>
                <w:rFonts w:ascii="Arial" w:cs="Arial" w:eastAsia="Arial" w:hAnsi="Arial"/>
                <w:sz w:val="14"/>
                <w:szCs w:val="14"/>
                <w:b w:val="1"/>
                <w:bCs w:val="1"/>
                <w:i w:val="1"/>
                <w:iCs w:val="1"/>
                <w:color w:val="auto"/>
              </w:rPr>
              <w:t>Sept. 30,</w:t>
            </w:r>
          </w:p>
        </w:tc>
        <w:tc>
          <w:tcPr>
            <w:tcW w:w="54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72"/>
              <w:spacing w:after="0" w:line="146" w:lineRule="exact"/>
              <w:rPr>
                <w:sz w:val="20"/>
                <w:szCs w:val="20"/>
                <w:color w:val="auto"/>
              </w:rPr>
            </w:pPr>
            <w:r>
              <w:rPr>
                <w:rFonts w:ascii="Arial" w:cs="Arial" w:eastAsia="Arial" w:hAnsi="Arial"/>
                <w:sz w:val="14"/>
                <w:szCs w:val="14"/>
                <w:b w:val="1"/>
                <w:bCs w:val="1"/>
                <w:i w:val="1"/>
                <w:iCs w:val="1"/>
                <w:color w:val="auto"/>
              </w:rPr>
              <w:t>2014</w:t>
            </w:r>
          </w:p>
        </w:tc>
        <w:tc>
          <w:tcPr>
            <w:tcW w:w="2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2013</w:t>
            </w:r>
          </w:p>
        </w:tc>
        <w:tc>
          <w:tcPr>
            <w:tcW w:w="60" w:type="dxa"/>
            <w:vAlign w:val="bottom"/>
          </w:tcPr>
          <w:p>
            <w:pPr>
              <w:spacing w:after="0"/>
              <w:rPr>
                <w:sz w:val="12"/>
                <w:szCs w:val="12"/>
                <w:color w:val="auto"/>
              </w:rPr>
            </w:pPr>
          </w:p>
        </w:tc>
      </w:tr>
      <w:tr>
        <w:trPr>
          <w:trHeight w:val="235"/>
        </w:trPr>
        <w:tc>
          <w:tcPr>
            <w:tcW w:w="2780" w:type="dxa"/>
            <w:vAlign w:val="bottom"/>
          </w:tcPr>
          <w:p>
            <w:pPr>
              <w:spacing w:after="0"/>
              <w:rPr>
                <w:sz w:val="20"/>
                <w:szCs w:val="20"/>
                <w:color w:val="auto"/>
              </w:rPr>
            </w:pPr>
            <w:r>
              <w:rPr>
                <w:rFonts w:ascii="Arial" w:cs="Arial" w:eastAsia="Arial" w:hAnsi="Arial"/>
                <w:sz w:val="18"/>
                <w:szCs w:val="18"/>
                <w:color w:val="auto"/>
              </w:rPr>
              <w:t>Raw materials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$2,738</w:t>
            </w:r>
          </w:p>
        </w:tc>
        <w:tc>
          <w:tcPr>
            <w:tcW w:w="2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$2,753</w:t>
            </w: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Work in process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222</w:t>
            </w: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94</w:t>
            </w:r>
          </w:p>
        </w:tc>
      </w:tr>
      <w:tr>
        <w:trPr>
          <w:trHeight w:val="421"/>
        </w:trPr>
        <w:tc>
          <w:tcPr>
            <w:tcW w:w="2780" w:type="dxa"/>
            <w:vAlign w:val="bottom"/>
          </w:tcPr>
          <w:p>
            <w:pPr>
              <w:spacing w:after="0"/>
              <w:rPr>
                <w:sz w:val="20"/>
                <w:szCs w:val="20"/>
                <w:color w:val="auto"/>
              </w:rPr>
            </w:pPr>
            <w:r>
              <w:rPr>
                <w:rFonts w:ascii="Arial" w:cs="Arial" w:eastAsia="Arial" w:hAnsi="Arial"/>
                <w:sz w:val="18"/>
                <w:szCs w:val="18"/>
                <w:color w:val="auto"/>
              </w:rPr>
              <w:t>Finished goods</w:t>
            </w:r>
          </w:p>
        </w:tc>
        <w:tc>
          <w:tcPr>
            <w:tcW w:w="78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174</w:t>
            </w:r>
          </w:p>
        </w:tc>
      </w:tr>
      <w:tr>
        <w:trPr>
          <w:trHeight w:val="439"/>
        </w:trPr>
        <w:tc>
          <w:tcPr>
            <w:tcW w:w="278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3,786</w:t>
            </w:r>
          </w:p>
        </w:tc>
        <w:tc>
          <w:tcPr>
            <w:tcW w:w="2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3,243</w:t>
            </w:r>
          </w:p>
        </w:tc>
      </w:tr>
      <w:tr>
        <w:trPr>
          <w:trHeight w:val="20"/>
        </w:trPr>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 The terms of our leases require us to renew these letters of credit at least 30 days prior to their expiration dates for successive terms of not less than one year until lease expiration. Our outstanding letters of credit at September 30, 2014 and December 31, 2013 consisted of the following:</w:t>
      </w:r>
    </w:p>
    <w:p>
      <w:pPr>
        <w:spacing w:after="0" w:line="15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9"/>
          </w:tcPr>
          <w:p>
            <w:pPr>
              <w:jc w:val="right"/>
              <w:ind w:right="180"/>
              <w:spacing w:after="0"/>
              <w:rPr>
                <w:sz w:val="20"/>
                <w:szCs w:val="20"/>
                <w:color w:val="auto"/>
              </w:rPr>
            </w:pPr>
            <w:r>
              <w:rPr>
                <w:rFonts w:ascii="Arial" w:cs="Arial" w:eastAsia="Arial" w:hAnsi="Arial"/>
                <w:sz w:val="14"/>
                <w:szCs w:val="14"/>
                <w:b w:val="1"/>
                <w:bCs w:val="1"/>
                <w:i w:val="1"/>
                <w:iCs w:val="1"/>
                <w:color w:val="auto"/>
                <w:w w:val="86"/>
              </w:rPr>
              <w:t>Letters of Credit</w:t>
            </w: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i w:val="1"/>
                <w:iCs w:val="1"/>
                <w:color w:val="auto"/>
                <w:w w:val="88"/>
              </w:rPr>
              <w:t>L/C</w:t>
            </w:r>
          </w:p>
        </w:tc>
        <w:tc>
          <w:tcPr>
            <w:tcW w:w="120" w:type="dxa"/>
            <w:vAlign w:val="bottom"/>
          </w:tcPr>
          <w:p>
            <w:pPr>
              <w:spacing w:after="0"/>
              <w:rPr>
                <w:sz w:val="12"/>
                <w:szCs w:val="12"/>
                <w:color w:val="auto"/>
              </w:rPr>
            </w:pPr>
          </w:p>
        </w:tc>
        <w:tc>
          <w:tcPr>
            <w:tcW w:w="78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i w:val="1"/>
                <w:iCs w:val="1"/>
                <w:color w:val="auto"/>
                <w:w w:val="80"/>
              </w:rPr>
              <w:t>Lease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10"/>
          </w:tcPr>
          <w:p>
            <w:pPr>
              <w:jc w:val="right"/>
              <w:ind w:right="60"/>
              <w:spacing w:after="0" w:line="146" w:lineRule="exact"/>
              <w:rPr>
                <w:sz w:val="20"/>
                <w:szCs w:val="20"/>
                <w:color w:val="auto"/>
              </w:rPr>
            </w:pPr>
            <w:r>
              <w:rPr>
                <w:rFonts w:ascii="Arial" w:cs="Arial" w:eastAsia="Arial" w:hAnsi="Arial"/>
                <w:sz w:val="14"/>
                <w:szCs w:val="14"/>
                <w:b w:val="1"/>
                <w:bCs w:val="1"/>
                <w:i w:val="1"/>
                <w:iCs w:val="1"/>
                <w:color w:val="auto"/>
                <w:w w:val="83"/>
              </w:rPr>
              <w:t>Amount Outstanding</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Facility</w:t>
            </w: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80" w:type="dxa"/>
            <w:vAlign w:val="bottom"/>
            <w:gridSpan w:val="2"/>
            <w:vMerge w:val="continue"/>
          </w:tcPr>
          <w:p>
            <w:pPr>
              <w:spacing w:after="0"/>
              <w:rPr>
                <w:sz w:val="13"/>
                <w:szCs w:val="13"/>
                <w:color w:val="auto"/>
              </w:rPr>
            </w:pPr>
          </w:p>
        </w:tc>
        <w:tc>
          <w:tcPr>
            <w:tcW w:w="2080" w:type="dxa"/>
            <w:vAlign w:val="bottom"/>
            <w:gridSpan w:val="3"/>
            <w:vMerge w:val="restart"/>
          </w:tcPr>
          <w:p>
            <w:pPr>
              <w:jc w:val="center"/>
              <w:ind w:left="919"/>
              <w:spacing w:after="0"/>
              <w:rPr>
                <w:sz w:val="20"/>
                <w:szCs w:val="20"/>
                <w:color w:val="auto"/>
              </w:rPr>
            </w:pPr>
            <w:r>
              <w:rPr>
                <w:rFonts w:ascii="Arial" w:cs="Arial" w:eastAsia="Arial" w:hAnsi="Arial"/>
                <w:sz w:val="14"/>
                <w:szCs w:val="14"/>
                <w:b w:val="1"/>
                <w:bCs w:val="1"/>
                <w:i w:val="1"/>
                <w:iCs w:val="1"/>
                <w:color w:val="auto"/>
                <w:w w:val="90"/>
              </w:rPr>
              <w:t>Original L/C</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i w:val="1"/>
                <w:iCs w:val="1"/>
                <w:color w:val="auto"/>
                <w:w w:val="87"/>
              </w:rPr>
              <w:t>Expiration</w:t>
            </w: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i w:val="1"/>
                <w:iCs w:val="1"/>
                <w:color w:val="auto"/>
              </w:rPr>
              <w:t>Expiration</w:t>
            </w:r>
          </w:p>
        </w:tc>
        <w:tc>
          <w:tcPr>
            <w:tcW w:w="580" w:type="dxa"/>
            <w:vAlign w:val="bottom"/>
            <w:gridSpan w:val="6"/>
            <w:vMerge w:val="restart"/>
          </w:tcPr>
          <w:p>
            <w:pPr>
              <w:jc w:val="center"/>
              <w:spacing w:after="0"/>
              <w:rPr>
                <w:sz w:val="20"/>
                <w:szCs w:val="20"/>
                <w:color w:val="auto"/>
              </w:rPr>
            </w:pPr>
            <w:r>
              <w:rPr>
                <w:rFonts w:ascii="Arial" w:cs="Arial" w:eastAsia="Arial" w:hAnsi="Arial"/>
                <w:sz w:val="14"/>
                <w:szCs w:val="14"/>
                <w:b w:val="1"/>
                <w:bCs w:val="1"/>
                <w:i w:val="1"/>
                <w:iCs w:val="1"/>
                <w:color w:val="auto"/>
                <w:w w:val="83"/>
              </w:rPr>
              <w:t>Sept. 30,</w:t>
            </w:r>
          </w:p>
        </w:tc>
        <w:tc>
          <w:tcPr>
            <w:tcW w:w="780" w:type="dxa"/>
            <w:vAlign w:val="bottom"/>
            <w:gridSpan w:val="6"/>
            <w:vMerge w:val="restart"/>
          </w:tcPr>
          <w:p>
            <w:pPr>
              <w:jc w:val="right"/>
              <w:ind w:right="20"/>
              <w:spacing w:after="0"/>
              <w:rPr>
                <w:sz w:val="20"/>
                <w:szCs w:val="20"/>
                <w:color w:val="auto"/>
              </w:rPr>
            </w:pPr>
            <w:r>
              <w:rPr>
                <w:rFonts w:ascii="Arial" w:cs="Arial" w:eastAsia="Arial" w:hAnsi="Arial"/>
                <w:sz w:val="14"/>
                <w:szCs w:val="14"/>
                <w:b w:val="1"/>
                <w:bCs w:val="1"/>
                <w:i w:val="1"/>
                <w:iCs w:val="1"/>
                <w:color w:val="auto"/>
              </w:rPr>
              <w:t>Dec. 31,</w:t>
            </w:r>
          </w:p>
        </w:tc>
        <w:tc>
          <w:tcPr>
            <w:tcW w:w="0" w:type="dxa"/>
            <w:vAlign w:val="bottom"/>
          </w:tcPr>
          <w:p>
            <w:pPr>
              <w:spacing w:after="0"/>
              <w:rPr>
                <w:sz w:val="1"/>
                <w:szCs w:val="1"/>
                <w:color w:val="auto"/>
              </w:rPr>
            </w:pPr>
          </w:p>
        </w:tc>
      </w:tr>
      <w:tr>
        <w:trPr>
          <w:trHeight w:val="50"/>
        </w:trPr>
        <w:tc>
          <w:tcPr>
            <w:tcW w:w="420" w:type="dxa"/>
            <w:vAlign w:val="bottom"/>
            <w:tcBorders>
              <w:top w:val="single" w:sz="8" w:color="auto"/>
            </w:tcBorders>
          </w:tcPr>
          <w:p>
            <w:pPr>
              <w:spacing w:after="0"/>
              <w:rPr>
                <w:sz w:val="4"/>
                <w:szCs w:val="4"/>
                <w:color w:val="auto"/>
              </w:rPr>
            </w:pPr>
          </w:p>
        </w:tc>
        <w:tc>
          <w:tcPr>
            <w:tcW w:w="1860" w:type="dxa"/>
            <w:vAlign w:val="bottom"/>
          </w:tcPr>
          <w:p>
            <w:pPr>
              <w:spacing w:after="0"/>
              <w:rPr>
                <w:sz w:val="4"/>
                <w:szCs w:val="4"/>
                <w:color w:val="auto"/>
              </w:rPr>
            </w:pPr>
          </w:p>
        </w:tc>
        <w:tc>
          <w:tcPr>
            <w:tcW w:w="2080" w:type="dxa"/>
            <w:vAlign w:val="bottom"/>
            <w:gridSpan w:val="3"/>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580" w:type="dxa"/>
            <w:vAlign w:val="bottom"/>
            <w:gridSpan w:val="6"/>
            <w:vMerge w:val="continue"/>
          </w:tcPr>
          <w:p>
            <w:pPr>
              <w:spacing w:after="0"/>
              <w:rPr>
                <w:sz w:val="4"/>
                <w:szCs w:val="4"/>
                <w:color w:val="auto"/>
              </w:rPr>
            </w:pPr>
          </w:p>
        </w:tc>
        <w:tc>
          <w:tcPr>
            <w:tcW w:w="7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Issue Date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gridSpan w:val="4"/>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2014</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Borders>
              <w:bottom w:val="single" w:sz="8" w:color="auto"/>
            </w:tcBorders>
            <w:gridSpan w:val="3"/>
          </w:tcPr>
          <w:p>
            <w:pPr>
              <w:jc w:val="right"/>
              <w:spacing w:after="0" w:line="146" w:lineRule="exact"/>
              <w:rPr>
                <w:sz w:val="20"/>
                <w:szCs w:val="20"/>
                <w:color w:val="auto"/>
              </w:rPr>
            </w:pPr>
            <w:r>
              <w:rPr>
                <w:rFonts w:ascii="Arial" w:cs="Arial" w:eastAsia="Arial" w:hAnsi="Arial"/>
                <w:sz w:val="14"/>
                <w:szCs w:val="14"/>
                <w:b w:val="1"/>
                <w:bCs w:val="1"/>
                <w:i w:val="1"/>
                <w:iCs w:val="1"/>
                <w:color w:val="auto"/>
              </w:rPr>
              <w:t>2013</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280" w:type="dxa"/>
            <w:vAlign w:val="bottom"/>
            <w:gridSpan w:val="2"/>
          </w:tcPr>
          <w:p>
            <w:pPr>
              <w:spacing w:after="0"/>
              <w:rPr>
                <w:sz w:val="20"/>
                <w:szCs w:val="20"/>
                <w:color w:val="auto"/>
              </w:rPr>
            </w:pPr>
            <w:r>
              <w:rPr>
                <w:rFonts w:ascii="Arial" w:cs="Arial" w:eastAsia="Arial" w:hAnsi="Arial"/>
                <w:sz w:val="18"/>
                <w:szCs w:val="18"/>
                <w:color w:val="auto"/>
              </w:rPr>
              <w:t>Mt. Laurel, NJ</w:t>
            </w:r>
          </w:p>
        </w:tc>
        <w:tc>
          <w:tcPr>
            <w:tcW w:w="20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3/29/2010</w:t>
            </w:r>
          </w:p>
        </w:tc>
        <w:tc>
          <w:tcPr>
            <w:tcW w:w="9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3/31/2015</w:t>
            </w:r>
          </w:p>
        </w:tc>
        <w:tc>
          <w:tcPr>
            <w:tcW w:w="900" w:type="dxa"/>
            <w:vAlign w:val="bottom"/>
            <w:gridSpan w:val="3"/>
            <w:vMerge w:val="restart"/>
          </w:tcPr>
          <w:p>
            <w:pPr>
              <w:ind w:left="100"/>
              <w:spacing w:after="0"/>
              <w:rPr>
                <w:sz w:val="20"/>
                <w:szCs w:val="20"/>
                <w:color w:val="auto"/>
              </w:rPr>
            </w:pPr>
            <w:r>
              <w:rPr>
                <w:rFonts w:ascii="Arial" w:cs="Arial" w:eastAsia="Arial" w:hAnsi="Arial"/>
                <w:sz w:val="18"/>
                <w:szCs w:val="18"/>
                <w:color w:val="auto"/>
                <w:w w:val="97"/>
              </w:rPr>
              <w:t>4/30/2021</w:t>
            </w:r>
          </w:p>
        </w:tc>
        <w:tc>
          <w:tcPr>
            <w:tcW w:w="580" w:type="dxa"/>
            <w:vAlign w:val="bottom"/>
            <w:gridSpan w:val="6"/>
            <w:vMerge w:val="restart"/>
          </w:tcPr>
          <w:p>
            <w:pPr>
              <w:jc w:val="right"/>
              <w:spacing w:after="0"/>
              <w:rPr>
                <w:sz w:val="20"/>
                <w:szCs w:val="20"/>
                <w:color w:val="auto"/>
              </w:rPr>
            </w:pPr>
            <w:r>
              <w:rPr>
                <w:rFonts w:ascii="Arial" w:cs="Arial" w:eastAsia="Arial" w:hAnsi="Arial"/>
                <w:sz w:val="18"/>
                <w:szCs w:val="18"/>
                <w:color w:val="auto"/>
              </w:rPr>
              <w:t>$250</w:t>
            </w:r>
          </w:p>
        </w:tc>
        <w:tc>
          <w:tcPr>
            <w:tcW w:w="780" w:type="dxa"/>
            <w:vAlign w:val="bottom"/>
            <w:gridSpan w:val="6"/>
            <w:vMerge w:val="restart"/>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580" w:type="dxa"/>
            <w:vAlign w:val="bottom"/>
            <w:gridSpan w:val="6"/>
            <w:vMerge w:val="continue"/>
          </w:tcPr>
          <w:p>
            <w:pPr>
              <w:spacing w:after="0"/>
              <w:rPr>
                <w:sz w:val="18"/>
                <w:szCs w:val="18"/>
                <w:color w:val="auto"/>
              </w:rPr>
            </w:pPr>
          </w:p>
        </w:tc>
        <w:tc>
          <w:tcPr>
            <w:tcW w:w="7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8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20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10/27/2010</w:t>
            </w:r>
          </w:p>
        </w:tc>
        <w:tc>
          <w:tcPr>
            <w:tcW w:w="9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w w:val="97"/>
              </w:rPr>
              <w:t>11/08/2015</w:t>
            </w:r>
          </w:p>
        </w:tc>
        <w:tc>
          <w:tcPr>
            <w:tcW w:w="900" w:type="dxa"/>
            <w:vAlign w:val="bottom"/>
            <w:gridSpan w:val="3"/>
            <w:vMerge w:val="restart"/>
          </w:tcPr>
          <w:p>
            <w:pPr>
              <w:ind w:left="100"/>
              <w:spacing w:after="0"/>
              <w:rPr>
                <w:sz w:val="20"/>
                <w:szCs w:val="20"/>
                <w:color w:val="auto"/>
              </w:rPr>
            </w:pPr>
            <w:r>
              <w:rPr>
                <w:rFonts w:ascii="Arial" w:cs="Arial" w:eastAsia="Arial" w:hAnsi="Arial"/>
                <w:sz w:val="18"/>
                <w:szCs w:val="18"/>
                <w:color w:val="auto"/>
                <w:w w:val="97"/>
              </w:rPr>
              <w:t>8/23/2021</w:t>
            </w:r>
          </w:p>
        </w:tc>
        <w:tc>
          <w:tcPr>
            <w:tcW w:w="260" w:type="dxa"/>
            <w:vAlign w:val="bottom"/>
            <w:gridSpan w:val="4"/>
            <w:vMerge w:val="restart"/>
          </w:tcPr>
          <w:p>
            <w:pPr>
              <w:spacing w:after="0"/>
              <w:rPr>
                <w:sz w:val="21"/>
                <w:szCs w:val="2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200</w:t>
            </w:r>
          </w:p>
        </w:tc>
        <w:tc>
          <w:tcPr>
            <w:tcW w:w="460" w:type="dxa"/>
            <w:vAlign w:val="bottom"/>
            <w:gridSpan w:val="3"/>
            <w:vMerge w:val="restart"/>
          </w:tcPr>
          <w:p>
            <w:pPr>
              <w:spacing w:after="0"/>
              <w:rPr>
                <w:sz w:val="21"/>
                <w:szCs w:val="21"/>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260" w:type="dxa"/>
            <w:vAlign w:val="bottom"/>
            <w:gridSpan w:val="4"/>
            <w:vMerge w:val="continue"/>
          </w:tcPr>
          <w:p>
            <w:pPr>
              <w:spacing w:after="0"/>
              <w:rPr>
                <w:sz w:val="15"/>
                <w:szCs w:val="15"/>
                <w:color w:val="auto"/>
              </w:rPr>
            </w:pPr>
          </w:p>
        </w:tc>
        <w:tc>
          <w:tcPr>
            <w:tcW w:w="320" w:type="dxa"/>
            <w:vAlign w:val="bottom"/>
            <w:tcBorders>
              <w:bottom w:val="single" w:sz="8" w:color="auto"/>
            </w:tcBorders>
            <w:gridSpan w:val="2"/>
            <w:vMerge w:val="continue"/>
          </w:tcPr>
          <w:p>
            <w:pPr>
              <w:spacing w:after="0"/>
              <w:rPr>
                <w:sz w:val="15"/>
                <w:szCs w:val="15"/>
                <w:color w:val="auto"/>
              </w:rPr>
            </w:pPr>
          </w:p>
        </w:tc>
        <w:tc>
          <w:tcPr>
            <w:tcW w:w="460" w:type="dxa"/>
            <w:vAlign w:val="bottom"/>
            <w:gridSpan w:val="3"/>
            <w:vMerge w:val="continue"/>
          </w:tcPr>
          <w:p>
            <w:pPr>
              <w:spacing w:after="0"/>
              <w:rPr>
                <w:sz w:val="15"/>
                <w:szCs w:val="15"/>
                <w:color w:val="auto"/>
              </w:rPr>
            </w:pPr>
          </w:p>
        </w:tc>
        <w:tc>
          <w:tcPr>
            <w:tcW w:w="3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w:t>
            </w:r>
          </w:p>
        </w:tc>
        <w:tc>
          <w:tcPr>
            <w:tcW w:w="7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424"/>
        </w:trPr>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2"/>
          </w:tcPr>
          <w:p>
            <w:pPr>
              <w:jc w:val="right"/>
              <w:ind w:right="192"/>
              <w:spacing w:after="0"/>
              <w:rPr>
                <w:sz w:val="20"/>
                <w:szCs w:val="20"/>
                <w:color w:val="auto"/>
              </w:rPr>
            </w:pPr>
            <w:r>
              <w:rPr>
                <w:rFonts w:ascii="Arial" w:cs="Arial" w:eastAsia="Arial" w:hAnsi="Arial"/>
                <w:sz w:val="18"/>
                <w:szCs w:val="18"/>
                <w:color w:val="auto"/>
                <w:w w:val="99"/>
              </w:rPr>
              <w:t>- 10 -</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91" w:lineRule="exact"/>
        <w:rPr>
          <w:sz w:val="20"/>
          <w:szCs w:val="20"/>
          <w:color w:val="auto"/>
        </w:rPr>
      </w:pPr>
    </w:p>
    <w:p>
      <w:pPr>
        <w:jc w:val="both"/>
        <w:ind w:left="540" w:right="220"/>
        <w:spacing w:after="0" w:line="268" w:lineRule="auto"/>
        <w:rPr>
          <w:sz w:val="20"/>
          <w:szCs w:val="20"/>
          <w:color w:val="auto"/>
        </w:rPr>
      </w:pPr>
      <w:r>
        <w:rPr>
          <w:rFonts w:ascii="Arial" w:cs="Arial" w:eastAsia="Arial" w:hAnsi="Arial"/>
          <w:sz w:val="18"/>
          <w:szCs w:val="18"/>
          <w:color w:val="auto"/>
        </w:rPr>
        <w:t>As of September 30, 2014, we had non-vested restricted stock awards granted under stock-based employee compensation plans that are described more fully in Note 14 to the consolidated financial statements in our 2013 Form 10-K.</w:t>
      </w:r>
    </w:p>
    <w:p>
      <w:pPr>
        <w:spacing w:after="0" w:line="186" w:lineRule="exact"/>
        <w:rPr>
          <w:sz w:val="20"/>
          <w:szCs w:val="20"/>
          <w:color w:val="auto"/>
        </w:rPr>
      </w:pPr>
    </w:p>
    <w:p>
      <w:pPr>
        <w:jc w:val="both"/>
        <w:ind w:left="540" w:right="200"/>
        <w:spacing w:after="0" w:line="259" w:lineRule="auto"/>
        <w:rPr>
          <w:sz w:val="20"/>
          <w:szCs w:val="20"/>
          <w:color w:val="auto"/>
        </w:rPr>
      </w:pPr>
      <w:r>
        <w:rPr>
          <w:rFonts w:ascii="Arial" w:cs="Arial" w:eastAsia="Arial" w:hAnsi="Arial"/>
          <w:sz w:val="18"/>
          <w:szCs w:val="18"/>
          <w:color w:val="auto"/>
        </w:rPr>
        <w:t>In addition, at our annual meeting on June 25, 2014, our stockholders approved the inTEST Corporation 2014 Stock Plan (the "2014 Stock Plan"). The 2014 Stock Plan permits the granting of stock options, restricted stock, stock appreciation rights or restricted stock units for up to 500,000 shares of our common stock to directors, officers, other key employees and consultants.</w:t>
      </w:r>
    </w:p>
    <w:p>
      <w:pPr>
        <w:spacing w:after="0" w:line="19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As of September 30, 2014, total compensation expense to be recognized in future periods was $356. The weighted average period over which this expense is expected to be recognized is 3.0 years.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jc w:val="both"/>
        <w:ind w:left="540" w:right="380"/>
        <w:spacing w:after="0" w:line="335" w:lineRule="auto"/>
        <w:rPr>
          <w:sz w:val="20"/>
          <w:szCs w:val="20"/>
          <w:color w:val="auto"/>
        </w:rPr>
      </w:pPr>
      <w:r>
        <w:rPr>
          <w:rFonts w:ascii="Arial" w:cs="Arial" w:eastAsia="Arial" w:hAnsi="Arial"/>
          <w:sz w:val="15"/>
          <w:szCs w:val="15"/>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shows the allocation of the compensation expense we recorded during the three and nine months ended September 30, 2014 and 2013, respectively, related to non-vested shares:</w:t>
      </w:r>
    </w:p>
    <w:p>
      <w:pPr>
        <w:spacing w:after="0" w:line="10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00" w:type="dxa"/>
            <w:vAlign w:val="bottom"/>
            <w:gridSpan w:val="6"/>
          </w:tcPr>
          <w:p>
            <w:pPr>
              <w:spacing w:after="0"/>
              <w:rPr>
                <w:sz w:val="20"/>
                <w:szCs w:val="20"/>
                <w:color w:val="auto"/>
              </w:rPr>
            </w:pPr>
            <w:r>
              <w:rPr>
                <w:rFonts w:ascii="Arial" w:cs="Arial" w:eastAsia="Arial" w:hAnsi="Arial"/>
                <w:sz w:val="14"/>
                <w:szCs w:val="14"/>
                <w:b w:val="1"/>
                <w:bCs w:val="1"/>
                <w:i w:val="1"/>
                <w:iCs w:val="1"/>
                <w:color w:val="auto"/>
              </w:rPr>
              <w:t>Three Months Ended</w:t>
            </w:r>
          </w:p>
        </w:tc>
        <w:tc>
          <w:tcPr>
            <w:tcW w:w="1240" w:type="dxa"/>
            <w:vAlign w:val="bottom"/>
            <w:gridSpan w:val="7"/>
          </w:tcPr>
          <w:p>
            <w:pPr>
              <w:jc w:val="center"/>
              <w:ind w:right="60"/>
              <w:spacing w:after="0"/>
              <w:rPr>
                <w:sz w:val="20"/>
                <w:szCs w:val="20"/>
                <w:color w:val="auto"/>
              </w:rPr>
            </w:pPr>
            <w:r>
              <w:rPr>
                <w:rFonts w:ascii="Arial" w:cs="Arial" w:eastAsia="Arial" w:hAnsi="Arial"/>
                <w:sz w:val="14"/>
                <w:szCs w:val="14"/>
                <w:b w:val="1"/>
                <w:bCs w:val="1"/>
                <w:i w:val="1"/>
                <w:iCs w:val="1"/>
                <w:color w:val="auto"/>
                <w:w w:val="87"/>
              </w:rPr>
              <w:t>Nine Months Ended</w:t>
            </w:r>
          </w:p>
        </w:tc>
      </w:tr>
      <w:tr>
        <w:trPr>
          <w:trHeight w:val="146"/>
        </w:trPr>
        <w:tc>
          <w:tcPr>
            <w:tcW w:w="3560" w:type="dxa"/>
            <w:vAlign w:val="bottom"/>
          </w:tcPr>
          <w:p>
            <w:pPr>
              <w:spacing w:after="0"/>
              <w:rPr>
                <w:sz w:val="12"/>
                <w:szCs w:val="12"/>
                <w:color w:val="auto"/>
              </w:rPr>
            </w:pPr>
          </w:p>
        </w:tc>
        <w:tc>
          <w:tcPr>
            <w:tcW w:w="1060" w:type="dxa"/>
            <w:vAlign w:val="bottom"/>
            <w:tcBorders>
              <w:bottom w:val="single" w:sz="8" w:color="auto"/>
            </w:tcBorders>
            <w:gridSpan w:val="4"/>
          </w:tcPr>
          <w:p>
            <w:pPr>
              <w:ind w:left="200"/>
              <w:spacing w:after="0" w:line="146" w:lineRule="exact"/>
              <w:rPr>
                <w:sz w:val="20"/>
                <w:szCs w:val="20"/>
                <w:color w:val="auto"/>
              </w:rPr>
            </w:pPr>
            <w:r>
              <w:rPr>
                <w:rFonts w:ascii="Arial" w:cs="Arial" w:eastAsia="Arial" w:hAnsi="Arial"/>
                <w:sz w:val="14"/>
                <w:szCs w:val="14"/>
                <w:b w:val="1"/>
                <w:bCs w:val="1"/>
                <w:i w:val="1"/>
                <w:iCs w:val="1"/>
                <w:color w:val="auto"/>
                <w:w w:val="85"/>
              </w:rPr>
              <w:t>September 30,</w:t>
            </w:r>
          </w:p>
        </w:tc>
        <w:tc>
          <w:tcPr>
            <w:tcW w:w="1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77"/>
              </w:rPr>
              <w:t>September 30,</w:t>
            </w:r>
          </w:p>
        </w:tc>
        <w:tc>
          <w:tcPr>
            <w:tcW w:w="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3560" w:type="dxa"/>
            <w:vAlign w:val="bottom"/>
          </w:tcPr>
          <w:p>
            <w:pPr>
              <w:spacing w:after="0"/>
              <w:rPr>
                <w:sz w:val="13"/>
                <w:szCs w:val="13"/>
                <w:color w:val="auto"/>
              </w:rPr>
            </w:pPr>
          </w:p>
        </w:tc>
        <w:tc>
          <w:tcPr>
            <w:tcW w:w="720" w:type="dxa"/>
            <w:vAlign w:val="bottom"/>
            <w:gridSpan w:val="3"/>
          </w:tcPr>
          <w:p>
            <w:pPr>
              <w:ind w:left="260"/>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780" w:type="dxa"/>
            <w:vAlign w:val="bottom"/>
            <w:gridSpan w:val="3"/>
          </w:tcPr>
          <w:p>
            <w:pPr>
              <w:ind w:left="28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240" w:type="dxa"/>
            <w:vAlign w:val="bottom"/>
          </w:tcPr>
          <w:p>
            <w:pPr>
              <w:spacing w:after="0"/>
              <w:rPr>
                <w:sz w:val="13"/>
                <w:szCs w:val="13"/>
                <w:color w:val="auto"/>
              </w:rPr>
            </w:pPr>
          </w:p>
        </w:tc>
        <w:tc>
          <w:tcPr>
            <w:tcW w:w="48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i w:val="1"/>
                <w:iCs w:val="1"/>
                <w:color w:val="auto"/>
                <w:w w:val="76"/>
              </w:rPr>
              <w:t>2014</w:t>
            </w:r>
          </w:p>
        </w:tc>
        <w:tc>
          <w:tcPr>
            <w:tcW w:w="520" w:type="dxa"/>
            <w:vAlign w:val="bottom"/>
            <w:gridSpan w:val="4"/>
          </w:tcPr>
          <w:p>
            <w:pPr>
              <w:ind w:left="260"/>
              <w:spacing w:after="0" w:line="155" w:lineRule="exact"/>
              <w:rPr>
                <w:sz w:val="20"/>
                <w:szCs w:val="20"/>
                <w:color w:val="auto"/>
              </w:rPr>
            </w:pPr>
            <w:r>
              <w:rPr>
                <w:rFonts w:ascii="Arial" w:cs="Arial" w:eastAsia="Arial" w:hAnsi="Arial"/>
                <w:sz w:val="14"/>
                <w:szCs w:val="14"/>
                <w:b w:val="1"/>
                <w:bCs w:val="1"/>
                <w:i w:val="1"/>
                <w:iCs w:val="1"/>
                <w:color w:val="auto"/>
                <w:w w:val="76"/>
              </w:rPr>
              <w:t>2013</w:t>
            </w:r>
          </w:p>
        </w:tc>
      </w:tr>
      <w:tr>
        <w:trPr>
          <w:trHeight w:val="20"/>
        </w:trPr>
        <w:tc>
          <w:tcPr>
            <w:tcW w:w="35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02"/>
        </w:trPr>
        <w:tc>
          <w:tcPr>
            <w:tcW w:w="3560" w:type="dxa"/>
            <w:vAlign w:val="bottom"/>
          </w:tcPr>
          <w:p>
            <w:pPr>
              <w:spacing w:after="0"/>
              <w:rPr>
                <w:sz w:val="20"/>
                <w:szCs w:val="20"/>
                <w:color w:val="auto"/>
              </w:rPr>
            </w:pPr>
            <w:r>
              <w:rPr>
                <w:rFonts w:ascii="Arial" w:cs="Arial" w:eastAsia="Arial" w:hAnsi="Arial"/>
                <w:sz w:val="18"/>
                <w:szCs w:val="18"/>
                <w:color w:val="auto"/>
              </w:rPr>
              <w:t>Cost of revenues</w:t>
            </w:r>
          </w:p>
        </w:tc>
        <w:tc>
          <w:tcPr>
            <w:tcW w:w="32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rPr>
              <w:t>Selling expense</w:t>
            </w:r>
          </w:p>
        </w:tc>
        <w:tc>
          <w:tcPr>
            <w:tcW w:w="3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r>
      <w:tr>
        <w:trPr>
          <w:trHeight w:val="459"/>
        </w:trPr>
        <w:tc>
          <w:tcPr>
            <w:tcW w:w="3560" w:type="dxa"/>
            <w:vAlign w:val="bottom"/>
          </w:tcPr>
          <w:p>
            <w:pPr>
              <w:spacing w:after="0"/>
              <w:rPr>
                <w:sz w:val="20"/>
                <w:szCs w:val="20"/>
                <w:color w:val="auto"/>
              </w:rPr>
            </w:pPr>
            <w:r>
              <w:rPr>
                <w:rFonts w:ascii="Arial" w:cs="Arial" w:eastAsia="Arial" w:hAnsi="Arial"/>
                <w:sz w:val="18"/>
                <w:szCs w:val="18"/>
                <w:color w:val="auto"/>
                <w:w w:val="93"/>
              </w:rPr>
              <w:t>Engineering and product development expense</w:t>
            </w:r>
          </w:p>
        </w:tc>
        <w:tc>
          <w:tcPr>
            <w:tcW w:w="3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78"/>
              </w:rPr>
              <w:t>21</w:t>
            </w:r>
          </w:p>
        </w:tc>
        <w:tc>
          <w:tcPr>
            <w:tcW w:w="20" w:type="dxa"/>
            <w:vAlign w:val="bottom"/>
          </w:tcPr>
          <w:p>
            <w:pPr>
              <w:spacing w:after="0"/>
              <w:rPr>
                <w:sz w:val="24"/>
                <w:szCs w:val="24"/>
                <w:color w:val="auto"/>
              </w:rPr>
            </w:pPr>
          </w:p>
        </w:tc>
      </w:tr>
      <w:tr>
        <w:trPr>
          <w:trHeight w:val="421"/>
        </w:trPr>
        <w:tc>
          <w:tcPr>
            <w:tcW w:w="35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24</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8"/>
              </w:rPr>
              <w:t>53</w:t>
            </w:r>
          </w:p>
        </w:tc>
        <w:tc>
          <w:tcPr>
            <w:tcW w:w="20" w:type="dxa"/>
            <w:vAlign w:val="bottom"/>
          </w:tcPr>
          <w:p>
            <w:pPr>
              <w:spacing w:after="0"/>
              <w:rPr>
                <w:sz w:val="24"/>
                <w:szCs w:val="24"/>
                <w:color w:val="auto"/>
              </w:rPr>
            </w:pPr>
          </w:p>
        </w:tc>
      </w:tr>
      <w:tr>
        <w:trPr>
          <w:trHeight w:val="439"/>
        </w:trPr>
        <w:tc>
          <w:tcPr>
            <w:tcW w:w="3560" w:type="dxa"/>
            <w:vAlign w:val="bottom"/>
          </w:tcPr>
          <w:p>
            <w:pPr>
              <w:spacing w:after="0"/>
              <w:rPr>
                <w:sz w:val="24"/>
                <w:szCs w:val="24"/>
                <w:color w:val="auto"/>
              </w:rPr>
            </w:pPr>
          </w:p>
        </w:tc>
        <w:tc>
          <w:tcPr>
            <w:tcW w:w="320" w:type="dxa"/>
            <w:vAlign w:val="bottom"/>
          </w:tcPr>
          <w:p>
            <w:pPr>
              <w:ind w:left="240"/>
              <w:spacing w:after="0"/>
              <w:rPr>
                <w:sz w:val="20"/>
                <w:szCs w:val="20"/>
                <w:color w:val="auto"/>
              </w:rPr>
            </w:pPr>
            <w:r>
              <w:rPr>
                <w:rFonts w:ascii="Arial" w:cs="Arial" w:eastAsia="Arial" w:hAnsi="Arial"/>
                <w:sz w:val="10"/>
                <w:szCs w:val="10"/>
                <w:u w:val="single" w:color="auto"/>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30</w:t>
            </w:r>
          </w:p>
        </w:tc>
        <w:tc>
          <w:tcPr>
            <w:tcW w:w="220" w:type="dxa"/>
            <w:vAlign w:val="bottom"/>
          </w:tcPr>
          <w:p>
            <w:pPr>
              <w:spacing w:after="0"/>
              <w:rPr>
                <w:sz w:val="24"/>
                <w:szCs w:val="24"/>
                <w:color w:val="auto"/>
              </w:rPr>
            </w:pPr>
          </w:p>
        </w:tc>
        <w:tc>
          <w:tcPr>
            <w:tcW w:w="340" w:type="dxa"/>
            <w:vAlign w:val="bottom"/>
          </w:tcPr>
          <w:p>
            <w:pPr>
              <w:ind w:left="260"/>
              <w:spacing w:after="0"/>
              <w:rPr>
                <w:sz w:val="20"/>
                <w:szCs w:val="20"/>
                <w:color w:val="auto"/>
              </w:rPr>
            </w:pPr>
            <w:r>
              <w:rPr>
                <w:rFonts w:ascii="Arial" w:cs="Arial" w:eastAsia="Arial" w:hAnsi="Arial"/>
                <w:sz w:val="10"/>
                <w:szCs w:val="10"/>
                <w:u w:val="single" w:color="auto"/>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28</w:t>
            </w:r>
          </w:p>
        </w:tc>
        <w:tc>
          <w:tcPr>
            <w:tcW w:w="2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73"/>
              </w:rPr>
              <w:t>104</w:t>
            </w:r>
          </w:p>
        </w:tc>
        <w:tc>
          <w:tcPr>
            <w:tcW w:w="24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u w:val="single" w:color="auto"/>
                <w:color w:val="auto"/>
                <w:w w:val="79"/>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78"/>
              </w:rPr>
              <w:t>86</w:t>
            </w:r>
          </w:p>
        </w:tc>
        <w:tc>
          <w:tcPr>
            <w:tcW w:w="20" w:type="dxa"/>
            <w:vAlign w:val="bottom"/>
          </w:tcPr>
          <w:p>
            <w:pPr>
              <w:spacing w:after="0"/>
              <w:rPr>
                <w:sz w:val="24"/>
                <w:szCs w:val="24"/>
                <w:color w:val="auto"/>
              </w:rPr>
            </w:pPr>
          </w:p>
        </w:tc>
      </w:tr>
      <w:tr>
        <w:trPr>
          <w:trHeight w:val="20"/>
        </w:trPr>
        <w:tc>
          <w:tcPr>
            <w:tcW w:w="35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00"/>
          </w:cols>
          <w:pgMar w:left="240" w:top="131" w:right="259" w:bottom="0" w:gutter="0" w:footer="0" w:header="0"/>
        </w:sectPr>
      </w:pPr>
    </w:p>
    <w:bookmarkStart w:id="10" w:name="page11"/>
    <w:bookmarkEnd w:id="10"/>
    <w:p>
      <w:pPr>
        <w:ind w:left="540"/>
        <w:spacing w:after="0"/>
        <w:rPr>
          <w:sz w:val="20"/>
          <w:szCs w:val="20"/>
          <w:color w:val="auto"/>
        </w:rPr>
      </w:pPr>
      <w:r>
        <w:rPr>
          <w:rFonts w:ascii="Arial" w:cs="Arial" w:eastAsia="Arial" w:hAnsi="Arial"/>
          <w:sz w:val="18"/>
          <w:szCs w:val="18"/>
          <w:color w:val="auto"/>
        </w:rPr>
        <w:t>There was no compensation expense capitalized in the nine months ended September 30, 2014 or 2013.</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non-vested shares for the nine months ended September 30, 2014:</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4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75"/>
              </w:rPr>
              <w:t>Number</w:t>
            </w:r>
          </w:p>
        </w:tc>
        <w:tc>
          <w:tcPr>
            <w:tcW w:w="720" w:type="dxa"/>
            <w:vAlign w:val="bottom"/>
            <w:gridSpan w:val="3"/>
          </w:tcPr>
          <w:p>
            <w:pPr>
              <w:jc w:val="center"/>
              <w:ind w:left="16"/>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4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2"/>
                <w:szCs w:val="12"/>
                <w:b w:val="1"/>
                <w:bCs w:val="1"/>
                <w:i w:val="1"/>
                <w:iCs w:val="1"/>
                <w:color w:val="auto"/>
                <w:w w:val="80"/>
              </w:rPr>
              <w:t>of Shares</w:t>
            </w:r>
          </w:p>
        </w:tc>
        <w:tc>
          <w:tcPr>
            <w:tcW w:w="2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41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180" w:type="dxa"/>
            <w:vAlign w:val="bottom"/>
          </w:tcPr>
          <w:p>
            <w:pPr>
              <w:spacing w:after="0"/>
              <w:rPr>
                <w:sz w:val="20"/>
                <w:szCs w:val="20"/>
                <w:color w:val="auto"/>
              </w:rPr>
            </w:pPr>
            <w:r>
              <w:rPr>
                <w:rFonts w:ascii="Arial" w:cs="Arial" w:eastAsia="Arial" w:hAnsi="Arial"/>
                <w:sz w:val="18"/>
                <w:szCs w:val="18"/>
                <w:color w:val="auto"/>
              </w:rPr>
              <w:t>Non-vested shares outstanding, January 1, 2014</w:t>
            </w:r>
          </w:p>
        </w:tc>
        <w:tc>
          <w:tcPr>
            <w:tcW w:w="6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180,000</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20"/>
                <w:szCs w:val="20"/>
                <w:color w:val="auto"/>
              </w:rPr>
            </w:pPr>
          </w:p>
        </w:tc>
      </w:tr>
      <w:tr>
        <w:trPr>
          <w:trHeight w:val="459"/>
        </w:trPr>
        <w:tc>
          <w:tcPr>
            <w:tcW w:w="41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24"/>
                <w:szCs w:val="24"/>
                <w:color w:val="auto"/>
              </w:rPr>
            </w:pPr>
          </w:p>
        </w:tc>
      </w:tr>
      <w:tr>
        <w:trPr>
          <w:trHeight w:val="459"/>
        </w:trPr>
        <w:tc>
          <w:tcPr>
            <w:tcW w:w="4180" w:type="dxa"/>
            <w:vAlign w:val="bottom"/>
          </w:tcPr>
          <w:p>
            <w:pPr>
              <w:ind w:left="140"/>
              <w:spacing w:after="0"/>
              <w:rPr>
                <w:sz w:val="20"/>
                <w:szCs w:val="20"/>
                <w:color w:val="auto"/>
              </w:rPr>
            </w:pPr>
            <w:r>
              <w:rPr>
                <w:rFonts w:ascii="Arial" w:cs="Arial" w:eastAsia="Arial" w:hAnsi="Arial"/>
                <w:sz w:val="18"/>
                <w:szCs w:val="18"/>
                <w:color w:val="auto"/>
              </w:rPr>
              <w:t>Vested</w:t>
            </w:r>
          </w:p>
        </w:tc>
        <w:tc>
          <w:tcPr>
            <w:tcW w:w="1300" w:type="dxa"/>
            <w:vAlign w:val="bottom"/>
            <w:gridSpan w:val="4"/>
          </w:tcPr>
          <w:p>
            <w:pPr>
              <w:jc w:val="right"/>
              <w:ind w:right="80"/>
              <w:spacing w:after="0"/>
              <w:rPr>
                <w:sz w:val="20"/>
                <w:szCs w:val="20"/>
                <w:color w:val="auto"/>
              </w:rPr>
            </w:pPr>
            <w:r>
              <w:rPr>
                <w:rFonts w:ascii="Arial" w:cs="Arial" w:eastAsia="Arial" w:hAnsi="Arial"/>
                <w:sz w:val="18"/>
                <w:szCs w:val="18"/>
                <w:color w:val="auto"/>
              </w:rPr>
              <w:t>(63,125)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4"/>
                <w:szCs w:val="24"/>
                <w:color w:val="auto"/>
              </w:rPr>
            </w:pPr>
          </w:p>
        </w:tc>
      </w:tr>
      <w:tr>
        <w:trPr>
          <w:trHeight w:val="421"/>
        </w:trPr>
        <w:tc>
          <w:tcPr>
            <w:tcW w:w="41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600" w:type="dxa"/>
            <w:vAlign w:val="bottom"/>
          </w:tcPr>
          <w:p>
            <w:pPr>
              <w:spacing w:after="0"/>
              <w:rPr>
                <w:sz w:val="24"/>
                <w:szCs w:val="2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(5,000)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24"/>
                <w:szCs w:val="24"/>
                <w:color w:val="auto"/>
              </w:rPr>
            </w:pPr>
          </w:p>
        </w:tc>
      </w:tr>
      <w:tr>
        <w:trPr>
          <w:trHeight w:val="439"/>
        </w:trPr>
        <w:tc>
          <w:tcPr>
            <w:tcW w:w="4180" w:type="dxa"/>
            <w:vAlign w:val="bottom"/>
          </w:tcPr>
          <w:p>
            <w:pPr>
              <w:spacing w:after="0"/>
              <w:rPr>
                <w:sz w:val="20"/>
                <w:szCs w:val="20"/>
                <w:color w:val="auto"/>
              </w:rPr>
            </w:pPr>
            <w:r>
              <w:rPr>
                <w:rFonts w:ascii="Arial" w:cs="Arial" w:eastAsia="Arial" w:hAnsi="Arial"/>
                <w:sz w:val="18"/>
                <w:szCs w:val="18"/>
                <w:color w:val="auto"/>
                <w:w w:val="98"/>
              </w:rPr>
              <w:t>Non-vested shares outstanding, September 30, 2014</w:t>
            </w:r>
          </w:p>
        </w:tc>
        <w:tc>
          <w:tcPr>
            <w:tcW w:w="600" w:type="dxa"/>
            <w:vAlign w:val="bottom"/>
          </w:tcPr>
          <w:p>
            <w:pPr>
              <w:spacing w:after="0"/>
              <w:rPr>
                <w:sz w:val="24"/>
                <w:szCs w:val="24"/>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2"/>
              </w:rPr>
              <w:t>121,875</w:t>
            </w:r>
          </w:p>
        </w:tc>
        <w:tc>
          <w:tcPr>
            <w:tcW w:w="1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24"/>
                <w:szCs w:val="24"/>
                <w:color w:val="auto"/>
              </w:rPr>
            </w:pPr>
          </w:p>
        </w:tc>
      </w:tr>
      <w:tr>
        <w:trPr>
          <w:trHeight w:val="20"/>
        </w:trPr>
        <w:tc>
          <w:tcPr>
            <w:tcW w:w="4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nine months ended September 30, 2014:</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of Shares</w:t>
            </w:r>
          </w:p>
        </w:tc>
        <w:tc>
          <w:tcPr>
            <w:tcW w:w="260" w:type="dxa"/>
            <w:vAlign w:val="bottom"/>
            <w:gridSpan w:val="2"/>
          </w:tcPr>
          <w:p>
            <w:pPr>
              <w:spacing w:after="0"/>
              <w:rPr>
                <w:sz w:val="12"/>
                <w:szCs w:val="12"/>
                <w:color w:val="auto"/>
              </w:rPr>
            </w:pPr>
          </w:p>
        </w:tc>
        <w:tc>
          <w:tcPr>
            <w:tcW w:w="8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35"/>
        </w:trPr>
        <w:tc>
          <w:tcPr>
            <w:tcW w:w="4380" w:type="dxa"/>
            <w:vAlign w:val="bottom"/>
          </w:tcPr>
          <w:p>
            <w:pPr>
              <w:spacing w:after="0"/>
              <w:rPr>
                <w:sz w:val="20"/>
                <w:szCs w:val="20"/>
                <w:color w:val="auto"/>
              </w:rPr>
            </w:pPr>
            <w:r>
              <w:rPr>
                <w:rFonts w:ascii="Arial" w:cs="Arial" w:eastAsia="Arial" w:hAnsi="Arial"/>
                <w:sz w:val="18"/>
                <w:szCs w:val="18"/>
                <w:color w:val="auto"/>
                <w:w w:val="93"/>
              </w:rPr>
              <w:t>Options outstanding, January 1, 2014 (10,000 exercisable)</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459"/>
        </w:trPr>
        <w:tc>
          <w:tcPr>
            <w:tcW w:w="4380" w:type="dxa"/>
            <w:vAlign w:val="bottom"/>
          </w:tcPr>
          <w:p>
            <w:pPr>
              <w:ind w:left="140"/>
              <w:spacing w:after="0"/>
              <w:rPr>
                <w:sz w:val="20"/>
                <w:szCs w:val="20"/>
                <w:color w:val="auto"/>
              </w:rPr>
            </w:pPr>
            <w:r>
              <w:rPr>
                <w:rFonts w:ascii="Arial" w:cs="Arial" w:eastAsia="Arial" w:hAnsi="Arial"/>
                <w:sz w:val="18"/>
                <w:szCs w:val="18"/>
                <w:color w:val="auto"/>
              </w:rPr>
              <w:t>Granted</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43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4380" w:type="dxa"/>
            <w:vAlign w:val="bottom"/>
          </w:tcPr>
          <w:p>
            <w:pPr>
              <w:ind w:left="140"/>
              <w:spacing w:after="0"/>
              <w:rPr>
                <w:sz w:val="20"/>
                <w:szCs w:val="20"/>
                <w:color w:val="auto"/>
              </w:rPr>
            </w:pPr>
            <w:r>
              <w:rPr>
                <w:rFonts w:ascii="Arial" w:cs="Arial" w:eastAsia="Arial" w:hAnsi="Arial"/>
                <w:sz w:val="18"/>
                <w:szCs w:val="18"/>
                <w:color w:val="auto"/>
              </w:rPr>
              <w:t>Forfeited/Expired</w:t>
            </w: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(10,000)</w:t>
            </w:r>
          </w:p>
        </w:tc>
        <w:tc>
          <w:tcPr>
            <w:tcW w:w="80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439"/>
        </w:trPr>
        <w:tc>
          <w:tcPr>
            <w:tcW w:w="4380" w:type="dxa"/>
            <w:vAlign w:val="bottom"/>
          </w:tcPr>
          <w:p>
            <w:pPr>
              <w:spacing w:after="0"/>
              <w:rPr>
                <w:sz w:val="20"/>
                <w:szCs w:val="20"/>
                <w:color w:val="auto"/>
              </w:rPr>
            </w:pPr>
            <w:r>
              <w:rPr>
                <w:rFonts w:ascii="Arial" w:cs="Arial" w:eastAsia="Arial" w:hAnsi="Arial"/>
                <w:sz w:val="18"/>
                <w:szCs w:val="18"/>
                <w:color w:val="auto"/>
              </w:rPr>
              <w:t>Options outstanding, September 30, 2014</w:t>
            </w:r>
          </w:p>
        </w:tc>
        <w:tc>
          <w:tcPr>
            <w:tcW w:w="380" w:type="dxa"/>
            <w:vAlign w:val="bottom"/>
            <w:gridSpan w:val="2"/>
          </w:tcPr>
          <w:p>
            <w:pPr>
              <w:spacing w:after="0"/>
              <w:rPr>
                <w:sz w:val="24"/>
                <w:szCs w:val="24"/>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- 11 -</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for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91" w:lineRule="exact"/>
        <w:rPr>
          <w:sz w:val="20"/>
          <w:szCs w:val="20"/>
          <w:color w:val="auto"/>
        </w:rPr>
      </w:pPr>
    </w:p>
    <w:p>
      <w:pPr>
        <w:jc w:val="both"/>
        <w:ind w:left="540" w:right="60"/>
        <w:spacing w:after="0" w:line="294" w:lineRule="auto"/>
        <w:rPr>
          <w:sz w:val="20"/>
          <w:szCs w:val="20"/>
          <w:color w:val="auto"/>
        </w:rPr>
      </w:pPr>
      <w:r>
        <w:rPr>
          <w:rFonts w:ascii="Arial" w:cs="Arial" w:eastAsia="Arial" w:hAnsi="Arial"/>
          <w:sz w:val="16"/>
          <w:szCs w:val="16"/>
          <w:color w:val="auto"/>
        </w:rPr>
        <w:t>We have a defined contribution 401(k) plan for our employees who work in the U.S. (the "inTEST 401(k) Plan"). All permanent employees of inTEST Corporation, Temptronic Corporation and inTEST Silicon Valley Corporation who are at least 18 years of age are eligible to participate in the plan. We match employee contributions dollar for dollar up to 10% of the employee's annual compensation, with a maximum limit of $5. Employer contributions vest ratably over four years. Matching contributions are discretionary. For the nine months ended September 30, 2014 and 2013, we recorded $280 and $275 of expense for matching contributions, respectively.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three reportable segments, which are also our reporting units: Thermal Products, Mechanical Products and Electrical Products.</w:t>
      </w:r>
    </w:p>
    <w:p>
      <w:pPr>
        <w:spacing w:after="0" w:line="248" w:lineRule="exact"/>
        <w:rPr>
          <w:sz w:val="20"/>
          <w:szCs w:val="20"/>
          <w:color w:val="auto"/>
        </w:rPr>
      </w:pPr>
    </w:p>
    <w:p>
      <w:pPr>
        <w:jc w:val="both"/>
        <w:ind w:left="540" w:right="60"/>
        <w:spacing w:after="0" w:line="306" w:lineRule="auto"/>
        <w:rPr>
          <w:sz w:val="20"/>
          <w:szCs w:val="20"/>
          <w:color w:val="auto"/>
        </w:rPr>
      </w:pPr>
      <w:r>
        <w:rPr>
          <w:rFonts w:ascii="Arial" w:cs="Arial" w:eastAsia="Arial" w:hAnsi="Arial"/>
          <w:sz w:val="16"/>
          <w:szCs w:val="16"/>
          <w:color w:val="auto"/>
        </w:rPr>
        <w:t>The Thermal Products segment includes the operations of Temptronic, Thermonics, Sigma, inTEST Thermal Solutions GmbH (Germany), and inTEST Pte, Limited (Singapore). Sales of this segment consist primarily of temperature management systems, which we design, manufacture and market under our Temptronic, Thermonics and Sigma Systems product lines. In addition, this segment provides post warranty service and support.</w:t>
      </w:r>
    </w:p>
    <w:p>
      <w:pPr>
        <w:spacing w:after="0" w:line="16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16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markets outside of the semiconductor market, including the automotive, consumer electronics, defense/aerospace, energy, industrial and telecommunications markets. Intercompany pricing between segments is either a multiple of cost for component parts or list price for finished goods.</w:t>
      </w:r>
    </w:p>
    <w:p>
      <w:pPr>
        <w:spacing w:after="0" w:line="125" w:lineRule="exact"/>
        <w:rPr>
          <w:sz w:val="20"/>
          <w:szCs w:val="20"/>
          <w:color w:val="auto"/>
        </w:rPr>
      </w:pPr>
    </w:p>
    <w:tbl>
      <w:tblPr>
        <w:tblLayout w:type="fixed"/>
        <w:tblInd w:w="5080" w:type="dxa"/>
        <w:tblCellMar>
          <w:top w:w="0" w:type="dxa"/>
          <w:left w:w="0" w:type="dxa"/>
          <w:bottom w:w="0" w:type="dxa"/>
          <w:right w:w="0" w:type="dxa"/>
        </w:tblCellMar>
      </w:tblPr>
      <w:tr>
        <w:trPr>
          <w:trHeight w:val="161"/>
        </w:trPr>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i w:val="1"/>
                <w:iCs w:val="1"/>
                <w:color w:val="auto"/>
                <w:w w:val="86"/>
              </w:rPr>
              <w:t>Three Months Ended</w:t>
            </w:r>
          </w:p>
        </w:tc>
        <w:tc>
          <w:tcPr>
            <w:tcW w:w="1360" w:type="dxa"/>
            <w:vAlign w:val="bottom"/>
            <w:gridSpan w:val="3"/>
          </w:tcPr>
          <w:p>
            <w:pPr>
              <w:jc w:val="center"/>
              <w:ind w:left="172"/>
              <w:spacing w:after="0"/>
              <w:rPr>
                <w:sz w:val="20"/>
                <w:szCs w:val="20"/>
                <w:color w:val="auto"/>
              </w:rPr>
            </w:pPr>
            <w:r>
              <w:rPr>
                <w:rFonts w:ascii="Arial" w:cs="Arial" w:eastAsia="Arial" w:hAnsi="Arial"/>
                <w:sz w:val="14"/>
                <w:szCs w:val="14"/>
                <w:b w:val="1"/>
                <w:bCs w:val="1"/>
                <w:i w:val="1"/>
                <w:iCs w:val="1"/>
                <w:color w:val="auto"/>
                <w:w w:val="85"/>
              </w:rPr>
              <w:t>Nine Months Ended</w:t>
            </w:r>
          </w:p>
        </w:tc>
      </w:tr>
      <w:tr>
        <w:trPr>
          <w:trHeight w:val="146"/>
        </w:trPr>
        <w:tc>
          <w:tcPr>
            <w:tcW w:w="14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80" w:type="dxa"/>
            <w:vAlign w:val="bottom"/>
          </w:tcPr>
          <w:p>
            <w:pPr>
              <w:spacing w:after="0"/>
              <w:rPr>
                <w:sz w:val="12"/>
                <w:szCs w:val="12"/>
                <w:color w:val="auto"/>
              </w:rPr>
            </w:pPr>
          </w:p>
        </w:tc>
      </w:tr>
    </w:tbl>
    <w:p>
      <w:pPr>
        <w:spacing w:after="0" w:line="16" w:lineRule="exact"/>
        <w:rPr>
          <w:sz w:val="20"/>
          <w:szCs w:val="20"/>
          <w:color w:val="auto"/>
        </w:rPr>
      </w:pPr>
    </w:p>
    <w:p>
      <w:pPr>
        <w:sectPr>
          <w:pgSz w:w="11900" w:h="16838" w:orient="portrait"/>
          <w:cols w:equalWidth="0" w:num="1">
            <w:col w:w="11280"/>
          </w:cols>
          <w:pgMar w:left="240" w:top="131" w:right="379" w:bottom="0" w:gutter="0" w:footer="0" w:header="0"/>
        </w:sectPr>
      </w:pPr>
    </w:p>
    <w:p>
      <w:pPr>
        <w:ind w:left="560"/>
        <w:spacing w:after="0"/>
        <w:tabs>
          <w:tab w:leader="none" w:pos="5240" w:val="left"/>
          <w:tab w:leader="none" w:pos="6060" w:val="left"/>
          <w:tab w:leader="none" w:pos="6860" w:val="left"/>
          <w:tab w:leader="none" w:pos="7680" w:val="left"/>
        </w:tabs>
        <w:rPr>
          <w:sz w:val="20"/>
          <w:szCs w:val="20"/>
          <w:color w:val="auto"/>
        </w:rPr>
      </w:pPr>
      <w:r>
        <w:rPr>
          <w:rFonts w:ascii="Arial" w:cs="Arial" w:eastAsia="Arial" w:hAnsi="Arial"/>
          <w:sz w:val="18"/>
          <w:szCs w:val="18"/>
          <w:b w:val="1"/>
          <w:bCs w:val="1"/>
          <w:i w:val="1"/>
          <w:iCs w:val="1"/>
          <w:color w:val="auto"/>
        </w:rPr>
        <w:t>Net revenues from unaffiliated customers:</w:t>
      </w:r>
      <w:r>
        <w:rPr>
          <w:sz w:val="20"/>
          <w:szCs w:val="20"/>
          <w:color w:val="auto"/>
        </w:rPr>
        <w:tab/>
      </w:r>
      <w:r>
        <w:rPr>
          <w:rFonts w:ascii="Arial" w:cs="Arial" w:eastAsia="Arial" w:hAnsi="Arial"/>
          <w:sz w:val="27"/>
          <w:szCs w:val="27"/>
          <w:b w:val="1"/>
          <w:bCs w:val="1"/>
          <w:i w:val="1"/>
          <w:iCs w:val="1"/>
          <w:u w:val="single" w:color="auto"/>
          <w:color w:val="auto"/>
          <w:vertAlign w:val="superscript"/>
        </w:rPr>
        <w:t>2014</w:t>
      </w:r>
      <w:r>
        <w:rPr>
          <w:sz w:val="20"/>
          <w:szCs w:val="20"/>
          <w:color w:val="auto"/>
        </w:rPr>
        <w:tab/>
      </w:r>
      <w:r>
        <w:rPr>
          <w:rFonts w:ascii="Arial" w:cs="Arial" w:eastAsia="Arial" w:hAnsi="Arial"/>
          <w:sz w:val="27"/>
          <w:szCs w:val="27"/>
          <w:b w:val="1"/>
          <w:bCs w:val="1"/>
          <w:i w:val="1"/>
          <w:iCs w:val="1"/>
          <w:u w:val="single" w:color="auto"/>
          <w:color w:val="auto"/>
          <w:vertAlign w:val="superscript"/>
        </w:rPr>
        <w:t>2013</w:t>
      </w:r>
      <w:r>
        <w:rPr>
          <w:sz w:val="20"/>
          <w:szCs w:val="20"/>
          <w:color w:val="auto"/>
        </w:rPr>
        <w:tab/>
      </w:r>
      <w:r>
        <w:rPr>
          <w:rFonts w:ascii="Arial" w:cs="Arial" w:eastAsia="Arial" w:hAnsi="Arial"/>
          <w:sz w:val="27"/>
          <w:szCs w:val="27"/>
          <w:b w:val="1"/>
          <w:bCs w:val="1"/>
          <w:i w:val="1"/>
          <w:iCs w:val="1"/>
          <w:u w:val="single" w:color="auto"/>
          <w:color w:val="auto"/>
          <w:vertAlign w:val="superscript"/>
        </w:rPr>
        <w:t>2014</w:t>
      </w:r>
      <w:r>
        <w:rPr>
          <w:sz w:val="20"/>
          <w:szCs w:val="20"/>
          <w:color w:val="auto"/>
        </w:rPr>
        <w:tab/>
      </w:r>
      <w:r>
        <w:rPr>
          <w:rFonts w:ascii="Arial" w:cs="Arial" w:eastAsia="Arial" w:hAnsi="Arial"/>
          <w:sz w:val="17"/>
          <w:szCs w:val="17"/>
          <w:b w:val="1"/>
          <w:bCs w:val="1"/>
          <w:i w:val="1"/>
          <w:iCs w:val="1"/>
          <w:u w:val="single" w:color="auto"/>
          <w:color w:val="auto"/>
          <w:vertAlign w:val="superscript"/>
        </w:rPr>
        <w:t>2013</w:t>
      </w:r>
    </w:p>
    <w:p>
      <w:pPr>
        <w:sectPr>
          <w:pgSz w:w="11900" w:h="16838" w:orient="portrait"/>
          <w:cols w:equalWidth="0" w:num="1">
            <w:col w:w="11280"/>
          </w:cols>
          <w:pgMar w:left="240" w:top="131" w:right="379" w:bottom="0" w:gutter="0" w:footer="0" w:header="0"/>
          <w:type w:val="continuous"/>
        </w:sectPr>
      </w:pPr>
    </w:p>
    <w:bookmarkStart w:id="11" w:name="page12"/>
    <w:bookmarkEnd w:id="11"/>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ind w:left="560"/>
              <w:spacing w:after="0"/>
              <w:rPr>
                <w:sz w:val="20"/>
                <w:szCs w:val="20"/>
                <w:color w:val="auto"/>
              </w:rPr>
            </w:pPr>
            <w:r>
              <w:rPr>
                <w:rFonts w:ascii="Arial" w:cs="Arial" w:eastAsia="Arial" w:hAnsi="Arial"/>
                <w:sz w:val="18"/>
                <w:szCs w:val="18"/>
                <w:color w:val="auto"/>
              </w:rPr>
              <w:t>Thermal Products</w:t>
            </w:r>
          </w:p>
        </w:tc>
        <w:tc>
          <w:tcPr>
            <w:tcW w:w="2200" w:type="dxa"/>
            <w:vAlign w:val="bottom"/>
            <w:gridSpan w:val="5"/>
          </w:tcPr>
          <w:p>
            <w:pPr>
              <w:jc w:val="right"/>
              <w:spacing w:after="0"/>
              <w:rPr>
                <w:sz w:val="20"/>
                <w:szCs w:val="20"/>
                <w:color w:val="auto"/>
              </w:rPr>
            </w:pPr>
            <w:r>
              <w:rPr>
                <w:rFonts w:ascii="Arial" w:cs="Arial" w:eastAsia="Arial" w:hAnsi="Arial"/>
                <w:sz w:val="18"/>
                <w:szCs w:val="18"/>
                <w:color w:val="auto"/>
              </w:rPr>
              <w:t>$ 5,908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6"/>
              </w:rPr>
              <w:t>$ 5,844</w:t>
            </w: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2"/>
              </w:rPr>
              <w:t>$17,267</w:t>
            </w:r>
          </w:p>
        </w:tc>
        <w:tc>
          <w:tcPr>
            <w:tcW w:w="2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2"/>
              </w:rPr>
              <w:t>$17,514</w:t>
            </w:r>
          </w:p>
        </w:tc>
        <w:tc>
          <w:tcPr>
            <w:tcW w:w="60" w:type="dxa"/>
            <w:vAlign w:val="bottom"/>
          </w:tcPr>
          <w:p>
            <w:pPr>
              <w:spacing w:after="0"/>
              <w:rPr>
                <w:sz w:val="19"/>
                <w:szCs w:val="19"/>
                <w:color w:val="auto"/>
              </w:rPr>
            </w:pPr>
          </w:p>
        </w:tc>
      </w:tr>
      <w:tr>
        <w:trPr>
          <w:trHeight w:val="459"/>
        </w:trPr>
        <w:tc>
          <w:tcPr>
            <w:tcW w:w="3420" w:type="dxa"/>
            <w:vAlign w:val="bottom"/>
          </w:tcPr>
          <w:p>
            <w:pPr>
              <w:ind w:left="560"/>
              <w:spacing w:after="0"/>
              <w:rPr>
                <w:sz w:val="20"/>
                <w:szCs w:val="20"/>
                <w:color w:val="auto"/>
              </w:rPr>
            </w:pPr>
            <w:r>
              <w:rPr>
                <w:rFonts w:ascii="Arial" w:cs="Arial" w:eastAsia="Arial" w:hAnsi="Arial"/>
                <w:sz w:val="18"/>
                <w:szCs w:val="18"/>
                <w:color w:val="auto"/>
              </w:rPr>
              <w:t>Mechanical Products</w:t>
            </w:r>
          </w:p>
        </w:tc>
        <w:tc>
          <w:tcPr>
            <w:tcW w:w="2200" w:type="dxa"/>
            <w:vAlign w:val="bottom"/>
            <w:gridSpan w:val="5"/>
          </w:tcPr>
          <w:p>
            <w:pPr>
              <w:jc w:val="right"/>
              <w:spacing w:after="0"/>
              <w:rPr>
                <w:sz w:val="20"/>
                <w:szCs w:val="20"/>
                <w:color w:val="auto"/>
              </w:rPr>
            </w:pPr>
            <w:r>
              <w:rPr>
                <w:rFonts w:ascii="Arial" w:cs="Arial" w:eastAsia="Arial" w:hAnsi="Arial"/>
                <w:sz w:val="18"/>
                <w:szCs w:val="18"/>
                <w:color w:val="auto"/>
              </w:rPr>
              <w:t>3,077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2,193</w:t>
            </w:r>
          </w:p>
        </w:tc>
        <w:tc>
          <w:tcPr>
            <w:tcW w:w="2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9,261</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7,784</w:t>
            </w:r>
          </w:p>
        </w:tc>
        <w:tc>
          <w:tcPr>
            <w:tcW w:w="60" w:type="dxa"/>
            <w:vAlign w:val="bottom"/>
          </w:tcPr>
          <w:p>
            <w:pPr>
              <w:spacing w:after="0"/>
              <w:rPr>
                <w:sz w:val="24"/>
                <w:szCs w:val="24"/>
                <w:color w:val="auto"/>
              </w:rPr>
            </w:pPr>
          </w:p>
        </w:tc>
      </w:tr>
      <w:tr>
        <w:trPr>
          <w:trHeight w:val="421"/>
        </w:trPr>
        <w:tc>
          <w:tcPr>
            <w:tcW w:w="3420" w:type="dxa"/>
            <w:vAlign w:val="bottom"/>
          </w:tcPr>
          <w:p>
            <w:pPr>
              <w:ind w:left="560"/>
              <w:spacing w:after="0"/>
              <w:rPr>
                <w:sz w:val="20"/>
                <w:szCs w:val="20"/>
                <w:color w:val="auto"/>
              </w:rPr>
            </w:pPr>
            <w:r>
              <w:rPr>
                <w:rFonts w:ascii="Arial" w:cs="Arial" w:eastAsia="Arial" w:hAnsi="Arial"/>
                <w:sz w:val="18"/>
                <w:szCs w:val="18"/>
                <w:color w:val="auto"/>
              </w:rPr>
              <w:t>Electrical Products</w:t>
            </w:r>
          </w:p>
        </w:tc>
        <w:tc>
          <w:tcPr>
            <w:tcW w:w="1680" w:type="dxa"/>
            <w:vAlign w:val="bottom"/>
            <w:gridSpan w:val="2"/>
          </w:tcPr>
          <w:p>
            <w:pPr>
              <w:spacing w:after="0"/>
              <w:rPr>
                <w:sz w:val="24"/>
                <w:szCs w:val="2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1,809</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5,406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4,793</w:t>
            </w:r>
          </w:p>
        </w:tc>
        <w:tc>
          <w:tcPr>
            <w:tcW w:w="6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22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10,794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6"/>
              </w:rPr>
              <w:t>$ 9,900</w:t>
            </w:r>
          </w:p>
        </w:tc>
        <w:tc>
          <w:tcPr>
            <w:tcW w:w="2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31,934</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30,091</w:t>
            </w:r>
          </w:p>
        </w:tc>
        <w:tc>
          <w:tcPr>
            <w:tcW w:w="60" w:type="dxa"/>
            <w:vAlign w:val="bottom"/>
          </w:tcPr>
          <w:p>
            <w:pPr>
              <w:spacing w:after="0"/>
              <w:rPr>
                <w:sz w:val="24"/>
                <w:szCs w:val="24"/>
                <w:color w:val="auto"/>
              </w:rPr>
            </w:pPr>
          </w:p>
        </w:tc>
      </w:tr>
      <w:tr>
        <w:trPr>
          <w:trHeight w:val="410"/>
        </w:trPr>
        <w:tc>
          <w:tcPr>
            <w:tcW w:w="5060" w:type="dxa"/>
            <w:vAlign w:val="bottom"/>
            <w:gridSpan w:val="2"/>
          </w:tcPr>
          <w:p>
            <w:pPr>
              <w:ind w:left="560"/>
              <w:spacing w:after="0"/>
              <w:rPr>
                <w:sz w:val="20"/>
                <w:szCs w:val="20"/>
                <w:color w:val="auto"/>
              </w:rPr>
            </w:pPr>
            <w:r>
              <w:rPr>
                <w:rFonts w:ascii="Arial" w:cs="Arial" w:eastAsia="Arial" w:hAnsi="Arial"/>
                <w:sz w:val="18"/>
                <w:szCs w:val="18"/>
                <w:b w:val="1"/>
                <w:bCs w:val="1"/>
                <w:i w:val="1"/>
                <w:iCs w:val="1"/>
                <w:color w:val="auto"/>
                <w:w w:val="99"/>
              </w:rPr>
              <w:t>Earnings (loss) before income tax expense (benefit):</w:t>
            </w:r>
          </w:p>
        </w:tc>
        <w:tc>
          <w:tcPr>
            <w:tcW w:w="560" w:type="dxa"/>
            <w:vAlign w:val="bottom"/>
            <w:tcBorders>
              <w:top w:val="single" w:sz="8" w:color="auto"/>
            </w:tcBorders>
            <w:gridSpan w:val="4"/>
          </w:tcPr>
          <w:p>
            <w:pPr>
              <w:spacing w:after="0"/>
              <w:rPr>
                <w:sz w:val="24"/>
                <w:szCs w:val="24"/>
                <w:color w:val="auto"/>
              </w:rPr>
            </w:pPr>
          </w:p>
        </w:tc>
        <w:tc>
          <w:tcPr>
            <w:tcW w:w="280" w:type="dxa"/>
            <w:vAlign w:val="bottom"/>
            <w:gridSpan w:val="2"/>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3420" w:type="dxa"/>
            <w:vAlign w:val="bottom"/>
          </w:tcPr>
          <w:p>
            <w:pPr>
              <w:ind w:left="560"/>
              <w:spacing w:after="0"/>
              <w:rPr>
                <w:sz w:val="20"/>
                <w:szCs w:val="20"/>
                <w:color w:val="auto"/>
              </w:rPr>
            </w:pPr>
            <w:r>
              <w:rPr>
                <w:rFonts w:ascii="Arial" w:cs="Arial" w:eastAsia="Arial" w:hAnsi="Arial"/>
                <w:sz w:val="18"/>
                <w:szCs w:val="18"/>
                <w:color w:val="auto"/>
              </w:rPr>
              <w:t>Thermal Products</w:t>
            </w:r>
          </w:p>
        </w:tc>
        <w:tc>
          <w:tcPr>
            <w:tcW w:w="2220" w:type="dxa"/>
            <w:vAlign w:val="bottom"/>
            <w:gridSpan w:val="6"/>
          </w:tcPr>
          <w:p>
            <w:pPr>
              <w:jc w:val="right"/>
              <w:spacing w:after="0"/>
              <w:rPr>
                <w:sz w:val="20"/>
                <w:szCs w:val="20"/>
                <w:color w:val="auto"/>
              </w:rPr>
            </w:pPr>
            <w:r>
              <w:rPr>
                <w:rFonts w:ascii="Arial" w:cs="Arial" w:eastAsia="Arial" w:hAnsi="Arial"/>
                <w:sz w:val="18"/>
                <w:szCs w:val="18"/>
                <w:color w:val="auto"/>
              </w:rPr>
              <w:t>$1,304</w:t>
            </w:r>
          </w:p>
        </w:tc>
        <w:tc>
          <w:tcPr>
            <w:tcW w:w="2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4"/>
              </w:rPr>
              <w:t>$1,232</w:t>
            </w:r>
          </w:p>
        </w:tc>
        <w:tc>
          <w:tcPr>
            <w:tcW w:w="200" w:type="dxa"/>
            <w:vAlign w:val="bottom"/>
          </w:tcPr>
          <w:p>
            <w:pPr>
              <w:spacing w:after="0"/>
              <w:rPr>
                <w:sz w:val="24"/>
                <w:szCs w:val="2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$3,322</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$3,468</w:t>
            </w:r>
          </w:p>
        </w:tc>
      </w:tr>
      <w:tr>
        <w:trPr>
          <w:trHeight w:val="459"/>
        </w:trPr>
        <w:tc>
          <w:tcPr>
            <w:tcW w:w="3420" w:type="dxa"/>
            <w:vAlign w:val="bottom"/>
          </w:tcPr>
          <w:p>
            <w:pPr>
              <w:ind w:left="560"/>
              <w:spacing w:after="0"/>
              <w:rPr>
                <w:sz w:val="20"/>
                <w:szCs w:val="20"/>
                <w:color w:val="auto"/>
              </w:rPr>
            </w:pPr>
            <w:r>
              <w:rPr>
                <w:rFonts w:ascii="Arial" w:cs="Arial" w:eastAsia="Arial" w:hAnsi="Arial"/>
                <w:sz w:val="18"/>
                <w:szCs w:val="18"/>
                <w:color w:val="auto"/>
              </w:rPr>
              <w:t>Mechanical Products</w:t>
            </w:r>
          </w:p>
        </w:tc>
        <w:tc>
          <w:tcPr>
            <w:tcW w:w="2480" w:type="dxa"/>
            <w:vAlign w:val="bottom"/>
            <w:gridSpan w:val="7"/>
          </w:tcPr>
          <w:p>
            <w:pPr>
              <w:jc w:val="right"/>
              <w:ind w:right="240"/>
              <w:spacing w:after="0"/>
              <w:rPr>
                <w:sz w:val="20"/>
                <w:szCs w:val="20"/>
                <w:color w:val="auto"/>
              </w:rPr>
            </w:pPr>
            <w:r>
              <w:rPr>
                <w:rFonts w:ascii="Arial" w:cs="Arial" w:eastAsia="Arial" w:hAnsi="Arial"/>
                <w:sz w:val="18"/>
                <w:szCs w:val="18"/>
                <w:color w:val="auto"/>
              </w:rPr>
              <w:t>(109)</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(346)</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245</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(742)</w:t>
            </w:r>
          </w:p>
        </w:tc>
      </w:tr>
      <w:tr>
        <w:trPr>
          <w:trHeight w:val="459"/>
        </w:trPr>
        <w:tc>
          <w:tcPr>
            <w:tcW w:w="3420" w:type="dxa"/>
            <w:vAlign w:val="bottom"/>
          </w:tcPr>
          <w:p>
            <w:pPr>
              <w:ind w:left="560"/>
              <w:spacing w:after="0"/>
              <w:rPr>
                <w:sz w:val="20"/>
                <w:szCs w:val="20"/>
                <w:color w:val="auto"/>
              </w:rPr>
            </w:pPr>
            <w:r>
              <w:rPr>
                <w:rFonts w:ascii="Arial" w:cs="Arial" w:eastAsia="Arial" w:hAnsi="Arial"/>
                <w:sz w:val="18"/>
                <w:szCs w:val="18"/>
                <w:color w:val="auto"/>
              </w:rPr>
              <w:t>Electrical Products</w:t>
            </w:r>
          </w:p>
        </w:tc>
        <w:tc>
          <w:tcPr>
            <w:tcW w:w="2220" w:type="dxa"/>
            <w:vAlign w:val="bottom"/>
            <w:gridSpan w:val="6"/>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24"/>
                <w:szCs w:val="2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608</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493</w:t>
            </w:r>
          </w:p>
        </w:tc>
      </w:tr>
      <w:tr>
        <w:trPr>
          <w:trHeight w:val="421"/>
        </w:trPr>
        <w:tc>
          <w:tcPr>
            <w:tcW w:w="3420" w:type="dxa"/>
            <w:vAlign w:val="bottom"/>
          </w:tcPr>
          <w:p>
            <w:pPr>
              <w:ind w:left="560"/>
              <w:spacing w:after="0"/>
              <w:rPr>
                <w:sz w:val="20"/>
                <w:szCs w:val="20"/>
                <w:color w:val="auto"/>
              </w:rPr>
            </w:pPr>
            <w:r>
              <w:rPr>
                <w:rFonts w:ascii="Arial" w:cs="Arial" w:eastAsia="Arial" w:hAnsi="Arial"/>
                <w:sz w:val="18"/>
                <w:szCs w:val="18"/>
                <w:color w:val="auto"/>
              </w:rPr>
              <w:t>Corporate</w:t>
            </w:r>
          </w:p>
        </w:tc>
        <w:tc>
          <w:tcPr>
            <w:tcW w:w="1780" w:type="dxa"/>
            <w:vAlign w:val="bottom"/>
            <w:gridSpan w:val="3"/>
          </w:tcPr>
          <w:p>
            <w:pPr>
              <w:spacing w:after="0"/>
              <w:rPr>
                <w:sz w:val="24"/>
                <w:szCs w:val="24"/>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8"/>
                <w:szCs w:val="18"/>
                <w:color w:val="auto"/>
              </w:rPr>
              <w:t>(130)</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(66)</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(442)</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(248)</w:t>
            </w:r>
          </w:p>
        </w:tc>
      </w:tr>
      <w:tr>
        <w:trPr>
          <w:trHeight w:val="20"/>
        </w:trPr>
        <w:tc>
          <w:tcPr>
            <w:tcW w:w="3420" w:type="dxa"/>
            <w:vAlign w:val="bottom"/>
          </w:tcPr>
          <w:p>
            <w:pPr>
              <w:spacing w:after="0" w:line="20" w:lineRule="exact"/>
              <w:rPr>
                <w:sz w:val="1"/>
                <w:szCs w:val="1"/>
                <w:color w:val="auto"/>
              </w:rPr>
            </w:pPr>
          </w:p>
        </w:tc>
        <w:tc>
          <w:tcPr>
            <w:tcW w:w="1780" w:type="dxa"/>
            <w:vAlign w:val="bottom"/>
            <w:tcBorders>
              <w:right w:val="single" w:sz="8" w:color="auto"/>
            </w:tcBorders>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3420" w:type="dxa"/>
            <w:vAlign w:val="bottom"/>
          </w:tcPr>
          <w:p>
            <w:pPr>
              <w:spacing w:after="0"/>
              <w:rPr>
                <w:sz w:val="24"/>
                <w:szCs w:val="24"/>
                <w:color w:val="auto"/>
              </w:rPr>
            </w:pPr>
          </w:p>
        </w:tc>
        <w:tc>
          <w:tcPr>
            <w:tcW w:w="1780" w:type="dxa"/>
            <w:vAlign w:val="bottom"/>
            <w:gridSpan w:val="3"/>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1,268</w:t>
            </w:r>
          </w:p>
        </w:tc>
        <w:tc>
          <w:tcPr>
            <w:tcW w:w="260" w:type="dxa"/>
            <w:vAlign w:val="bottom"/>
          </w:tcPr>
          <w:p>
            <w:pPr>
              <w:spacing w:after="0"/>
              <w:rPr>
                <w:sz w:val="24"/>
                <w:szCs w:val="2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1,114</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3,733</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2,971</w:t>
            </w:r>
          </w:p>
        </w:tc>
      </w:tr>
      <w:tr>
        <w:trPr>
          <w:trHeight w:val="410"/>
        </w:trPr>
        <w:tc>
          <w:tcPr>
            <w:tcW w:w="342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Net earnings (loss):</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3420" w:type="dxa"/>
            <w:vAlign w:val="bottom"/>
          </w:tcPr>
          <w:p>
            <w:pPr>
              <w:ind w:left="560"/>
              <w:spacing w:after="0"/>
              <w:rPr>
                <w:sz w:val="20"/>
                <w:szCs w:val="20"/>
                <w:color w:val="auto"/>
              </w:rPr>
            </w:pPr>
            <w:r>
              <w:rPr>
                <w:rFonts w:ascii="Arial" w:cs="Arial" w:eastAsia="Arial" w:hAnsi="Arial"/>
                <w:sz w:val="18"/>
                <w:szCs w:val="18"/>
                <w:color w:val="auto"/>
              </w:rPr>
              <w:t>Thermal Products</w:t>
            </w:r>
          </w:p>
        </w:tc>
        <w:tc>
          <w:tcPr>
            <w:tcW w:w="2220" w:type="dxa"/>
            <w:vAlign w:val="bottom"/>
            <w:gridSpan w:val="6"/>
          </w:tcPr>
          <w:p>
            <w:pPr>
              <w:jc w:val="right"/>
              <w:spacing w:after="0"/>
              <w:rPr>
                <w:sz w:val="20"/>
                <w:szCs w:val="20"/>
                <w:color w:val="auto"/>
              </w:rPr>
            </w:pPr>
            <w:r>
              <w:rPr>
                <w:rFonts w:ascii="Arial" w:cs="Arial" w:eastAsia="Arial" w:hAnsi="Arial"/>
                <w:sz w:val="18"/>
                <w:szCs w:val="18"/>
                <w:color w:val="auto"/>
              </w:rPr>
              <w:t>$ 861</w:t>
            </w:r>
          </w:p>
        </w:tc>
        <w:tc>
          <w:tcPr>
            <w:tcW w:w="2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4"/>
              </w:rPr>
              <w:t>$1,206</w:t>
            </w:r>
          </w:p>
        </w:tc>
        <w:tc>
          <w:tcPr>
            <w:tcW w:w="200" w:type="dxa"/>
            <w:vAlign w:val="bottom"/>
          </w:tcPr>
          <w:p>
            <w:pPr>
              <w:spacing w:after="0"/>
              <w:rPr>
                <w:sz w:val="24"/>
                <w:szCs w:val="2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$2,222</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$2,847</w:t>
            </w:r>
          </w:p>
        </w:tc>
      </w:tr>
      <w:tr>
        <w:trPr>
          <w:trHeight w:val="459"/>
        </w:trPr>
        <w:tc>
          <w:tcPr>
            <w:tcW w:w="3420" w:type="dxa"/>
            <w:vAlign w:val="bottom"/>
          </w:tcPr>
          <w:p>
            <w:pPr>
              <w:ind w:left="560"/>
              <w:spacing w:after="0"/>
              <w:rPr>
                <w:sz w:val="20"/>
                <w:szCs w:val="20"/>
                <w:color w:val="auto"/>
              </w:rPr>
            </w:pPr>
            <w:r>
              <w:rPr>
                <w:rFonts w:ascii="Arial" w:cs="Arial" w:eastAsia="Arial" w:hAnsi="Arial"/>
                <w:sz w:val="18"/>
                <w:szCs w:val="18"/>
                <w:color w:val="auto"/>
              </w:rPr>
              <w:t>Mechanical Products</w:t>
            </w:r>
          </w:p>
        </w:tc>
        <w:tc>
          <w:tcPr>
            <w:tcW w:w="2480" w:type="dxa"/>
            <w:vAlign w:val="bottom"/>
            <w:gridSpan w:val="7"/>
          </w:tcPr>
          <w:p>
            <w:pPr>
              <w:jc w:val="right"/>
              <w:ind w:right="240"/>
              <w:spacing w:after="0"/>
              <w:rPr>
                <w:sz w:val="20"/>
                <w:szCs w:val="20"/>
                <w:color w:val="auto"/>
              </w:rPr>
            </w:pPr>
            <w:r>
              <w:rPr>
                <w:rFonts w:ascii="Arial" w:cs="Arial" w:eastAsia="Arial" w:hAnsi="Arial"/>
                <w:sz w:val="18"/>
                <w:szCs w:val="18"/>
                <w:color w:val="auto"/>
              </w:rPr>
              <w:t>(72)</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(339)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(686)</w:t>
            </w:r>
          </w:p>
        </w:tc>
      </w:tr>
      <w:tr>
        <w:trPr>
          <w:trHeight w:val="459"/>
        </w:trPr>
        <w:tc>
          <w:tcPr>
            <w:tcW w:w="3420" w:type="dxa"/>
            <w:vAlign w:val="bottom"/>
          </w:tcPr>
          <w:p>
            <w:pPr>
              <w:ind w:left="560"/>
              <w:spacing w:after="0"/>
              <w:rPr>
                <w:sz w:val="20"/>
                <w:szCs w:val="20"/>
                <w:color w:val="auto"/>
              </w:rPr>
            </w:pPr>
            <w:r>
              <w:rPr>
                <w:rFonts w:ascii="Arial" w:cs="Arial" w:eastAsia="Arial" w:hAnsi="Arial"/>
                <w:sz w:val="18"/>
                <w:szCs w:val="18"/>
                <w:color w:val="auto"/>
              </w:rPr>
              <w:t>Electrical Products</w:t>
            </w:r>
          </w:p>
        </w:tc>
        <w:tc>
          <w:tcPr>
            <w:tcW w:w="2200" w:type="dxa"/>
            <w:vAlign w:val="bottom"/>
            <w:gridSpan w:val="5"/>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24"/>
                <w:szCs w:val="24"/>
                <w:color w:val="auto"/>
              </w:rPr>
            </w:pPr>
          </w:p>
        </w:tc>
      </w:tr>
      <w:tr>
        <w:trPr>
          <w:trHeight w:val="421"/>
        </w:trPr>
        <w:tc>
          <w:tcPr>
            <w:tcW w:w="3420" w:type="dxa"/>
            <w:vAlign w:val="bottom"/>
          </w:tcPr>
          <w:p>
            <w:pPr>
              <w:ind w:left="560"/>
              <w:spacing w:after="0"/>
              <w:rPr>
                <w:sz w:val="20"/>
                <w:szCs w:val="20"/>
                <w:color w:val="auto"/>
              </w:rPr>
            </w:pPr>
            <w:r>
              <w:rPr>
                <w:rFonts w:ascii="Arial" w:cs="Arial" w:eastAsia="Arial" w:hAnsi="Arial"/>
                <w:sz w:val="18"/>
                <w:szCs w:val="18"/>
                <w:color w:val="auto"/>
              </w:rPr>
              <w:t>Corporate</w:t>
            </w:r>
          </w:p>
        </w:tc>
        <w:tc>
          <w:tcPr>
            <w:tcW w:w="1780" w:type="dxa"/>
            <w:vAlign w:val="bottom"/>
            <w:gridSpan w:val="3"/>
          </w:tcPr>
          <w:p>
            <w:pPr>
              <w:spacing w:after="0"/>
              <w:rPr>
                <w:sz w:val="24"/>
                <w:szCs w:val="24"/>
                <w:color w:val="auto"/>
              </w:rPr>
            </w:pPr>
          </w:p>
        </w:tc>
        <w:tc>
          <w:tcPr>
            <w:tcW w:w="700" w:type="dxa"/>
            <w:vAlign w:val="bottom"/>
            <w:gridSpan w:val="4"/>
          </w:tcPr>
          <w:p>
            <w:pPr>
              <w:jc w:val="right"/>
              <w:ind w:right="240"/>
              <w:spacing w:after="0"/>
              <w:rPr>
                <w:sz w:val="20"/>
                <w:szCs w:val="20"/>
                <w:color w:val="auto"/>
              </w:rPr>
            </w:pPr>
            <w:r>
              <w:rPr>
                <w:rFonts w:ascii="Arial" w:cs="Arial" w:eastAsia="Arial" w:hAnsi="Arial"/>
                <w:sz w:val="18"/>
                <w:szCs w:val="18"/>
                <w:color w:val="auto"/>
              </w:rPr>
              <w:t>(86)</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(65)</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(296)</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(198)</w:t>
            </w:r>
          </w:p>
        </w:tc>
      </w:tr>
      <w:tr>
        <w:trPr>
          <w:trHeight w:val="20"/>
        </w:trPr>
        <w:tc>
          <w:tcPr>
            <w:tcW w:w="34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3420" w:type="dxa"/>
            <w:vAlign w:val="bottom"/>
          </w:tcPr>
          <w:p>
            <w:pPr>
              <w:spacing w:after="0"/>
              <w:rPr>
                <w:sz w:val="24"/>
                <w:szCs w:val="24"/>
                <w:color w:val="auto"/>
              </w:rPr>
            </w:pPr>
          </w:p>
        </w:tc>
        <w:tc>
          <w:tcPr>
            <w:tcW w:w="2220" w:type="dxa"/>
            <w:vAlign w:val="bottom"/>
            <w:gridSpan w:val="6"/>
          </w:tcPr>
          <w:p>
            <w:pPr>
              <w:jc w:val="right"/>
              <w:spacing w:after="0"/>
              <w:rPr>
                <w:sz w:val="20"/>
                <w:szCs w:val="20"/>
                <w:color w:val="auto"/>
              </w:rPr>
            </w:pPr>
            <w:r>
              <w:rPr>
                <w:rFonts w:ascii="Arial" w:cs="Arial" w:eastAsia="Arial" w:hAnsi="Arial"/>
                <w:sz w:val="18"/>
                <w:szCs w:val="18"/>
                <w:color w:val="auto"/>
              </w:rPr>
              <w:t>$ 837</w:t>
            </w:r>
          </w:p>
        </w:tc>
        <w:tc>
          <w:tcPr>
            <w:tcW w:w="26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1,090</w:t>
            </w:r>
          </w:p>
        </w:tc>
        <w:tc>
          <w:tcPr>
            <w:tcW w:w="200" w:type="dxa"/>
            <w:vAlign w:val="bottom"/>
          </w:tcPr>
          <w:p>
            <w:pPr>
              <w:spacing w:after="0"/>
              <w:rPr>
                <w:sz w:val="24"/>
                <w:szCs w:val="2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2,480</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2,385</w:t>
            </w:r>
          </w:p>
        </w:tc>
      </w:tr>
      <w:tr>
        <w:trPr>
          <w:trHeight w:val="20"/>
        </w:trPr>
        <w:tc>
          <w:tcPr>
            <w:tcW w:w="34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572"/>
        </w:trPr>
        <w:tc>
          <w:tcPr>
            <w:tcW w:w="3420" w:type="dxa"/>
            <w:vAlign w:val="bottom"/>
          </w:tcPr>
          <w:p>
            <w:pPr>
              <w:spacing w:after="0"/>
              <w:rPr>
                <w:sz w:val="24"/>
                <w:szCs w:val="24"/>
                <w:color w:val="auto"/>
              </w:rPr>
            </w:pPr>
          </w:p>
        </w:tc>
        <w:tc>
          <w:tcPr>
            <w:tcW w:w="1780" w:type="dxa"/>
            <w:vAlign w:val="bottom"/>
            <w:gridSpan w:val="3"/>
          </w:tcPr>
          <w:p>
            <w:pPr>
              <w:spacing w:after="0"/>
              <w:rPr>
                <w:sz w:val="24"/>
                <w:szCs w:val="24"/>
                <w:color w:val="auto"/>
              </w:rPr>
            </w:pPr>
          </w:p>
        </w:tc>
        <w:tc>
          <w:tcPr>
            <w:tcW w:w="700" w:type="dxa"/>
            <w:vAlign w:val="bottom"/>
            <w:gridSpan w:val="4"/>
          </w:tcPr>
          <w:p>
            <w:pPr>
              <w:jc w:val="center"/>
              <w:ind w:left="232"/>
              <w:spacing w:after="0"/>
              <w:rPr>
                <w:sz w:val="20"/>
                <w:szCs w:val="20"/>
                <w:color w:val="auto"/>
              </w:rPr>
            </w:pPr>
            <w:r>
              <w:rPr>
                <w:rFonts w:ascii="Arial" w:cs="Arial" w:eastAsia="Arial" w:hAnsi="Arial"/>
                <w:sz w:val="18"/>
                <w:szCs w:val="18"/>
                <w:color w:val="auto"/>
                <w:w w:val="90"/>
              </w:rPr>
              <w:t>- 12 -</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71"/>
        </w:trPr>
        <w:tc>
          <w:tcPr>
            <w:tcW w:w="3420" w:type="dxa"/>
            <w:vAlign w:val="bottom"/>
          </w:tcPr>
          <w:p>
            <w:pPr>
              <w:spacing w:after="0"/>
              <w:rPr>
                <w:sz w:val="24"/>
                <w:szCs w:val="24"/>
                <w:color w:val="auto"/>
              </w:rPr>
            </w:pPr>
          </w:p>
        </w:tc>
        <w:tc>
          <w:tcPr>
            <w:tcW w:w="4020" w:type="dxa"/>
            <w:vAlign w:val="bottom"/>
            <w:gridSpan w:val="13"/>
          </w:tcPr>
          <w:p>
            <w:pPr>
              <w:jc w:val="center"/>
              <w:ind w:left="492"/>
              <w:spacing w:after="0"/>
              <w:rPr>
                <w:sz w:val="20"/>
                <w:szCs w:val="20"/>
                <w:color w:val="auto"/>
              </w:rPr>
            </w:pPr>
            <w:r>
              <w:rPr>
                <w:rFonts w:ascii="Arial" w:cs="Arial" w:eastAsia="Arial" w:hAnsi="Arial"/>
                <w:sz w:val="18"/>
                <w:szCs w:val="18"/>
                <w:b w:val="1"/>
                <w:bCs w:val="1"/>
                <w:color w:val="auto"/>
                <w:w w:val="96"/>
              </w:rPr>
              <w:t>inTEST CORPORATION</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3420" w:type="dxa"/>
            <w:vAlign w:val="bottom"/>
          </w:tcPr>
          <w:p>
            <w:pPr>
              <w:spacing w:after="0"/>
              <w:rPr>
                <w:sz w:val="19"/>
                <w:szCs w:val="19"/>
                <w:color w:val="auto"/>
              </w:rPr>
            </w:pPr>
          </w:p>
        </w:tc>
        <w:tc>
          <w:tcPr>
            <w:tcW w:w="4680" w:type="dxa"/>
            <w:vAlign w:val="bottom"/>
            <w:gridSpan w:val="16"/>
          </w:tcPr>
          <w:p>
            <w:pPr>
              <w:jc w:val="center"/>
              <w:ind w:right="80"/>
              <w:spacing w:after="0"/>
              <w:rPr>
                <w:sz w:val="20"/>
                <w:szCs w:val="20"/>
                <w:color w:val="auto"/>
              </w:rPr>
            </w:pPr>
            <w:r>
              <w:rPr>
                <w:rFonts w:ascii="Arial" w:cs="Arial" w:eastAsia="Arial" w:hAnsi="Arial"/>
                <w:sz w:val="18"/>
                <w:szCs w:val="18"/>
                <w:b w:val="1"/>
                <w:bCs w:val="1"/>
                <w:color w:val="auto"/>
                <w:w w:val="97"/>
              </w:rPr>
              <w:t>NOTES TO CONSOLIDATED FINANCIAL STATEMENTS</w:t>
            </w:r>
          </w:p>
        </w:tc>
      </w:tr>
      <w:tr>
        <w:trPr>
          <w:trHeight w:val="216"/>
        </w:trPr>
        <w:tc>
          <w:tcPr>
            <w:tcW w:w="3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7"/>
          </w:tcPr>
          <w:p>
            <w:pPr>
              <w:jc w:val="center"/>
              <w:ind w:right="40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3420" w:type="dxa"/>
            <w:vAlign w:val="bottom"/>
          </w:tcPr>
          <w:p>
            <w:pPr>
              <w:spacing w:after="0"/>
              <w:rPr>
                <w:sz w:val="19"/>
                <w:szCs w:val="19"/>
                <w:color w:val="auto"/>
              </w:rPr>
            </w:pPr>
          </w:p>
        </w:tc>
        <w:tc>
          <w:tcPr>
            <w:tcW w:w="4680" w:type="dxa"/>
            <w:vAlign w:val="bottom"/>
            <w:gridSpan w:val="16"/>
          </w:tcPr>
          <w:p>
            <w:pPr>
              <w:jc w:val="center"/>
              <w:ind w:right="100"/>
              <w:spacing w:after="0"/>
              <w:rPr>
                <w:sz w:val="20"/>
                <w:szCs w:val="20"/>
                <w:color w:val="auto"/>
              </w:rPr>
            </w:pPr>
            <w:r>
              <w:rPr>
                <w:rFonts w:ascii="Arial" w:cs="Arial" w:eastAsia="Arial" w:hAnsi="Arial"/>
                <w:sz w:val="18"/>
                <w:szCs w:val="18"/>
                <w:color w:val="auto"/>
                <w:w w:val="86"/>
              </w:rPr>
              <w:t>(In thousands, except for share and per share data)</w:t>
            </w:r>
          </w:p>
        </w:tc>
      </w:tr>
      <w:tr>
        <w:trPr>
          <w:trHeight w:val="608"/>
        </w:trPr>
        <w:tc>
          <w:tcPr>
            <w:tcW w:w="3420" w:type="dxa"/>
            <w:vAlign w:val="bottom"/>
          </w:tcPr>
          <w:p>
            <w:pPr>
              <w:spacing w:after="0"/>
              <w:rPr>
                <w:sz w:val="20"/>
                <w:szCs w:val="20"/>
                <w:color w:val="auto"/>
              </w:rPr>
            </w:pPr>
            <w:r>
              <w:rPr>
                <w:rFonts w:ascii="Arial" w:cs="Arial" w:eastAsia="Arial" w:hAnsi="Arial"/>
                <w:sz w:val="18"/>
                <w:szCs w:val="18"/>
                <w:b w:val="1"/>
                <w:bCs w:val="1"/>
                <w:color w:val="auto"/>
                <w:w w:val="97"/>
              </w:rPr>
              <w:t xml:space="preserve">(9) SEGMENT INFORMATION </w:t>
            </w:r>
            <w:r>
              <w:rPr>
                <w:rFonts w:ascii="Arial" w:cs="Arial" w:eastAsia="Arial" w:hAnsi="Arial"/>
                <w:sz w:val="18"/>
                <w:szCs w:val="18"/>
                <w:color w:val="auto"/>
                <w:w w:val="97"/>
              </w:rPr>
              <w:t>(Continued)</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3"/>
        </w:trPr>
        <w:tc>
          <w:tcPr>
            <w:tcW w:w="3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i w:val="1"/>
                <w:iCs w:val="1"/>
                <w:color w:val="auto"/>
                <w:w w:val="83"/>
              </w:rPr>
              <w:t>Sept. 30,</w:t>
            </w:r>
          </w:p>
        </w:tc>
        <w:tc>
          <w:tcPr>
            <w:tcW w:w="660" w:type="dxa"/>
            <w:vAlign w:val="bottom"/>
            <w:gridSpan w:val="3"/>
          </w:tcPr>
          <w:p>
            <w:pPr>
              <w:jc w:val="center"/>
              <w:ind w:right="12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63"/>
        </w:trPr>
        <w:tc>
          <w:tcPr>
            <w:tcW w:w="3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i w:val="1"/>
                <w:iCs w:val="1"/>
                <w:color w:val="auto"/>
              </w:rPr>
              <w:t>2014</w:t>
            </w:r>
          </w:p>
        </w:tc>
        <w:tc>
          <w:tcPr>
            <w:tcW w:w="22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i w:val="1"/>
                <w:iCs w:val="1"/>
                <w:color w:val="auto"/>
              </w:rPr>
              <w:t>2013</w:t>
            </w:r>
          </w:p>
        </w:tc>
        <w:tc>
          <w:tcPr>
            <w:tcW w:w="60" w:type="dxa"/>
            <w:vAlign w:val="bottom"/>
          </w:tcPr>
          <w:p>
            <w:pPr>
              <w:spacing w:after="0"/>
              <w:rPr>
                <w:sz w:val="14"/>
                <w:szCs w:val="14"/>
                <w:color w:val="auto"/>
              </w:rPr>
            </w:pPr>
          </w:p>
        </w:tc>
      </w:tr>
      <w:tr>
        <w:trPr>
          <w:trHeight w:val="262"/>
        </w:trPr>
        <w:tc>
          <w:tcPr>
            <w:tcW w:w="342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Identifiable assets:</w:t>
            </w:r>
          </w:p>
        </w:tc>
        <w:tc>
          <w:tcPr>
            <w:tcW w:w="1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59"/>
        </w:trPr>
        <w:tc>
          <w:tcPr>
            <w:tcW w:w="3420" w:type="dxa"/>
            <w:vAlign w:val="bottom"/>
          </w:tcPr>
          <w:p>
            <w:pPr>
              <w:ind w:left="560"/>
              <w:spacing w:after="0"/>
              <w:rPr>
                <w:sz w:val="20"/>
                <w:szCs w:val="20"/>
                <w:color w:val="auto"/>
              </w:rPr>
            </w:pPr>
            <w:r>
              <w:rPr>
                <w:rFonts w:ascii="Arial" w:cs="Arial" w:eastAsia="Arial" w:hAnsi="Arial"/>
                <w:sz w:val="18"/>
                <w:szCs w:val="18"/>
                <w:color w:val="auto"/>
              </w:rPr>
              <w:t>Thermal Products</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2"/>
              </w:rPr>
              <w:t>$25,157</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2"/>
              </w:rPr>
              <w:t>$23,934</w:t>
            </w:r>
          </w:p>
        </w:tc>
        <w:tc>
          <w:tcPr>
            <w:tcW w:w="60" w:type="dxa"/>
            <w:vAlign w:val="bottom"/>
          </w:tcPr>
          <w:p>
            <w:pPr>
              <w:spacing w:after="0"/>
              <w:rPr>
                <w:sz w:val="24"/>
                <w:szCs w:val="24"/>
                <w:color w:val="auto"/>
              </w:rPr>
            </w:pPr>
          </w:p>
        </w:tc>
      </w:tr>
      <w:tr>
        <w:trPr>
          <w:trHeight w:val="459"/>
        </w:trPr>
        <w:tc>
          <w:tcPr>
            <w:tcW w:w="3420" w:type="dxa"/>
            <w:vAlign w:val="bottom"/>
          </w:tcPr>
          <w:p>
            <w:pPr>
              <w:ind w:left="560"/>
              <w:spacing w:after="0"/>
              <w:rPr>
                <w:sz w:val="20"/>
                <w:szCs w:val="20"/>
                <w:color w:val="auto"/>
              </w:rPr>
            </w:pPr>
            <w:r>
              <w:rPr>
                <w:rFonts w:ascii="Arial" w:cs="Arial" w:eastAsia="Arial" w:hAnsi="Arial"/>
                <w:sz w:val="18"/>
                <w:szCs w:val="18"/>
                <w:color w:val="auto"/>
              </w:rPr>
              <w:t>Mechanical Products</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8,466</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7,093</w:t>
            </w:r>
          </w:p>
        </w:tc>
        <w:tc>
          <w:tcPr>
            <w:tcW w:w="60" w:type="dxa"/>
            <w:vAlign w:val="bottom"/>
          </w:tcPr>
          <w:p>
            <w:pPr>
              <w:spacing w:after="0"/>
              <w:rPr>
                <w:sz w:val="24"/>
                <w:szCs w:val="24"/>
                <w:color w:val="auto"/>
              </w:rPr>
            </w:pPr>
          </w:p>
        </w:tc>
      </w:tr>
      <w:tr>
        <w:trPr>
          <w:trHeight w:val="421"/>
        </w:trPr>
        <w:tc>
          <w:tcPr>
            <w:tcW w:w="3420" w:type="dxa"/>
            <w:vAlign w:val="bottom"/>
          </w:tcPr>
          <w:p>
            <w:pPr>
              <w:ind w:left="560"/>
              <w:spacing w:after="0"/>
              <w:rPr>
                <w:sz w:val="20"/>
                <w:szCs w:val="20"/>
                <w:color w:val="auto"/>
              </w:rPr>
            </w:pPr>
            <w:r>
              <w:rPr>
                <w:rFonts w:ascii="Arial" w:cs="Arial" w:eastAsia="Arial" w:hAnsi="Arial"/>
                <w:sz w:val="18"/>
                <w:szCs w:val="18"/>
                <w:color w:val="auto"/>
              </w:rPr>
              <w:t>Electrical Products</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4,760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4,454</w:t>
            </w:r>
          </w:p>
        </w:tc>
        <w:tc>
          <w:tcPr>
            <w:tcW w:w="6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38,383</w:t>
            </w: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35,481</w:t>
            </w:r>
          </w:p>
        </w:tc>
        <w:tc>
          <w:tcPr>
            <w:tcW w:w="60" w:type="dxa"/>
            <w:vAlign w:val="bottom"/>
          </w:tcPr>
          <w:p>
            <w:pPr>
              <w:spacing w:after="0"/>
              <w:rPr>
                <w:sz w:val="24"/>
                <w:szCs w:val="24"/>
                <w:color w:val="auto"/>
              </w:rPr>
            </w:pPr>
          </w:p>
        </w:tc>
      </w:tr>
      <w:tr>
        <w:trPr>
          <w:trHeight w:val="20"/>
        </w:trPr>
        <w:tc>
          <w:tcPr>
            <w:tcW w:w="3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460" w:type="dxa"/>
            <w:vAlign w:val="bottom"/>
            <w:gridSpan w:val="11"/>
          </w:tcPr>
          <w:p>
            <w:pPr>
              <w:jc w:val="center"/>
              <w:ind w:right="28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200" w:type="dxa"/>
            <w:vAlign w:val="bottom"/>
          </w:tcPr>
          <w:p>
            <w:pPr>
              <w:spacing w:after="0"/>
              <w:rPr>
                <w:sz w:val="14"/>
                <w:szCs w:val="14"/>
                <w:color w:val="auto"/>
              </w:rPr>
            </w:pPr>
          </w:p>
        </w:tc>
        <w:tc>
          <w:tcPr>
            <w:tcW w:w="1300" w:type="dxa"/>
            <w:vAlign w:val="bottom"/>
            <w:gridSpan w:val="8"/>
          </w:tcPr>
          <w:p>
            <w:pPr>
              <w:jc w:val="right"/>
              <w:ind w:right="200"/>
              <w:spacing w:after="0"/>
              <w:rPr>
                <w:sz w:val="20"/>
                <w:szCs w:val="20"/>
                <w:color w:val="auto"/>
              </w:rPr>
            </w:pPr>
            <w:r>
              <w:rPr>
                <w:rFonts w:ascii="Arial" w:cs="Arial" w:eastAsia="Arial" w:hAnsi="Arial"/>
                <w:sz w:val="14"/>
                <w:szCs w:val="14"/>
                <w:b w:val="1"/>
                <w:bCs w:val="1"/>
                <w:i w:val="1"/>
                <w:iCs w:val="1"/>
                <w:color w:val="auto"/>
                <w:w w:val="82"/>
              </w:rPr>
              <w:t>Nine Months Ended</w:t>
            </w:r>
          </w:p>
        </w:tc>
      </w:tr>
      <w:tr>
        <w:trPr>
          <w:trHeight w:val="146"/>
        </w:trPr>
        <w:tc>
          <w:tcPr>
            <w:tcW w:w="4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5"/>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3"/>
              </w:rPr>
              <w:t>Sept. 30,</w:t>
            </w:r>
          </w:p>
        </w:tc>
        <w:tc>
          <w:tcPr>
            <w:tcW w:w="380" w:type="dxa"/>
            <w:vAlign w:val="bottom"/>
            <w:gridSpan w:val="3"/>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spacing w:after="0" w:line="146" w:lineRule="exact"/>
              <w:rPr>
                <w:sz w:val="20"/>
                <w:szCs w:val="20"/>
                <w:color w:val="auto"/>
              </w:rPr>
            </w:pPr>
            <w:r>
              <w:rPr>
                <w:rFonts w:ascii="Arial" w:cs="Arial" w:eastAsia="Arial" w:hAnsi="Arial"/>
                <w:sz w:val="14"/>
                <w:szCs w:val="14"/>
                <w:b w:val="1"/>
                <w:bCs w:val="1"/>
                <w:i w:val="1"/>
                <w:iCs w:val="1"/>
                <w:color w:val="auto"/>
              </w:rPr>
              <w:t>Sept. 30,</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4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80" w:type="dxa"/>
            <w:vAlign w:val="bottom"/>
          </w:tcPr>
          <w:p>
            <w:pPr>
              <w:spacing w:after="0"/>
              <w:rPr>
                <w:sz w:val="13"/>
                <w:szCs w:val="13"/>
                <w:color w:val="auto"/>
              </w:rPr>
            </w:pPr>
          </w:p>
        </w:tc>
        <w:tc>
          <w:tcPr>
            <w:tcW w:w="820" w:type="dxa"/>
            <w:vAlign w:val="bottom"/>
            <w:gridSpan w:val="5"/>
          </w:tcPr>
          <w:p>
            <w:pPr>
              <w:jc w:val="right"/>
              <w:ind w:right="10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120" w:type="dxa"/>
            <w:vAlign w:val="bottom"/>
          </w:tcPr>
          <w:p>
            <w:pPr>
              <w:spacing w:after="0"/>
              <w:rPr>
                <w:sz w:val="13"/>
                <w:szCs w:val="13"/>
                <w:color w:val="auto"/>
              </w:rPr>
            </w:pPr>
          </w:p>
        </w:tc>
        <w:tc>
          <w:tcPr>
            <w:tcW w:w="68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340" w:type="dxa"/>
            <w:vAlign w:val="bottom"/>
          </w:tcPr>
          <w:p>
            <w:pPr>
              <w:spacing w:after="0"/>
              <w:rPr>
                <w:sz w:val="13"/>
                <w:szCs w:val="13"/>
                <w:color w:val="auto"/>
              </w:rPr>
            </w:pPr>
          </w:p>
        </w:tc>
        <w:tc>
          <w:tcPr>
            <w:tcW w:w="3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100" w:type="dxa"/>
            <w:vAlign w:val="bottom"/>
          </w:tcPr>
          <w:p>
            <w:pPr>
              <w:spacing w:after="0"/>
              <w:rPr>
                <w:sz w:val="13"/>
                <w:szCs w:val="13"/>
                <w:color w:val="auto"/>
              </w:rPr>
            </w:pPr>
          </w:p>
        </w:tc>
      </w:tr>
      <w:tr>
        <w:trPr>
          <w:trHeight w:val="302"/>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U.S.</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3,343</w:t>
            </w:r>
          </w:p>
        </w:tc>
        <w:tc>
          <w:tcPr>
            <w:tcW w:w="940" w:type="dxa"/>
            <w:vAlign w:val="bottom"/>
            <w:gridSpan w:val="6"/>
          </w:tcPr>
          <w:p>
            <w:pPr>
              <w:jc w:val="right"/>
              <w:ind w:right="120"/>
              <w:spacing w:after="0"/>
              <w:rPr>
                <w:sz w:val="20"/>
                <w:szCs w:val="20"/>
                <w:color w:val="auto"/>
              </w:rPr>
            </w:pPr>
            <w:r>
              <w:rPr>
                <w:rFonts w:ascii="Arial" w:cs="Arial" w:eastAsia="Arial" w:hAnsi="Arial"/>
                <w:sz w:val="18"/>
                <w:szCs w:val="18"/>
                <w:color w:val="auto"/>
              </w:rPr>
              <w:t>$ 3,098</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$10,215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9,816</w:t>
            </w:r>
          </w:p>
        </w:tc>
      </w:tr>
      <w:tr>
        <w:trPr>
          <w:trHeight w:val="421"/>
        </w:trPr>
        <w:tc>
          <w:tcPr>
            <w:tcW w:w="4540" w:type="dxa"/>
            <w:vAlign w:val="bottom"/>
          </w:tcPr>
          <w:p>
            <w:pPr>
              <w:spacing w:after="0"/>
              <w:rPr>
                <w:sz w:val="20"/>
                <w:szCs w:val="20"/>
                <w:color w:val="auto"/>
              </w:rPr>
            </w:pPr>
            <w:r>
              <w:rPr>
                <w:rFonts w:ascii="Arial" w:cs="Arial" w:eastAsia="Arial" w:hAnsi="Arial"/>
                <w:sz w:val="18"/>
                <w:szCs w:val="18"/>
                <w:color w:val="auto"/>
              </w:rPr>
              <w:t>Foreign</w:t>
            </w: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7,451</w:t>
            </w:r>
          </w:p>
        </w:tc>
        <w:tc>
          <w:tcPr>
            <w:tcW w:w="280" w:type="dxa"/>
            <w:vAlign w:val="bottom"/>
          </w:tcPr>
          <w:p>
            <w:pPr>
              <w:spacing w:after="0"/>
              <w:rPr>
                <w:sz w:val="24"/>
                <w:szCs w:val="24"/>
                <w:color w:val="auto"/>
              </w:rPr>
            </w:pPr>
          </w:p>
        </w:tc>
        <w:tc>
          <w:tcPr>
            <w:tcW w:w="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6,802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3"/>
              </w:rPr>
              <w:t>21,719</w:t>
            </w:r>
          </w:p>
        </w:tc>
        <w:tc>
          <w:tcPr>
            <w:tcW w:w="340" w:type="dxa"/>
            <w:vAlign w:val="bottom"/>
          </w:tcPr>
          <w:p>
            <w:pPr>
              <w:spacing w:after="0"/>
              <w:rPr>
                <w:sz w:val="24"/>
                <w:szCs w:val="24"/>
                <w:color w:val="auto"/>
              </w:rPr>
            </w:pP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3"/>
              </w:rPr>
              <w:t>20,275</w:t>
            </w:r>
          </w:p>
        </w:tc>
      </w:tr>
      <w:tr>
        <w:trPr>
          <w:trHeight w:val="439"/>
        </w:trPr>
        <w:tc>
          <w:tcPr>
            <w:tcW w:w="45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10,794</w:t>
            </w:r>
          </w:p>
        </w:tc>
        <w:tc>
          <w:tcPr>
            <w:tcW w:w="280" w:type="dxa"/>
            <w:vAlign w:val="bottom"/>
          </w:tcPr>
          <w:p>
            <w:pPr>
              <w:spacing w:after="0"/>
              <w:rPr>
                <w:sz w:val="24"/>
                <w:szCs w:val="24"/>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86"/>
              </w:rPr>
              <w:t>$ 9,900</w:t>
            </w:r>
          </w:p>
        </w:tc>
        <w:tc>
          <w:tcPr>
            <w:tcW w:w="12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31,934</w:t>
            </w:r>
          </w:p>
        </w:tc>
        <w:tc>
          <w:tcPr>
            <w:tcW w:w="34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30,091</w:t>
            </w:r>
          </w:p>
        </w:tc>
      </w:tr>
      <w:tr>
        <w:trPr>
          <w:trHeight w:val="20"/>
        </w:trPr>
        <w:tc>
          <w:tcPr>
            <w:tcW w:w="454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95" w:orient="portrait"/>
          <w:cols w:equalWidth="0" w:num="1">
            <w:col w:w="11260"/>
          </w:cols>
          <w:pgMar w:left="240" w:top="131" w:right="399" w:bottom="0" w:gutter="0" w:footer="0" w:header="0"/>
        </w:sectPr>
      </w:pPr>
    </w:p>
    <w:p>
      <w:pPr>
        <w:spacing w:after="0" w:line="200" w:lineRule="exact"/>
        <w:rPr>
          <w:sz w:val="20"/>
          <w:szCs w:val="20"/>
          <w:color w:val="auto"/>
        </w:rPr>
      </w:pPr>
    </w:p>
    <w:p>
      <w:pPr>
        <w:spacing w:after="0" w:line="253"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Property and equipment: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i w:val="1"/>
          <w:iCs w:val="1"/>
          <w:color w:val="auto"/>
        </w:rPr>
        <w:t>Sept. 30,</w:t>
      </w:r>
      <w:r>
        <w:rPr>
          <w:sz w:val="20"/>
          <w:szCs w:val="20"/>
          <w:color w:val="auto"/>
        </w:rPr>
        <w:tab/>
      </w:r>
      <w:r>
        <w:rPr>
          <w:rFonts w:ascii="Arial" w:cs="Arial" w:eastAsia="Arial" w:hAnsi="Arial"/>
          <w:sz w:val="12"/>
          <w:szCs w:val="12"/>
          <w:b w:val="1"/>
          <w:bCs w:val="1"/>
          <w:i w:val="1"/>
          <w:iCs w:val="1"/>
          <w:color w:val="auto"/>
        </w:rPr>
        <w:t>Dec. 31,</w:t>
      </w:r>
    </w:p>
    <w:p>
      <w:pPr>
        <w:spacing w:after="0" w:line="28"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4"/>
          <w:szCs w:val="14"/>
          <w:b w:val="1"/>
          <w:bCs w:val="1"/>
          <w:i w:val="1"/>
          <w:iCs w:val="1"/>
          <w:color w:val="auto"/>
        </w:rPr>
        <w:t>2014</w:t>
      </w:r>
      <w:r>
        <w:rPr>
          <w:sz w:val="20"/>
          <w:szCs w:val="20"/>
          <w:color w:val="auto"/>
        </w:rPr>
        <w:tab/>
      </w:r>
      <w:r>
        <w:rPr>
          <w:rFonts w:ascii="Arial" w:cs="Arial" w:eastAsia="Arial" w:hAnsi="Arial"/>
          <w:sz w:val="14"/>
          <w:szCs w:val="14"/>
          <w:b w:val="1"/>
          <w:bCs w:val="1"/>
          <w:i w:val="1"/>
          <w:i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-8890</wp:posOffset>
            </wp:positionV>
            <wp:extent cx="85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3440" cy="8890"/>
                    </a:xfrm>
                    <a:prstGeom prst="rect">
                      <a:avLst/>
                    </a:prstGeom>
                    <a:noFill/>
                  </pic:spPr>
                </pic:pic>
              </a:graphicData>
            </a:graphic>
          </wp:anchor>
        </w:drawing>
      </w:r>
    </w:p>
    <w:p>
      <w:pPr>
        <w:spacing w:after="0" w:line="240" w:lineRule="exact"/>
        <w:rPr>
          <w:sz w:val="20"/>
          <w:szCs w:val="20"/>
          <w:color w:val="auto"/>
        </w:rPr>
      </w:pPr>
    </w:p>
    <w:p>
      <w:pPr>
        <w:sectPr>
          <w:pgSz w:w="11900" w:h="16895" w:orient="portrait"/>
          <w:cols w:equalWidth="0" w:num="2">
            <w:col w:w="5940" w:space="720"/>
            <w:col w:w="4600"/>
          </w:cols>
          <w:pgMar w:left="240" w:top="131" w:right="399" w:bottom="0" w:gutter="0" w:footer="0" w:header="0"/>
          <w:type w:val="continuous"/>
        </w:sectPr>
      </w:pPr>
    </w:p>
    <w:p>
      <w:pPr>
        <w:spacing w:after="0" w:line="87"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U.S.</w:t>
            </w: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  655</w:t>
            </w:r>
          </w:p>
        </w:tc>
        <w:tc>
          <w:tcPr>
            <w:tcW w:w="660" w:type="dxa"/>
            <w:vAlign w:val="bottom"/>
          </w:tcPr>
          <w:p>
            <w:pPr>
              <w:jc w:val="right"/>
              <w:spacing w:after="0"/>
              <w:rPr>
                <w:sz w:val="20"/>
                <w:szCs w:val="20"/>
                <w:color w:val="auto"/>
              </w:rPr>
            </w:pPr>
            <w:r>
              <w:rPr>
                <w:rFonts w:ascii="Arial" w:cs="Arial" w:eastAsia="Arial" w:hAnsi="Arial"/>
                <w:sz w:val="18"/>
                <w:szCs w:val="18"/>
                <w:color w:val="auto"/>
              </w:rPr>
              <w:t>$  700</w:t>
            </w:r>
          </w:p>
        </w:tc>
      </w:tr>
    </w:tbl>
    <w:p>
      <w:pPr>
        <w:sectPr>
          <w:pgSz w:w="11900" w:h="16895" w:orient="portrait"/>
          <w:cols w:equalWidth="0" w:num="1">
            <w:col w:w="11260"/>
          </w:cols>
          <w:pgMar w:left="240" w:top="131" w:right="399" w:bottom="0" w:gutter="0" w:footer="0" w:header="0"/>
          <w:type w:val="continuous"/>
        </w:sectPr>
      </w:pPr>
    </w:p>
    <w:bookmarkStart w:id="12" w:name="page13"/>
    <w:bookmarkEnd w:id="12"/>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6240" w:type="dxa"/>
            <w:vAlign w:val="bottom"/>
          </w:tcPr>
          <w:p>
            <w:pPr>
              <w:spacing w:after="0"/>
              <w:rPr>
                <w:sz w:val="20"/>
                <w:szCs w:val="20"/>
                <w:color w:val="auto"/>
              </w:rPr>
            </w:pPr>
            <w:r>
              <w:rPr>
                <w:rFonts w:ascii="Arial" w:cs="Arial" w:eastAsia="Arial" w:hAnsi="Arial"/>
                <w:sz w:val="18"/>
                <w:szCs w:val="18"/>
                <w:color w:val="auto"/>
              </w:rPr>
              <w:t>Foreign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380" w:type="dxa"/>
            <w:vAlign w:val="bottom"/>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439"/>
        </w:trPr>
        <w:tc>
          <w:tcPr>
            <w:tcW w:w="6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1,218</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1,254</w:t>
            </w:r>
          </w:p>
        </w:tc>
      </w:tr>
      <w:tr>
        <w:trPr>
          <w:trHeight w:val="20"/>
        </w:trPr>
        <w:tc>
          <w:tcPr>
            <w:tcW w:w="62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ind w:left="520" w:right="1720" w:hanging="539"/>
        <w:spacing w:after="0" w:line="47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2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2013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2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2013 Form 10-K. Material changes to such risk factors may be reported in subsequent Quarterly Reports on Form 10-Q in Part II, Item 1A. There have been no such changes from the risk factors set forth in our 2013 Form 10-K.</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20" w:right="40"/>
        <w:spacing w:after="0" w:line="291"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In addition, we continue to focus on design improvements and new approaches for our own products which contribute to our net revenues as our customers adopt these new products.</w:t>
      </w:r>
    </w:p>
    <w:p>
      <w:pPr>
        <w:spacing w:after="0" w:line="174" w:lineRule="exact"/>
        <w:rPr>
          <w:sz w:val="20"/>
          <w:szCs w:val="20"/>
          <w:color w:val="auto"/>
        </w:rPr>
      </w:pPr>
    </w:p>
    <w:p>
      <w:pPr>
        <w:ind w:left="520"/>
        <w:spacing w:after="0" w:line="307" w:lineRule="auto"/>
        <w:rPr>
          <w:sz w:val="20"/>
          <w:szCs w:val="20"/>
          <w:color w:val="auto"/>
        </w:rPr>
      </w:pPr>
      <w:r>
        <w:rPr>
          <w:rFonts w:ascii="Arial" w:cs="Arial" w:eastAsia="Arial" w:hAnsi="Arial"/>
          <w:sz w:val="15"/>
          <w:szCs w:val="15"/>
          <w:color w:val="auto"/>
        </w:rPr>
        <w:t>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 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66" w:lineRule="exact"/>
        <w:rPr>
          <w:sz w:val="20"/>
          <w:szCs w:val="20"/>
          <w:color w:val="auto"/>
        </w:rPr>
      </w:pPr>
    </w:p>
    <w:p>
      <w:pPr>
        <w:ind w:left="520" w:right="60"/>
        <w:spacing w:after="0" w:line="294" w:lineRule="auto"/>
        <w:rPr>
          <w:sz w:val="20"/>
          <w:szCs w:val="20"/>
          <w:color w:val="auto"/>
        </w:rPr>
      </w:pPr>
      <w:r>
        <w:rPr>
          <w:rFonts w:ascii="Arial" w:cs="Arial" w:eastAsia="Arial" w:hAnsi="Arial"/>
          <w:sz w:val="16"/>
          <w:szCs w:val="16"/>
          <w:color w:val="auto"/>
        </w:rPr>
        <w:t>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w:t>
      </w:r>
    </w:p>
    <w:p>
      <w:pPr>
        <w:sectPr>
          <w:pgSz w:w="11900" w:h="16838" w:orient="portrait"/>
          <w:cols w:equalWidth="0" w:num="1">
            <w:col w:w="11380"/>
          </w:cols>
          <w:pgMar w:left="260" w:top="135" w:right="259" w:bottom="65" w:gutter="0" w:footer="0" w:header="0"/>
        </w:sectPr>
      </w:pPr>
    </w:p>
    <w:bookmarkStart w:id="13" w:name="page14"/>
    <w:bookmarkEnd w:id="13"/>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As part of our diversification strategy to reduce the impact of ATE market volatility on our business operations, we market our Thermostream temperature management systems in markets outside the ATE market, such as the automotive, consumer electronics, defense/aerospace, energy, industrial and telecommunications markets. We believe that these markets usually are less cyclical than the ATE market. However, because we are a recent market entrant in these markets, we have not yet developed meaningful market shares in these non-ATE markets. Consequently, we are continuing to evaluate customer buying patterns and market trends in these non-ATE markets. In addition, our orders and net revenues in any given period in these markets do not necessarily reflect the overall trends in these non-ATE markets due to our limited market shares. The level of our orders and net revenues from these non-ATE markets has varied in the past, and we expect will vary significantly in the future, as we work to build our presence in these markets and establish new markets for our products.</w:t>
      </w:r>
    </w:p>
    <w:p>
      <w:pPr>
        <w:spacing w:after="0" w:line="172"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(iv) customer supply chain management groups demanding lower prices and spreading purchases across multiple vendors, and (v) certain competitors aggressively reducing their products' sales prices (causing us to either reduce our products' sales price to be successful in obtaining the sale or causing loss of the sale).</w:t>
      </w:r>
    </w:p>
    <w:p>
      <w:pPr>
        <w:spacing w:after="0" w:line="181"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orders received from unaffiliated customers both by product segment and market.</w:t>
      </w:r>
    </w:p>
    <w:p>
      <w:pPr>
        <w:spacing w:after="0" w:line="14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9"/>
              </w:rPr>
              <w:t>Three</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center"/>
              <w:ind w:right="520"/>
              <w:spacing w:after="0"/>
              <w:rPr>
                <w:sz w:val="20"/>
                <w:szCs w:val="20"/>
                <w:color w:val="auto"/>
              </w:rPr>
            </w:pPr>
            <w:r>
              <w:rPr>
                <w:rFonts w:ascii="Arial" w:cs="Arial" w:eastAsia="Arial" w:hAnsi="Arial"/>
                <w:sz w:val="14"/>
                <w:szCs w:val="14"/>
                <w:b w:val="1"/>
                <w:bCs w:val="1"/>
                <w:i w:val="1"/>
                <w:iCs w:val="1"/>
                <w:color w:val="auto"/>
                <w:w w:val="83"/>
              </w:rPr>
              <w:t>Three</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8"/>
          </w:tcPr>
          <w:p>
            <w:pPr>
              <w:jc w:val="center"/>
              <w:ind w:right="3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7"/>
              </w:rPr>
              <w:t>Months Ended</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September 30,</w:t>
            </w:r>
          </w:p>
        </w:tc>
        <w:tc>
          <w:tcPr>
            <w:tcW w:w="40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bottom w:val="single" w:sz="8" w:color="auto"/>
            </w:tcBorders>
            <w:gridSpan w:val="4"/>
          </w:tcPr>
          <w:p>
            <w:pPr>
              <w:ind w:left="10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2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gridSpan w:val="5"/>
          </w:tcPr>
          <w:p>
            <w:pPr>
              <w:ind w:left="12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2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152"/>
              <w:spacing w:after="0"/>
              <w:rPr>
                <w:sz w:val="20"/>
                <w:szCs w:val="20"/>
                <w:color w:val="auto"/>
              </w:rPr>
            </w:pPr>
            <w:r>
              <w:rPr>
                <w:rFonts w:ascii="Arial" w:cs="Arial" w:eastAsia="Arial" w:hAnsi="Arial"/>
                <w:sz w:val="14"/>
                <w:szCs w:val="14"/>
                <w:b w:val="1"/>
                <w:bCs w:val="1"/>
                <w:i w:val="1"/>
                <w:iCs w:val="1"/>
                <w:color w:val="auto"/>
                <w:w w:val="76"/>
              </w:rPr>
              <w:t>2014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4"/>
                <w:szCs w:val="14"/>
                <w:b w:val="1"/>
                <w:bCs w:val="1"/>
                <w:i w:val="1"/>
                <w:iCs w:val="1"/>
                <w:color w:val="auto"/>
                <w:w w:val="83"/>
              </w:rPr>
              <w:t>2013</w:t>
            </w:r>
          </w:p>
        </w:tc>
        <w:tc>
          <w:tcPr>
            <w:tcW w:w="160" w:type="dxa"/>
            <w:vAlign w:val="bottom"/>
          </w:tcPr>
          <w:p>
            <w:pPr>
              <w:spacing w:after="0"/>
              <w:rPr>
                <w:sz w:val="19"/>
                <w:szCs w:val="19"/>
                <w:color w:val="auto"/>
              </w:rPr>
            </w:pPr>
          </w:p>
        </w:tc>
        <w:tc>
          <w:tcPr>
            <w:tcW w:w="420" w:type="dxa"/>
            <w:vAlign w:val="bottom"/>
            <w:gridSpan w:val="2"/>
          </w:tcPr>
          <w:p>
            <w:pPr>
              <w:jc w:val="right"/>
              <w:ind w:right="14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100" w:type="dxa"/>
            <w:vAlign w:val="bottom"/>
          </w:tcPr>
          <w:p>
            <w:pPr>
              <w:spacing w:after="0"/>
              <w:rPr>
                <w:sz w:val="19"/>
                <w:szCs w:val="19"/>
                <w:color w:val="auto"/>
              </w:rPr>
            </w:pPr>
          </w:p>
        </w:tc>
        <w:tc>
          <w:tcPr>
            <w:tcW w:w="480" w:type="dxa"/>
            <w:vAlign w:val="bottom"/>
            <w:gridSpan w:val="4"/>
          </w:tcPr>
          <w:p>
            <w:pPr>
              <w:jc w:val="right"/>
              <w:ind w:right="240"/>
              <w:spacing w:after="0"/>
              <w:rPr>
                <w:sz w:val="20"/>
                <w:szCs w:val="20"/>
                <w:color w:val="auto"/>
              </w:rPr>
            </w:pPr>
            <w:r>
              <w:rPr>
                <w:rFonts w:ascii="Arial" w:cs="Arial" w:eastAsia="Arial" w:hAnsi="Arial"/>
                <w:sz w:val="14"/>
                <w:szCs w:val="14"/>
                <w:b w:val="1"/>
                <w:bCs w:val="1"/>
                <w:i w:val="1"/>
                <w:iCs w:val="1"/>
                <w:color w:val="auto"/>
              </w:rPr>
              <w:t>%</w:t>
            </w:r>
          </w:p>
        </w:tc>
        <w:tc>
          <w:tcPr>
            <w:tcW w:w="820" w:type="dxa"/>
            <w:vAlign w:val="bottom"/>
            <w:gridSpan w:val="5"/>
          </w:tcPr>
          <w:p>
            <w:pPr>
              <w:jc w:val="center"/>
              <w:ind w:left="58"/>
              <w:spacing w:after="0"/>
              <w:rPr>
                <w:sz w:val="20"/>
                <w:szCs w:val="20"/>
                <w:color w:val="auto"/>
              </w:rPr>
            </w:pPr>
            <w:r>
              <w:rPr>
                <w:rFonts w:ascii="Arial" w:cs="Arial" w:eastAsia="Arial" w:hAnsi="Arial"/>
                <w:sz w:val="14"/>
                <w:szCs w:val="14"/>
                <w:b w:val="1"/>
                <w:bCs w:val="1"/>
                <w:i w:val="1"/>
                <w:iCs w:val="1"/>
                <w:color w:val="auto"/>
                <w:w w:val="89"/>
              </w:rPr>
              <w:t>2014</w:t>
            </w:r>
          </w:p>
        </w:tc>
        <w:tc>
          <w:tcPr>
            <w:tcW w:w="360" w:type="dxa"/>
            <w:vAlign w:val="bottom"/>
          </w:tcPr>
          <w:p>
            <w:pPr>
              <w:spacing w:after="0"/>
              <w:rPr>
                <w:sz w:val="19"/>
                <w:szCs w:val="19"/>
                <w:color w:val="auto"/>
              </w:rPr>
            </w:pPr>
          </w:p>
        </w:tc>
        <w:tc>
          <w:tcPr>
            <w:tcW w:w="460" w:type="dxa"/>
            <w:vAlign w:val="bottom"/>
            <w:gridSpan w:val="2"/>
          </w:tcPr>
          <w:p>
            <w:pPr>
              <w:jc w:val="right"/>
              <w:ind w:right="17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140" w:type="dxa"/>
            <w:vAlign w:val="bottom"/>
          </w:tcPr>
          <w:p>
            <w:pPr>
              <w:spacing w:after="0"/>
              <w:rPr>
                <w:sz w:val="20"/>
                <w:szCs w:val="20"/>
                <w:color w:val="auto"/>
              </w:rPr>
            </w:pPr>
            <w:r>
              <w:rPr>
                <w:rFonts w:ascii="Arial" w:cs="Arial" w:eastAsia="Arial" w:hAnsi="Arial"/>
                <w:sz w:val="18"/>
                <w:szCs w:val="18"/>
                <w:b w:val="1"/>
                <w:bCs w:val="1"/>
                <w:i w:val="1"/>
                <w:iCs w:val="1"/>
                <w:color w:val="auto"/>
              </w:rPr>
              <w:t>Orders from unaffiliated customers:</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140" w:type="dxa"/>
            <w:vAlign w:val="bottom"/>
          </w:tcPr>
          <w:p>
            <w:pPr>
              <w:spacing w:after="0"/>
              <w:rPr>
                <w:sz w:val="20"/>
                <w:szCs w:val="20"/>
                <w:color w:val="auto"/>
              </w:rPr>
            </w:pPr>
            <w:r>
              <w:rPr>
                <w:rFonts w:ascii="Arial" w:cs="Arial" w:eastAsia="Arial" w:hAnsi="Arial"/>
                <w:sz w:val="18"/>
                <w:szCs w:val="18"/>
                <w:color w:val="auto"/>
              </w:rPr>
              <w:t>Thermal Products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6,504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4"/>
          </w:tcPr>
          <w:p>
            <w:pPr>
              <w:jc w:val="right"/>
              <w:ind w:right="160"/>
              <w:spacing w:after="0"/>
              <w:rPr>
                <w:sz w:val="20"/>
                <w:szCs w:val="20"/>
                <w:color w:val="auto"/>
              </w:rPr>
            </w:pPr>
            <w:r>
              <w:rPr>
                <w:rFonts w:ascii="Arial" w:cs="Arial" w:eastAsia="Arial" w:hAnsi="Arial"/>
                <w:sz w:val="18"/>
                <w:szCs w:val="18"/>
                <w:color w:val="auto"/>
              </w:rPr>
              <w:t>6,534</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 (30)</w:t>
            </w: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rPr>
              <w:t>0 %</w:t>
            </w:r>
          </w:p>
        </w:tc>
        <w:tc>
          <w:tcPr>
            <w:tcW w:w="820" w:type="dxa"/>
            <w:vAlign w:val="bottom"/>
            <w:gridSpan w:val="5"/>
            <w:vMerge w:val="restart"/>
          </w:tcPr>
          <w:p>
            <w:pPr>
              <w:jc w:val="right"/>
              <w:spacing w:after="0"/>
              <w:rPr>
                <w:sz w:val="20"/>
                <w:szCs w:val="20"/>
                <w:color w:val="auto"/>
              </w:rPr>
            </w:pPr>
            <w:r>
              <w:rPr>
                <w:rFonts w:ascii="Arial" w:cs="Arial" w:eastAsia="Arial" w:hAnsi="Arial"/>
                <w:sz w:val="18"/>
                <w:szCs w:val="18"/>
                <w:color w:val="auto"/>
              </w:rPr>
              <w:t>$ 6,094</w:t>
            </w:r>
          </w:p>
        </w:tc>
        <w:tc>
          <w:tcPr>
            <w:tcW w:w="360" w:type="dxa"/>
            <w:vAlign w:val="bottom"/>
          </w:tcPr>
          <w:p>
            <w:pPr>
              <w:spacing w:after="0"/>
              <w:rPr>
                <w:sz w:val="24"/>
                <w:szCs w:val="24"/>
                <w:color w:val="auto"/>
              </w:rPr>
            </w:pP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w w:val="91"/>
              </w:rPr>
              <w:t>$  410</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5"/>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Mechanical Products</w:t>
            </w:r>
          </w:p>
        </w:tc>
        <w:tc>
          <w:tcPr>
            <w:tcW w:w="10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2,307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4"/>
          </w:tcPr>
          <w:p>
            <w:pPr>
              <w:jc w:val="right"/>
              <w:ind w:right="160"/>
              <w:spacing w:after="0"/>
              <w:rPr>
                <w:sz w:val="20"/>
                <w:szCs w:val="20"/>
                <w:color w:val="auto"/>
              </w:rPr>
            </w:pPr>
            <w:r>
              <w:rPr>
                <w:rFonts w:ascii="Arial" w:cs="Arial" w:eastAsia="Arial" w:hAnsi="Arial"/>
                <w:sz w:val="18"/>
                <w:szCs w:val="18"/>
                <w:color w:val="auto"/>
              </w:rPr>
              <w:t>1,837</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rPr>
              <w:t>470</w:t>
            </w: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w w:val="97"/>
              </w:rPr>
              <w:t>26 %</w:t>
            </w:r>
          </w:p>
        </w:tc>
        <w:tc>
          <w:tcPr>
            <w:tcW w:w="820" w:type="dxa"/>
            <w:vAlign w:val="bottom"/>
            <w:gridSpan w:val="5"/>
            <w:vMerge w:val="restart"/>
          </w:tcPr>
          <w:p>
            <w:pPr>
              <w:jc w:val="right"/>
              <w:spacing w:after="0"/>
              <w:rPr>
                <w:sz w:val="20"/>
                <w:szCs w:val="20"/>
                <w:color w:val="auto"/>
              </w:rPr>
            </w:pPr>
            <w:r>
              <w:rPr>
                <w:rFonts w:ascii="Arial" w:cs="Arial" w:eastAsia="Arial" w:hAnsi="Arial"/>
                <w:sz w:val="18"/>
                <w:szCs w:val="18"/>
                <w:color w:val="auto"/>
              </w:rPr>
              <w:t>4,178</w:t>
            </w:r>
          </w:p>
        </w:tc>
        <w:tc>
          <w:tcPr>
            <w:tcW w:w="360" w:type="dxa"/>
            <w:vAlign w:val="bottom"/>
          </w:tcPr>
          <w:p>
            <w:pPr>
              <w:spacing w:after="0"/>
              <w:rPr>
                <w:sz w:val="21"/>
                <w:szCs w:val="21"/>
                <w:color w:val="auto"/>
              </w:rPr>
            </w:pPr>
          </w:p>
        </w:tc>
        <w:tc>
          <w:tcPr>
            <w:tcW w:w="1040" w:type="dxa"/>
            <w:vAlign w:val="bottom"/>
            <w:gridSpan w:val="8"/>
          </w:tcPr>
          <w:p>
            <w:pPr>
              <w:jc w:val="right"/>
              <w:spacing w:after="0"/>
              <w:rPr>
                <w:sz w:val="20"/>
                <w:szCs w:val="20"/>
                <w:color w:val="auto"/>
              </w:rPr>
            </w:pPr>
            <w:r>
              <w:rPr>
                <w:rFonts w:ascii="Arial" w:cs="Arial" w:eastAsia="Arial" w:hAnsi="Arial"/>
                <w:sz w:val="18"/>
                <w:szCs w:val="18"/>
                <w:color w:val="auto"/>
                <w:w w:val="92"/>
              </w:rPr>
              <w:t>(1,871) (45)%</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5"/>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4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10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1,836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4"/>
          </w:tcPr>
          <w:p>
            <w:pPr>
              <w:jc w:val="right"/>
              <w:ind w:right="160"/>
              <w:spacing w:after="0" w:line="205" w:lineRule="exact"/>
              <w:rPr>
                <w:sz w:val="20"/>
                <w:szCs w:val="20"/>
                <w:color w:val="auto"/>
              </w:rPr>
            </w:pPr>
            <w:r>
              <w:rPr>
                <w:rFonts w:ascii="Arial" w:cs="Arial" w:eastAsia="Arial" w:hAnsi="Arial"/>
                <w:sz w:val="18"/>
                <w:szCs w:val="18"/>
                <w:color w:val="auto"/>
              </w:rPr>
              <w:t>2,048</w:t>
            </w:r>
          </w:p>
        </w:tc>
        <w:tc>
          <w:tcPr>
            <w:tcW w:w="1000" w:type="dxa"/>
            <w:vAlign w:val="bottom"/>
            <w:gridSpan w:val="7"/>
          </w:tcPr>
          <w:p>
            <w:pPr>
              <w:jc w:val="right"/>
              <w:ind w:right="60"/>
              <w:spacing w:after="0" w:line="205" w:lineRule="exact"/>
              <w:rPr>
                <w:sz w:val="20"/>
                <w:szCs w:val="20"/>
                <w:color w:val="auto"/>
              </w:rPr>
            </w:pPr>
            <w:r>
              <w:rPr>
                <w:rFonts w:ascii="Arial" w:cs="Arial" w:eastAsia="Arial" w:hAnsi="Arial"/>
                <w:sz w:val="18"/>
                <w:szCs w:val="18"/>
                <w:color w:val="auto"/>
                <w:w w:val="96"/>
              </w:rPr>
              <w:t>(212) (10)%</w:t>
            </w:r>
          </w:p>
        </w:tc>
        <w:tc>
          <w:tcPr>
            <w:tcW w:w="260" w:type="dxa"/>
            <w:vAlign w:val="bottom"/>
            <w:gridSpan w:val="2"/>
            <w:vMerge w:val="restart"/>
          </w:tcPr>
          <w:p>
            <w:pPr>
              <w:spacing w:after="0"/>
              <w:rPr>
                <w:sz w:val="17"/>
                <w:szCs w:val="17"/>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8"/>
                <w:szCs w:val="18"/>
                <w:color w:val="auto"/>
              </w:rPr>
              <w:t>2,366</w:t>
            </w:r>
          </w:p>
        </w:tc>
        <w:tc>
          <w:tcPr>
            <w:tcW w:w="360" w:type="dxa"/>
            <w:vAlign w:val="bottom"/>
          </w:tcPr>
          <w:p>
            <w:pPr>
              <w:spacing w:after="0"/>
              <w:rPr>
                <w:sz w:val="17"/>
                <w:szCs w:val="17"/>
                <w:color w:val="auto"/>
              </w:rPr>
            </w:pPr>
          </w:p>
        </w:tc>
        <w:tc>
          <w:tcPr>
            <w:tcW w:w="56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rPr>
              <w:t>(530)</w:t>
            </w:r>
          </w:p>
        </w:tc>
        <w:tc>
          <w:tcPr>
            <w:tcW w:w="48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95"/>
              </w:rPr>
              <w:t>(22)%</w:t>
            </w:r>
          </w:p>
        </w:tc>
        <w:tc>
          <w:tcPr>
            <w:tcW w:w="0" w:type="dxa"/>
            <w:vAlign w:val="bottom"/>
          </w:tcPr>
          <w:p>
            <w:pPr>
              <w:spacing w:after="0"/>
              <w:rPr>
                <w:sz w:val="1"/>
                <w:szCs w:val="1"/>
                <w:color w:val="auto"/>
              </w:rPr>
            </w:pPr>
          </w:p>
        </w:tc>
      </w:tr>
      <w:tr>
        <w:trPr>
          <w:trHeight w:val="201"/>
        </w:trPr>
        <w:tc>
          <w:tcPr>
            <w:tcW w:w="3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560" w:type="dxa"/>
            <w:vAlign w:val="bottom"/>
            <w:tcBorders>
              <w:bottom w:val="single" w:sz="8" w:color="auto"/>
            </w:tcBorders>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10,647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4"/>
          </w:tcPr>
          <w:p>
            <w:pPr>
              <w:jc w:val="right"/>
              <w:ind w:right="160"/>
              <w:spacing w:after="0"/>
              <w:rPr>
                <w:sz w:val="20"/>
                <w:szCs w:val="20"/>
                <w:color w:val="auto"/>
              </w:rPr>
            </w:pPr>
            <w:r>
              <w:rPr>
                <w:rFonts w:ascii="Arial" w:cs="Arial" w:eastAsia="Arial" w:hAnsi="Arial"/>
                <w:sz w:val="18"/>
                <w:szCs w:val="18"/>
                <w:color w:val="auto"/>
                <w:w w:val="83"/>
              </w:rPr>
              <w:t>10,419</w:t>
            </w:r>
          </w:p>
        </w:tc>
        <w:tc>
          <w:tcPr>
            <w:tcW w:w="5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228</w:t>
            </w: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rPr>
              <w:t>2 %</w:t>
            </w:r>
          </w:p>
        </w:tc>
        <w:tc>
          <w:tcPr>
            <w:tcW w:w="820" w:type="dxa"/>
            <w:vAlign w:val="bottom"/>
            <w:gridSpan w:val="5"/>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12,638</w:t>
            </w:r>
          </w:p>
        </w:tc>
        <w:tc>
          <w:tcPr>
            <w:tcW w:w="360" w:type="dxa"/>
            <w:vAlign w:val="bottom"/>
          </w:tcPr>
          <w:p>
            <w:pPr>
              <w:spacing w:after="0"/>
              <w:rPr>
                <w:sz w:val="19"/>
                <w:szCs w:val="19"/>
                <w:color w:val="auto"/>
              </w:rPr>
            </w:pPr>
          </w:p>
        </w:tc>
        <w:tc>
          <w:tcPr>
            <w:tcW w:w="1040" w:type="dxa"/>
            <w:vAlign w:val="bottom"/>
            <w:gridSpan w:val="8"/>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(1,991) (16)%</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5"/>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8"/>
                <w:szCs w:val="18"/>
                <w:color w:val="auto"/>
              </w:rPr>
              <w:t>ATE market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3"/>
            <w:vMerge w:val="restart"/>
          </w:tcPr>
          <w:p>
            <w:pPr>
              <w:jc w:val="right"/>
              <w:spacing w:after="0"/>
              <w:rPr>
                <w:sz w:val="20"/>
                <w:szCs w:val="20"/>
                <w:color w:val="auto"/>
              </w:rPr>
            </w:pPr>
            <w:r>
              <w:rPr>
                <w:rFonts w:ascii="Arial" w:cs="Arial" w:eastAsia="Arial" w:hAnsi="Arial"/>
                <w:sz w:val="18"/>
                <w:szCs w:val="18"/>
                <w:color w:val="auto"/>
              </w:rPr>
              <w:t>6,640</w:t>
            </w:r>
          </w:p>
        </w:tc>
        <w:tc>
          <w:tcPr>
            <w:tcW w:w="1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6,320</w:t>
            </w:r>
          </w:p>
        </w:tc>
        <w:tc>
          <w:tcPr>
            <w:tcW w:w="52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w w:val="99"/>
              </w:rPr>
              <w:t>$320</w:t>
            </w:r>
          </w:p>
        </w:tc>
        <w:tc>
          <w:tcPr>
            <w:tcW w:w="48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8"/>
            <w:vMerge w:val="restart"/>
          </w:tcPr>
          <w:p>
            <w:pPr>
              <w:jc w:val="right"/>
              <w:spacing w:after="0"/>
              <w:rPr>
                <w:sz w:val="20"/>
                <w:szCs w:val="20"/>
                <w:color w:val="auto"/>
              </w:rPr>
            </w:pPr>
            <w:r>
              <w:rPr>
                <w:rFonts w:ascii="Arial" w:cs="Arial" w:eastAsia="Arial" w:hAnsi="Arial"/>
                <w:sz w:val="18"/>
                <w:szCs w:val="18"/>
                <w:color w:val="auto"/>
                <w:w w:val="84"/>
              </w:rPr>
              <w:t>$(2,400) (27)%</w:t>
            </w:r>
          </w:p>
        </w:tc>
        <w:tc>
          <w:tcPr>
            <w:tcW w:w="0" w:type="dxa"/>
            <w:vAlign w:val="bottom"/>
          </w:tcPr>
          <w:p>
            <w:pPr>
              <w:spacing w:after="0" w:line="20" w:lineRule="exact"/>
              <w:rPr>
                <w:sz w:val="1"/>
                <w:szCs w:val="1"/>
                <w:color w:val="auto"/>
              </w:rPr>
            </w:pPr>
          </w:p>
        </w:tc>
      </w:tr>
      <w:tr>
        <w:trPr>
          <w:trHeight w:val="505"/>
        </w:trPr>
        <w:tc>
          <w:tcPr>
            <w:tcW w:w="3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4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vMerge w:val="continue"/>
          </w:tcPr>
          <w:p>
            <w:pPr>
              <w:spacing w:after="0"/>
              <w:rPr>
                <w:sz w:val="24"/>
                <w:szCs w:val="24"/>
                <w:color w:val="auto"/>
              </w:rPr>
            </w:pPr>
          </w:p>
        </w:tc>
        <w:tc>
          <w:tcPr>
            <w:tcW w:w="640" w:type="dxa"/>
            <w:vAlign w:val="bottom"/>
            <w:gridSpan w:val="4"/>
            <w:vMerge w:val="continue"/>
          </w:tcPr>
          <w:p>
            <w:pPr>
              <w:spacing w:after="0"/>
              <w:rPr>
                <w:sz w:val="24"/>
                <w:szCs w:val="24"/>
                <w:color w:val="auto"/>
              </w:rPr>
            </w:pPr>
          </w:p>
        </w:tc>
        <w:tc>
          <w:tcPr>
            <w:tcW w:w="520" w:type="dxa"/>
            <w:vAlign w:val="bottom"/>
            <w:gridSpan w:val="3"/>
            <w:vMerge w:val="continue"/>
          </w:tcPr>
          <w:p>
            <w:pPr>
              <w:spacing w:after="0"/>
              <w:rPr>
                <w:sz w:val="24"/>
                <w:szCs w:val="24"/>
                <w:color w:val="auto"/>
              </w:rPr>
            </w:pPr>
          </w:p>
        </w:tc>
        <w:tc>
          <w:tcPr>
            <w:tcW w:w="480" w:type="dxa"/>
            <w:vAlign w:val="bottom"/>
            <w:gridSpan w:val="4"/>
            <w:vMerge w:val="continue"/>
          </w:tcPr>
          <w:p>
            <w:pPr>
              <w:spacing w:after="0"/>
              <w:rPr>
                <w:sz w:val="24"/>
                <w:szCs w:val="24"/>
                <w:color w:val="auto"/>
              </w:rPr>
            </w:pPr>
          </w:p>
        </w:tc>
        <w:tc>
          <w:tcPr>
            <w:tcW w:w="820" w:type="dxa"/>
            <w:vAlign w:val="bottom"/>
            <w:gridSpan w:val="5"/>
            <w:vMerge w:val="restart"/>
          </w:tcPr>
          <w:p>
            <w:pPr>
              <w:jc w:val="right"/>
              <w:spacing w:after="0"/>
              <w:rPr>
                <w:sz w:val="20"/>
                <w:szCs w:val="20"/>
                <w:color w:val="auto"/>
              </w:rPr>
            </w:pPr>
            <w:r>
              <w:rPr>
                <w:rFonts w:ascii="Arial" w:cs="Arial" w:eastAsia="Arial" w:hAnsi="Arial"/>
                <w:sz w:val="18"/>
                <w:szCs w:val="18"/>
                <w:color w:val="auto"/>
              </w:rPr>
              <w:t>$ 9,040</w:t>
            </w:r>
          </w:p>
        </w:tc>
        <w:tc>
          <w:tcPr>
            <w:tcW w:w="360" w:type="dxa"/>
            <w:vAlign w:val="bottom"/>
          </w:tcPr>
          <w:p>
            <w:pPr>
              <w:spacing w:after="0"/>
              <w:rPr>
                <w:sz w:val="24"/>
                <w:szCs w:val="24"/>
                <w:color w:val="auto"/>
              </w:rPr>
            </w:pPr>
          </w:p>
        </w:tc>
        <w:tc>
          <w:tcPr>
            <w:tcW w:w="1040" w:type="dxa"/>
            <w:vAlign w:val="bottom"/>
            <w:gridSpan w:val="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5"/>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14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10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4,007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4"/>
          </w:tcPr>
          <w:p>
            <w:pPr>
              <w:jc w:val="right"/>
              <w:ind w:right="160"/>
              <w:spacing w:after="0" w:line="205" w:lineRule="exact"/>
              <w:rPr>
                <w:sz w:val="20"/>
                <w:szCs w:val="20"/>
                <w:color w:val="auto"/>
              </w:rPr>
            </w:pPr>
            <w:r>
              <w:rPr>
                <w:rFonts w:ascii="Arial" w:cs="Arial" w:eastAsia="Arial" w:hAnsi="Arial"/>
                <w:sz w:val="18"/>
                <w:szCs w:val="18"/>
                <w:color w:val="auto"/>
              </w:rPr>
              <w:t>4,099</w:t>
            </w:r>
          </w:p>
        </w:tc>
        <w:tc>
          <w:tcPr>
            <w:tcW w:w="52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rPr>
              <w:t>(92)</w:t>
            </w:r>
          </w:p>
        </w:tc>
        <w:tc>
          <w:tcPr>
            <w:tcW w:w="48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rPr>
              <w:t>(2)%</w:t>
            </w:r>
          </w:p>
        </w:tc>
        <w:tc>
          <w:tcPr>
            <w:tcW w:w="260" w:type="dxa"/>
            <w:vAlign w:val="bottom"/>
            <w:gridSpan w:val="2"/>
            <w:vMerge w:val="restart"/>
          </w:tcPr>
          <w:p>
            <w:pPr>
              <w:spacing w:after="0"/>
              <w:rPr>
                <w:sz w:val="17"/>
                <w:szCs w:val="17"/>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8"/>
                <w:szCs w:val="18"/>
                <w:color w:val="auto"/>
              </w:rPr>
              <w:t>3,598</w:t>
            </w:r>
          </w:p>
        </w:tc>
        <w:tc>
          <w:tcPr>
            <w:tcW w:w="360" w:type="dxa"/>
            <w:vAlign w:val="bottom"/>
          </w:tcPr>
          <w:p>
            <w:pPr>
              <w:spacing w:after="0"/>
              <w:rPr>
                <w:sz w:val="17"/>
                <w:szCs w:val="17"/>
                <w:color w:val="auto"/>
              </w:rPr>
            </w:pPr>
          </w:p>
        </w:tc>
        <w:tc>
          <w:tcPr>
            <w:tcW w:w="560" w:type="dxa"/>
            <w:vAlign w:val="bottom"/>
            <w:gridSpan w:val="4"/>
          </w:tcPr>
          <w:p>
            <w:pPr>
              <w:jc w:val="right"/>
              <w:ind w:right="80"/>
              <w:spacing w:after="0" w:line="205" w:lineRule="exact"/>
              <w:rPr>
                <w:sz w:val="20"/>
                <w:szCs w:val="20"/>
                <w:color w:val="auto"/>
              </w:rPr>
            </w:pPr>
            <w:r>
              <w:rPr>
                <w:rFonts w:ascii="Arial" w:cs="Arial" w:eastAsia="Arial" w:hAnsi="Arial"/>
                <w:sz w:val="18"/>
                <w:szCs w:val="18"/>
                <w:color w:val="auto"/>
              </w:rPr>
              <w:t>409</w:t>
            </w:r>
          </w:p>
        </w:tc>
        <w:tc>
          <w:tcPr>
            <w:tcW w:w="4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1"/>
        </w:trPr>
        <w:tc>
          <w:tcPr>
            <w:tcW w:w="3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560" w:type="dxa"/>
            <w:vAlign w:val="bottom"/>
            <w:tcBorders>
              <w:bottom w:val="single" w:sz="8" w:color="auto"/>
            </w:tcBorders>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10,647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10,419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228</w:t>
            </w:r>
          </w:p>
        </w:tc>
        <w:tc>
          <w:tcPr>
            <w:tcW w:w="100" w:type="dxa"/>
            <w:vAlign w:val="bottom"/>
          </w:tcPr>
          <w:p>
            <w:pPr>
              <w:spacing w:after="0"/>
              <w:rPr>
                <w:sz w:val="19"/>
                <w:szCs w:val="19"/>
                <w:color w:val="auto"/>
              </w:rPr>
            </w:pPr>
          </w:p>
        </w:tc>
        <w:tc>
          <w:tcPr>
            <w:tcW w:w="480" w:type="dxa"/>
            <w:vAlign w:val="bottom"/>
            <w:gridSpan w:val="4"/>
          </w:tcPr>
          <w:p>
            <w:pPr>
              <w:jc w:val="right"/>
              <w:ind w:right="60"/>
              <w:spacing w:after="0"/>
              <w:rPr>
                <w:sz w:val="20"/>
                <w:szCs w:val="20"/>
                <w:color w:val="auto"/>
              </w:rPr>
            </w:pPr>
            <w:r>
              <w:rPr>
                <w:rFonts w:ascii="Arial" w:cs="Arial" w:eastAsia="Arial" w:hAnsi="Arial"/>
                <w:sz w:val="18"/>
                <w:szCs w:val="18"/>
                <w:color w:val="auto"/>
              </w:rPr>
              <w:t>2 %</w:t>
            </w:r>
          </w:p>
        </w:tc>
        <w:tc>
          <w:tcPr>
            <w:tcW w:w="8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12,638</w:t>
            </w:r>
          </w:p>
        </w:tc>
        <w:tc>
          <w:tcPr>
            <w:tcW w:w="360" w:type="dxa"/>
            <w:vAlign w:val="bottom"/>
          </w:tcPr>
          <w:p>
            <w:pPr>
              <w:spacing w:after="0"/>
              <w:rPr>
                <w:sz w:val="19"/>
                <w:szCs w:val="19"/>
                <w:color w:val="auto"/>
              </w:rPr>
            </w:pPr>
          </w:p>
        </w:tc>
        <w:tc>
          <w:tcPr>
            <w:tcW w:w="1040" w:type="dxa"/>
            <w:vAlign w:val="bottom"/>
            <w:gridSpan w:val="8"/>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(1,991) (16)%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9" w:lineRule="exact"/>
        <w:rPr>
          <w:sz w:val="20"/>
          <w:szCs w:val="20"/>
          <w:color w:val="auto"/>
        </w:rPr>
      </w:pPr>
    </w:p>
    <w:tbl>
      <w:tblPr>
        <w:tblLayout w:type="fixed"/>
        <w:tblInd w:w="4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jc w:val="center"/>
              <w:ind w:right="700"/>
              <w:spacing w:after="0"/>
              <w:rPr>
                <w:sz w:val="20"/>
                <w:szCs w:val="20"/>
                <w:color w:val="auto"/>
              </w:rPr>
            </w:pPr>
            <w:r>
              <w:rPr>
                <w:rFonts w:ascii="Arial" w:cs="Arial" w:eastAsia="Arial" w:hAnsi="Arial"/>
                <w:sz w:val="14"/>
                <w:szCs w:val="14"/>
                <w:b w:val="1"/>
                <w:bCs w:val="1"/>
                <w:i w:val="1"/>
                <w:iCs w:val="1"/>
                <w:color w:val="auto"/>
                <w:w w:val="85"/>
              </w:rPr>
              <w:t>Nine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4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960" w:type="dxa"/>
            <w:vAlign w:val="bottom"/>
            <w:tcBorders>
              <w:bottom w:val="single" w:sz="8" w:color="auto"/>
            </w:tcBorders>
            <w:gridSpan w:val="3"/>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1"/>
              </w:rPr>
              <w:t>September 30,</w:t>
            </w:r>
          </w:p>
        </w:tc>
        <w:tc>
          <w:tcPr>
            <w:tcW w:w="4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ind w:left="40"/>
              <w:spacing w:after="0" w:line="146" w:lineRule="exact"/>
              <w:rPr>
                <w:sz w:val="20"/>
                <w:szCs w:val="20"/>
                <w:color w:val="auto"/>
              </w:rPr>
            </w:pPr>
            <w:r>
              <w:rPr>
                <w:rFonts w:ascii="Arial" w:cs="Arial" w:eastAsia="Arial" w:hAnsi="Arial"/>
                <w:sz w:val="14"/>
                <w:szCs w:val="14"/>
                <w:b w:val="1"/>
                <w:bCs w:val="1"/>
                <w:i w:val="1"/>
                <w:iCs w:val="1"/>
                <w:color w:val="auto"/>
                <w:w w:val="85"/>
              </w:rPr>
              <w:t>Change</w:t>
            </w:r>
          </w:p>
        </w:tc>
        <w:tc>
          <w:tcPr>
            <w:tcW w:w="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56"/>
        </w:trPr>
        <w:tc>
          <w:tcPr>
            <w:tcW w:w="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2014</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440" w:type="dxa"/>
            <w:vAlign w:val="bottom"/>
          </w:tcPr>
          <w:p>
            <w:pPr>
              <w:spacing w:after="0"/>
              <w:rPr>
                <w:sz w:val="13"/>
                <w:szCs w:val="13"/>
                <w:color w:val="auto"/>
              </w:rPr>
            </w:pP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w:t>
            </w:r>
          </w:p>
        </w:tc>
        <w:tc>
          <w:tcPr>
            <w:tcW w:w="420" w:type="dxa"/>
            <w:vAlign w:val="bottom"/>
          </w:tcPr>
          <w:p>
            <w:pPr>
              <w:spacing w:after="0"/>
              <w:rPr>
                <w:sz w:val="13"/>
                <w:szCs w:val="13"/>
                <w:color w:val="auto"/>
              </w:rPr>
            </w:pP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9"/>
              </w:rPr>
              <w:t>%</w:t>
            </w:r>
          </w:p>
        </w:tc>
      </w:tr>
      <w:tr>
        <w:trPr>
          <w:trHeight w:val="20"/>
        </w:trPr>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bl>
    <w:p>
      <w:pPr>
        <w:sectPr>
          <w:pgSz w:w="11900" w:h="16857" w:orient="portrait"/>
          <w:cols w:equalWidth="0" w:num="1">
            <w:col w:w="11380"/>
          </w:cols>
          <w:pgMar w:left="240" w:top="131" w:right="279" w:bottom="0" w:gutter="0" w:footer="0" w:header="0"/>
        </w:sectPr>
      </w:pPr>
    </w:p>
    <w:bookmarkStart w:id="14" w:name="page15"/>
    <w:bookmarkEnd w:id="14"/>
    <w:p>
      <w:pPr>
        <w:spacing w:after="0" w:line="138"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180" w:type="dxa"/>
            <w:vAlign w:val="bottom"/>
          </w:tcPr>
          <w:p>
            <w:pPr>
              <w:spacing w:after="0"/>
              <w:rPr>
                <w:sz w:val="20"/>
                <w:szCs w:val="20"/>
                <w:color w:val="auto"/>
              </w:rPr>
            </w:pPr>
            <w:r>
              <w:rPr>
                <w:rFonts w:ascii="Arial" w:cs="Arial" w:eastAsia="Arial" w:hAnsi="Arial"/>
                <w:sz w:val="18"/>
                <w:szCs w:val="18"/>
                <w:b w:val="1"/>
                <w:bCs w:val="1"/>
                <w:i w:val="1"/>
                <w:iCs w:val="1"/>
                <w:color w:val="auto"/>
              </w:rPr>
              <w:t>Orders from unaffiliated customers:</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59"/>
        </w:trPr>
        <w:tc>
          <w:tcPr>
            <w:tcW w:w="318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$18,244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$16,624</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$1,620</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59"/>
        </w:trPr>
        <w:tc>
          <w:tcPr>
            <w:tcW w:w="3180" w:type="dxa"/>
            <w:vAlign w:val="bottom"/>
          </w:tcPr>
          <w:p>
            <w:pPr>
              <w:spacing w:after="0"/>
              <w:rPr>
                <w:sz w:val="20"/>
                <w:szCs w:val="20"/>
                <w:color w:val="auto"/>
              </w:rPr>
            </w:pPr>
            <w:r>
              <w:rPr>
                <w:rFonts w:ascii="Arial" w:cs="Arial" w:eastAsia="Arial" w:hAnsi="Arial"/>
                <w:sz w:val="18"/>
                <w:szCs w:val="18"/>
                <w:color w:val="auto"/>
              </w:rPr>
              <w:t>Mechanical Products</w:t>
            </w:r>
          </w:p>
        </w:tc>
        <w:tc>
          <w:tcPr>
            <w:tcW w:w="580" w:type="dxa"/>
            <w:vAlign w:val="bottom"/>
          </w:tcPr>
          <w:p>
            <w:pPr>
              <w:jc w:val="right"/>
              <w:spacing w:after="0"/>
              <w:rPr>
                <w:sz w:val="20"/>
                <w:szCs w:val="20"/>
                <w:color w:val="auto"/>
              </w:rPr>
            </w:pPr>
            <w:r>
              <w:rPr>
                <w:rFonts w:ascii="Arial" w:cs="Arial" w:eastAsia="Arial" w:hAnsi="Arial"/>
                <w:sz w:val="18"/>
                <w:szCs w:val="18"/>
                <w:color w:val="auto"/>
              </w:rPr>
              <w:t>9,449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7,749</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1,700</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21"/>
        </w:trPr>
        <w:tc>
          <w:tcPr>
            <w:tcW w:w="3180" w:type="dxa"/>
            <w:vAlign w:val="bottom"/>
          </w:tcPr>
          <w:p>
            <w:pPr>
              <w:spacing w:after="0"/>
              <w:rPr>
                <w:sz w:val="20"/>
                <w:szCs w:val="20"/>
                <w:color w:val="auto"/>
              </w:rPr>
            </w:pPr>
            <w:r>
              <w:rPr>
                <w:rFonts w:ascii="Arial" w:cs="Arial" w:eastAsia="Arial" w:hAnsi="Arial"/>
                <w:sz w:val="18"/>
                <w:szCs w:val="18"/>
                <w:color w:val="auto"/>
              </w:rPr>
              <w:t>Electrical Products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5,755</w:t>
            </w:r>
          </w:p>
        </w:tc>
        <w:tc>
          <w:tcPr>
            <w:tcW w:w="16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9"/>
        </w:trPr>
        <w:tc>
          <w:tcPr>
            <w:tcW w:w="3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33,448</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29,099</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4,349</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721"/>
        </w:trPr>
        <w:tc>
          <w:tcPr>
            <w:tcW w:w="3180" w:type="dxa"/>
            <w:vAlign w:val="bottom"/>
          </w:tcPr>
          <w:p>
            <w:pPr>
              <w:spacing w:after="0"/>
              <w:rPr>
                <w:sz w:val="20"/>
                <w:szCs w:val="20"/>
                <w:color w:val="auto"/>
              </w:rPr>
            </w:pPr>
            <w:r>
              <w:rPr>
                <w:rFonts w:ascii="Arial" w:cs="Arial" w:eastAsia="Arial" w:hAnsi="Arial"/>
                <w:sz w:val="18"/>
                <w:szCs w:val="18"/>
                <w:color w:val="auto"/>
              </w:rPr>
              <w:t>ATE market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$23,901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$20,850</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$3,051</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21"/>
        </w:trPr>
        <w:tc>
          <w:tcPr>
            <w:tcW w:w="3180" w:type="dxa"/>
            <w:vAlign w:val="bottom"/>
          </w:tcPr>
          <w:p>
            <w:pPr>
              <w:spacing w:after="0"/>
              <w:rPr>
                <w:sz w:val="20"/>
                <w:szCs w:val="20"/>
                <w:color w:val="auto"/>
              </w:rPr>
            </w:pPr>
            <w:r>
              <w:rPr>
                <w:rFonts w:ascii="Arial" w:cs="Arial" w:eastAsia="Arial" w:hAnsi="Arial"/>
                <w:sz w:val="18"/>
                <w:szCs w:val="18"/>
                <w:color w:val="auto"/>
              </w:rPr>
              <w:t>Non-ATE market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16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8,249</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9"/>
        </w:trPr>
        <w:tc>
          <w:tcPr>
            <w:tcW w:w="3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33,448</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29,099</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4,349</w:t>
            </w: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Total consolidated orders for the quarter ended September 30, 2014 were $10.6 million compared to $10.4 million for the same period in 2013 and $12.6 million for the quarter ended June 30, 2014. The increase in consolidated orders in the third quarter of 2014 as compared to the same period in 2013 primarily reflects improved demand from certain customers of our Mechanical Products segment. This increase was partially offset by a decrease in demand for our Electrical Products segment. During the third quarter of 2013, our Electrical Products segment experienced higher than normal demand from one large OEM customer. No similar increase in demand was experienced during the third quarter of 2014.</w:t>
      </w:r>
    </w:p>
    <w:p>
      <w:pPr>
        <w:spacing w:after="0" w:line="170" w:lineRule="exact"/>
        <w:rPr>
          <w:sz w:val="20"/>
          <w:szCs w:val="20"/>
          <w:color w:val="auto"/>
        </w:rPr>
      </w:pPr>
    </w:p>
    <w:p>
      <w:pPr>
        <w:ind w:left="540" w:right="240"/>
        <w:spacing w:after="0" w:line="298" w:lineRule="auto"/>
        <w:rPr>
          <w:sz w:val="20"/>
          <w:szCs w:val="20"/>
          <w:color w:val="auto"/>
        </w:rPr>
      </w:pPr>
      <w:r>
        <w:rPr>
          <w:rFonts w:ascii="Arial" w:cs="Arial" w:eastAsia="Arial" w:hAnsi="Arial"/>
          <w:sz w:val="16"/>
          <w:szCs w:val="16"/>
          <w:color w:val="auto"/>
        </w:rPr>
        <w:t>The decrease in our consolidated orders in the third quarter of 2014 as compared to the second quarter of 2014 was a result of reduced demand for our Mechanical and Electrical Products segments which we believe reflects the beginning of a seasonal decline in the levels of demand within the ATE market. This decrease was partially offset by an increase in orders received by our Thermal Products segment from its customers in non-ATE markets, primarily from customers in the defense/aerospace and industrial markets.</w:t>
      </w:r>
    </w:p>
    <w:p>
      <w:pPr>
        <w:spacing w:after="0" w:line="167"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Orders from customers in various markets outside of the ATE market for the quarter ended September 30, 2014 decreased 2% as compared to the same period in 2013 and grew 11% as compared to the second quarter of 2014. As a percent of our total consolidated orders, non-ATE market orders were 38% of consolidated orders in the third quarter of 2014 as compared to 39% in the third quarter of 2013 and 28% in the second quarter of 2014.</w:t>
      </w:r>
    </w:p>
    <w:p>
      <w:pPr>
        <w:spacing w:after="0" w:line="161" w:lineRule="exact"/>
        <w:rPr>
          <w:sz w:val="20"/>
          <w:szCs w:val="20"/>
          <w:color w:val="auto"/>
        </w:rPr>
      </w:pPr>
    </w:p>
    <w:p>
      <w:pPr>
        <w:ind w:left="540" w:right="340"/>
        <w:spacing w:after="0" w:line="291" w:lineRule="auto"/>
        <w:rPr>
          <w:sz w:val="20"/>
          <w:szCs w:val="20"/>
          <w:color w:val="auto"/>
        </w:rPr>
      </w:pPr>
      <w:r>
        <w:rPr>
          <w:rFonts w:ascii="Arial" w:cs="Arial" w:eastAsia="Arial" w:hAnsi="Arial"/>
          <w:sz w:val="16"/>
          <w:szCs w:val="16"/>
          <w:color w:val="auto"/>
        </w:rPr>
        <w:t>At September 30, 2014, our backlog of unfilled orders for all products was approximately $4.7 million compared with approximately $3.2 million at September 30, 2013 and $4.8 million at June 30, 2014. Our backlog includes customer orders which we have accepted, substantially all of which we expect to deliver in 2014.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3"/>
              </w:rPr>
              <w:t>Three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9"/>
              </w:rPr>
              <w:t>Three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8"/>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7"/>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gridSpan w:val="6"/>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September 30,</w:t>
            </w:r>
          </w:p>
        </w:tc>
        <w:tc>
          <w:tcPr>
            <w:tcW w:w="2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4"/>
          </w:tcPr>
          <w:p>
            <w:pPr>
              <w:ind w:left="6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3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4"/>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bottom w:val="single" w:sz="8" w:color="auto"/>
            </w:tcBorders>
            <w:gridSpan w:val="4"/>
          </w:tcPr>
          <w:p>
            <w:pPr>
              <w:ind w:left="14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2013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4"/>
                <w:szCs w:val="14"/>
                <w:b w:val="1"/>
                <w:bCs w:val="1"/>
                <w:i w:val="1"/>
                <w:iCs w:val="1"/>
                <w:u w:val="single" w:color="auto"/>
                <w:color w:val="auto"/>
              </w:rPr>
              <w:t>$</w:t>
            </w:r>
          </w:p>
        </w:tc>
        <w:tc>
          <w:tcPr>
            <w:tcW w:w="80" w:type="dxa"/>
            <w:vAlign w:val="bottom"/>
          </w:tcPr>
          <w:p>
            <w:pPr>
              <w:spacing w:after="0"/>
              <w:rPr>
                <w:sz w:val="19"/>
                <w:szCs w:val="19"/>
                <w:color w:val="auto"/>
              </w:rPr>
            </w:pPr>
          </w:p>
        </w:tc>
        <w:tc>
          <w:tcPr>
            <w:tcW w:w="460" w:type="dxa"/>
            <w:vAlign w:val="bottom"/>
            <w:gridSpan w:val="4"/>
          </w:tcPr>
          <w:p>
            <w:pPr>
              <w:jc w:val="right"/>
              <w:ind w:right="200"/>
              <w:spacing w:after="0"/>
              <w:rPr>
                <w:sz w:val="20"/>
                <w:szCs w:val="20"/>
                <w:color w:val="auto"/>
              </w:rPr>
            </w:pPr>
            <w:r>
              <w:rPr>
                <w:rFonts w:ascii="Arial" w:cs="Arial" w:eastAsia="Arial" w:hAnsi="Arial"/>
                <w:sz w:val="14"/>
                <w:szCs w:val="14"/>
                <w:b w:val="1"/>
                <w:bCs w:val="1"/>
                <w:i w:val="1"/>
                <w:iCs w:val="1"/>
                <w:color w:val="auto"/>
              </w:rPr>
              <w:t>%</w:t>
            </w:r>
          </w:p>
        </w:tc>
        <w:tc>
          <w:tcPr>
            <w:tcW w:w="780" w:type="dxa"/>
            <w:vAlign w:val="bottom"/>
            <w:gridSpan w:val="5"/>
          </w:tcPr>
          <w:p>
            <w:pPr>
              <w:jc w:val="center"/>
              <w:ind w:left="80"/>
              <w:spacing w:after="0"/>
              <w:rPr>
                <w:sz w:val="20"/>
                <w:szCs w:val="20"/>
                <w:color w:val="auto"/>
              </w:rPr>
            </w:pPr>
            <w:r>
              <w:rPr>
                <w:rFonts w:ascii="Arial" w:cs="Arial" w:eastAsia="Arial" w:hAnsi="Arial"/>
                <w:sz w:val="14"/>
                <w:szCs w:val="14"/>
                <w:b w:val="1"/>
                <w:bCs w:val="1"/>
                <w:i w:val="1"/>
                <w:iCs w:val="1"/>
                <w:color w:val="auto"/>
                <w:w w:val="83"/>
              </w:rPr>
              <w:t>2014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4"/>
          </w:tcPr>
          <w:p>
            <w:pPr>
              <w:jc w:val="right"/>
              <w:ind w:right="23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80" w:type="dxa"/>
            <w:vAlign w:val="bottom"/>
          </w:tcPr>
          <w:p>
            <w:pPr>
              <w:spacing w:after="0"/>
              <w:rPr>
                <w:sz w:val="19"/>
                <w:szCs w:val="19"/>
                <w:color w:val="auto"/>
              </w:rPr>
            </w:pPr>
          </w:p>
        </w:tc>
        <w:tc>
          <w:tcPr>
            <w:tcW w:w="460" w:type="dxa"/>
            <w:vAlign w:val="bottom"/>
            <w:gridSpan w:val="4"/>
          </w:tcPr>
          <w:p>
            <w:pPr>
              <w:jc w:val="right"/>
              <w:ind w:right="160"/>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235"/>
        </w:trPr>
        <w:tc>
          <w:tcPr>
            <w:tcW w:w="3340" w:type="dxa"/>
            <w:vAlign w:val="bottom"/>
          </w:tcPr>
          <w:p>
            <w:pPr>
              <w:spacing w:after="0"/>
              <w:rPr>
                <w:sz w:val="20"/>
                <w:szCs w:val="20"/>
                <w:color w:val="auto"/>
              </w:rPr>
            </w:pPr>
            <w:r>
              <w:rPr>
                <w:rFonts w:ascii="Arial" w:cs="Arial" w:eastAsia="Arial" w:hAnsi="Arial"/>
                <w:sz w:val="18"/>
                <w:szCs w:val="18"/>
                <w:b w:val="1"/>
                <w:bCs w:val="1"/>
                <w:i w:val="1"/>
                <w:iCs w:val="1"/>
                <w:color w:val="auto"/>
                <w:w w:val="91"/>
              </w:rPr>
              <w:t>Net revenues from unaffiliated customers:</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340" w:type="dxa"/>
            <w:vAlign w:val="bottom"/>
          </w:tcPr>
          <w:p>
            <w:pPr>
              <w:spacing w:after="0"/>
              <w:rPr>
                <w:sz w:val="20"/>
                <w:szCs w:val="20"/>
                <w:color w:val="auto"/>
              </w:rPr>
            </w:pPr>
            <w:r>
              <w:rPr>
                <w:rFonts w:ascii="Arial" w:cs="Arial" w:eastAsia="Arial" w:hAnsi="Arial"/>
                <w:sz w:val="18"/>
                <w:szCs w:val="18"/>
                <w:color w:val="auto"/>
              </w:rPr>
              <w:t>Thermal Products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5,908</w:t>
            </w:r>
          </w:p>
        </w:tc>
        <w:tc>
          <w:tcPr>
            <w:tcW w:w="520" w:type="dxa"/>
            <w:vAlign w:val="bottom"/>
            <w:gridSpan w:val="5"/>
          </w:tcPr>
          <w:p>
            <w:pPr>
              <w:jc w:val="right"/>
              <w:spacing w:after="0"/>
              <w:rPr>
                <w:sz w:val="20"/>
                <w:szCs w:val="20"/>
                <w:color w:val="auto"/>
              </w:rPr>
            </w:pPr>
            <w:r>
              <w:rPr>
                <w:rFonts w:ascii="Arial" w:cs="Arial" w:eastAsia="Arial" w:hAnsi="Arial"/>
                <w:sz w:val="18"/>
                <w:szCs w:val="18"/>
                <w:color w:val="auto"/>
                <w:w w:val="90"/>
              </w:rPr>
              <w:t>$5,844</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460" w:type="dxa"/>
            <w:vAlign w:val="bottom"/>
            <w:gridSpan w:val="4"/>
          </w:tcPr>
          <w:p>
            <w:pPr>
              <w:jc w:val="right"/>
              <w:ind w:right="40"/>
              <w:spacing w:after="0"/>
              <w:rPr>
                <w:sz w:val="20"/>
                <w:szCs w:val="20"/>
                <w:color w:val="auto"/>
              </w:rPr>
            </w:pPr>
            <w:r>
              <w:rPr>
                <w:rFonts w:ascii="Arial" w:cs="Arial" w:eastAsia="Arial" w:hAnsi="Arial"/>
                <w:sz w:val="18"/>
                <w:szCs w:val="18"/>
                <w:color w:val="auto"/>
              </w:rPr>
              <w:t>1 %</w:t>
            </w:r>
          </w:p>
        </w:tc>
        <w:tc>
          <w:tcPr>
            <w:tcW w:w="800" w:type="dxa"/>
            <w:vAlign w:val="bottom"/>
            <w:gridSpan w:val="6"/>
            <w:vMerge w:val="restart"/>
          </w:tcPr>
          <w:p>
            <w:pPr>
              <w:jc w:val="right"/>
              <w:ind w:right="20"/>
              <w:spacing w:after="0"/>
              <w:rPr>
                <w:sz w:val="20"/>
                <w:szCs w:val="20"/>
                <w:color w:val="auto"/>
              </w:rPr>
            </w:pPr>
            <w:r>
              <w:rPr>
                <w:rFonts w:ascii="Arial" w:cs="Arial" w:eastAsia="Arial" w:hAnsi="Arial"/>
                <w:sz w:val="18"/>
                <w:szCs w:val="18"/>
                <w:color w:val="auto"/>
              </w:rPr>
              <w:t>$ 6,116</w:t>
            </w:r>
          </w:p>
        </w:tc>
        <w:tc>
          <w:tcPr>
            <w:tcW w:w="220" w:type="dxa"/>
            <w:vAlign w:val="bottom"/>
          </w:tcPr>
          <w:p>
            <w:pPr>
              <w:spacing w:after="0"/>
              <w:rPr>
                <w:sz w:val="24"/>
                <w:szCs w:val="24"/>
                <w:color w:val="auto"/>
              </w:rPr>
            </w:pPr>
          </w:p>
        </w:tc>
        <w:tc>
          <w:tcPr>
            <w:tcW w:w="760" w:type="dxa"/>
            <w:vAlign w:val="bottom"/>
            <w:gridSpan w:val="5"/>
          </w:tcPr>
          <w:p>
            <w:pPr>
              <w:jc w:val="right"/>
              <w:ind w:right="20"/>
              <w:spacing w:after="0"/>
              <w:rPr>
                <w:sz w:val="20"/>
                <w:szCs w:val="20"/>
                <w:color w:val="auto"/>
              </w:rPr>
            </w:pPr>
            <w:r>
              <w:rPr>
                <w:rFonts w:ascii="Arial" w:cs="Arial" w:eastAsia="Arial" w:hAnsi="Arial"/>
                <w:sz w:val="18"/>
                <w:szCs w:val="18"/>
                <w:color w:val="auto"/>
              </w:rPr>
              <w:t>$  (208)</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6"/>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Mechanical Products</w:t>
            </w:r>
          </w:p>
        </w:tc>
        <w:tc>
          <w:tcPr>
            <w:tcW w:w="80" w:type="dxa"/>
            <w:vAlign w:val="bottom"/>
          </w:tcPr>
          <w:p>
            <w:pPr>
              <w:spacing w:after="0"/>
              <w:rPr>
                <w:sz w:val="21"/>
                <w:szCs w:val="21"/>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3,077</w:t>
            </w:r>
          </w:p>
        </w:tc>
        <w:tc>
          <w:tcPr>
            <w:tcW w:w="520" w:type="dxa"/>
            <w:vAlign w:val="bottom"/>
            <w:gridSpan w:val="5"/>
          </w:tcPr>
          <w:p>
            <w:pPr>
              <w:jc w:val="right"/>
              <w:spacing w:after="0"/>
              <w:rPr>
                <w:sz w:val="20"/>
                <w:szCs w:val="20"/>
                <w:color w:val="auto"/>
              </w:rPr>
            </w:pPr>
            <w:r>
              <w:rPr>
                <w:rFonts w:ascii="Arial" w:cs="Arial" w:eastAsia="Arial" w:hAnsi="Arial"/>
                <w:sz w:val="18"/>
                <w:szCs w:val="18"/>
                <w:color w:val="auto"/>
              </w:rPr>
              <w:t>2,193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884</w:t>
            </w:r>
          </w:p>
        </w:tc>
        <w:tc>
          <w:tcPr>
            <w:tcW w:w="460" w:type="dxa"/>
            <w:vAlign w:val="bottom"/>
            <w:gridSpan w:val="4"/>
          </w:tcPr>
          <w:p>
            <w:pPr>
              <w:jc w:val="right"/>
              <w:ind w:right="40"/>
              <w:spacing w:after="0"/>
              <w:rPr>
                <w:sz w:val="20"/>
                <w:szCs w:val="20"/>
                <w:color w:val="auto"/>
              </w:rPr>
            </w:pPr>
            <w:r>
              <w:rPr>
                <w:rFonts w:ascii="Arial" w:cs="Arial" w:eastAsia="Arial" w:hAnsi="Arial"/>
                <w:sz w:val="18"/>
                <w:szCs w:val="18"/>
                <w:color w:val="auto"/>
                <w:w w:val="97"/>
              </w:rPr>
              <w:t>40 %</w:t>
            </w:r>
          </w:p>
        </w:tc>
        <w:tc>
          <w:tcPr>
            <w:tcW w:w="780" w:type="dxa"/>
            <w:vAlign w:val="bottom"/>
            <w:gridSpan w:val="5"/>
            <w:vMerge w:val="restart"/>
          </w:tcPr>
          <w:p>
            <w:pPr>
              <w:jc w:val="right"/>
              <w:spacing w:after="0"/>
              <w:rPr>
                <w:sz w:val="20"/>
                <w:szCs w:val="20"/>
                <w:color w:val="auto"/>
              </w:rPr>
            </w:pPr>
            <w:r>
              <w:rPr>
                <w:rFonts w:ascii="Arial" w:cs="Arial" w:eastAsia="Arial" w:hAnsi="Arial"/>
                <w:sz w:val="18"/>
                <w:szCs w:val="18"/>
                <w:color w:val="auto"/>
              </w:rPr>
              <w:t>4,137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5"/>
          </w:tcPr>
          <w:p>
            <w:pPr>
              <w:jc w:val="right"/>
              <w:ind w:right="20"/>
              <w:spacing w:after="0"/>
              <w:rPr>
                <w:sz w:val="20"/>
                <w:szCs w:val="20"/>
                <w:color w:val="auto"/>
              </w:rPr>
            </w:pPr>
            <w:r>
              <w:rPr>
                <w:rFonts w:ascii="Arial" w:cs="Arial" w:eastAsia="Arial" w:hAnsi="Arial"/>
                <w:sz w:val="18"/>
                <w:szCs w:val="18"/>
                <w:color w:val="auto"/>
              </w:rPr>
              <w:t>(1,060)</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w w:val="91"/>
              </w:rPr>
              <w:t>(26)%</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4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80" w:type="dxa"/>
            <w:vAlign w:val="bottom"/>
          </w:tcPr>
          <w:p>
            <w:pPr>
              <w:spacing w:after="0"/>
              <w:rPr>
                <w:sz w:val="17"/>
                <w:szCs w:val="17"/>
                <w:color w:val="auto"/>
              </w:rPr>
            </w:pPr>
          </w:p>
        </w:tc>
        <w:tc>
          <w:tcPr>
            <w:tcW w:w="620" w:type="dxa"/>
            <w:vAlign w:val="bottom"/>
            <w:gridSpan w:val="3"/>
          </w:tcPr>
          <w:p>
            <w:pPr>
              <w:jc w:val="right"/>
              <w:ind w:right="140"/>
              <w:spacing w:after="0" w:line="205" w:lineRule="exact"/>
              <w:rPr>
                <w:sz w:val="20"/>
                <w:szCs w:val="20"/>
                <w:color w:val="auto"/>
              </w:rPr>
            </w:pPr>
            <w:r>
              <w:rPr>
                <w:rFonts w:ascii="Arial" w:cs="Arial" w:eastAsia="Arial" w:hAnsi="Arial"/>
                <w:sz w:val="18"/>
                <w:szCs w:val="18"/>
                <w:color w:val="auto"/>
              </w:rPr>
              <w:t>1,809</w:t>
            </w:r>
          </w:p>
        </w:tc>
        <w:tc>
          <w:tcPr>
            <w:tcW w:w="520" w:type="dxa"/>
            <w:vAlign w:val="bottom"/>
            <w:gridSpan w:val="5"/>
          </w:tcPr>
          <w:p>
            <w:pPr>
              <w:jc w:val="right"/>
              <w:spacing w:after="0" w:line="205" w:lineRule="exact"/>
              <w:rPr>
                <w:sz w:val="20"/>
                <w:szCs w:val="20"/>
                <w:color w:val="auto"/>
              </w:rPr>
            </w:pPr>
            <w:r>
              <w:rPr>
                <w:rFonts w:ascii="Arial" w:cs="Arial" w:eastAsia="Arial" w:hAnsi="Arial"/>
                <w:sz w:val="18"/>
                <w:szCs w:val="18"/>
                <w:color w:val="auto"/>
              </w:rPr>
              <w:t>1,863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(54)</w:t>
            </w:r>
          </w:p>
        </w:tc>
        <w:tc>
          <w:tcPr>
            <w:tcW w:w="46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rPr>
              <w:t>(3)%</w:t>
            </w:r>
          </w:p>
        </w:tc>
        <w:tc>
          <w:tcPr>
            <w:tcW w:w="200" w:type="dxa"/>
            <w:vAlign w:val="bottom"/>
            <w:gridSpan w:val="2"/>
            <w:vMerge w:val="restart"/>
          </w:tcPr>
          <w:p>
            <w:pPr>
              <w:spacing w:after="0"/>
              <w:rPr>
                <w:sz w:val="17"/>
                <w:szCs w:val="17"/>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8"/>
                <w:szCs w:val="18"/>
                <w:color w:val="auto"/>
              </w:rPr>
              <w:t>2,090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5"/>
          </w:tcPr>
          <w:p>
            <w:pPr>
              <w:jc w:val="right"/>
              <w:ind w:right="20"/>
              <w:spacing w:after="0" w:line="205" w:lineRule="exact"/>
              <w:rPr>
                <w:sz w:val="20"/>
                <w:szCs w:val="20"/>
                <w:color w:val="auto"/>
              </w:rPr>
            </w:pPr>
            <w:r>
              <w:rPr>
                <w:rFonts w:ascii="Arial" w:cs="Arial" w:eastAsia="Arial" w:hAnsi="Arial"/>
                <w:sz w:val="18"/>
                <w:szCs w:val="18"/>
                <w:color w:val="auto"/>
              </w:rPr>
              <w:t>(281)</w:t>
            </w:r>
          </w:p>
        </w:tc>
        <w:tc>
          <w:tcPr>
            <w:tcW w:w="46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91"/>
              </w:rPr>
              <w:t>(13)%</w:t>
            </w:r>
          </w:p>
        </w:tc>
        <w:tc>
          <w:tcPr>
            <w:tcW w:w="0" w:type="dxa"/>
            <w:vAlign w:val="bottom"/>
          </w:tcPr>
          <w:p>
            <w:pPr>
              <w:spacing w:after="0"/>
              <w:rPr>
                <w:sz w:val="1"/>
                <w:szCs w:val="1"/>
                <w:color w:val="auto"/>
              </w:rPr>
            </w:pPr>
          </w:p>
        </w:tc>
      </w:tr>
      <w:tr>
        <w:trPr>
          <w:trHeight w:val="201"/>
        </w:trPr>
        <w:tc>
          <w:tcPr>
            <w:tcW w:w="3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580" w:type="dxa"/>
            <w:vAlign w:val="bottom"/>
            <w:tcBorders>
              <w:bottom w:val="single" w:sz="8" w:color="auto"/>
            </w:tcBorders>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w w:val="83"/>
              </w:rPr>
              <w:t>10,794</w:t>
            </w:r>
          </w:p>
        </w:tc>
        <w:tc>
          <w:tcPr>
            <w:tcW w:w="52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9,900</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894</w:t>
            </w:r>
          </w:p>
        </w:tc>
        <w:tc>
          <w:tcPr>
            <w:tcW w:w="460" w:type="dxa"/>
            <w:vAlign w:val="bottom"/>
            <w:gridSpan w:val="4"/>
          </w:tcPr>
          <w:p>
            <w:pPr>
              <w:jc w:val="right"/>
              <w:ind w:right="40"/>
              <w:spacing w:after="0"/>
              <w:rPr>
                <w:sz w:val="20"/>
                <w:szCs w:val="20"/>
                <w:color w:val="auto"/>
              </w:rPr>
            </w:pPr>
            <w:r>
              <w:rPr>
                <w:rFonts w:ascii="Arial" w:cs="Arial" w:eastAsia="Arial" w:hAnsi="Arial"/>
                <w:sz w:val="18"/>
                <w:szCs w:val="18"/>
                <w:color w:val="auto"/>
              </w:rPr>
              <w:t>9 %</w:t>
            </w:r>
          </w:p>
        </w:tc>
        <w:tc>
          <w:tcPr>
            <w:tcW w:w="200" w:type="dxa"/>
            <w:vAlign w:val="bottom"/>
            <w:gridSpan w:val="2"/>
            <w:vMerge w:val="restart"/>
          </w:tcPr>
          <w:p>
            <w:pPr>
              <w:spacing w:after="0"/>
              <w:rPr>
                <w:sz w:val="19"/>
                <w:szCs w:val="19"/>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12,343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9"/>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(1,549) (13)%</w:t>
            </w:r>
          </w:p>
        </w:tc>
        <w:tc>
          <w:tcPr>
            <w:tcW w:w="0" w:type="dxa"/>
            <w:vAlign w:val="bottom"/>
          </w:tcPr>
          <w:p>
            <w:pPr>
              <w:spacing w:after="0"/>
              <w:rPr>
                <w:sz w:val="1"/>
                <w:szCs w:val="1"/>
                <w:color w:val="auto"/>
              </w:rPr>
            </w:pPr>
          </w:p>
        </w:tc>
      </w:tr>
      <w:tr>
        <w:trPr>
          <w:trHeight w:val="201"/>
        </w:trPr>
        <w:tc>
          <w:tcPr>
            <w:tcW w:w="3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580" w:type="dxa"/>
            <w:vAlign w:val="bottom"/>
            <w:tcBorders>
              <w:bottom w:val="single" w:sz="8" w:color="auto"/>
            </w:tcBorders>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4"/>
        </w:trPr>
        <w:tc>
          <w:tcPr>
            <w:tcW w:w="3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7 167</w:t>
            </w:r>
          </w:p>
        </w:tc>
        <w:tc>
          <w:tcPr>
            <w:tcW w:w="520" w:type="dxa"/>
            <w:vAlign w:val="bottom"/>
            <w:gridSpan w:val="5"/>
          </w:tcPr>
          <w:p>
            <w:pPr>
              <w:jc w:val="right"/>
              <w:spacing w:after="0"/>
              <w:rPr>
                <w:sz w:val="20"/>
                <w:szCs w:val="20"/>
                <w:color w:val="auto"/>
              </w:rPr>
            </w:pPr>
            <w:r>
              <w:rPr>
                <w:rFonts w:ascii="Arial" w:cs="Arial" w:eastAsia="Arial" w:hAnsi="Arial"/>
                <w:sz w:val="18"/>
                <w:szCs w:val="18"/>
                <w:color w:val="auto"/>
                <w:w w:val="90"/>
              </w:rPr>
              <w:t>$5 950</w:t>
            </w:r>
          </w:p>
        </w:tc>
        <w:tc>
          <w:tcPr>
            <w:tcW w:w="740" w:type="dxa"/>
            <w:vAlign w:val="bottom"/>
            <w:gridSpan w:val="6"/>
          </w:tcPr>
          <w:p>
            <w:pPr>
              <w:jc w:val="right"/>
              <w:ind w:right="80"/>
              <w:spacing w:after="0"/>
              <w:rPr>
                <w:sz w:val="20"/>
                <w:szCs w:val="20"/>
                <w:color w:val="auto"/>
              </w:rPr>
            </w:pPr>
            <w:r>
              <w:rPr>
                <w:rFonts w:ascii="Arial" w:cs="Arial" w:eastAsia="Arial" w:hAnsi="Arial"/>
                <w:sz w:val="18"/>
                <w:szCs w:val="18"/>
                <w:color w:val="auto"/>
              </w:rPr>
              <w:t>$1 217</w:t>
            </w:r>
          </w:p>
        </w:tc>
        <w:tc>
          <w:tcPr>
            <w:tcW w:w="460" w:type="dxa"/>
            <w:vAlign w:val="bottom"/>
            <w:gridSpan w:val="4"/>
          </w:tcPr>
          <w:p>
            <w:pPr>
              <w:jc w:val="right"/>
              <w:ind w:right="40"/>
              <w:spacing w:after="0"/>
              <w:rPr>
                <w:sz w:val="20"/>
                <w:szCs w:val="20"/>
                <w:color w:val="auto"/>
              </w:rPr>
            </w:pPr>
            <w:r>
              <w:rPr>
                <w:rFonts w:ascii="Arial" w:cs="Arial" w:eastAsia="Arial" w:hAnsi="Arial"/>
                <w:sz w:val="18"/>
                <w:szCs w:val="18"/>
                <w:color w:val="auto"/>
                <w:w w:val="97"/>
              </w:rPr>
              <w:t>20 %</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$ 9 482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9"/>
          </w:tcPr>
          <w:p>
            <w:pPr>
              <w:jc w:val="right"/>
              <w:spacing w:after="0"/>
              <w:rPr>
                <w:sz w:val="20"/>
                <w:szCs w:val="20"/>
                <w:color w:val="auto"/>
              </w:rPr>
            </w:pPr>
            <w:r>
              <w:rPr>
                <w:rFonts w:ascii="Arial" w:cs="Arial" w:eastAsia="Arial" w:hAnsi="Arial"/>
                <w:sz w:val="18"/>
                <w:szCs w:val="18"/>
                <w:color w:val="auto"/>
                <w:w w:val="99"/>
              </w:rPr>
              <w:t>$(2 315) (24)%</w:t>
            </w:r>
          </w:p>
        </w:tc>
        <w:tc>
          <w:tcPr>
            <w:tcW w:w="0" w:type="dxa"/>
            <w:vAlign w:val="bottom"/>
          </w:tcPr>
          <w:p>
            <w:pPr>
              <w:spacing w:after="0"/>
              <w:rPr>
                <w:sz w:val="1"/>
                <w:szCs w:val="1"/>
                <w:color w:val="auto"/>
              </w:rPr>
            </w:pPr>
          </w:p>
        </w:tc>
      </w:tr>
    </w:tbl>
    <w:p>
      <w:pPr>
        <w:sectPr>
          <w:pgSz w:w="11900" w:h="16976" w:orient="portrait"/>
          <w:cols w:equalWidth="0" w:num="1">
            <w:col w:w="11340"/>
          </w:cols>
          <w:pgMar w:left="240" w:top="374" w:right="319" w:bottom="0" w:gutter="0" w:footer="0" w:header="0"/>
        </w:sectPr>
      </w:pPr>
    </w:p>
    <w:bookmarkStart w:id="15" w:name="page16"/>
    <w:bookmarkEnd w:id="15"/>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ATE market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1"/>
        </w:trPr>
        <w:tc>
          <w:tcPr>
            <w:tcW w:w="3400" w:type="dxa"/>
            <w:vAlign w:val="bottom"/>
          </w:tcPr>
          <w:p>
            <w:pPr>
              <w:spacing w:after="0"/>
              <w:rPr>
                <w:sz w:val="20"/>
                <w:szCs w:val="20"/>
                <w:color w:val="auto"/>
              </w:rPr>
            </w:pPr>
            <w:r>
              <w:rPr>
                <w:rFonts w:ascii="Arial" w:cs="Arial" w:eastAsia="Arial" w:hAnsi="Arial"/>
                <w:sz w:val="18"/>
                <w:szCs w:val="18"/>
                <w:color w:val="auto"/>
              </w:rPr>
              <w:t>Non-ATE market</w:t>
            </w:r>
          </w:p>
        </w:tc>
        <w:tc>
          <w:tcPr>
            <w:tcW w:w="680" w:type="dxa"/>
            <w:vAlign w:val="bottom"/>
            <w:gridSpan w:val="4"/>
          </w:tcPr>
          <w:p>
            <w:pPr>
              <w:jc w:val="right"/>
              <w:ind w:right="180"/>
              <w:spacing w:after="0"/>
              <w:rPr>
                <w:sz w:val="20"/>
                <w:szCs w:val="20"/>
                <w:color w:val="auto"/>
              </w:rPr>
            </w:pPr>
            <w:r>
              <w:rPr>
                <w:rFonts w:ascii="Arial" w:cs="Arial" w:eastAsia="Arial" w:hAnsi="Arial"/>
                <w:sz w:val="18"/>
                <w:szCs w:val="18"/>
                <w:color w:val="auto"/>
              </w:rPr>
              <w:t>3,627</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4"/>
                <w:szCs w:val="24"/>
                <w:color w:val="auto"/>
              </w:rPr>
            </w:pPr>
          </w:p>
        </w:tc>
        <w:tc>
          <w:tcPr>
            <w:tcW w:w="1160" w:type="dxa"/>
            <w:vAlign w:val="bottom"/>
            <w:gridSpan w:val="11"/>
          </w:tcPr>
          <w:p>
            <w:pPr>
              <w:jc w:val="right"/>
              <w:ind w:right="120"/>
              <w:spacing w:after="0"/>
              <w:rPr>
                <w:sz w:val="20"/>
                <w:szCs w:val="20"/>
                <w:color w:val="auto"/>
              </w:rPr>
            </w:pPr>
            <w:r>
              <w:rPr>
                <w:rFonts w:ascii="Arial" w:cs="Arial" w:eastAsia="Arial" w:hAnsi="Arial"/>
                <w:sz w:val="18"/>
                <w:szCs w:val="18"/>
                <w:color w:val="auto"/>
              </w:rPr>
              <w:t>(323) (8)%</w:t>
            </w:r>
          </w:p>
        </w:tc>
        <w:tc>
          <w:tcPr>
            <w:tcW w:w="2160" w:type="dxa"/>
            <w:vAlign w:val="bottom"/>
            <w:gridSpan w:val="7"/>
          </w:tcPr>
          <w:p>
            <w:pPr>
              <w:jc w:val="right"/>
              <w:spacing w:after="0"/>
              <w:rPr>
                <w:sz w:val="20"/>
                <w:szCs w:val="20"/>
                <w:color w:val="auto"/>
              </w:rPr>
            </w:pPr>
            <w:r>
              <w:rPr>
                <w:rFonts w:ascii="Arial" w:cs="Arial" w:eastAsia="Arial" w:hAnsi="Arial"/>
                <w:sz w:val="18"/>
                <w:szCs w:val="18"/>
                <w:color w:val="auto"/>
              </w:rPr>
              <w:t>766  27 %</w:t>
            </w:r>
          </w:p>
        </w:tc>
      </w:tr>
      <w:tr>
        <w:trPr>
          <w:trHeight w:val="196"/>
        </w:trPr>
        <w:tc>
          <w:tcPr>
            <w:tcW w:w="3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2,861</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r>
      <w:tr>
        <w:trPr>
          <w:trHeight w:val="223"/>
        </w:trPr>
        <w:tc>
          <w:tcPr>
            <w:tcW w:w="3400" w:type="dxa"/>
            <w:vAlign w:val="bottom"/>
          </w:tcPr>
          <w:p>
            <w:pPr>
              <w:spacing w:after="0"/>
              <w:rPr>
                <w:sz w:val="19"/>
                <w:szCs w:val="19"/>
                <w:color w:val="auto"/>
              </w:rPr>
            </w:pPr>
          </w:p>
        </w:tc>
        <w:tc>
          <w:tcPr>
            <w:tcW w:w="68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w w:val="73"/>
              </w:rPr>
              <w:t>$</w:t>
            </w:r>
            <w:r>
              <w:rPr>
                <w:rFonts w:ascii="Arial" w:cs="Arial" w:eastAsia="Arial" w:hAnsi="Arial"/>
                <w:sz w:val="18"/>
                <w:szCs w:val="18"/>
                <w:color w:val="auto"/>
                <w:w w:val="73"/>
              </w:rPr>
              <w:t>10,794</w:t>
            </w: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9,900</w:t>
            </w:r>
          </w:p>
        </w:tc>
        <w:tc>
          <w:tcPr>
            <w:tcW w:w="120" w:type="dxa"/>
            <w:vAlign w:val="bottom"/>
          </w:tcPr>
          <w:p>
            <w:pPr>
              <w:spacing w:after="0"/>
              <w:rPr>
                <w:sz w:val="19"/>
                <w:szCs w:val="19"/>
                <w:color w:val="auto"/>
              </w:rPr>
            </w:pPr>
          </w:p>
        </w:tc>
        <w:tc>
          <w:tcPr>
            <w:tcW w:w="620" w:type="dxa"/>
            <w:vAlign w:val="bottom"/>
            <w:gridSpan w:val="7"/>
          </w:tcPr>
          <w:p>
            <w:pPr>
              <w:jc w:val="right"/>
              <w:ind w:right="80"/>
              <w:spacing w:after="0"/>
              <w:rPr>
                <w:sz w:val="20"/>
                <w:szCs w:val="20"/>
                <w:color w:val="auto"/>
              </w:rPr>
            </w:pPr>
            <w:r>
              <w:rPr>
                <w:rFonts w:ascii="Arial" w:cs="Arial" w:eastAsia="Arial" w:hAnsi="Arial"/>
                <w:sz w:val="18"/>
                <w:szCs w:val="18"/>
                <w:color w:val="auto"/>
              </w:rPr>
              <w:t>$  894</w:t>
            </w:r>
          </w:p>
        </w:tc>
        <w:tc>
          <w:tcPr>
            <w:tcW w:w="540" w:type="dxa"/>
            <w:vAlign w:val="bottom"/>
            <w:gridSpan w:val="4"/>
          </w:tcPr>
          <w:p>
            <w:pPr>
              <w:jc w:val="right"/>
              <w:ind w:right="120"/>
              <w:spacing w:after="0"/>
              <w:rPr>
                <w:sz w:val="20"/>
                <w:szCs w:val="20"/>
                <w:color w:val="auto"/>
              </w:rPr>
            </w:pPr>
            <w:r>
              <w:rPr>
                <w:rFonts w:ascii="Arial" w:cs="Arial" w:eastAsia="Arial" w:hAnsi="Arial"/>
                <w:sz w:val="18"/>
                <w:szCs w:val="18"/>
                <w:color w:val="auto"/>
              </w:rPr>
              <w:t>9 %</w:t>
            </w:r>
          </w:p>
        </w:tc>
        <w:tc>
          <w:tcPr>
            <w:tcW w:w="216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(1,549) (13)%</w:t>
            </w:r>
          </w:p>
        </w:tc>
      </w:tr>
      <w:tr>
        <w:trPr>
          <w:trHeight w:val="196"/>
        </w:trPr>
        <w:tc>
          <w:tcPr>
            <w:tcW w:w="3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12.343</w:t>
            </w:r>
          </w:p>
        </w:tc>
        <w:tc>
          <w:tcPr>
            <w:tcW w:w="3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85"/>
        </w:trPr>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7"/>
          </w:tcPr>
          <w:p>
            <w:pPr>
              <w:jc w:val="center"/>
              <w:ind w:right="580"/>
              <w:spacing w:after="0"/>
              <w:rPr>
                <w:sz w:val="20"/>
                <w:szCs w:val="20"/>
                <w:color w:val="auto"/>
              </w:rPr>
            </w:pPr>
            <w:r>
              <w:rPr>
                <w:rFonts w:ascii="Arial" w:cs="Arial" w:eastAsia="Arial" w:hAnsi="Arial"/>
                <w:sz w:val="14"/>
                <w:szCs w:val="14"/>
                <w:b w:val="1"/>
                <w:bCs w:val="1"/>
                <w:i w:val="1"/>
                <w:iCs w:val="1"/>
                <w:color w:val="auto"/>
                <w:w w:val="92"/>
              </w:rPr>
              <w:t>Nine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49"/>
        </w:trPr>
        <w:tc>
          <w:tcPr>
            <w:tcW w:w="3400" w:type="dxa"/>
            <w:vAlign w:val="bottom"/>
          </w:tcPr>
          <w:p>
            <w:pPr>
              <w:spacing w:after="0"/>
              <w:rPr>
                <w:sz w:val="12"/>
                <w:szCs w:val="12"/>
                <w:color w:val="auto"/>
              </w:rPr>
            </w:pPr>
          </w:p>
        </w:tc>
        <w:tc>
          <w:tcPr>
            <w:tcW w:w="1280" w:type="dxa"/>
            <w:vAlign w:val="bottom"/>
            <w:gridSpan w:val="8"/>
          </w:tcPr>
          <w:p>
            <w:pPr>
              <w:jc w:val="center"/>
              <w:ind w:right="34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6"/>
        </w:trPr>
        <w:tc>
          <w:tcPr>
            <w:tcW w:w="3400" w:type="dxa"/>
            <w:vAlign w:val="bottom"/>
          </w:tcPr>
          <w:p>
            <w:pPr>
              <w:spacing w:after="0"/>
              <w:rPr>
                <w:sz w:val="12"/>
                <w:szCs w:val="12"/>
                <w:color w:val="auto"/>
              </w:rPr>
            </w:pPr>
          </w:p>
        </w:tc>
        <w:tc>
          <w:tcPr>
            <w:tcW w:w="92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1"/>
              </w:rPr>
              <w:t>September 30,</w:t>
            </w:r>
          </w:p>
        </w:tc>
        <w:tc>
          <w:tcPr>
            <w:tcW w:w="3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6"/>
          </w:tcPr>
          <w:p>
            <w:pPr>
              <w:ind w:left="6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3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56"/>
        </w:trPr>
        <w:tc>
          <w:tcPr>
            <w:tcW w:w="3400" w:type="dxa"/>
            <w:vAlign w:val="bottom"/>
          </w:tcPr>
          <w:p>
            <w:pPr>
              <w:spacing w:after="0"/>
              <w:rPr>
                <w:sz w:val="13"/>
                <w:szCs w:val="13"/>
                <w:color w:val="auto"/>
              </w:rPr>
            </w:pPr>
          </w:p>
        </w:tc>
        <w:tc>
          <w:tcPr>
            <w:tcW w:w="420" w:type="dxa"/>
            <w:vAlign w:val="bottom"/>
            <w:gridSpan w:val="2"/>
          </w:tcPr>
          <w:p>
            <w:pPr>
              <w:jc w:val="right"/>
              <w:ind w:right="132"/>
              <w:spacing w:after="0"/>
              <w:rPr>
                <w:sz w:val="20"/>
                <w:szCs w:val="20"/>
                <w:color w:val="auto"/>
              </w:rPr>
            </w:pPr>
            <w:r>
              <w:rPr>
                <w:rFonts w:ascii="Arial" w:cs="Arial" w:eastAsia="Arial" w:hAnsi="Arial"/>
                <w:sz w:val="12"/>
                <w:szCs w:val="12"/>
                <w:b w:val="1"/>
                <w:bCs w:val="1"/>
                <w:i w:val="1"/>
                <w:iCs w:val="1"/>
                <w:color w:val="auto"/>
                <w:w w:val="74"/>
              </w:rPr>
              <w:t>2014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rPr>
              <w:t>$</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4"/>
          </w:tcPr>
          <w:p>
            <w:pPr>
              <w:jc w:val="right"/>
              <w:ind w:right="300"/>
              <w:spacing w:after="0" w:line="155" w:lineRule="exact"/>
              <w:rPr>
                <w:sz w:val="20"/>
                <w:szCs w:val="20"/>
                <w:color w:val="auto"/>
              </w:rPr>
            </w:pPr>
            <w:r>
              <w:rPr>
                <w:rFonts w:ascii="Arial" w:cs="Arial" w:eastAsia="Arial" w:hAnsi="Arial"/>
                <w:sz w:val="14"/>
                <w:szCs w:val="14"/>
                <w:b w:val="1"/>
                <w:bCs w:val="1"/>
                <w:i w:val="1"/>
                <w:iCs w:val="1"/>
                <w:color w:val="auto"/>
              </w:rPr>
              <w:t>%</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302"/>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w w:val="93"/>
              </w:rPr>
              <w:t>Net revenues from unaffiliated customers:</w:t>
            </w:r>
          </w:p>
        </w:tc>
        <w:tc>
          <w:tcPr>
            <w:tcW w:w="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59"/>
        </w:trPr>
        <w:tc>
          <w:tcPr>
            <w:tcW w:w="3400" w:type="dxa"/>
            <w:vAlign w:val="bottom"/>
          </w:tcPr>
          <w:p>
            <w:pPr>
              <w:spacing w:after="0"/>
              <w:rPr>
                <w:sz w:val="20"/>
                <w:szCs w:val="20"/>
                <w:color w:val="auto"/>
              </w:rPr>
            </w:pPr>
            <w:r>
              <w:rPr>
                <w:rFonts w:ascii="Arial" w:cs="Arial" w:eastAsia="Arial" w:hAnsi="Arial"/>
                <w:sz w:val="18"/>
                <w:szCs w:val="18"/>
                <w:color w:val="auto"/>
              </w:rPr>
              <w:t>Thermal Products</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73"/>
              </w:rPr>
              <w:t>$17,267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8"/>
                <w:szCs w:val="18"/>
                <w:color w:val="auto"/>
                <w:w w:val="70"/>
              </w:rPr>
              <w:t>$17,514</w:t>
            </w:r>
          </w:p>
        </w:tc>
        <w:tc>
          <w:tcPr>
            <w:tcW w:w="620" w:type="dxa"/>
            <w:vAlign w:val="bottom"/>
            <w:gridSpan w:val="7"/>
          </w:tcPr>
          <w:p>
            <w:pPr>
              <w:jc w:val="right"/>
              <w:ind w:right="60"/>
              <w:spacing w:after="0"/>
              <w:rPr>
                <w:sz w:val="20"/>
                <w:szCs w:val="20"/>
                <w:color w:val="auto"/>
              </w:rPr>
            </w:pPr>
            <w:r>
              <w:rPr>
                <w:rFonts w:ascii="Arial" w:cs="Arial" w:eastAsia="Arial" w:hAnsi="Arial"/>
                <w:sz w:val="18"/>
                <w:szCs w:val="18"/>
                <w:color w:val="auto"/>
                <w:w w:val="94"/>
              </w:rPr>
              <w:t>$ (247)</w:t>
            </w:r>
          </w:p>
        </w:tc>
        <w:tc>
          <w:tcPr>
            <w:tcW w:w="540" w:type="dxa"/>
            <w:vAlign w:val="bottom"/>
            <w:gridSpan w:val="4"/>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59"/>
        </w:trPr>
        <w:tc>
          <w:tcPr>
            <w:tcW w:w="3400" w:type="dxa"/>
            <w:vAlign w:val="bottom"/>
          </w:tcPr>
          <w:p>
            <w:pPr>
              <w:spacing w:after="0"/>
              <w:rPr>
                <w:sz w:val="20"/>
                <w:szCs w:val="20"/>
                <w:color w:val="auto"/>
              </w:rPr>
            </w:pPr>
            <w:r>
              <w:rPr>
                <w:rFonts w:ascii="Arial" w:cs="Arial" w:eastAsia="Arial" w:hAnsi="Arial"/>
                <w:sz w:val="18"/>
                <w:szCs w:val="18"/>
                <w:color w:val="auto"/>
              </w:rPr>
              <w:t>Mechanical Products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9,261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8"/>
                <w:szCs w:val="18"/>
                <w:color w:val="auto"/>
              </w:rPr>
              <w:t>7,784</w:t>
            </w:r>
          </w:p>
        </w:tc>
        <w:tc>
          <w:tcPr>
            <w:tcW w:w="540" w:type="dxa"/>
            <w:vAlign w:val="bottom"/>
            <w:gridSpan w:val="6"/>
          </w:tcPr>
          <w:p>
            <w:pPr>
              <w:jc w:val="right"/>
              <w:ind w:right="20"/>
              <w:spacing w:after="0"/>
              <w:rPr>
                <w:sz w:val="20"/>
                <w:szCs w:val="20"/>
                <w:color w:val="auto"/>
              </w:rPr>
            </w:pPr>
            <w:r>
              <w:rPr>
                <w:rFonts w:ascii="Arial" w:cs="Arial" w:eastAsia="Arial" w:hAnsi="Arial"/>
                <w:sz w:val="18"/>
                <w:szCs w:val="18"/>
                <w:color w:val="auto"/>
              </w:rPr>
              <w:t>1,477</w:t>
            </w:r>
          </w:p>
        </w:tc>
        <w:tc>
          <w:tcPr>
            <w:tcW w:w="80" w:type="dxa"/>
            <w:vAlign w:val="bottom"/>
          </w:tcPr>
          <w:p>
            <w:pPr>
              <w:spacing w:after="0"/>
              <w:rPr>
                <w:sz w:val="24"/>
                <w:szCs w:val="24"/>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19 %</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21"/>
        </w:trPr>
        <w:tc>
          <w:tcPr>
            <w:tcW w:w="3400" w:type="dxa"/>
            <w:vAlign w:val="bottom"/>
          </w:tcPr>
          <w:p>
            <w:pPr>
              <w:spacing w:after="0"/>
              <w:rPr>
                <w:sz w:val="20"/>
                <w:szCs w:val="20"/>
                <w:color w:val="auto"/>
              </w:rPr>
            </w:pPr>
            <w:r>
              <w:rPr>
                <w:rFonts w:ascii="Arial" w:cs="Arial" w:eastAsia="Arial" w:hAnsi="Arial"/>
                <w:sz w:val="18"/>
                <w:szCs w:val="18"/>
                <w:color w:val="auto"/>
              </w:rPr>
              <w:t>Electrical Products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5,406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8"/>
                <w:szCs w:val="18"/>
                <w:color w:val="auto"/>
              </w:rPr>
              <w:t>4,793</w:t>
            </w:r>
          </w:p>
        </w:tc>
        <w:tc>
          <w:tcPr>
            <w:tcW w:w="540" w:type="dxa"/>
            <w:vAlign w:val="bottom"/>
            <w:gridSpan w:val="6"/>
          </w:tcPr>
          <w:p>
            <w:pPr>
              <w:jc w:val="right"/>
              <w:ind w:right="20"/>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24"/>
                <w:szCs w:val="24"/>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13 %</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
        </w:trPr>
        <w:tc>
          <w:tcPr>
            <w:tcW w:w="340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39"/>
        </w:trPr>
        <w:tc>
          <w:tcPr>
            <w:tcW w:w="34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3"/>
              </w:rPr>
              <w:t>$</w:t>
            </w:r>
            <w:r>
              <w:rPr>
                <w:rFonts w:ascii="Arial" w:cs="Arial" w:eastAsia="Arial" w:hAnsi="Arial"/>
                <w:sz w:val="15"/>
                <w:szCs w:val="15"/>
                <w:color w:val="auto"/>
                <w:w w:val="73"/>
              </w:rPr>
              <w:t>31,934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30,091</w:t>
            </w:r>
          </w:p>
        </w:tc>
        <w:tc>
          <w:tcPr>
            <w:tcW w:w="54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1,843</w:t>
            </w:r>
          </w:p>
        </w:tc>
        <w:tc>
          <w:tcPr>
            <w:tcW w:w="80" w:type="dxa"/>
            <w:vAlign w:val="bottom"/>
          </w:tcPr>
          <w:p>
            <w:pPr>
              <w:spacing w:after="0"/>
              <w:rPr>
                <w:sz w:val="24"/>
                <w:szCs w:val="24"/>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
        </w:trPr>
        <w:tc>
          <w:tcPr>
            <w:tcW w:w="340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721"/>
        </w:trPr>
        <w:tc>
          <w:tcPr>
            <w:tcW w:w="3400" w:type="dxa"/>
            <w:vAlign w:val="bottom"/>
          </w:tcPr>
          <w:p>
            <w:pPr>
              <w:spacing w:after="0"/>
              <w:rPr>
                <w:sz w:val="20"/>
                <w:szCs w:val="20"/>
                <w:color w:val="auto"/>
              </w:rPr>
            </w:pPr>
            <w:r>
              <w:rPr>
                <w:rFonts w:ascii="Arial" w:cs="Arial" w:eastAsia="Arial" w:hAnsi="Arial"/>
                <w:sz w:val="18"/>
                <w:szCs w:val="18"/>
                <w:color w:val="auto"/>
              </w:rPr>
              <w:t>ATE market</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w w:val="73"/>
              </w:rPr>
              <w:t>$24,256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8"/>
                <w:szCs w:val="18"/>
                <w:color w:val="auto"/>
                <w:w w:val="70"/>
              </w:rPr>
              <w:t>$21,154</w:t>
            </w:r>
          </w:p>
        </w:tc>
        <w:tc>
          <w:tcPr>
            <w:tcW w:w="540" w:type="dxa"/>
            <w:vAlign w:val="bottom"/>
            <w:gridSpan w:val="6"/>
          </w:tcPr>
          <w:p>
            <w:pPr>
              <w:jc w:val="right"/>
              <w:ind w:right="20"/>
              <w:spacing w:after="0"/>
              <w:rPr>
                <w:sz w:val="20"/>
                <w:szCs w:val="20"/>
                <w:color w:val="auto"/>
              </w:rPr>
            </w:pPr>
            <w:r>
              <w:rPr>
                <w:rFonts w:ascii="Arial" w:cs="Arial" w:eastAsia="Arial" w:hAnsi="Arial"/>
                <w:sz w:val="18"/>
                <w:szCs w:val="18"/>
                <w:color w:val="auto"/>
                <w:w w:val="90"/>
              </w:rPr>
              <w:t>$3,102</w:t>
            </w:r>
          </w:p>
        </w:tc>
        <w:tc>
          <w:tcPr>
            <w:tcW w:w="80" w:type="dxa"/>
            <w:vAlign w:val="bottom"/>
          </w:tcPr>
          <w:p>
            <w:pPr>
              <w:spacing w:after="0"/>
              <w:rPr>
                <w:sz w:val="24"/>
                <w:szCs w:val="24"/>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15 %</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21"/>
        </w:trPr>
        <w:tc>
          <w:tcPr>
            <w:tcW w:w="3400" w:type="dxa"/>
            <w:vAlign w:val="bottom"/>
          </w:tcPr>
          <w:p>
            <w:pPr>
              <w:spacing w:after="0"/>
              <w:rPr>
                <w:sz w:val="20"/>
                <w:szCs w:val="20"/>
                <w:color w:val="auto"/>
              </w:rPr>
            </w:pPr>
            <w:r>
              <w:rPr>
                <w:rFonts w:ascii="Arial" w:cs="Arial" w:eastAsia="Arial" w:hAnsi="Arial"/>
                <w:sz w:val="18"/>
                <w:szCs w:val="18"/>
                <w:color w:val="auto"/>
              </w:rPr>
              <w:t>Non-ATE market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7,678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8"/>
                <w:szCs w:val="18"/>
                <w:color w:val="auto"/>
              </w:rPr>
              <w:t>8,937</w:t>
            </w:r>
          </w:p>
        </w:tc>
        <w:tc>
          <w:tcPr>
            <w:tcW w:w="1160" w:type="dxa"/>
            <w:vAlign w:val="bottom"/>
            <w:gridSpan w:val="11"/>
          </w:tcPr>
          <w:p>
            <w:pPr>
              <w:jc w:val="right"/>
              <w:ind w:right="120"/>
              <w:spacing w:after="0"/>
              <w:rPr>
                <w:sz w:val="20"/>
                <w:szCs w:val="20"/>
                <w:color w:val="auto"/>
              </w:rPr>
            </w:pPr>
            <w:r>
              <w:rPr>
                <w:rFonts w:ascii="Arial" w:cs="Arial" w:eastAsia="Arial" w:hAnsi="Arial"/>
                <w:sz w:val="18"/>
                <w:szCs w:val="18"/>
                <w:color w:val="auto"/>
                <w:w w:val="92"/>
              </w:rPr>
              <w:t>(1,259) (14)%</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
        </w:trPr>
        <w:tc>
          <w:tcPr>
            <w:tcW w:w="340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39"/>
        </w:trPr>
        <w:tc>
          <w:tcPr>
            <w:tcW w:w="34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3"/>
              </w:rPr>
              <w:t>$</w:t>
            </w:r>
            <w:r>
              <w:rPr>
                <w:rFonts w:ascii="Arial" w:cs="Arial" w:eastAsia="Arial" w:hAnsi="Arial"/>
                <w:sz w:val="15"/>
                <w:szCs w:val="15"/>
                <w:color w:val="auto"/>
                <w:w w:val="73"/>
              </w:rPr>
              <w:t>31,934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4"/>
          </w:tcPr>
          <w:p>
            <w:pPr>
              <w:jc w:val="right"/>
              <w:ind w:right="120"/>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30,091</w:t>
            </w:r>
          </w:p>
        </w:tc>
        <w:tc>
          <w:tcPr>
            <w:tcW w:w="54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1,843</w:t>
            </w:r>
          </w:p>
        </w:tc>
        <w:tc>
          <w:tcPr>
            <w:tcW w:w="80" w:type="dxa"/>
            <w:vAlign w:val="bottom"/>
          </w:tcPr>
          <w:p>
            <w:pPr>
              <w:spacing w:after="0"/>
              <w:rPr>
                <w:sz w:val="24"/>
                <w:szCs w:val="24"/>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
        </w:trPr>
        <w:tc>
          <w:tcPr>
            <w:tcW w:w="34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Our consolidated net revenues for the quarter ended September 30, 2014 increased $894,000 as compared to the same period in 2013. For the quarter ended September 30, 2014, the net revenues of our Thermal and Mechanical Products segments increased $64,000 and $884,000, respectively, while the net revenues of our Electrical Products segment declined $54,000 as compared to the same period in 2013. Net revenues from customers outside the ATE market for the quarter ended September 30, 2014 declined $323,000 as compared to the same period in 2013. The fluctuating levels of net revenues for our three product segments reflect the factors discussed previously in Orders and Backlog.</w:t>
      </w:r>
    </w:p>
    <w:p>
      <w:pPr>
        <w:spacing w:after="0" w:line="170"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Our consolidated net revenues for the quarter ended September 30, 2014 decreased $1.5 million as compared to the quarter ended June 30, 2014. The net revenues of our Thermal, Mechanical and Electrical Products segments decreased $208,000, $1.1 million and $281,000, respectively, for the third quarter of 2014 as compared to the second quarter of 2014. The decreases primarily reflect the aforementioned beginning of a seasonal decline in demand from the ATE market. This decline was partially offset by a $766,000 increase in net revenues from customers outside the ATE market for the third quarter of 2014 as compared to the second quarter of 2014.</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Our three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markets including the automotive, consumer electronics, defense/aerospace, energy, industrial and telecommunications markets. The mix of customers during any given period will affect our gross margin due to differing sales discounts and commissions. For the nine months ended September 30, 2014 and 2013, our OEM sales as a percentage of net revenues were 10% and 11%, respectively.</w:t>
      </w:r>
    </w:p>
    <w:p>
      <w:pPr>
        <w:spacing w:after="0" w:line="170" w:lineRule="exact"/>
        <w:rPr>
          <w:sz w:val="20"/>
          <w:szCs w:val="20"/>
          <w:color w:val="auto"/>
        </w:rPr>
      </w:pPr>
    </w:p>
    <w:p>
      <w:pPr>
        <w:ind w:left="540" w:right="14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negatively affect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jc w:val="both"/>
        <w:ind w:left="540" w:right="240"/>
        <w:spacing w:after="0" w:line="306" w:lineRule="auto"/>
        <w:rPr>
          <w:sz w:val="20"/>
          <w:szCs w:val="20"/>
          <w:color w:val="auto"/>
        </w:rPr>
      </w:pPr>
      <w:r>
        <w:rPr>
          <w:rFonts w:ascii="Arial" w:cs="Arial" w:eastAsia="Arial" w:hAnsi="Arial"/>
          <w:sz w:val="16"/>
          <w:szCs w:val="16"/>
          <w:color w:val="auto"/>
        </w:rPr>
        <w:t>The results of operations for our three product segments are generally affected by the same factors. Separate discussions and analyses for each product segment would be repetitive. The discussion and analysis that follows, therefore, is presented on a consolidated basis and includes discussion of factors unique to each product segment where significant to an understanding of that segment.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September 30, 2014 Compared to Quarter Ended September 30, 2013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$10.8 million for the quarter ended September 30, 2014 compared to $9.9 million for the same period in 2013, an</w:t>
      </w:r>
    </w:p>
    <w:p>
      <w:pPr>
        <w:sectPr>
          <w:pgSz w:w="11900" w:h="16838" w:orient="portrait"/>
          <w:cols w:equalWidth="0" w:num="1">
            <w:col w:w="11420"/>
          </w:cols>
          <w:pgMar w:left="240" w:top="131" w:right="239" w:bottom="0" w:gutter="0" w:footer="0" w:header="0"/>
        </w:sectPr>
      </w:pPr>
    </w:p>
    <w:bookmarkStart w:id="16" w:name="page17"/>
    <w:bookmarkEnd w:id="16"/>
    <w:p>
      <w:pPr>
        <w:spacing w:after="0" w:line="3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increase of $894,000 or 9%. We believe the increase in our net revenues during the third quarter of 2014 primarily reflects the factors previously discussed in the Overview.</w:t>
      </w:r>
    </w:p>
    <w:p>
      <w:pPr>
        <w:spacing w:after="0" w:line="186"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48% in each of the quarters ended September 30, 2014 and 2013. Our material costs increased from</w:t>
      </w:r>
      <w:r>
        <w:rPr>
          <w:rFonts w:ascii="Arial" w:cs="Arial" w:eastAsia="Arial" w:hAnsi="Arial"/>
          <w:sz w:val="16"/>
          <w:szCs w:val="16"/>
          <w:i w:val="1"/>
          <w:iCs w:val="1"/>
          <w:color w:val="auto"/>
        </w:rPr>
        <w:t xml:space="preserve"> </w:t>
      </w:r>
      <w:r>
        <w:rPr>
          <w:rFonts w:ascii="Arial" w:cs="Arial" w:eastAsia="Arial" w:hAnsi="Arial"/>
          <w:sz w:val="16"/>
          <w:szCs w:val="16"/>
          <w:color w:val="auto"/>
        </w:rPr>
        <w:t>34% of net revenues for the third quarter of 2013 to 35% of net revenues for the third quarter of 2014, reflecting changes in product and customer mix. This increase was offset by a reduction in our fixed operating costs as a percentage of net revenues. Although our fixed operating costs were relatively unchanged in absolute dollar terms, these costs declined from 15% of net revenues in the third quarter of 2013 to 14% of net revenues in the third quarter of 2014 as they were more fully absorbed by the higher net revenue levels in the third quarter of 2014.</w:t>
      </w:r>
    </w:p>
    <w:p>
      <w:pPr>
        <w:spacing w:after="0" w:line="170"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$1.5 million for the quarter ended September 30, 2014 compared to $1.3 million for the same period in 2013,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$207,000 or 17%. The increase primarily reflects higher levels of commissions as a result of the increase in our consolidated net revenues, and changes in customer mix in our Mechanical and Electrical Products segments.</w:t>
      </w:r>
    </w:p>
    <w:p>
      <w:pPr>
        <w:spacing w:after="0" w:line="194"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$894,000 for the quarter ended September 30, 2014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$945,000 for the same period in 2013, a decrease of $51,000 or 5%. The decrease in engineering and product development expense primarily reflects decreased spending on material used in new product development.</w:t>
      </w:r>
    </w:p>
    <w:p>
      <w:pPr>
        <w:spacing w:after="0" w:line="194" w:lineRule="exact"/>
        <w:rPr>
          <w:sz w:val="20"/>
          <w:szCs w:val="20"/>
          <w:color w:val="auto"/>
        </w:rPr>
      </w:pPr>
    </w:p>
    <w:p>
      <w:pPr>
        <w:ind w:left="540" w:right="160"/>
        <w:spacing w:after="0" w:line="256"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$1.5 million in each of the quarters ended September 30, 2014 and 2013.</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the use of third-party professionals who assist us with certain of our strategic initiatives and investor relations activities were offset by a reduction in amortization expense related to our intangible assets and lower salaries and benefits expense. The reduction in salaries and benefits expense primarily reflects changes in headcount in our Thermal Products segment.</w:t>
      </w:r>
    </w:p>
    <w:p>
      <w:pPr>
        <w:spacing w:after="0" w:line="197"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quarter ended September 30, 2014, we recorded income tax expense of $431,000 compared to $24,000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2013. Our effective tax rate for the quarter ended September 30, 2014 was 34% compared to 2% for the same period in 2013. On a quarterly basis, we record income tax expense or benefit based on the expected annualized effective tax rate for the various taxing jurisdictions in which we operate our businesses. The lower effective tax rate for the third quarter of 2013 primarily reflects additional benefits recorded in connection with the finalization of an audit of our German operation as well as, to a lesser extent, the filing of our 2012 federal income tax return, both of which occurred in September 2013. There were no similar items recorded in the third quarter of 2014.</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Nine Months Ended September 30, 2014 Compared to Nine Months Ended September 30, 2013</w:t>
      </w:r>
    </w:p>
    <w:p>
      <w:pPr>
        <w:spacing w:after="0" w:line="225" w:lineRule="exact"/>
        <w:rPr>
          <w:sz w:val="20"/>
          <w:szCs w:val="20"/>
          <w:color w:val="auto"/>
        </w:rPr>
      </w:pPr>
    </w:p>
    <w:p>
      <w:pPr>
        <w:ind w:left="540" w:right="60"/>
        <w:spacing w:after="0" w:line="287"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$31.9 million for the nine months ended September 30, 2014 compared to $30.1 million for the same period in 2013,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$1.8 million or 6%. For the nine months ended September 30, 2014, the net revenues of our Thermal Products segment decreased $247,000 while the net revenues of our Mechanical and Electrical Products segments increased $1.5 million and $613,000, respectively, as compared to the same period in 2013. Net revenues from customers outside the ATE market for the nine months ended September 30, 2014 decreased $1.3 million as compared to the same period in 2013. We believe the decrease in the net revenues of our Thermal Products segment during the first nine months of 2014 reflects reduced demand from our customers outside the ATE market, primarily during the first quarter of 2014. This reduced level of demand from the non-ATE market was partially offset by increased demand from this segment's ATE customers. We believe the increases in the net revenues of our Mechanical and Electrical Products segments as well as the increased demand from our Thermal Products segment's ATE customers during the first nine months of 2014 primarily reflect the overall improvement in demand being experienced by the broader ATE market, in comparison to the level of demand experienced during 2013.</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48% in each of the nine months ended September 30, 2014 and 2013. Our material costs increased</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from 34% of net revenues for the nine months ended September 30, 2013 to 35% for the same period in 2014, reflecting changes in product and customer</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mix. This increase was offset by a reduction in our fixed operating costs as a percentage of net revenues. Although our fixed operating costs increased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$35,000 in absolute dollar terms, they were more fully absorbed by the higher net revenue levels in 2014 and, as a result, these costs declined from 15% of</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revenues for the nine months ended September 30, 2013 to 14% for the same period in 2014. The $35,000 increase in our fixed operating costs</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primarily reflects an increase in facility related costs and depreciation for our Thermal Products segment which was partially offset by a reduction in</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salaries and benefits expense, reflecting headcount reductions in our Thermal and Mechanical Products segments.</w:t>
      </w:r>
    </w:p>
    <w:p>
      <w:pPr>
        <w:spacing w:after="0" w:line="219"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$4.3 million for the nine months ended September 30, 2014 compared to $4.0 million for the same period in 2013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$346,000 or 9%. The increase primarily reflects higher salaries and benefits expense as a result of an increase in headcount in our Thermal and Electrical Products segments and higher levels of commissions as a result of the increase in our consolidated net revenues.</w:t>
      </w:r>
    </w:p>
    <w:p>
      <w:pPr>
        <w:spacing w:after="0" w:line="161"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$2.7 million for the nine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2014 compared to $2.9 million for the same period in 2013 a decrease of $162,000 or 6%. The decrease in engineering and product development expense primarily reflects decreased spending on matters related to our intellectual property and third party consultants. To a lesser extent there was also a reduction in spending on materials used in new product development. These decreases were partially offset by an increase in salaries and benefits expense, primarily reflecting an increase in headcount in our Thermal and Electrical Products segments.</w:t>
      </w:r>
    </w:p>
    <w:p>
      <w:pPr>
        <w:spacing w:after="0" w:line="170"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$4.7 million for the nine months ended September 30, 2014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$4.5 million for the same period in 2013 an increase of $133,000 or 3%. The increase primarily reflects an increase in the use of third-party professionals who assist us with certain of our strategic initiatives and investor relations activities. This increase was partially offset by a reduction in amortization expense related to our intangible assets and lower salaries and benefits expense in our Thermal Products segment.</w:t>
      </w:r>
    </w:p>
    <w:p>
      <w:pPr>
        <w:spacing w:after="0" w:line="167" w:lineRule="exact"/>
        <w:rPr>
          <w:sz w:val="20"/>
          <w:szCs w:val="20"/>
          <w:color w:val="auto"/>
        </w:rPr>
      </w:pPr>
    </w:p>
    <w:p>
      <w:pPr>
        <w:ind w:left="540" w:right="20"/>
        <w:spacing w:after="0" w:line="323" w:lineRule="auto"/>
        <w:rPr>
          <w:sz w:val="20"/>
          <w:szCs w:val="20"/>
          <w:color w:val="auto"/>
        </w:rPr>
      </w:pPr>
      <w:r>
        <w:rPr>
          <w:rFonts w:ascii="Arial" w:cs="Arial" w:eastAsia="Arial" w:hAnsi="Arial"/>
          <w:sz w:val="15"/>
          <w:szCs w:val="15"/>
          <w:i w:val="1"/>
          <w:iCs w:val="1"/>
          <w:color w:val="auto"/>
        </w:rPr>
        <w:t xml:space="preserve">Income Tax Expense. </w:t>
      </w:r>
      <w:r>
        <w:rPr>
          <w:rFonts w:ascii="Arial" w:cs="Arial" w:eastAsia="Arial" w:hAnsi="Arial"/>
          <w:sz w:val="15"/>
          <w:szCs w:val="15"/>
          <w:color w:val="auto"/>
        </w:rPr>
        <w:t>For the nine months ended September 30, 2014, we recorded income tax expense of $1.3 million compared to $586,000 for the same</w:t>
      </w:r>
      <w:r>
        <w:rPr>
          <w:rFonts w:ascii="Arial" w:cs="Arial" w:eastAsia="Arial" w:hAnsi="Arial"/>
          <w:sz w:val="15"/>
          <w:szCs w:val="15"/>
          <w:i w:val="1"/>
          <w:iCs w:val="1"/>
          <w:color w:val="auto"/>
        </w:rPr>
        <w:t xml:space="preserve"> </w:t>
      </w:r>
      <w:r>
        <w:rPr>
          <w:rFonts w:ascii="Arial" w:cs="Arial" w:eastAsia="Arial" w:hAnsi="Arial"/>
          <w:sz w:val="15"/>
          <w:szCs w:val="15"/>
          <w:color w:val="auto"/>
        </w:rPr>
        <w:t>period in 2013. Our effective tax rate for the nine months ended September 30, 2014 was 34% compared to 20% for the same period in 2013. On a quarterly basis, we record income tax expense or benefit based on the expected annualized effective tax rate for the various taxing jurisdictions in which we operate our businesses. The increase in our effective tax rate in the first nine months of 2014 as compared to the same period in 2013 primarily reflects</w:t>
      </w:r>
    </w:p>
    <w:p>
      <w:pPr>
        <w:sectPr>
          <w:pgSz w:w="11900" w:h="16872" w:orient="portrait"/>
          <w:cols w:equalWidth="0" w:num="1">
            <w:col w:w="11420"/>
          </w:cols>
          <w:pgMar w:left="240" w:top="131" w:right="239" w:bottom="0" w:gutter="0" w:footer="0" w:header="0"/>
        </w:sectPr>
      </w:pPr>
    </w:p>
    <w:bookmarkStart w:id="17" w:name="page18"/>
    <w:bookmarkEnd w:id="17"/>
    <w:p>
      <w:pPr>
        <w:spacing w:after="0" w:line="57" w:lineRule="exact"/>
        <w:rPr>
          <w:sz w:val="20"/>
          <w:szCs w:val="20"/>
          <w:color w:val="auto"/>
        </w:rPr>
      </w:pPr>
    </w:p>
    <w:p>
      <w:pPr>
        <w:ind w:left="540" w:right="260"/>
        <w:spacing w:after="0" w:line="306" w:lineRule="auto"/>
        <w:rPr>
          <w:sz w:val="20"/>
          <w:szCs w:val="20"/>
          <w:color w:val="auto"/>
        </w:rPr>
      </w:pPr>
      <w:r>
        <w:rPr>
          <w:rFonts w:ascii="Arial" w:cs="Arial" w:eastAsia="Arial" w:hAnsi="Arial"/>
          <w:sz w:val="16"/>
          <w:szCs w:val="16"/>
          <w:color w:val="auto"/>
        </w:rPr>
        <w:t>the recording of the effect of the reinstatement of certain domestic research and development tax credits for both 2013 and 2012, which was enacted in January 2013, additional benefits recorded in connection with the finalization of an audit of our German operation in September 2013 and, to a lesser extent, the filing of our 2012 federal income tax return, which also occurred in September 2013. There were no similar items recorded in 2014.</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94" w:lineRule="exact"/>
        <w:rPr>
          <w:sz w:val="20"/>
          <w:szCs w:val="20"/>
          <w:color w:val="auto"/>
        </w:rPr>
      </w:pPr>
    </w:p>
    <w:p>
      <w:pPr>
        <w:ind w:left="540" w:right="480"/>
        <w:spacing w:after="0" w:line="259"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and for acquisitions.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cash and cash equivalents and working capital were as follows:</w:t>
      </w:r>
    </w:p>
    <w:p>
      <w:pPr>
        <w:spacing w:after="0" w:line="248"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i w:val="1"/>
                <w:iCs w:val="1"/>
                <w:color w:val="auto"/>
                <w:w w:val="84"/>
              </w:rPr>
              <w:t>Sept. 30, 2014</w:t>
            </w:r>
          </w:p>
        </w:tc>
        <w:tc>
          <w:tcPr>
            <w:tcW w:w="7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Dec. 31, 2013</w:t>
            </w:r>
          </w:p>
        </w:tc>
      </w:tr>
      <w:tr>
        <w:trPr>
          <w:trHeight w:val="235"/>
        </w:trPr>
        <w:tc>
          <w:tcPr>
            <w:tcW w:w="3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$20,147</w:t>
            </w:r>
          </w:p>
        </w:tc>
        <w:tc>
          <w:tcPr>
            <w:tcW w:w="200" w:type="dxa"/>
            <w:vAlign w:val="bottom"/>
          </w:tcPr>
          <w:p>
            <w:pPr>
              <w:spacing w:after="0"/>
              <w:rPr>
                <w:sz w:val="20"/>
                <w:szCs w:val="20"/>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$19,018</w:t>
            </w:r>
          </w:p>
        </w:tc>
      </w:tr>
      <w:tr>
        <w:trPr>
          <w:trHeight w:val="459"/>
        </w:trPr>
        <w:tc>
          <w:tcPr>
            <w:tcW w:w="3320" w:type="dxa"/>
            <w:vAlign w:val="bottom"/>
          </w:tcPr>
          <w:p>
            <w:pPr>
              <w:spacing w:after="0"/>
              <w:rPr>
                <w:sz w:val="20"/>
                <w:szCs w:val="20"/>
                <w:color w:val="auto"/>
              </w:rPr>
            </w:pPr>
            <w:r>
              <w:rPr>
                <w:rFonts w:ascii="Arial" w:cs="Arial" w:eastAsia="Arial" w:hAnsi="Arial"/>
                <w:sz w:val="18"/>
                <w:szCs w:val="18"/>
                <w:color w:val="auto"/>
              </w:rPr>
              <w:t>Working capital</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$27,718</w:t>
            </w:r>
          </w:p>
        </w:tc>
        <w:tc>
          <w:tcPr>
            <w:tcW w:w="2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$24,749</w:t>
            </w:r>
          </w:p>
        </w:tc>
      </w:tr>
    </w:tbl>
    <w:p>
      <w:pPr>
        <w:spacing w:after="0" w:line="200" w:lineRule="exact"/>
        <w:rPr>
          <w:sz w:val="20"/>
          <w:szCs w:val="20"/>
          <w:color w:val="auto"/>
        </w:rPr>
      </w:pPr>
    </w:p>
    <w:p>
      <w:pPr>
        <w:spacing w:after="0" w:line="239"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As of September 30, 2014, $2.6 million of our cash and cash equivalents was held by our foreign subsidiaries. When these funds are needed for our operations in the U.S., we may be required to accrue and pay U.S. taxes if we repatriate certain of these funds. Our current intent is to indefinitely reinvest these funds in our foreign operations.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currently expect our cash and cash equivalents and projected future cash flow to be sufficient to support our short term working capital requirements.</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do not currently have any credit facilities under which we can borrow to help fund our working capital or other requirements.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operations for the nine months ended September 30, 2014 was $1.8 million. During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2014, we recorded net earnings of $2.5 million, which included non-cash charges of $663,000 for depreciation and amortization, $282,000 of deferred income tax expense and a $232,000 provision for excess and obsolete inventory. During the nine months ended September 30, 2014, accounts receivable, inventories and accounts payable increased $1.9 million, $791,000 and $491,000, respectively, compared to the levels at the end of 2013. These increases primarily reflect increased business activity during the first nine months of 2014 as compared to the fourth quarter of 2013.</w:t>
      </w:r>
    </w:p>
    <w:p>
      <w:pPr>
        <w:spacing w:after="0" w:line="170"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the nine months ended September 30, 2014 purchases of property and equipment were $536,000 which primarily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additions to leased systems in our Thermal and Mechanical Products segments. We have no significant commitments for capital expenditures for the balance of 2014, however, depending upon changes in market demand or manufacturing and sales strategies, we may make such purchases or investments as we deem necessary and appropriate.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the nine months ended September 30, 2014 there were no cash flows from financing activities.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spacing w:after="0" w:line="335" w:lineRule="auto"/>
        <w:rPr>
          <w:sz w:val="20"/>
          <w:szCs w:val="20"/>
          <w:color w:val="auto"/>
        </w:rPr>
      </w:pPr>
      <w:r>
        <w:rPr>
          <w:rFonts w:ascii="Arial" w:cs="Arial" w:eastAsia="Arial" w:hAnsi="Arial"/>
          <w:sz w:val="15"/>
          <w:szCs w:val="15"/>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w:t>
      </w:r>
    </w:p>
    <w:p>
      <w:pPr>
        <w:sectPr>
          <w:pgSz w:w="11900" w:h="16896" w:orient="portrait"/>
          <w:cols w:equalWidth="0" w:num="1">
            <w:col w:w="11400"/>
          </w:cols>
          <w:pgMar w:left="240" w:top="131" w:right="259" w:bottom="0" w:gutter="0" w:footer="0" w:header="0"/>
        </w:sectPr>
      </w:pPr>
    </w:p>
    <w:bookmarkStart w:id="18" w:name="page19"/>
    <w:bookmarkEnd w:id="18"/>
    <w:p>
      <w:pPr>
        <w:ind w:left="540" w:right="40"/>
        <w:spacing w:after="0" w:line="291" w:lineRule="auto"/>
        <w:rPr>
          <w:sz w:val="20"/>
          <w:szCs w:val="20"/>
          <w:color w:val="auto"/>
        </w:rPr>
      </w:pPr>
      <w:r>
        <w:rPr>
          <w:rFonts w:ascii="Arial" w:cs="Arial" w:eastAsia="Arial" w:hAnsi="Arial"/>
          <w:sz w:val="16"/>
          <w:szCs w:val="16"/>
          <w:color w:val="auto"/>
        </w:rPr>
        <w:t>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September 30, 2014, there have been no significant changes to the accounting policies that we have deemed critical. These policies are more fully described in our 2013 Form 10-K.</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There were no off-balance sheet arrangements during the nine months ended September 30, 2014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right="140"/>
        <w:spacing w:after="0" w:line="258" w:lineRule="auto"/>
        <w:rPr>
          <w:sz w:val="20"/>
          <w:szCs w:val="20"/>
          <w:color w:val="auto"/>
        </w:rPr>
      </w:pPr>
      <w:r>
        <w:rPr>
          <w:rFonts w:ascii="Arial" w:cs="Arial" w:eastAsia="Arial" w:hAnsi="Arial"/>
          <w:sz w:val="18"/>
          <w:szCs w:val="18"/>
          <w:b w:val="1"/>
          <w:bCs w:val="1"/>
          <w:color w:val="auto"/>
        </w:rPr>
        <w:t>CEO and CFO Certifications</w:t>
      </w:r>
      <w:r>
        <w:rPr>
          <w:rFonts w:ascii="Arial" w:cs="Arial" w:eastAsia="Arial" w:hAnsi="Arial"/>
          <w:sz w:val="18"/>
          <w:szCs w:val="18"/>
          <w:color w:val="auto"/>
        </w:rPr>
        <w:t>. Included with this Quarterly Report as Exhibits 31.1 and 31.2 are two certifications, one by each of our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our Chief Financial Officer (the "Section 302 Certifications"). This Item 4 contains information concerning the evaluations of our disclosure controls and procedures that are referred to in the Section 302 Certifications. This information should be read in conjunction with the Section 302 Certifications for a more complete understanding of the topics addressed therein.</w:t>
      </w:r>
    </w:p>
    <w:p>
      <w:pPr>
        <w:spacing w:after="0" w:line="190" w:lineRule="exact"/>
        <w:rPr>
          <w:sz w:val="20"/>
          <w:szCs w:val="20"/>
          <w:color w:val="auto"/>
        </w:rPr>
      </w:pPr>
    </w:p>
    <w:p>
      <w:pPr>
        <w:ind w:left="540" w:right="160"/>
        <w:spacing w:after="0" w:line="262" w:lineRule="auto"/>
        <w:rPr>
          <w:sz w:val="20"/>
          <w:szCs w:val="20"/>
          <w:color w:val="auto"/>
        </w:rPr>
      </w:pPr>
      <w:r>
        <w:rPr>
          <w:rFonts w:ascii="Arial" w:cs="Arial" w:eastAsia="Arial" w:hAnsi="Arial"/>
          <w:sz w:val="18"/>
          <w:szCs w:val="18"/>
          <w:b w:val="1"/>
          <w:bCs w:val="1"/>
          <w:color w:val="auto"/>
        </w:rPr>
        <w:t>Evaluation of Our Disclosure Controls and Procedures</w:t>
      </w:r>
      <w:r>
        <w:rPr>
          <w:rFonts w:ascii="Arial" w:cs="Arial" w:eastAsia="Arial" w:hAnsi="Arial"/>
          <w:sz w:val="18"/>
          <w:szCs w:val="18"/>
          <w:color w:val="auto"/>
        </w:rPr>
        <w:t>. The SEC requires that as of the end of the quarter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b w:val="1"/>
          <w:bCs w:val="1"/>
          <w:color w:val="auto"/>
        </w:rPr>
        <w:t>Limitations on the Effectiveness of Controls</w:t>
      </w:r>
      <w:r>
        <w:rPr>
          <w:rFonts w:ascii="Arial" w:cs="Arial" w:eastAsia="Arial" w:hAnsi="Arial"/>
          <w:sz w:val="16"/>
          <w:szCs w:val="16"/>
          <w:color w:val="auto"/>
        </w:rPr>
        <w:t>. Our management, including the CEO and CFO, does not expect that our disclosure controls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CONTROLS AND PROCEDURES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4" w:lineRule="exact"/>
        <w:rPr>
          <w:sz w:val="20"/>
          <w:szCs w:val="20"/>
          <w:color w:val="auto"/>
        </w:rPr>
      </w:pPr>
    </w:p>
    <w:p>
      <w:pPr>
        <w:jc w:val="both"/>
        <w:ind w:left="540" w:right="24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 - - - - - - - - - - - - - - - - - - - -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ectPr>
          <w:pgSz w:w="11900" w:h="16838" w:orient="portrait"/>
          <w:cols w:equalWidth="0" w:num="1">
            <w:col w:w="11400"/>
          </w:cols>
          <w:pgMar w:left="240" w:top="131" w:right="259" w:bottom="0" w:gutter="0" w:footer="0" w:header="0"/>
        </w:sectPr>
      </w:pPr>
    </w:p>
    <w:bookmarkStart w:id="19" w:name="page20"/>
    <w:bookmarkEnd w:id="19"/>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13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 - - - - - - - - - - - - - - - - - - - - - - - - - - - - - -</w:t>
      </w:r>
    </w:p>
    <w:p>
      <w:pPr>
        <w:spacing w:after="0" w:line="23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- 22 -</w:t>
      </w:r>
    </w:p>
    <w:p>
      <w:pPr>
        <w:spacing w:after="0" w:line="200" w:lineRule="exact"/>
        <w:rPr>
          <w:sz w:val="20"/>
          <w:szCs w:val="20"/>
          <w:color w:val="auto"/>
        </w:rPr>
      </w:pPr>
    </w:p>
    <w:p>
      <w:pPr>
        <w:spacing w:after="0" w:line="37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November 13, 2014</w:t>
            </w:r>
          </w:p>
        </w:tc>
        <w:tc>
          <w:tcPr>
            <w:tcW w:w="342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164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November 13, 2014</w:t>
            </w:r>
          </w:p>
        </w:tc>
        <w:tc>
          <w:tcPr>
            <w:tcW w:w="34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190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w w:val="88"/>
              </w:rPr>
              <w:t>Secretary, Treasurer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 - - - - - - - -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920"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980"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9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0940"/>
          </w:cols>
          <w:pgMar w:left="240" w:top="131" w:right="71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13, 2014</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13, 2014</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6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September 30, 2014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8"/>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November 13, 2014</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September 30, 2014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9"/>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November 13, 2014</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2019-12-06T16:48:55Z</dcterms:created>
  <dcterms:modified xsi:type="dcterms:W3CDTF">2019-12-06T16:48:55Z</dcterms:modified>
</cp:coreProperties>
</file>