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2015</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204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118110</wp:posOffset>
            </wp:positionV>
            <wp:extent cx="255968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9685"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340" w:type="dxa"/>
            <w:vAlign w:val="bottom"/>
          </w:tcPr>
          <w:p>
            <w:pPr>
              <w:jc w:val="right"/>
              <w:ind w:right="2912"/>
              <w:spacing w:after="0"/>
              <w:rPr>
                <w:sz w:val="20"/>
                <w:szCs w:val="20"/>
                <w:color w:val="auto"/>
              </w:rPr>
            </w:pPr>
            <w:r>
              <w:rPr>
                <w:rFonts w:ascii="Arial" w:cs="Arial" w:eastAsia="Arial" w:hAnsi="Arial"/>
                <w:sz w:val="18"/>
                <w:szCs w:val="18"/>
                <w:color w:val="auto"/>
              </w:rPr>
              <w:t>___</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340" w:type="dxa"/>
            <w:vAlign w:val="bottom"/>
          </w:tcPr>
          <w:p>
            <w:pPr>
              <w:jc w:val="right"/>
              <w:ind w:right="41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780" w:type="dxa"/>
            <w:vAlign w:val="bottom"/>
            <w:gridSpan w:val="2"/>
          </w:tcPr>
          <w:p>
            <w:pPr>
              <w:ind w:left="56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April 30, 2015:</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10,562,678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135890</wp:posOffset>
            </wp:positionV>
            <wp:extent cx="255968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968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7900" w:type="dxa"/>
            <w:vAlign w:val="bottom"/>
          </w:tcPr>
          <w:p>
            <w:pPr>
              <w:ind w:left="4720"/>
              <w:spacing w:after="0"/>
              <w:rPr>
                <w:sz w:val="20"/>
                <w:szCs w:val="20"/>
                <w:color w:val="auto"/>
              </w:rPr>
            </w:pPr>
            <w:r>
              <w:rPr>
                <w:rFonts w:ascii="Arial" w:cs="Arial" w:eastAsia="Arial" w:hAnsi="Arial"/>
                <w:sz w:val="18"/>
                <w:szCs w:val="18"/>
                <w:b w:val="1"/>
                <w:bCs w:val="1"/>
                <w:color w:val="auto"/>
              </w:rPr>
              <w:t>inTEST CORPORATION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7900" w:type="dxa"/>
            <w:vAlign w:val="bottom"/>
          </w:tcPr>
          <w:p>
            <w:pPr>
              <w:ind w:left="542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79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900" w:type="dxa"/>
            <w:vAlign w:val="bottom"/>
          </w:tcPr>
          <w:p>
            <w:pPr>
              <w:spacing w:after="0"/>
              <w:rPr>
                <w:sz w:val="17"/>
                <w:szCs w:val="17"/>
                <w:color w:val="auto"/>
              </w:rPr>
            </w:pPr>
          </w:p>
        </w:tc>
        <w:tc>
          <w:tcPr>
            <w:tcW w:w="1300" w:type="dxa"/>
            <w:vAlign w:val="bottom"/>
            <w:gridSpan w:val="2"/>
          </w:tcPr>
          <w:p>
            <w:pPr>
              <w:jc w:val="center"/>
              <w:ind w:left="85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9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40"/>
        </w:trPr>
        <w:tc>
          <w:tcPr>
            <w:tcW w:w="7900" w:type="dxa"/>
            <w:vAlign w:val="bottom"/>
          </w:tcPr>
          <w:p>
            <w:pPr>
              <w:ind w:left="760"/>
              <w:spacing w:after="0"/>
              <w:rPr>
                <w:sz w:val="20"/>
                <w:szCs w:val="20"/>
                <w:color w:val="auto"/>
              </w:rPr>
            </w:pPr>
            <w:r>
              <w:rPr>
                <w:rFonts w:ascii="Arial" w:cs="Arial" w:eastAsia="Arial" w:hAnsi="Arial"/>
                <w:sz w:val="18"/>
                <w:szCs w:val="18"/>
                <w:color w:val="auto"/>
              </w:rPr>
              <w:t>Consolidated Balance Sheets as of March 31, 2015 (Unaudited) and December 31, 2014</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1</w:t>
            </w:r>
          </w:p>
        </w:tc>
      </w:tr>
      <w:tr>
        <w:trPr>
          <w:trHeight w:val="237"/>
        </w:trPr>
        <w:tc>
          <w:tcPr>
            <w:tcW w:w="7900" w:type="dxa"/>
            <w:vAlign w:val="bottom"/>
          </w:tcPr>
          <w:p>
            <w:pPr>
              <w:ind w:left="76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900" w:type="dxa"/>
            <w:vAlign w:val="bottom"/>
          </w:tcPr>
          <w:p>
            <w:pPr>
              <w:ind w:left="880"/>
              <w:spacing w:after="0"/>
              <w:rPr>
                <w:sz w:val="20"/>
                <w:szCs w:val="20"/>
                <w:color w:val="auto"/>
              </w:rPr>
            </w:pPr>
            <w:r>
              <w:rPr>
                <w:rFonts w:ascii="Arial" w:cs="Arial" w:eastAsia="Arial" w:hAnsi="Arial"/>
                <w:sz w:val="18"/>
                <w:szCs w:val="18"/>
                <w:color w:val="auto"/>
              </w:rPr>
              <w:t>2015 and 2014</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2</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124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ended March 31, 2015 and 2014</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24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March 31, 2015</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24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March 31, 2015 and 2014</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79"/>
              </w:rPr>
              <w:t>4</w:t>
            </w:r>
          </w:p>
        </w:tc>
      </w:tr>
      <w:tr>
        <w:trPr>
          <w:trHeight w:val="243"/>
        </w:trPr>
        <w:tc>
          <w:tcPr>
            <w:tcW w:w="72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5 - 13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13 - 19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19</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74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$22,485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$23,126</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6,457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4,165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3,769</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414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473</w:t>
            </w:r>
          </w:p>
        </w:tc>
        <w:tc>
          <w:tcPr>
            <w:tcW w:w="100" w:type="dxa"/>
            <w:vAlign w:val="bottom"/>
          </w:tcPr>
          <w:p>
            <w:pPr>
              <w:spacing w:after="0"/>
              <w:rPr>
                <w:sz w:val="14"/>
                <w:szCs w:val="14"/>
                <w:color w:val="auto"/>
              </w:rPr>
            </w:pP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34,205</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32,931</w:t>
            </w: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4,322</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593</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4,970</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4,915</w:t>
            </w:r>
          </w:p>
        </w:tc>
        <w:tc>
          <w:tcPr>
            <w:tcW w:w="100" w:type="dxa"/>
            <w:vAlign w:val="bottom"/>
          </w:tcPr>
          <w:p>
            <w:pPr>
              <w:spacing w:after="0"/>
              <w:rPr>
                <w:sz w:val="19"/>
                <w:szCs w:val="19"/>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68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(3,736)</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(3,647)</w:t>
            </w: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6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1,234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1,268</w:t>
            </w:r>
          </w:p>
        </w:tc>
        <w:tc>
          <w:tcPr>
            <w:tcW w:w="100" w:type="dxa"/>
            <w:vAlign w:val="bottom"/>
          </w:tcPr>
          <w:p>
            <w:pPr>
              <w:spacing w:after="0"/>
              <w:rPr>
                <w:sz w:val="15"/>
                <w:szCs w:val="15"/>
                <w:color w:val="auto"/>
              </w:rPr>
            </w:pP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737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884</w:t>
            </w:r>
          </w:p>
        </w:tc>
        <w:tc>
          <w:tcPr>
            <w:tcW w:w="100" w:type="dxa"/>
            <w:vAlign w:val="bottom"/>
          </w:tcPr>
          <w:p>
            <w:pPr>
              <w:spacing w:after="0"/>
              <w:rPr>
                <w:sz w:val="19"/>
                <w:szCs w:val="19"/>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1,320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206</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$39,745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100" w:type="dxa"/>
            <w:vAlign w:val="bottom"/>
          </w:tcPr>
          <w:p>
            <w:pPr>
              <w:spacing w:after="0"/>
              <w:rPr>
                <w:sz w:val="19"/>
                <w:szCs w:val="19"/>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38" w:lineRule="auto"/>
        <w:rPr>
          <w:sz w:val="20"/>
          <w:szCs w:val="20"/>
          <w:color w:val="auto"/>
        </w:rPr>
      </w:pPr>
      <w:r>
        <w:rPr>
          <w:rFonts w:ascii="Courier New" w:cs="Courier New" w:eastAsia="Courier New" w:hAnsi="Courier New"/>
          <w:sz w:val="18"/>
          <w:szCs w:val="18"/>
          <w:color w:val="auto"/>
        </w:rPr>
        <w:t>Current liabilities:</w:t>
      </w:r>
    </w:p>
    <w:p>
      <w:pPr>
        <w:sectPr>
          <w:pgSz w:w="11900" w:h="16838" w:orient="portrait"/>
          <w:cols w:equalWidth="0" w:num="1">
            <w:col w:w="10219"/>
          </w:cols>
          <w:pgMar w:left="240" w:top="131"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Accounts payable</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1,908</w:t>
            </w:r>
          </w:p>
        </w:tc>
        <w:tc>
          <w:tcPr>
            <w:tcW w:w="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1,234</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253</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5,238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4,370</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10,595,755 shares issued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26,321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7,152</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34,507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34,368</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39,745</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38,738</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30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060" w:type="dxa"/>
            <w:vAlign w:val="bottom"/>
          </w:tcPr>
          <w:p>
            <w:pPr>
              <w:spacing w:after="0"/>
              <w:rPr>
                <w:sz w:val="17"/>
                <w:szCs w:val="17"/>
                <w:color w:val="auto"/>
              </w:rPr>
            </w:pPr>
          </w:p>
        </w:tc>
        <w:tc>
          <w:tcPr>
            <w:tcW w:w="3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06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2015</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$10,188</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$ 8,797</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5,270</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4,612</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4,918</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4,185</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1,487</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1,807</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1,532</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4,236</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682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404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671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411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438</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286</w:t>
            </w:r>
          </w:p>
        </w:tc>
      </w:tr>
      <w:tr>
        <w:trPr>
          <w:trHeight w:val="203"/>
        </w:trPr>
        <w:tc>
          <w:tcPr>
            <w:tcW w:w="606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10,465,414</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10,393,956</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10,483,527</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10,448,911</w:t>
            </w:r>
          </w:p>
        </w:tc>
      </w:tr>
    </w:tbl>
    <w:p>
      <w:pPr>
        <w:sectPr>
          <w:pgSz w:w="11900" w:h="16838" w:orient="portrait"/>
          <w:cols w:equalWidth="0" w:num="1">
            <w:col w:w="10219"/>
          </w:cols>
          <w:pgMar w:left="240" w:top="136" w:right="1440" w:bottom="943"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9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20" w:val="left"/>
          <w:tab w:leader="none" w:pos="1260" w:val="left"/>
          <w:tab w:leader="none" w:pos="1580" w:val="left"/>
        </w:tabs>
        <w:rPr>
          <w:sz w:val="20"/>
          <w:szCs w:val="20"/>
          <w:color w:val="auto"/>
        </w:rPr>
      </w:pPr>
      <w:r>
        <w:rPr>
          <w:rFonts w:ascii="Courier New" w:cs="Courier New" w:eastAsia="Courier New" w:hAnsi="Courier New"/>
          <w:sz w:val="18"/>
          <w:szCs w:val="18"/>
          <w:color w:val="auto"/>
        </w:rPr>
        <w:t>$</w:t>
        <w:tab/>
        <w:t>438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286</w:t>
      </w:r>
    </w:p>
    <w:p>
      <w:pPr>
        <w:spacing w:after="0" w:line="200" w:lineRule="exact"/>
        <w:rPr>
          <w:sz w:val="20"/>
          <w:szCs w:val="20"/>
          <w:color w:val="auto"/>
        </w:rPr>
      </w:pPr>
    </w:p>
    <w:p>
      <w:pPr>
        <w:sectPr>
          <w:pgSz w:w="11900" w:h="16838" w:orient="portrait"/>
          <w:cols w:equalWidth="0" w:num="2">
            <w:col w:w="6020" w:space="720"/>
            <w:col w:w="3479"/>
          </w:cols>
          <w:pgMar w:left="240" w:top="91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(329)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1579"/>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6140" w:space="720"/>
            <w:col w:w="740" w:space="420"/>
            <w:col w:w="2199"/>
          </w:cols>
          <w:pgMar w:left="240" w:top="91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290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914" w:right="1440" w:bottom="0" w:gutter="0" w:footer="0" w:header="0"/>
          <w:type w:val="continuous"/>
        </w:sectPr>
      </w:pPr>
    </w:p>
    <w:p>
      <w:pPr>
        <w:spacing w:after="0" w:line="20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60" w:type="dxa"/>
            <w:vAlign w:val="bottom"/>
            <w:gridSpan w:val="4"/>
          </w:tcPr>
          <w:p>
            <w:pPr>
              <w:jc w:val="center"/>
              <w:ind w:right="899"/>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1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20" w:type="dxa"/>
            <w:vAlign w:val="bottom"/>
            <w:gridSpan w:val="6"/>
          </w:tcPr>
          <w:p>
            <w:pPr>
              <w:jc w:val="center"/>
              <w:ind w:left="236"/>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60" w:type="dxa"/>
            <w:vAlign w:val="bottom"/>
            <w:gridSpan w:val="4"/>
          </w:tcPr>
          <w:p>
            <w:pPr>
              <w:jc w:val="center"/>
              <w:ind w:right="91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1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1740" w:type="dxa"/>
            <w:vAlign w:val="bottom"/>
          </w:tcPr>
          <w:p>
            <w:pPr>
              <w:spacing w:after="0"/>
              <w:rPr>
                <w:sz w:val="19"/>
                <w:szCs w:val="19"/>
                <w:color w:val="auto"/>
              </w:rPr>
            </w:pPr>
          </w:p>
        </w:tc>
      </w:tr>
      <w:tr>
        <w:trPr>
          <w:trHeight w:val="306"/>
        </w:trPr>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Courier New" w:cs="Courier New" w:eastAsia="Courier New" w:hAnsi="Courier New"/>
                <w:sz w:val="12"/>
                <w:szCs w:val="12"/>
                <w:color w:val="auto"/>
              </w:rPr>
              <w:t>Accumulated</w:t>
            </w: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35"/>
        </w:trPr>
        <w:tc>
          <w:tcPr>
            <w:tcW w:w="1900" w:type="dxa"/>
            <w:vAlign w:val="bottom"/>
          </w:tcPr>
          <w:p>
            <w:pPr>
              <w:spacing w:after="0"/>
              <w:rPr>
                <w:sz w:val="11"/>
                <w:szCs w:val="11"/>
                <w:color w:val="auto"/>
              </w:rPr>
            </w:pPr>
          </w:p>
        </w:tc>
        <w:tc>
          <w:tcPr>
            <w:tcW w:w="1420" w:type="dxa"/>
            <w:vAlign w:val="bottom"/>
            <w:gridSpan w:val="2"/>
          </w:tcPr>
          <w:p>
            <w:pPr>
              <w:jc w:val="right"/>
              <w:ind w:right="116"/>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1"/>
                <w:szCs w:val="11"/>
                <w:color w:val="auto"/>
              </w:rPr>
            </w:pPr>
          </w:p>
        </w:tc>
        <w:tc>
          <w:tcPr>
            <w:tcW w:w="980" w:type="dxa"/>
            <w:vAlign w:val="bottom"/>
          </w:tcPr>
          <w:p>
            <w:pPr>
              <w:jc w:val="right"/>
              <w:ind w:right="337"/>
              <w:spacing w:after="0"/>
              <w:rPr>
                <w:sz w:val="20"/>
                <w:szCs w:val="20"/>
                <w:color w:val="auto"/>
              </w:rPr>
            </w:pPr>
            <w:r>
              <w:rPr>
                <w:rFonts w:ascii="Courier New" w:cs="Courier New" w:eastAsia="Courier New" w:hAnsi="Courier New"/>
                <w:sz w:val="12"/>
                <w:szCs w:val="12"/>
                <w:color w:val="auto"/>
              </w:rPr>
              <w:t>Other</w:t>
            </w:r>
          </w:p>
        </w:tc>
        <w:tc>
          <w:tcPr>
            <w:tcW w:w="740" w:type="dxa"/>
            <w:vAlign w:val="bottom"/>
          </w:tcPr>
          <w:p>
            <w:pPr>
              <w:spacing w:after="0"/>
              <w:rPr>
                <w:sz w:val="11"/>
                <w:szCs w:val="11"/>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19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160" w:type="dxa"/>
            <w:vAlign w:val="bottom"/>
            <w:gridSpan w:val="4"/>
          </w:tcPr>
          <w:p>
            <w:pPr>
              <w:jc w:val="right"/>
              <w:ind w:right="77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1900" w:type="dxa"/>
            <w:vAlign w:val="bottom"/>
          </w:tcPr>
          <w:p>
            <w:pPr>
              <w:spacing w:after="0"/>
              <w:rPr>
                <w:sz w:val="11"/>
                <w:szCs w:val="11"/>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4"/>
              <w:spacing w:after="0"/>
              <w:rPr>
                <w:sz w:val="20"/>
                <w:szCs w:val="20"/>
                <w:color w:val="auto"/>
              </w:rPr>
            </w:pPr>
            <w:r>
              <w:rPr>
                <w:rFonts w:ascii="Courier New" w:cs="Courier New" w:eastAsia="Courier New" w:hAnsi="Courier New"/>
                <w:sz w:val="12"/>
                <w:szCs w:val="12"/>
                <w:color w:val="auto"/>
              </w:rPr>
              <w:t>Earnings</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Earnings</w:t>
            </w:r>
          </w:p>
        </w:tc>
        <w:tc>
          <w:tcPr>
            <w:tcW w:w="7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Stock</w:t>
            </w:r>
          </w:p>
        </w:tc>
        <w:tc>
          <w:tcPr>
            <w:tcW w:w="174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19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4960" w:type="dxa"/>
            <w:vAlign w:val="bottom"/>
            <w:gridSpan w:val="5"/>
          </w:tcPr>
          <w:p>
            <w:pPr>
              <w:jc w:val="right"/>
              <w:ind w:right="77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1900" w:type="dxa"/>
            <w:vAlign w:val="bottom"/>
          </w:tcPr>
          <w:p>
            <w:pPr>
              <w:spacing w:after="0"/>
              <w:rPr>
                <w:sz w:val="20"/>
                <w:szCs w:val="20"/>
                <w:color w:val="auto"/>
              </w:rPr>
            </w:pPr>
            <w:r>
              <w:rPr>
                <w:rFonts w:ascii="Courier New" w:cs="Courier New" w:eastAsia="Courier New" w:hAnsi="Courier New"/>
                <w:sz w:val="12"/>
                <w:szCs w:val="12"/>
                <w:color w:val="auto"/>
              </w:rPr>
              <w:t>Balance, January 1, 2015</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10,595,755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$26,321</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$7,152</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$ 993</w:t>
            </w:r>
          </w:p>
        </w:tc>
        <w:tc>
          <w:tcPr>
            <w:tcW w:w="7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$34,368</w:t>
            </w:r>
          </w:p>
        </w:tc>
      </w:tr>
      <w:tr>
        <w:trPr>
          <w:trHeight w:val="270"/>
        </w:trPr>
        <w:tc>
          <w:tcPr>
            <w:tcW w:w="19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438</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438</w:t>
            </w:r>
          </w:p>
        </w:tc>
      </w:tr>
      <w:tr>
        <w:trPr>
          <w:trHeight w:val="268"/>
        </w:trPr>
        <w:tc>
          <w:tcPr>
            <w:tcW w:w="1900" w:type="dxa"/>
            <w:vAlign w:val="bottom"/>
          </w:tcPr>
          <w:p>
            <w:pPr>
              <w:spacing w:after="0"/>
              <w:rPr>
                <w:sz w:val="20"/>
                <w:szCs w:val="20"/>
                <w:color w:val="auto"/>
              </w:rPr>
            </w:pPr>
            <w:r>
              <w:rPr>
                <w:rFonts w:ascii="Courier New" w:cs="Courier New" w:eastAsia="Courier New" w:hAnsi="Courier New"/>
                <w:sz w:val="12"/>
                <w:szCs w:val="12"/>
                <w:color w:val="auto"/>
              </w:rPr>
              <w:t>Other comprehensive</w:t>
            </w: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37"/>
        </w:trPr>
        <w:tc>
          <w:tcPr>
            <w:tcW w:w="1900" w:type="dxa"/>
            <w:vAlign w:val="bottom"/>
          </w:tcPr>
          <w:p>
            <w:pPr>
              <w:ind w:left="160"/>
              <w:spacing w:after="0"/>
              <w:rPr>
                <w:sz w:val="20"/>
                <w:szCs w:val="20"/>
                <w:color w:val="auto"/>
              </w:rPr>
            </w:pPr>
            <w:r>
              <w:rPr>
                <w:rFonts w:ascii="Courier New" w:cs="Courier New" w:eastAsia="Courier New" w:hAnsi="Courier New"/>
                <w:sz w:val="12"/>
                <w:szCs w:val="12"/>
                <w:color w:val="auto"/>
              </w:rPr>
              <w:t>loss</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(329)</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(329)</w:t>
            </w:r>
          </w:p>
        </w:tc>
      </w:tr>
      <w:tr>
        <w:trPr>
          <w:trHeight w:val="268"/>
        </w:trPr>
        <w:tc>
          <w:tcPr>
            <w:tcW w:w="19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35"/>
        </w:trPr>
        <w:tc>
          <w:tcPr>
            <w:tcW w:w="19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5"/>
        </w:trPr>
        <w:tc>
          <w:tcPr>
            <w:tcW w:w="1900" w:type="dxa"/>
            <w:vAlign w:val="bottom"/>
          </w:tcPr>
          <w:p>
            <w:pPr>
              <w:ind w:left="160"/>
              <w:spacing w:after="0"/>
              <w:rPr>
                <w:sz w:val="20"/>
                <w:szCs w:val="20"/>
                <w:color w:val="auto"/>
              </w:rPr>
            </w:pPr>
            <w:r>
              <w:rPr>
                <w:rFonts w:ascii="Courier New" w:cs="Courier New" w:eastAsia="Courier New" w:hAnsi="Courier New"/>
                <w:sz w:val="12"/>
                <w:szCs w:val="12"/>
                <w:color w:val="auto"/>
              </w:rPr>
              <w:t>to restricted stock</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30</w:t>
            </w:r>
          </w:p>
        </w:tc>
      </w:tr>
      <w:tr>
        <w:trPr>
          <w:trHeight w:val="137"/>
        </w:trPr>
        <w:tc>
          <w:tcPr>
            <w:tcW w:w="1900" w:type="dxa"/>
            <w:vAlign w:val="bottom"/>
          </w:tcPr>
          <w:p>
            <w:pPr>
              <w:spacing w:after="0"/>
              <w:rPr>
                <w:sz w:val="11"/>
                <w:szCs w:val="11"/>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w:t>
            </w:r>
          </w:p>
        </w:tc>
      </w:tr>
      <w:tr>
        <w:trPr>
          <w:trHeight w:val="268"/>
        </w:trPr>
        <w:tc>
          <w:tcPr>
            <w:tcW w:w="1900" w:type="dxa"/>
            <w:vAlign w:val="bottom"/>
          </w:tcPr>
          <w:p>
            <w:pPr>
              <w:spacing w:after="0"/>
              <w:rPr>
                <w:sz w:val="20"/>
                <w:szCs w:val="20"/>
                <w:color w:val="auto"/>
              </w:rPr>
            </w:pPr>
            <w:r>
              <w:rPr>
                <w:rFonts w:ascii="Courier New" w:cs="Courier New" w:eastAsia="Courier New" w:hAnsi="Courier New"/>
                <w:sz w:val="12"/>
                <w:szCs w:val="12"/>
                <w:color w:val="auto"/>
              </w:rPr>
              <w:t>Balance, March 31, 2015</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10,595,755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$26,351</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$7,590</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$ 664</w:t>
            </w:r>
          </w:p>
        </w:tc>
        <w:tc>
          <w:tcPr>
            <w:tcW w:w="7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$34,507</w:t>
            </w:r>
          </w:p>
        </w:tc>
      </w:tr>
      <w:tr>
        <w:trPr>
          <w:trHeight w:val="137"/>
        </w:trPr>
        <w:tc>
          <w:tcPr>
            <w:tcW w:w="1900" w:type="dxa"/>
            <w:vAlign w:val="bottom"/>
          </w:tcPr>
          <w:p>
            <w:pPr>
              <w:spacing w:after="0"/>
              <w:rPr>
                <w:sz w:val="11"/>
                <w:szCs w:val="11"/>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4"/>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74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914" w:right="1440" w:bottom="0" w:gutter="0" w:footer="0" w:header="0"/>
          <w:type w:val="continuous"/>
        </w:sectPr>
      </w:pPr>
    </w:p>
    <w:bookmarkStart w:id="4" w:name="page5"/>
    <w:bookmarkEnd w:id="4"/>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17"/>
                <w:szCs w:val="17"/>
                <w:color w:val="auto"/>
              </w:rPr>
            </w:pPr>
          </w:p>
        </w:tc>
        <w:tc>
          <w:tcPr>
            <w:tcW w:w="210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7180" w:type="dxa"/>
            <w:vAlign w:val="bottom"/>
          </w:tcPr>
          <w:p>
            <w:pPr>
              <w:spacing w:after="0"/>
              <w:rPr>
                <w:sz w:val="17"/>
                <w:szCs w:val="17"/>
                <w:color w:val="auto"/>
              </w:rPr>
            </w:pPr>
          </w:p>
        </w:tc>
        <w:tc>
          <w:tcPr>
            <w:tcW w:w="21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2015</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earnings to net cash provided by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excess and obsolete inventory</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exchange (gain) loss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 of deferred compensation related to restricted stock</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demonstration equipment, net of gain</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 expense (benefit)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(1,484)</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676</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rent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property and equipment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Effects of exchange rates on cash</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all activities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23,126</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19,018</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$22,485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$18,853</w:t>
            </w:r>
          </w:p>
        </w:tc>
      </w:tr>
      <w:tr>
        <w:trPr>
          <w:trHeight w:val="203"/>
        </w:trPr>
        <w:tc>
          <w:tcPr>
            <w:tcW w:w="718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Cash payments for:</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w:t>
            </w:r>
          </w:p>
        </w:tc>
      </w:tr>
      <w:tr>
        <w:trPr>
          <w:trHeight w:val="405"/>
        </w:trPr>
        <w:tc>
          <w:tcPr>
            <w:tcW w:w="7180" w:type="dxa"/>
            <w:vAlign w:val="bottom"/>
          </w:tcPr>
          <w:p>
            <w:pPr>
              <w:spacing w:after="0"/>
              <w:rPr>
                <w:sz w:val="20"/>
                <w:szCs w:val="20"/>
                <w:color w:val="auto"/>
              </w:rPr>
            </w:pPr>
            <w:r>
              <w:rPr>
                <w:rFonts w:ascii="Courier New" w:cs="Courier New" w:eastAsia="Courier New" w:hAnsi="Courier New"/>
                <w:sz w:val="18"/>
                <w:szCs w:val="18"/>
                <w:color w:val="auto"/>
              </w:rPr>
              <w:t>SUPPLEMENTAL DISCLOSURE OF NON-CASH INVESTING AND FINANCING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Forfeiture of non-vested shares of restricted stock</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w:t>
      </w:r>
    </w:p>
    <w:p>
      <w:pPr>
        <w:sectPr>
          <w:pgSz w:w="11900" w:h="16908" w:orient="portrait"/>
          <w:cols w:equalWidth="0" w:num="1">
            <w:col w:w="11380"/>
          </w:cols>
          <w:pgMar w:left="240" w:top="339" w:right="279" w:bottom="0" w:gutter="0" w:footer="0" w:header="0"/>
        </w:sectPr>
      </w:pPr>
    </w:p>
    <w:bookmarkStart w:id="5" w:name="page6"/>
    <w:bookmarkEnd w:id="5"/>
    <w:p>
      <w:pPr>
        <w:ind w:left="532" w:right="20"/>
        <w:spacing w:after="0" w:line="294" w:lineRule="auto"/>
        <w:rPr>
          <w:sz w:val="20"/>
          <w:szCs w:val="20"/>
          <w:color w:val="auto"/>
        </w:rPr>
      </w:pPr>
      <w:r>
        <w:rPr>
          <w:rFonts w:ascii="Arial" w:cs="Arial" w:eastAsia="Arial" w:hAnsi="Arial"/>
          <w:sz w:val="16"/>
          <w:szCs w:val="16"/>
          <w:color w:val="auto"/>
        </w:rPr>
        <w:t>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339" w:lineRule="exact"/>
        <w:rPr>
          <w:sz w:val="20"/>
          <w:szCs w:val="20"/>
          <w:color w:val="auto"/>
        </w:rPr>
      </w:pPr>
    </w:p>
    <w:p>
      <w:pPr>
        <w:ind w:left="532" w:right="6520" w:hanging="532"/>
        <w:spacing w:after="0" w:line="541" w:lineRule="auto"/>
        <w:tabs>
          <w:tab w:leader="none" w:pos="2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32"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4"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2014 filed with the Securities and Exchange Commission on March 26, 2015 (the "2014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$51 and $35 for the three months ended March 31, 2015 and 2014,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32"/>
        <w:spacing w:after="0"/>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w:t>
      </w:r>
    </w:p>
    <w:p>
      <w:pPr>
        <w:sectPr>
          <w:pgSz w:w="11900" w:h="16838" w:orient="portrait"/>
          <w:cols w:equalWidth="0" w:num="1">
            <w:col w:w="11392"/>
          </w:cols>
          <w:pgMar w:left="248" w:top="131" w:right="259" w:bottom="0" w:gutter="0" w:footer="0" w:header="0"/>
        </w:sectPr>
      </w:pPr>
    </w:p>
    <w:bookmarkStart w:id="6" w:name="page7"/>
    <w:bookmarkEnd w:id="6"/>
    <w:p>
      <w:pPr>
        <w:ind w:left="540"/>
        <w:spacing w:after="0" w:line="254" w:lineRule="auto"/>
        <w:rPr>
          <w:sz w:val="20"/>
          <w:szCs w:val="20"/>
          <w:color w:val="auto"/>
        </w:rPr>
      </w:pPr>
      <w:r>
        <w:rPr>
          <w:rFonts w:ascii="Arial" w:cs="Arial" w:eastAsia="Arial" w:hAnsi="Arial"/>
          <w:sz w:val="18"/>
          <w:szCs w:val="18"/>
          <w:color w:val="auto"/>
        </w:rPr>
        <w:t>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jc w:val="both"/>
        <w:ind w:left="540" w:right="60"/>
        <w:spacing w:after="0" w:line="370" w:lineRule="auto"/>
        <w:rPr>
          <w:sz w:val="20"/>
          <w:szCs w:val="20"/>
          <w:color w:val="auto"/>
        </w:rPr>
      </w:pPr>
      <w:r>
        <w:rPr>
          <w:rFonts w:ascii="Arial" w:cs="Arial" w:eastAsia="Arial" w:hAnsi="Arial"/>
          <w:sz w:val="15"/>
          <w:szCs w:val="15"/>
          <w:color w:val="auto"/>
        </w:rPr>
        <w:t>In addition, in our Thermal Products and Mechanical Products segments, we lease certain of our equipment to customers under non-cancellable operating leases. These leases generally have an initial term of six months. We recognize revenue for these leases on a straight-line basis over the term of the lease.</w:t>
      </w:r>
    </w:p>
    <w:p>
      <w:pPr>
        <w:spacing w:after="0" w:line="116"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00"/>
          </w:cols>
          <w:pgMar w:left="240" w:top="131" w:right="259" w:bottom="28"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SUMMARY OF SIGNIFICANT ACCOUNTING POLICIES </w:t>
      </w:r>
      <w:r>
        <w:rPr>
          <w:rFonts w:ascii="Arial" w:cs="Arial" w:eastAsia="Arial" w:hAnsi="Arial"/>
          <w:sz w:val="16"/>
          <w:szCs w:val="16"/>
          <w:color w:val="auto"/>
        </w:rPr>
        <w:t>(Continued)</w:t>
      </w:r>
    </w:p>
    <w:p>
      <w:pPr>
        <w:sectPr>
          <w:pgSz w:w="11900" w:h="16838" w:orient="portrait"/>
          <w:cols w:equalWidth="0" w:num="1">
            <w:col w:w="11400"/>
          </w:cols>
          <w:pgMar w:left="240" w:top="131" w:right="259" w:bottom="28" w:gutter="0" w:footer="0" w:header="0"/>
          <w:type w:val="continuous"/>
        </w:sectPr>
      </w:pPr>
    </w:p>
    <w:bookmarkStart w:id="7" w:name="page8"/>
    <w:bookmarkEnd w:id="7"/>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include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205" w:lineRule="exact"/>
        <w:rPr>
          <w:sz w:val="20"/>
          <w:szCs w:val="20"/>
          <w:color w:val="auto"/>
        </w:rPr>
      </w:pPr>
    </w:p>
    <w:p>
      <w:pPr>
        <w:ind w:left="8020"/>
        <w:spacing w:after="0"/>
        <w:rPr>
          <w:sz w:val="20"/>
          <w:szCs w:val="20"/>
          <w:color w:val="auto"/>
        </w:rPr>
      </w:pPr>
      <w:r>
        <w:rPr>
          <w:rFonts w:ascii="Arial" w:cs="Arial" w:eastAsia="Arial" w:hAnsi="Arial"/>
          <w:sz w:val="14"/>
          <w:szCs w:val="14"/>
          <w:b w:val="1"/>
          <w:bCs w:val="1"/>
          <w:i w:val="1"/>
          <w:iCs w:val="1"/>
          <w:color w:val="auto"/>
        </w:rPr>
        <w:t>Three Months Ended</w:t>
      </w:r>
    </w:p>
    <w:p>
      <w:pPr>
        <w:ind w:left="83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-16510</wp:posOffset>
            </wp:positionV>
            <wp:extent cx="688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tbl>
      <w:tblPr>
        <w:tblLayout w:type="fixed"/>
        <w:tblInd w:w="1800" w:type="dxa"/>
        <w:tblCellMar>
          <w:top w:w="0" w:type="dxa"/>
          <w:left w:w="0" w:type="dxa"/>
          <w:bottom w:w="0" w:type="dxa"/>
          <w:right w:w="0" w:type="dxa"/>
        </w:tblCellMar>
      </w:tblPr>
      <w:tr>
        <w:trPr>
          <w:trHeight w:val="148"/>
        </w:trPr>
        <w:tc>
          <w:tcPr>
            <w:tcW w:w="56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2015</w:t>
            </w:r>
          </w:p>
        </w:tc>
        <w:tc>
          <w:tcPr>
            <w:tcW w:w="380" w:type="dxa"/>
            <w:vAlign w:val="bottom"/>
          </w:tcPr>
          <w:p>
            <w:pPr>
              <w:spacing w:after="0"/>
              <w:rPr>
                <w:sz w:val="12"/>
                <w:szCs w:val="12"/>
                <w:color w:val="auto"/>
              </w:rPr>
            </w:pPr>
          </w:p>
        </w:tc>
        <w:tc>
          <w:tcPr>
            <w:tcW w:w="6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rPr>
              <w:t>2014</w:t>
            </w:r>
          </w:p>
        </w:tc>
        <w:tc>
          <w:tcPr>
            <w:tcW w:w="360" w:type="dxa"/>
            <w:vAlign w:val="bottom"/>
          </w:tcPr>
          <w:p>
            <w:pPr>
              <w:spacing w:after="0"/>
              <w:rPr>
                <w:sz w:val="12"/>
                <w:szCs w:val="12"/>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5"/>
        </w:trPr>
        <w:tc>
          <w:tcPr>
            <w:tcW w:w="56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10,465,414</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10,393,956</w:t>
            </w: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5"/>
        </w:trPr>
        <w:tc>
          <w:tcPr>
            <w:tcW w:w="566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w:t>
            </w:r>
          </w:p>
        </w:tc>
        <w:tc>
          <w:tcPr>
            <w:tcW w:w="11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18,113</w:t>
            </w:r>
          </w:p>
        </w:tc>
        <w:tc>
          <w:tcPr>
            <w:tcW w:w="100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54,955</w:t>
            </w:r>
          </w:p>
        </w:tc>
      </w:tr>
      <w:tr>
        <w:trPr>
          <w:trHeight w:val="255"/>
        </w:trPr>
        <w:tc>
          <w:tcPr>
            <w:tcW w:w="566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184"/>
        </w:trPr>
        <w:tc>
          <w:tcPr>
            <w:tcW w:w="5660" w:type="dxa"/>
            <w:vAlign w:val="bottom"/>
          </w:tcPr>
          <w:p>
            <w:pPr>
              <w:ind w:left="100"/>
              <w:spacing w:after="0" w:line="184" w:lineRule="exact"/>
              <w:rPr>
                <w:sz w:val="20"/>
                <w:szCs w:val="20"/>
                <w:color w:val="auto"/>
              </w:rPr>
            </w:pPr>
            <w:r>
              <w:rPr>
                <w:rFonts w:ascii="Arial" w:cs="Arial" w:eastAsia="Arial" w:hAnsi="Arial"/>
                <w:sz w:val="18"/>
                <w:szCs w:val="18"/>
                <w:color w:val="auto"/>
              </w:rPr>
              <w:t>outstanding -- diluted</w:t>
            </w:r>
          </w:p>
        </w:tc>
        <w:tc>
          <w:tcPr>
            <w:tcW w:w="360" w:type="dxa"/>
            <w:vAlign w:val="bottom"/>
          </w:tcPr>
          <w:p>
            <w:pPr>
              <w:spacing w:after="0"/>
              <w:rPr>
                <w:sz w:val="15"/>
                <w:szCs w:val="15"/>
                <w:color w:val="auto"/>
              </w:rPr>
            </w:pPr>
          </w:p>
        </w:tc>
        <w:tc>
          <w:tcPr>
            <w:tcW w:w="80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86"/>
              </w:rPr>
              <w:t>10,483,527</w:t>
            </w:r>
          </w:p>
        </w:tc>
        <w:tc>
          <w:tcPr>
            <w:tcW w:w="100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10,448,911</w:t>
            </w:r>
          </w:p>
        </w:tc>
      </w:tr>
      <w:tr>
        <w:trPr>
          <w:trHeight w:val="437"/>
        </w:trPr>
        <w:tc>
          <w:tcPr>
            <w:tcW w:w="5660" w:type="dxa"/>
            <w:vAlign w:val="bottom"/>
          </w:tcPr>
          <w:p>
            <w:pPr>
              <w:spacing w:after="0"/>
              <w:rPr>
                <w:sz w:val="20"/>
                <w:szCs w:val="20"/>
                <w:color w:val="auto"/>
              </w:rPr>
            </w:pPr>
            <w:r>
              <w:rPr>
                <w:rFonts w:ascii="Arial" w:cs="Arial" w:eastAsia="Arial" w:hAnsi="Arial"/>
                <w:sz w:val="18"/>
                <w:szCs w:val="18"/>
                <w:color w:val="auto"/>
                <w:w w:val="95"/>
              </w:rPr>
              <w:t>Average number of potentially dilutive securities excluded from calculation</w:t>
            </w:r>
          </w:p>
        </w:tc>
        <w:tc>
          <w:tcPr>
            <w:tcW w:w="360" w:type="dxa"/>
            <w:vAlign w:val="bottom"/>
          </w:tcPr>
          <w:p>
            <w:pPr>
              <w:spacing w:after="0"/>
              <w:rPr>
                <w:sz w:val="24"/>
                <w:szCs w:val="2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4"/>
                <w:szCs w:val="24"/>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10,000</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jc w:val="both"/>
        <w:ind w:left="540" w:right="140"/>
        <w:spacing w:after="0" w:line="303" w:lineRule="auto"/>
        <w:rPr>
          <w:sz w:val="20"/>
          <w:szCs w:val="20"/>
          <w:color w:val="auto"/>
        </w:rPr>
      </w:pPr>
      <w:r>
        <w:rPr>
          <w:rFonts w:ascii="Arial" w:cs="Arial" w:eastAsia="Arial" w:hAnsi="Arial"/>
          <w:sz w:val="15"/>
          <w:szCs w:val="15"/>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This new guidance is effective for us on January 1, 2017.</w:t>
      </w:r>
    </w:p>
    <w:p>
      <w:pPr>
        <w:spacing w:after="0" w:line="1" w:lineRule="exact"/>
        <w:rPr>
          <w:sz w:val="20"/>
          <w:szCs w:val="20"/>
          <w:color w:val="auto"/>
        </w:rPr>
      </w:pPr>
    </w:p>
    <w:p>
      <w:pPr>
        <w:ind w:left="540" w:right="240"/>
        <w:spacing w:after="0" w:line="261" w:lineRule="auto"/>
        <w:rPr>
          <w:sz w:val="20"/>
          <w:szCs w:val="20"/>
          <w:color w:val="auto"/>
        </w:rPr>
      </w:pPr>
      <w:r>
        <w:rPr>
          <w:rFonts w:ascii="Arial" w:cs="Arial" w:eastAsia="Arial" w:hAnsi="Arial"/>
          <w:sz w:val="18"/>
          <w:szCs w:val="18"/>
          <w:color w:val="auto"/>
        </w:rPr>
        <w:t>Early application is not permitted. We have not yet selected a transition method and we are still evaluating the effect that this guidance will have on our consolidated financial statements and related disclosures.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88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three months ended March 31,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March 31, 2015 and December 31, 2014:</w:t>
      </w:r>
    </w:p>
    <w:p>
      <w:pPr>
        <w:spacing w:after="0" w:line="221"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i w:val="1"/>
                <w:i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4020" w:type="dxa"/>
            <w:vAlign w:val="bottom"/>
          </w:tcPr>
          <w:p>
            <w:pPr>
              <w:spacing w:after="0"/>
              <w:rPr>
                <w:sz w:val="12"/>
                <w:szCs w:val="12"/>
                <w:color w:val="auto"/>
              </w:rPr>
            </w:pPr>
          </w:p>
        </w:tc>
        <w:tc>
          <w:tcPr>
            <w:tcW w:w="1560" w:type="dxa"/>
            <w:vAlign w:val="bottom"/>
            <w:gridSpan w:val="4"/>
          </w:tcPr>
          <w:p>
            <w:pPr>
              <w:jc w:val="center"/>
              <w:ind w:left="93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80" w:type="dxa"/>
            <w:vAlign w:val="bottom"/>
          </w:tcPr>
          <w:p>
            <w:pPr>
              <w:spacing w:after="0"/>
              <w:rPr>
                <w:sz w:val="12"/>
                <w:szCs w:val="12"/>
                <w:color w:val="auto"/>
              </w:rPr>
            </w:pPr>
          </w:p>
        </w:tc>
        <w:tc>
          <w:tcPr>
            <w:tcW w:w="860" w:type="dxa"/>
            <w:vAlign w:val="bottom"/>
            <w:gridSpan w:val="3"/>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120" w:type="dxa"/>
            <w:vAlign w:val="bottom"/>
          </w:tcPr>
          <w:p>
            <w:pPr>
              <w:spacing w:after="0"/>
              <w:rPr>
                <w:sz w:val="12"/>
                <w:szCs w:val="12"/>
                <w:color w:val="auto"/>
              </w:rPr>
            </w:pPr>
          </w:p>
        </w:tc>
        <w:tc>
          <w:tcPr>
            <w:tcW w:w="50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0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0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$1,026</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454</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356</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176</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112</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Customer backlog</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70</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4020" w:type="dxa"/>
            <w:vAlign w:val="bottom"/>
          </w:tcPr>
          <w:p>
            <w:pPr>
              <w:ind w:left="120"/>
              <w:spacing w:after="0" w:line="205" w:lineRule="exact"/>
              <w:rPr>
                <w:sz w:val="20"/>
                <w:szCs w:val="20"/>
                <w:color w:val="auto"/>
              </w:rPr>
            </w:pPr>
            <w:r>
              <w:rPr>
                <w:rFonts w:ascii="Arial" w:cs="Arial" w:eastAsia="Arial" w:hAnsi="Arial"/>
                <w:sz w:val="18"/>
                <w:szCs w:val="18"/>
                <w:color w:val="auto"/>
              </w:rPr>
              <w:t>Non-compete/non-solicitation agreement</w:t>
            </w:r>
          </w:p>
        </w:tc>
        <w:tc>
          <w:tcPr>
            <w:tcW w:w="1120" w:type="dxa"/>
            <w:vAlign w:val="bottom"/>
            <w:gridSpan w:val="2"/>
          </w:tcPr>
          <w:p>
            <w:pPr>
              <w:spacing w:after="0"/>
              <w:rPr>
                <w:sz w:val="17"/>
                <w:szCs w:val="17"/>
                <w:color w:val="auto"/>
              </w:rPr>
            </w:pPr>
          </w:p>
        </w:tc>
        <w:tc>
          <w:tcPr>
            <w:tcW w:w="4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48</w:t>
            </w:r>
          </w:p>
        </w:tc>
        <w:tc>
          <w:tcPr>
            <w:tcW w:w="460" w:type="dxa"/>
            <w:vAlign w:val="bottom"/>
            <w:gridSpan w:val="2"/>
          </w:tcPr>
          <w:p>
            <w:pPr>
              <w:spacing w:after="0"/>
              <w:rPr>
                <w:sz w:val="17"/>
                <w:szCs w:val="17"/>
                <w:color w:val="auto"/>
              </w:rPr>
            </w:pPr>
          </w:p>
        </w:tc>
        <w:tc>
          <w:tcPr>
            <w:tcW w:w="5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48</w:t>
            </w:r>
          </w:p>
        </w:tc>
        <w:tc>
          <w:tcPr>
            <w:tcW w:w="6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w:t>
            </w:r>
          </w:p>
        </w:tc>
      </w:tr>
      <w:tr>
        <w:trPr>
          <w:trHeight w:val="20"/>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31" w:right="239" w:bottom="0" w:gutter="0" w:footer="0" w:header="0"/>
        </w:sectPr>
      </w:pPr>
    </w:p>
    <w:bookmarkStart w:id="8" w:name="page9"/>
    <w:bookmarkEnd w:id="8"/>
    <w:p>
      <w:pPr>
        <w:spacing w:after="0" w:line="19"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17"/>
                <w:szCs w:val="17"/>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1,788</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810</w:t>
            </w:r>
          </w:p>
        </w:tc>
      </w:tr>
      <w:tr>
        <w:trPr>
          <w:trHeight w:val="289"/>
        </w:trPr>
        <w:tc>
          <w:tcPr>
            <w:tcW w:w="40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05"/>
        </w:trPr>
        <w:tc>
          <w:tcPr>
            <w:tcW w:w="40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180" w:type="dxa"/>
            <w:vAlign w:val="bottom"/>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8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5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0"/>
        </w:trPr>
        <w:tc>
          <w:tcPr>
            <w:tcW w:w="404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3,108</w:t>
            </w:r>
          </w:p>
        </w:tc>
        <w:tc>
          <w:tcPr>
            <w:tcW w:w="80" w:type="dxa"/>
            <w:vAlign w:val="bottom"/>
          </w:tcPr>
          <w:p>
            <w:pPr>
              <w:spacing w:after="0"/>
              <w:rPr>
                <w:sz w:val="19"/>
                <w:szCs w:val="19"/>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1,788</w:t>
            </w: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1,320</w:t>
            </w:r>
          </w:p>
        </w:tc>
      </w:tr>
      <w:tr>
        <w:trPr>
          <w:trHeight w:val="20"/>
        </w:trPr>
        <w:tc>
          <w:tcPr>
            <w:tcW w:w="404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i w:val="1"/>
                <w:iCs w:val="1"/>
                <w:color w:val="auto"/>
                <w:w w:val="84"/>
              </w:rPr>
              <w:t>December 31, 2014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gridSpan w:val="3"/>
          </w:tcPr>
          <w:p>
            <w:pPr>
              <w:jc w:val="center"/>
              <w:ind w:right="92"/>
              <w:spacing w:after="0"/>
              <w:rPr>
                <w:sz w:val="20"/>
                <w:szCs w:val="20"/>
                <w:color w:val="auto"/>
              </w:rPr>
            </w:pPr>
            <w:r>
              <w:rPr>
                <w:rFonts w:ascii="Arial" w:cs="Arial" w:eastAsia="Arial" w:hAnsi="Arial"/>
                <w:sz w:val="12"/>
                <w:szCs w:val="12"/>
                <w:b w:val="1"/>
                <w:bCs w:val="1"/>
                <w:i w:val="1"/>
                <w:iCs w:val="1"/>
                <w:color w:val="auto"/>
                <w:w w:val="80"/>
              </w:rPr>
              <w:t>Gross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4040" w:type="dxa"/>
            <w:vAlign w:val="bottom"/>
          </w:tcPr>
          <w:p>
            <w:pPr>
              <w:spacing w:after="0"/>
              <w:rPr>
                <w:sz w:val="12"/>
                <w:szCs w:val="12"/>
                <w:color w:val="auto"/>
              </w:rPr>
            </w:pPr>
          </w:p>
        </w:tc>
        <w:tc>
          <w:tcPr>
            <w:tcW w:w="1620" w:type="dxa"/>
            <w:vAlign w:val="bottom"/>
            <w:gridSpan w:val="4"/>
          </w:tcPr>
          <w:p>
            <w:pPr>
              <w:jc w:val="center"/>
              <w:ind w:left="874"/>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0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5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gridSpan w:val="3"/>
          </w:tcPr>
          <w:p>
            <w:pPr>
              <w:jc w:val="center"/>
              <w:ind w:right="32"/>
              <w:spacing w:after="0"/>
              <w:rPr>
                <w:sz w:val="20"/>
                <w:szCs w:val="20"/>
                <w:color w:val="auto"/>
              </w:rPr>
            </w:pPr>
            <w:r>
              <w:rPr>
                <w:rFonts w:ascii="Arial" w:cs="Arial" w:eastAsia="Arial" w:hAnsi="Arial"/>
                <w:sz w:val="12"/>
                <w:szCs w:val="12"/>
                <w:b w:val="1"/>
                <w:bCs w:val="1"/>
                <w:i w:val="1"/>
                <w:iCs w:val="1"/>
                <w:color w:val="auto"/>
                <w:w w:val="74"/>
              </w:rPr>
              <w:t>Amount</w:t>
            </w:r>
          </w:p>
        </w:tc>
        <w:tc>
          <w:tcPr>
            <w:tcW w:w="100" w:type="dxa"/>
            <w:vAlign w:val="bottom"/>
          </w:tcPr>
          <w:p>
            <w:pPr>
              <w:spacing w:after="0"/>
              <w:rPr>
                <w:sz w:val="12"/>
                <w:szCs w:val="12"/>
                <w:color w:val="auto"/>
              </w:rPr>
            </w:pPr>
          </w:p>
        </w:tc>
        <w:tc>
          <w:tcPr>
            <w:tcW w:w="900" w:type="dxa"/>
            <w:vAlign w:val="bottom"/>
            <w:gridSpan w:val="4"/>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580" w:type="dxa"/>
            <w:vAlign w:val="bottom"/>
            <w:gridSpan w:val="5"/>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0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979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  501</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Customer backlog</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4040" w:type="dxa"/>
            <w:vAlign w:val="bottom"/>
          </w:tcPr>
          <w:p>
            <w:pPr>
              <w:ind w:left="120"/>
              <w:spacing w:after="0" w:line="205" w:lineRule="exact"/>
              <w:rPr>
                <w:sz w:val="20"/>
                <w:szCs w:val="20"/>
                <w:color w:val="auto"/>
              </w:rPr>
            </w:pPr>
            <w:r>
              <w:rPr>
                <w:rFonts w:ascii="Arial" w:cs="Arial" w:eastAsia="Arial" w:hAnsi="Arial"/>
                <w:sz w:val="18"/>
                <w:szCs w:val="18"/>
                <w:color w:val="auto"/>
              </w:rPr>
              <w:t>Non-compete/non-solicitation agreement</w:t>
            </w:r>
          </w:p>
        </w:tc>
        <w:tc>
          <w:tcPr>
            <w:tcW w:w="118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48</w:t>
            </w:r>
          </w:p>
        </w:tc>
        <w:tc>
          <w:tcPr>
            <w:tcW w:w="420" w:type="dxa"/>
            <w:vAlign w:val="bottom"/>
            <w:gridSpan w:val="2"/>
          </w:tcPr>
          <w:p>
            <w:pPr>
              <w:spacing w:after="0"/>
              <w:rPr>
                <w:sz w:val="17"/>
                <w:szCs w:val="17"/>
                <w:color w:val="auto"/>
              </w:rPr>
            </w:pPr>
          </w:p>
        </w:tc>
        <w:tc>
          <w:tcPr>
            <w:tcW w:w="3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2,598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883</w:t>
            </w:r>
          </w:p>
        </w:tc>
      </w:tr>
      <w:tr>
        <w:trPr>
          <w:trHeight w:val="262"/>
        </w:trPr>
        <w:tc>
          <w:tcPr>
            <w:tcW w:w="40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1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205"/>
        </w:trPr>
        <w:tc>
          <w:tcPr>
            <w:tcW w:w="40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18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c>
          <w:tcPr>
            <w:tcW w:w="420" w:type="dxa"/>
            <w:vAlign w:val="bottom"/>
            <w:gridSpan w:val="2"/>
          </w:tcPr>
          <w:p>
            <w:pPr>
              <w:spacing w:after="0"/>
              <w:rPr>
                <w:sz w:val="17"/>
                <w:szCs w:val="17"/>
                <w:color w:val="auto"/>
              </w:rPr>
            </w:pPr>
          </w:p>
        </w:tc>
        <w:tc>
          <w:tcPr>
            <w:tcW w:w="3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4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1,393</w:t>
            </w:r>
          </w:p>
        </w:tc>
      </w:tr>
      <w:tr>
        <w:trPr>
          <w:trHeight w:val="20"/>
        </w:trPr>
        <w:tc>
          <w:tcPr>
            <w:tcW w:w="404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Total amortization expense for the three months ended March 31, 2015 and 2014 was $73 and $93,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80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2015 (remainder)</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216</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2016</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2017</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2018</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9"/>
        </w:trPr>
        <w:tc>
          <w:tcPr>
            <w:tcW w:w="3360" w:type="dxa"/>
            <w:vAlign w:val="bottom"/>
          </w:tcPr>
          <w:p>
            <w:pPr>
              <w:spacing w:after="0"/>
              <w:rPr>
                <w:sz w:val="20"/>
                <w:szCs w:val="20"/>
                <w:color w:val="auto"/>
              </w:rPr>
            </w:pPr>
            <w:r>
              <w:rPr>
                <w:rFonts w:ascii="Arial" w:cs="Arial" w:eastAsia="Arial" w:hAnsi="Arial"/>
                <w:sz w:val="18"/>
                <w:szCs w:val="18"/>
                <w:color w:val="auto"/>
              </w:rPr>
              <w:t>2019</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During the three months ended March 31, 2015 and 2014, Hakuto Co., Ltd., one of our distributors, accounted for 10% and 11% of our consolidated net revenues, respectively. These revenues were generated by our Thermal Products segment. No other customers accounted for 10% or more of our consolidated net revenues during the three months ended March 31, 2015 and 2014.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2015 and December 31, 2014 were comprised of the following:</w:t>
      </w:r>
    </w:p>
    <w:p>
      <w:pPr>
        <w:spacing w:after="0" w:line="224"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Mar. 31,</w:t>
            </w: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532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24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2"/>
                <w:szCs w:val="12"/>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Raw materials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$3,023</w:t>
            </w:r>
          </w:p>
        </w:tc>
        <w:tc>
          <w:tcPr>
            <w:tcW w:w="2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$2,505</w:t>
            </w: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Work in process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129</w:t>
            </w:r>
          </w:p>
        </w:tc>
      </w:tr>
      <w:tr>
        <w:trPr>
          <w:trHeight w:val="205"/>
        </w:trPr>
        <w:tc>
          <w:tcPr>
            <w:tcW w:w="532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729</w:t>
            </w:r>
          </w:p>
        </w:tc>
      </w:tr>
      <w:tr>
        <w:trPr>
          <w:trHeight w:val="223"/>
        </w:trPr>
        <w:tc>
          <w:tcPr>
            <w:tcW w:w="5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4,165</w:t>
            </w:r>
          </w:p>
        </w:tc>
        <w:tc>
          <w:tcPr>
            <w:tcW w:w="2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3,769</w:t>
            </w:r>
          </w:p>
        </w:tc>
      </w:tr>
      <w:tr>
        <w:trPr>
          <w:trHeight w:val="20"/>
        </w:trPr>
        <w:tc>
          <w:tcPr>
            <w:tcW w:w="53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issued letters of credit as the security deposits for certain of our domestic leases. These letters of credit are secured by pledged certificates of</w:t>
      </w:r>
    </w:p>
    <w:p>
      <w:pPr>
        <w:sectPr>
          <w:pgSz w:w="11900" w:h="16857" w:orient="portrait"/>
          <w:cols w:equalWidth="0" w:num="1">
            <w:col w:w="11280"/>
          </w:cols>
          <w:pgMar w:left="240" w:top="81" w:right="379" w:bottom="0" w:gutter="0" w:footer="0" w:header="0"/>
        </w:sectPr>
      </w:pPr>
    </w:p>
    <w:bookmarkStart w:id="9" w:name="page10"/>
    <w:bookmarkEnd w:id="9"/>
    <w:p>
      <w:pPr>
        <w:jc w:val="both"/>
        <w:ind w:left="540" w:right="100"/>
        <w:spacing w:after="0" w:line="323" w:lineRule="auto"/>
        <w:rPr>
          <w:sz w:val="20"/>
          <w:szCs w:val="20"/>
          <w:color w:val="auto"/>
        </w:rPr>
      </w:pPr>
      <w:r>
        <w:rPr>
          <w:rFonts w:ascii="Arial" w:cs="Arial" w:eastAsia="Arial" w:hAnsi="Arial"/>
          <w:sz w:val="15"/>
          <w:szCs w:val="15"/>
          <w:color w:val="auto"/>
        </w:rPr>
        <w:t>deposit which are classified as Restricted Certificates of Deposit on our balance sheets. The terms of our leases require us to renew these letters of credit at least 30 days prior to their expiration dates for successive terms of not less than one year until lease expiration. The terms of our leases also allow us to request a reduction in the amount of these letters of credit at certain points during the lease term if there have been no events of default. As of March 31, 2015, there have been no events of default. Our outstanding letters of credit at March 31, 2015 and December 31, 2014 consisted of the following:</w:t>
      </w:r>
    </w:p>
    <w:p>
      <w:pPr>
        <w:spacing w:after="0" w:line="15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260"/>
              <w:spacing w:after="0"/>
              <w:rPr>
                <w:sz w:val="20"/>
                <w:szCs w:val="20"/>
                <w:color w:val="auto"/>
              </w:rPr>
            </w:pPr>
            <w:r>
              <w:rPr>
                <w:rFonts w:ascii="Arial" w:cs="Arial" w:eastAsia="Arial" w:hAnsi="Arial"/>
                <w:sz w:val="14"/>
                <w:szCs w:val="14"/>
                <w:b w:val="1"/>
                <w:bCs w:val="1"/>
                <w:i w:val="1"/>
                <w:iCs w:val="1"/>
                <w:color w:val="auto"/>
                <w:w w:val="86"/>
              </w:rPr>
              <w:t>Letters of Credit</w:t>
            </w:r>
          </w:p>
        </w:tc>
      </w:tr>
      <w:tr>
        <w:trPr>
          <w:trHeight w:val="146"/>
        </w:trPr>
        <w:tc>
          <w:tcPr>
            <w:tcW w:w="2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160" w:type="dxa"/>
            <w:vAlign w:val="bottom"/>
          </w:tcPr>
          <w:p>
            <w:pPr>
              <w:spacing w:after="0"/>
              <w:rPr>
                <w:sz w:val="12"/>
                <w:szCs w:val="12"/>
                <w:color w:val="auto"/>
              </w:rPr>
            </w:pPr>
          </w:p>
        </w:tc>
        <w:tc>
          <w:tcPr>
            <w:tcW w:w="1040" w:type="dxa"/>
            <w:vAlign w:val="bottom"/>
            <w:gridSpan w:val="2"/>
          </w:tcPr>
          <w:p>
            <w:pPr>
              <w:jc w:val="center"/>
              <w:ind w:right="48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80" w:type="dxa"/>
            <w:vAlign w:val="bottom"/>
          </w:tcPr>
          <w:p>
            <w:pPr>
              <w:spacing w:after="0"/>
              <w:rPr>
                <w:sz w:val="12"/>
                <w:szCs w:val="12"/>
                <w:color w:val="auto"/>
              </w:rPr>
            </w:pPr>
          </w:p>
        </w:tc>
        <w:tc>
          <w:tcPr>
            <w:tcW w:w="1180" w:type="dxa"/>
            <w:vAlign w:val="bottom"/>
            <w:tcBorders>
              <w:bottom w:val="single" w:sz="8" w:color="auto"/>
            </w:tcBorders>
            <w:gridSpan w:val="6"/>
          </w:tcPr>
          <w:p>
            <w:pPr>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120" w:type="dxa"/>
            <w:vAlign w:val="bottom"/>
          </w:tcPr>
          <w:p>
            <w:pPr>
              <w:spacing w:after="0"/>
              <w:rPr>
                <w:sz w:val="12"/>
                <w:szCs w:val="12"/>
                <w:color w:val="auto"/>
              </w:rPr>
            </w:pPr>
          </w:p>
        </w:tc>
      </w:tr>
      <w:tr>
        <w:trPr>
          <w:trHeight w:val="158"/>
        </w:trPr>
        <w:tc>
          <w:tcPr>
            <w:tcW w:w="2100" w:type="dxa"/>
            <w:vAlign w:val="bottom"/>
          </w:tcPr>
          <w:p>
            <w:pPr>
              <w:spacing w:after="0"/>
              <w:rPr>
                <w:sz w:val="13"/>
                <w:szCs w:val="13"/>
                <w:color w:val="auto"/>
              </w:rPr>
            </w:pPr>
          </w:p>
        </w:tc>
        <w:tc>
          <w:tcPr>
            <w:tcW w:w="1980" w:type="dxa"/>
            <w:vAlign w:val="bottom"/>
            <w:gridSpan w:val="3"/>
          </w:tcPr>
          <w:p>
            <w:pPr>
              <w:jc w:val="center"/>
              <w:ind w:left="737"/>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92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20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900" w:type="dxa"/>
            <w:vAlign w:val="bottom"/>
            <w:gridSpan w:val="5"/>
          </w:tcPr>
          <w:p>
            <w:pPr>
              <w:spacing w:after="0" w:line="158" w:lineRule="exact"/>
              <w:rPr>
                <w:sz w:val="20"/>
                <w:szCs w:val="20"/>
                <w:color w:val="auto"/>
              </w:rPr>
            </w:pPr>
            <w:r>
              <w:rPr>
                <w:rFonts w:ascii="Arial" w:cs="Arial" w:eastAsia="Arial" w:hAnsi="Arial"/>
                <w:sz w:val="14"/>
                <w:szCs w:val="14"/>
                <w:b w:val="1"/>
                <w:bCs w:val="1"/>
                <w:i w:val="1"/>
                <w:iCs w:val="1"/>
                <w:color w:val="auto"/>
              </w:rPr>
              <w:t>Mar. 31,</w:t>
            </w:r>
          </w:p>
        </w:tc>
        <w:tc>
          <w:tcPr>
            <w:tcW w:w="48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500" w:type="dxa"/>
            <w:vAlign w:val="bottom"/>
          </w:tcPr>
          <w:p>
            <w:pPr>
              <w:spacing w:after="0"/>
              <w:rPr>
                <w:sz w:val="12"/>
                <w:szCs w:val="12"/>
                <w:color w:val="auto"/>
              </w:rPr>
            </w:pPr>
          </w:p>
        </w:tc>
        <w:tc>
          <w:tcPr>
            <w:tcW w:w="480" w:type="dxa"/>
            <w:vAlign w:val="bottom"/>
            <w:tcBorders>
              <w:bottom w:val="single" w:sz="8" w:color="auto"/>
            </w:tcBorders>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rPr>
              <w:t>2014</w:t>
            </w:r>
          </w:p>
        </w:tc>
      </w:tr>
      <w:tr>
        <w:trPr>
          <w:trHeight w:val="235"/>
        </w:trPr>
        <w:tc>
          <w:tcPr>
            <w:tcW w:w="2100" w:type="dxa"/>
            <w:vAlign w:val="bottom"/>
          </w:tcPr>
          <w:p>
            <w:pPr>
              <w:spacing w:after="0"/>
              <w:rPr>
                <w:sz w:val="20"/>
                <w:szCs w:val="20"/>
                <w:color w:val="auto"/>
              </w:rPr>
            </w:pPr>
            <w:r>
              <w:rPr>
                <w:rFonts w:ascii="Arial" w:cs="Arial" w:eastAsia="Arial" w:hAnsi="Arial"/>
                <w:sz w:val="18"/>
                <w:szCs w:val="18"/>
                <w:color w:val="auto"/>
              </w:rPr>
              <w:t>Mt. Laurel, NJ</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3/29/2010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4/01/2016</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4/30/2021</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10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198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10/27/2010</w:t>
            </w:r>
          </w:p>
        </w:tc>
        <w:tc>
          <w:tcPr>
            <w:tcW w:w="920" w:type="dxa"/>
            <w:vAlign w:val="bottom"/>
            <w:gridSpan w:val="3"/>
          </w:tcPr>
          <w:p>
            <w:pPr>
              <w:jc w:val="right"/>
              <w:ind w:right="120"/>
              <w:spacing w:after="0" w:line="205" w:lineRule="exact"/>
              <w:rPr>
                <w:sz w:val="20"/>
                <w:szCs w:val="20"/>
                <w:color w:val="auto"/>
              </w:rPr>
            </w:pPr>
            <w:r>
              <w:rPr>
                <w:rFonts w:ascii="Arial" w:cs="Arial" w:eastAsia="Arial" w:hAnsi="Arial"/>
                <w:sz w:val="18"/>
                <w:szCs w:val="18"/>
                <w:color w:val="auto"/>
                <w:w w:val="86"/>
              </w:rPr>
              <w:t>11/08/2015</w:t>
            </w:r>
          </w:p>
        </w:tc>
        <w:tc>
          <w:tcPr>
            <w:tcW w:w="1200" w:type="dxa"/>
            <w:vAlign w:val="bottom"/>
            <w:gridSpan w:val="3"/>
          </w:tcPr>
          <w:p>
            <w:pPr>
              <w:jc w:val="right"/>
              <w:ind w:right="240"/>
              <w:spacing w:after="0" w:line="205" w:lineRule="exact"/>
              <w:rPr>
                <w:sz w:val="20"/>
                <w:szCs w:val="20"/>
                <w:color w:val="auto"/>
              </w:rPr>
            </w:pPr>
            <w:r>
              <w:rPr>
                <w:rFonts w:ascii="Arial" w:cs="Arial" w:eastAsia="Arial" w:hAnsi="Arial"/>
                <w:sz w:val="18"/>
                <w:szCs w:val="18"/>
                <w:color w:val="auto"/>
              </w:rPr>
              <w:t>8/23/2021</w:t>
            </w:r>
          </w:p>
        </w:tc>
        <w:tc>
          <w:tcPr>
            <w:tcW w:w="160" w:type="dxa"/>
            <w:vAlign w:val="bottom"/>
            <w:gridSpan w:val="2"/>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c>
          <w:tcPr>
            <w:tcW w:w="3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680"/>
        </w:trPr>
        <w:tc>
          <w:tcPr>
            <w:tcW w:w="2100" w:type="dxa"/>
            <w:vAlign w:val="bottom"/>
          </w:tcPr>
          <w:p>
            <w:pPr>
              <w:spacing w:after="0"/>
              <w:rPr>
                <w:sz w:val="24"/>
                <w:szCs w:val="24"/>
                <w:color w:val="auto"/>
              </w:rPr>
            </w:pP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- 10 -</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40"/>
        <w:spacing w:after="0" w:line="332" w:lineRule="auto"/>
        <w:rPr>
          <w:sz w:val="20"/>
          <w:szCs w:val="20"/>
          <w:color w:val="auto"/>
        </w:rPr>
      </w:pPr>
      <w:r>
        <w:rPr>
          <w:rFonts w:ascii="Arial" w:cs="Arial" w:eastAsia="Arial" w:hAnsi="Arial"/>
          <w:sz w:val="16"/>
          <w:szCs w:val="16"/>
          <w:color w:val="auto"/>
        </w:rPr>
        <w:t>As of March 31, 2015, we have unvested restricted stock awards granted under stock-based employee compensation plans that are described more fully in Note 12 to the consolidated financial statements in our 2014 Form 10-K. We did not grant any stock options during 2015 or 2014.</w:t>
      </w:r>
    </w:p>
    <w:p>
      <w:pPr>
        <w:spacing w:after="0" w:line="13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As of March 31, 2015, total compensation expense to be recognized in future periods was $296. The weighted average period over which this expense is expected to be recognized is 2.5 years. The following table shows the allocation of the compensation expense we recorded during the three months ended March 31, 2015 and 2014, respectively, related to unvested shares:</w:t>
      </w:r>
    </w:p>
    <w:p>
      <w:pPr>
        <w:spacing w:after="0" w:line="2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i w:val="1"/>
          <w:iCs w:val="1"/>
          <w:color w:val="auto"/>
        </w:rPr>
        <w:t>Three Months Ended</w:t>
      </w:r>
    </w:p>
    <w:p>
      <w:pPr>
        <w:ind w:left="798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-16510</wp:posOffset>
            </wp:positionV>
            <wp:extent cx="645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795" cy="8890"/>
                    </a:xfrm>
                    <a:prstGeom prst="rect">
                      <a:avLst/>
                    </a:prstGeom>
                    <a:noFill/>
                  </pic:spPr>
                </pic:pic>
              </a:graphicData>
            </a:graphic>
          </wp:anchor>
        </w:drawing>
      </w:r>
    </w:p>
    <w:tbl>
      <w:tblPr>
        <w:tblLayout w:type="fixed"/>
        <w:tblInd w:w="2360" w:type="dxa"/>
        <w:tblCellMar>
          <w:top w:w="0" w:type="dxa"/>
          <w:left w:w="0" w:type="dxa"/>
          <w:bottom w:w="0" w:type="dxa"/>
          <w:right w:w="0" w:type="dxa"/>
        </w:tblCellMar>
      </w:tblPr>
      <w:tr>
        <w:trPr>
          <w:trHeight w:val="148"/>
        </w:trPr>
        <w:tc>
          <w:tcPr>
            <w:tcW w:w="54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i w:val="1"/>
                <w:iCs w:val="1"/>
                <w:color w:val="auto"/>
                <w:w w:val="74"/>
              </w:rPr>
              <w:t>2015</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2014</w:t>
            </w:r>
          </w:p>
        </w:tc>
        <w:tc>
          <w:tcPr>
            <w:tcW w:w="120" w:type="dxa"/>
            <w:vAlign w:val="bottom"/>
          </w:tcPr>
          <w:p>
            <w:pPr>
              <w:spacing w:after="0"/>
              <w:rPr>
                <w:sz w:val="12"/>
                <w:szCs w:val="12"/>
                <w:color w:val="auto"/>
              </w:rPr>
            </w:pPr>
          </w:p>
        </w:tc>
      </w:tr>
      <w:tr>
        <w:trPr>
          <w:trHeight w:val="20"/>
        </w:trPr>
        <w:tc>
          <w:tcPr>
            <w:tcW w:w="5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$ 3</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Selling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24</w:t>
            </w:r>
          </w:p>
        </w:tc>
        <w:tc>
          <w:tcPr>
            <w:tcW w:w="46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29</w:t>
            </w:r>
          </w:p>
        </w:tc>
      </w:tr>
      <w:tr>
        <w:trPr>
          <w:trHeight w:val="223"/>
        </w:trPr>
        <w:tc>
          <w:tcPr>
            <w:tcW w:w="54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$ 30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$ 41</w:t>
            </w:r>
          </w:p>
        </w:tc>
      </w:tr>
      <w:tr>
        <w:trPr>
          <w:trHeight w:val="20"/>
        </w:trPr>
        <w:tc>
          <w:tcPr>
            <w:tcW w:w="5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2015 or 2014.</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for the three months ended March 31, 2015:</w:t>
      </w:r>
    </w:p>
    <w:p>
      <w:pPr>
        <w:spacing w:after="0" w:line="224"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72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720" w:type="dxa"/>
            <w:vAlign w:val="bottom"/>
          </w:tcPr>
          <w:p>
            <w:pPr>
              <w:spacing w:after="0"/>
              <w:rPr>
                <w:sz w:val="12"/>
                <w:szCs w:val="12"/>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220" w:type="dxa"/>
            <w:vAlign w:val="bottom"/>
            <w:gridSpan w:val="2"/>
          </w:tcPr>
          <w:p>
            <w:pPr>
              <w:spacing w:after="0"/>
              <w:rPr>
                <w:sz w:val="12"/>
                <w:szCs w:val="12"/>
                <w:color w:val="auto"/>
              </w:rPr>
            </w:pP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7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8"/>
                <w:szCs w:val="18"/>
                <w:color w:val="auto"/>
              </w:rPr>
              <w:t>Unvested shares outstanding, January 1, 2015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101,875</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Vested</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05"/>
        </w:trPr>
        <w:tc>
          <w:tcPr>
            <w:tcW w:w="5720" w:type="dxa"/>
            <w:vAlign w:val="bottom"/>
          </w:tcPr>
          <w:p>
            <w:pPr>
              <w:ind w:left="120"/>
              <w:spacing w:after="0" w:line="205" w:lineRule="exact"/>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Unvested shares outstanding, March 31, 2015</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96,875</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three months ended March 31, 2015 and 2014, we recorded $141 and $133 of expense for matching contributions,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Thermal Products, Mechanical Products and Electrical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20"/>
          </w:cols>
          <w:pgMar w:left="240" w:top="131"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6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65"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20" w:type="dxa"/>
            <w:vAlign w:val="bottom"/>
            <w:gridSpan w:val="10"/>
          </w:tcPr>
          <w:p>
            <w:pPr>
              <w:ind w:left="20"/>
              <w:spacing w:after="0"/>
              <w:rPr>
                <w:sz w:val="20"/>
                <w:szCs w:val="20"/>
                <w:color w:val="auto"/>
              </w:rPr>
            </w:pPr>
            <w:r>
              <w:rPr>
                <w:rFonts w:ascii="Arial" w:cs="Arial" w:eastAsia="Arial" w:hAnsi="Arial"/>
                <w:sz w:val="14"/>
                <w:szCs w:val="14"/>
                <w:b w:val="1"/>
                <w:bCs w:val="1"/>
                <w:i w:val="1"/>
                <w:iCs w:val="1"/>
                <w:color w:val="auto"/>
                <w:w w:val="92"/>
              </w:rPr>
              <w:t>Three Months Ended</w:t>
            </w: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ind w:left="100"/>
              <w:spacing w:after="0" w:line="146" w:lineRule="exact"/>
              <w:rPr>
                <w:sz w:val="20"/>
                <w:szCs w:val="20"/>
                <w:color w:val="auto"/>
              </w:rPr>
            </w:pPr>
            <w:r>
              <w:rPr>
                <w:rFonts w:ascii="Arial" w:cs="Arial" w:eastAsia="Arial" w:hAnsi="Arial"/>
                <w:sz w:val="14"/>
                <w:szCs w:val="14"/>
                <w:b w:val="1"/>
                <w:bCs w:val="1"/>
                <w:i w:val="1"/>
                <w:iCs w:val="1"/>
                <w:color w:val="auto"/>
              </w:rPr>
              <w:t>March 31,</w:t>
            </w:r>
          </w:p>
        </w:tc>
        <w:tc>
          <w:tcPr>
            <w:tcW w:w="180" w:type="dxa"/>
            <w:vAlign w:val="bottom"/>
            <w:gridSpan w:val="2"/>
          </w:tcPr>
          <w:p>
            <w:pPr>
              <w:spacing w:after="0"/>
              <w:rPr>
                <w:sz w:val="12"/>
                <w:szCs w:val="12"/>
                <w:color w:val="auto"/>
              </w:rPr>
            </w:pPr>
          </w:p>
        </w:tc>
      </w:tr>
      <w:tr>
        <w:trPr>
          <w:trHeight w:val="156"/>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740" w:type="dxa"/>
            <w:vAlign w:val="bottom"/>
            <w:gridSpan w:val="5"/>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2014</w:t>
            </w:r>
          </w:p>
        </w:tc>
      </w:tr>
      <w:tr>
        <w:trPr>
          <w:trHeight w:val="302"/>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Thermal Products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5,717</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$5,243</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Mechanical Products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2,435</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2,047</w:t>
            </w:r>
          </w:p>
        </w:tc>
      </w:tr>
      <w:tr>
        <w:trPr>
          <w:trHeight w:val="205"/>
        </w:trPr>
        <w:tc>
          <w:tcPr>
            <w:tcW w:w="58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7"/>
              </w:rPr>
              <w:t>2,036</w:t>
            </w:r>
          </w:p>
        </w:tc>
        <w:tc>
          <w:tcPr>
            <w:tcW w:w="260" w:type="dxa"/>
            <w:vAlign w:val="bottom"/>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1,507</w:t>
            </w:r>
          </w:p>
        </w:tc>
      </w:tr>
      <w:tr>
        <w:trPr>
          <w:trHeight w:val="223"/>
        </w:trPr>
        <w:tc>
          <w:tcPr>
            <w:tcW w:w="58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9"/>
              </w:rPr>
              <w:t>10,188</w:t>
            </w:r>
          </w:p>
        </w:tc>
        <w:tc>
          <w:tcPr>
            <w:tcW w:w="7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w:t>
            </w: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left="2120"/>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p>
      <w:pPr>
        <w:spacing w:after="0" w:line="36" w:lineRule="exact"/>
        <w:rPr>
          <w:sz w:val="20"/>
          <w:szCs w:val="20"/>
          <w:color w:val="auto"/>
        </w:rPr>
      </w:pPr>
    </w:p>
    <w:tbl>
      <w:tblPr>
        <w:tblLayout w:type="fixed"/>
        <w:tblInd w:w="2120" w:type="dxa"/>
        <w:tblCellMar>
          <w:top w:w="0" w:type="dxa"/>
          <w:left w:w="0" w:type="dxa"/>
          <w:bottom w:w="0" w:type="dxa"/>
          <w:right w:w="0" w:type="dxa"/>
        </w:tblCellMar>
      </w:tblP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Thermal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811</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Mechanical Products</w:t>
            </w:r>
          </w:p>
        </w:tc>
        <w:tc>
          <w:tcPr>
            <w:tcW w:w="4140" w:type="dxa"/>
            <w:vAlign w:val="bottom"/>
            <w:gridSpan w:val="8"/>
          </w:tcPr>
          <w:p>
            <w:pPr>
              <w:jc w:val="right"/>
              <w:ind w:right="10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(283)</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Electrical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r>
      <w:tr>
        <w:trPr>
          <w:trHeight w:val="205"/>
        </w:trPr>
        <w:tc>
          <w:tcPr>
            <w:tcW w:w="244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3560" w:type="dxa"/>
            <w:vAlign w:val="bottom"/>
            <w:gridSpan w:val="5"/>
          </w:tcPr>
          <w:p>
            <w:pPr>
              <w:spacing w:after="0"/>
              <w:rPr>
                <w:sz w:val="17"/>
                <w:szCs w:val="17"/>
                <w:color w:val="auto"/>
              </w:rPr>
            </w:pPr>
          </w:p>
        </w:tc>
        <w:tc>
          <w:tcPr>
            <w:tcW w:w="58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(392)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0"/>
              </w:rPr>
              <w:t>(122)</w:t>
            </w:r>
          </w:p>
        </w:tc>
      </w:tr>
      <w:tr>
        <w:trPr>
          <w:trHeight w:val="20"/>
        </w:trPr>
        <w:tc>
          <w:tcPr>
            <w:tcW w:w="2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  671</w:t>
            </w:r>
          </w:p>
        </w:tc>
        <w:tc>
          <w:tcPr>
            <w:tcW w:w="16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411</w:t>
            </w:r>
          </w:p>
        </w:tc>
      </w:tr>
      <w:tr>
        <w:trPr>
          <w:trHeight w:val="505"/>
        </w:trPr>
        <w:tc>
          <w:tcPr>
            <w:tcW w:w="244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Thermal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$ 672</w:t>
            </w:r>
          </w:p>
        </w:tc>
        <w:tc>
          <w:tcPr>
            <w:tcW w:w="16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$ 564</w:t>
            </w:r>
          </w:p>
        </w:tc>
        <w:tc>
          <w:tcPr>
            <w:tcW w:w="40" w:type="dxa"/>
            <w:vAlign w:val="bottom"/>
          </w:tcPr>
          <w:p>
            <w:pPr>
              <w:spacing w:after="0"/>
              <w:rPr>
                <w:sz w:val="21"/>
                <w:szCs w:val="2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Mechanical Products</w:t>
            </w:r>
          </w:p>
        </w:tc>
        <w:tc>
          <w:tcPr>
            <w:tcW w:w="4140" w:type="dxa"/>
            <w:vAlign w:val="bottom"/>
            <w:gridSpan w:val="8"/>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(197)</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Electrical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r>
      <w:tr>
        <w:trPr>
          <w:trHeight w:val="205"/>
        </w:trPr>
        <w:tc>
          <w:tcPr>
            <w:tcW w:w="244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3560" w:type="dxa"/>
            <w:vAlign w:val="bottom"/>
            <w:gridSpan w:val="5"/>
          </w:tcPr>
          <w:p>
            <w:pPr>
              <w:spacing w:after="0"/>
              <w:rPr>
                <w:sz w:val="17"/>
                <w:szCs w:val="17"/>
                <w:color w:val="auto"/>
              </w:rPr>
            </w:pPr>
          </w:p>
        </w:tc>
        <w:tc>
          <w:tcPr>
            <w:tcW w:w="58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(256)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(85)</w:t>
            </w:r>
          </w:p>
        </w:tc>
      </w:tr>
      <w:tr>
        <w:trPr>
          <w:trHeight w:val="20"/>
        </w:trPr>
        <w:tc>
          <w:tcPr>
            <w:tcW w:w="2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3560" w:type="dxa"/>
            <w:vAlign w:val="bottom"/>
            <w:gridSpan w:val="5"/>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$ 438</w:t>
            </w:r>
          </w:p>
        </w:tc>
        <w:tc>
          <w:tcPr>
            <w:tcW w:w="16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5"/>
              </w:rPr>
              <w:t>$ 286</w:t>
            </w:r>
          </w:p>
        </w:tc>
        <w:tc>
          <w:tcPr>
            <w:tcW w:w="40" w:type="dxa"/>
            <w:vAlign w:val="bottom"/>
          </w:tcPr>
          <w:p>
            <w:pPr>
              <w:spacing w:after="0"/>
              <w:rPr>
                <w:sz w:val="19"/>
                <w:szCs w:val="19"/>
                <w:color w:val="auto"/>
              </w:rPr>
            </w:pPr>
          </w:p>
        </w:tc>
      </w:tr>
      <w:tr>
        <w:trPr>
          <w:trHeight w:val="452"/>
        </w:trPr>
        <w:tc>
          <w:tcPr>
            <w:tcW w:w="2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0" w:type="dxa"/>
            <w:vAlign w:val="bottom"/>
            <w:gridSpan w:val="7"/>
          </w:tcPr>
          <w:p>
            <w:pPr>
              <w:jc w:val="center"/>
              <w:ind w:right="240"/>
              <w:spacing w:after="0"/>
              <w:rPr>
                <w:sz w:val="20"/>
                <w:szCs w:val="20"/>
                <w:color w:val="auto"/>
              </w:rPr>
            </w:pPr>
            <w:r>
              <w:rPr>
                <w:rFonts w:ascii="Arial" w:cs="Arial" w:eastAsia="Arial" w:hAnsi="Arial"/>
                <w:sz w:val="14"/>
                <w:szCs w:val="14"/>
                <w:b w:val="1"/>
                <w:bCs w:val="1"/>
                <w:i w:val="1"/>
                <w:iCs w:val="1"/>
                <w:color w:val="auto"/>
                <w:w w:val="91"/>
              </w:rPr>
              <w:t>Mar. 31,</w:t>
            </w:r>
          </w:p>
        </w:tc>
        <w:tc>
          <w:tcPr>
            <w:tcW w:w="600" w:type="dxa"/>
            <w:vAlign w:val="bottom"/>
            <w:gridSpan w:val="6"/>
          </w:tcPr>
          <w:p>
            <w:pPr>
              <w:jc w:val="center"/>
              <w:ind w:right="8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63"/>
        </w:trPr>
        <w:tc>
          <w:tcPr>
            <w:tcW w:w="2440" w:type="dxa"/>
            <w:vAlign w:val="bottom"/>
          </w:tcPr>
          <w:p>
            <w:pPr>
              <w:spacing w:after="0"/>
              <w:rPr>
                <w:sz w:val="14"/>
                <w:szCs w:val="14"/>
                <w:color w:val="auto"/>
              </w:rPr>
            </w:pPr>
          </w:p>
        </w:tc>
        <w:tc>
          <w:tcPr>
            <w:tcW w:w="3900" w:type="dxa"/>
            <w:vAlign w:val="bottom"/>
            <w:gridSpan w:val="6"/>
          </w:tcPr>
          <w:p>
            <w:pPr>
              <w:jc w:val="right"/>
              <w:ind w:right="32"/>
              <w:spacing w:after="0"/>
              <w:rPr>
                <w:sz w:val="20"/>
                <w:szCs w:val="20"/>
                <w:color w:val="auto"/>
              </w:rPr>
            </w:pPr>
            <w:r>
              <w:rPr>
                <w:rFonts w:ascii="Arial" w:cs="Arial" w:eastAsia="Arial" w:hAnsi="Arial"/>
                <w:sz w:val="14"/>
                <w:szCs w:val="14"/>
                <w:b w:val="1"/>
                <w:bCs w:val="1"/>
                <w:i w:val="1"/>
                <w:iCs w:val="1"/>
                <w:color w:val="auto"/>
              </w:rPr>
              <w:t>2015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4"/>
          </w:tcPr>
          <w:p>
            <w:pPr>
              <w:jc w:val="right"/>
              <w:ind w:right="52"/>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2"/>
        </w:trPr>
        <w:tc>
          <w:tcPr>
            <w:tcW w:w="244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33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Thermal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$14,899</w:t>
            </w:r>
          </w:p>
        </w:tc>
        <w:tc>
          <w:tcPr>
            <w:tcW w:w="160" w:type="dxa"/>
            <w:vAlign w:val="bottom"/>
          </w:tcPr>
          <w:p>
            <w:pPr>
              <w:spacing w:after="0"/>
              <w:rPr>
                <w:sz w:val="21"/>
                <w:szCs w:val="21"/>
                <w:color w:val="auto"/>
              </w:rPr>
            </w:pPr>
          </w:p>
        </w:tc>
        <w:tc>
          <w:tcPr>
            <w:tcW w:w="600" w:type="dxa"/>
            <w:vAlign w:val="bottom"/>
            <w:gridSpan w:val="6"/>
          </w:tcPr>
          <w:p>
            <w:pPr>
              <w:jc w:val="right"/>
              <w:ind w:right="40"/>
              <w:spacing w:after="0"/>
              <w:rPr>
                <w:sz w:val="20"/>
                <w:szCs w:val="20"/>
                <w:color w:val="auto"/>
              </w:rPr>
            </w:pPr>
            <w:r>
              <w:rPr>
                <w:rFonts w:ascii="Arial" w:cs="Arial" w:eastAsia="Arial" w:hAnsi="Arial"/>
                <w:sz w:val="18"/>
                <w:szCs w:val="18"/>
                <w:color w:val="auto"/>
                <w:w w:val="82"/>
              </w:rPr>
              <w:t>$26,211</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Mechanical Products</w:t>
            </w:r>
          </w:p>
        </w:tc>
        <w:tc>
          <w:tcPr>
            <w:tcW w:w="3980" w:type="dxa"/>
            <w:vAlign w:val="bottom"/>
            <w:gridSpan w:val="7"/>
          </w:tcPr>
          <w:p>
            <w:pPr>
              <w:jc w:val="right"/>
              <w:spacing w:after="0"/>
              <w:rPr>
                <w:sz w:val="20"/>
                <w:szCs w:val="20"/>
                <w:color w:val="auto"/>
              </w:rPr>
            </w:pPr>
            <w:r>
              <w:rPr>
                <w:rFonts w:ascii="Arial" w:cs="Arial" w:eastAsia="Arial" w:hAnsi="Arial"/>
                <w:sz w:val="18"/>
                <w:szCs w:val="18"/>
                <w:color w:val="auto"/>
              </w:rPr>
              <w:t>21,413</w:t>
            </w:r>
          </w:p>
        </w:tc>
        <w:tc>
          <w:tcPr>
            <w:tcW w:w="16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7,801</w:t>
            </w:r>
          </w:p>
        </w:tc>
        <w:tc>
          <w:tcPr>
            <w:tcW w:w="40" w:type="dxa"/>
            <w:vAlign w:val="bottom"/>
          </w:tcPr>
          <w:p>
            <w:pPr>
              <w:spacing w:after="0"/>
              <w:rPr>
                <w:sz w:val="21"/>
                <w:szCs w:val="21"/>
                <w:color w:val="auto"/>
              </w:rPr>
            </w:pPr>
          </w:p>
        </w:tc>
      </w:tr>
      <w:tr>
        <w:trPr>
          <w:trHeight w:val="205"/>
        </w:trPr>
        <w:tc>
          <w:tcPr>
            <w:tcW w:w="24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3460" w:type="dxa"/>
            <w:vAlign w:val="bottom"/>
            <w:gridSpan w:val="3"/>
          </w:tcPr>
          <w:p>
            <w:pPr>
              <w:spacing w:after="0"/>
              <w:rPr>
                <w:sz w:val="17"/>
                <w:szCs w:val="17"/>
                <w:color w:val="auto"/>
              </w:rPr>
            </w:pPr>
          </w:p>
        </w:tc>
        <w:tc>
          <w:tcPr>
            <w:tcW w:w="5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3,433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4,726</w:t>
            </w:r>
          </w:p>
        </w:tc>
        <w:tc>
          <w:tcPr>
            <w:tcW w:w="40" w:type="dxa"/>
            <w:vAlign w:val="bottom"/>
          </w:tcPr>
          <w:p>
            <w:pPr>
              <w:spacing w:after="0"/>
              <w:rPr>
                <w:sz w:val="17"/>
                <w:szCs w:val="17"/>
                <w:color w:val="auto"/>
              </w:rPr>
            </w:pPr>
          </w:p>
        </w:tc>
      </w:tr>
      <w:tr>
        <w:trPr>
          <w:trHeight w:val="223"/>
        </w:trPr>
        <w:tc>
          <w:tcPr>
            <w:tcW w:w="2440" w:type="dxa"/>
            <w:vAlign w:val="bottom"/>
          </w:tcPr>
          <w:p>
            <w:pPr>
              <w:spacing w:after="0"/>
              <w:rPr>
                <w:sz w:val="19"/>
                <w:szCs w:val="19"/>
                <w:color w:val="auto"/>
              </w:rPr>
            </w:pPr>
          </w:p>
        </w:tc>
        <w:tc>
          <w:tcPr>
            <w:tcW w:w="39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39,745</w:t>
            </w:r>
          </w:p>
        </w:tc>
        <w:tc>
          <w:tcPr>
            <w:tcW w:w="16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38,738</w:t>
            </w:r>
          </w:p>
        </w:tc>
        <w:tc>
          <w:tcPr>
            <w:tcW w:w="40" w:type="dxa"/>
            <w:vAlign w:val="bottom"/>
          </w:tcPr>
          <w:p>
            <w:pPr>
              <w:spacing w:after="0"/>
              <w:rPr>
                <w:sz w:val="19"/>
                <w:szCs w:val="19"/>
                <w:color w:val="auto"/>
              </w:rPr>
            </w:pPr>
          </w:p>
        </w:tc>
      </w:tr>
      <w:tr>
        <w:trPr>
          <w:trHeight w:val="464"/>
        </w:trPr>
        <w:tc>
          <w:tcPr>
            <w:tcW w:w="2440" w:type="dxa"/>
            <w:vAlign w:val="bottom"/>
          </w:tcPr>
          <w:p>
            <w:pPr>
              <w:spacing w:after="0"/>
              <w:rPr>
                <w:sz w:val="24"/>
                <w:szCs w:val="24"/>
                <w:color w:val="auto"/>
              </w:rPr>
            </w:pPr>
          </w:p>
        </w:tc>
        <w:tc>
          <w:tcPr>
            <w:tcW w:w="3380" w:type="dxa"/>
            <w:vAlign w:val="bottom"/>
          </w:tcPr>
          <w:p>
            <w:pPr>
              <w:jc w:val="right"/>
              <w:ind w:right="1954"/>
              <w:spacing w:after="0"/>
              <w:rPr>
                <w:sz w:val="20"/>
                <w:szCs w:val="20"/>
                <w:color w:val="auto"/>
              </w:rPr>
            </w:pPr>
            <w:r>
              <w:rPr>
                <w:rFonts w:ascii="Arial" w:cs="Arial" w:eastAsia="Arial" w:hAnsi="Arial"/>
                <w:sz w:val="18"/>
                <w:szCs w:val="18"/>
                <w:color w:val="auto"/>
              </w:rPr>
              <w:t>- 12 -</w:t>
            </w: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00" w:type="dxa"/>
            <w:vAlign w:val="bottom"/>
            <w:gridSpan w:val="12"/>
          </w:tcPr>
          <w:p>
            <w:pPr>
              <w:ind w:left="20"/>
              <w:spacing w:after="0"/>
              <w:rPr>
                <w:sz w:val="20"/>
                <w:szCs w:val="20"/>
                <w:color w:val="auto"/>
              </w:rPr>
            </w:pPr>
            <w:r>
              <w:rPr>
                <w:rFonts w:ascii="Arial" w:cs="Arial" w:eastAsia="Arial" w:hAnsi="Arial"/>
                <w:sz w:val="14"/>
                <w:szCs w:val="14"/>
                <w:b w:val="1"/>
                <w:bCs w:val="1"/>
                <w:i w:val="1"/>
                <w:iCs w:val="1"/>
                <w:color w:val="auto"/>
                <w:w w:val="90"/>
              </w:rPr>
              <w:t>Three Months Ended</w:t>
            </w:r>
          </w:p>
        </w:tc>
      </w:tr>
      <w:tr>
        <w:trPr>
          <w:trHeight w:val="146"/>
        </w:trPr>
        <w:tc>
          <w:tcPr>
            <w:tcW w:w="5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5"/>
          </w:tcPr>
          <w:p>
            <w:pPr>
              <w:jc w:val="right"/>
              <w:spacing w:after="0" w:line="146" w:lineRule="exact"/>
              <w:rPr>
                <w:sz w:val="20"/>
                <w:szCs w:val="20"/>
                <w:color w:val="auto"/>
              </w:rPr>
            </w:pPr>
            <w:r>
              <w:rPr>
                <w:rFonts w:ascii="Arial" w:cs="Arial" w:eastAsia="Arial" w:hAnsi="Arial"/>
                <w:sz w:val="14"/>
                <w:szCs w:val="14"/>
                <w:b w:val="1"/>
                <w:bCs w:val="1"/>
                <w:i w:val="1"/>
                <w:iCs w:val="1"/>
                <w:color w:val="auto"/>
                <w:w w:val="99"/>
              </w:rPr>
              <w:t>March 31,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w w:val="96"/>
              </w:rPr>
              <w:t>2014</w:t>
            </w:r>
          </w:p>
        </w:tc>
      </w:tr>
      <w:tr>
        <w:trPr>
          <w:trHeight w:val="235"/>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3,489</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3,149</w:t>
            </w:r>
          </w:p>
        </w:tc>
      </w:tr>
      <w:tr>
        <w:trPr>
          <w:trHeight w:val="205"/>
        </w:trPr>
        <w:tc>
          <w:tcPr>
            <w:tcW w:w="584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6,699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8"/>
              </w:rPr>
              <w:t>5,648</w:t>
            </w:r>
          </w:p>
        </w:tc>
      </w:tr>
      <w:tr>
        <w:trPr>
          <w:trHeight w:val="223"/>
        </w:trPr>
        <w:tc>
          <w:tcPr>
            <w:tcW w:w="58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10,188</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8,797</w:t>
            </w:r>
          </w:p>
        </w:tc>
      </w:tr>
      <w:tr>
        <w:trPr>
          <w:trHeight w:val="452"/>
        </w:trPr>
        <w:tc>
          <w:tcPr>
            <w:tcW w:w="5840" w:type="dxa"/>
            <w:vAlign w:val="bottom"/>
          </w:tcPr>
          <w:p>
            <w:pPr>
              <w:spacing w:after="0"/>
              <w:rPr>
                <w:sz w:val="24"/>
                <w:szCs w:val="24"/>
                <w:color w:val="auto"/>
              </w:rPr>
            </w:pPr>
          </w:p>
        </w:tc>
        <w:tc>
          <w:tcPr>
            <w:tcW w:w="58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i w:val="1"/>
                <w:iCs w:val="1"/>
                <w:color w:val="auto"/>
              </w:rPr>
              <w:t>Mar. 31,</w:t>
            </w:r>
          </w:p>
        </w:tc>
        <w:tc>
          <w:tcPr>
            <w:tcW w:w="140" w:type="dxa"/>
            <w:vAlign w:val="bottom"/>
          </w:tcPr>
          <w:p>
            <w:pPr>
              <w:spacing w:after="0"/>
              <w:rPr>
                <w:sz w:val="24"/>
                <w:szCs w:val="24"/>
                <w:color w:val="auto"/>
              </w:rPr>
            </w:pPr>
          </w:p>
        </w:tc>
        <w:tc>
          <w:tcPr>
            <w:tcW w:w="580" w:type="dxa"/>
            <w:vAlign w:val="bottom"/>
            <w:tcBorders>
              <w:top w:val="single" w:sz="8" w:color="auto"/>
            </w:tcBorders>
            <w:gridSpan w:val="6"/>
          </w:tcPr>
          <w:p>
            <w:pPr>
              <w:jc w:val="right"/>
              <w:ind w:right="80"/>
              <w:spacing w:after="0"/>
              <w:rPr>
                <w:sz w:val="20"/>
                <w:szCs w:val="20"/>
                <w:color w:val="auto"/>
              </w:rPr>
            </w:pPr>
            <w:r>
              <w:rPr>
                <w:rFonts w:ascii="Arial" w:cs="Arial" w:eastAsia="Arial" w:hAnsi="Arial"/>
                <w:sz w:val="14"/>
                <w:szCs w:val="14"/>
                <w:b w:val="1"/>
                <w:bCs w:val="1"/>
                <w:i w:val="1"/>
                <w:iCs w:val="1"/>
                <w:color w:val="auto"/>
                <w:w w:val="90"/>
              </w:rPr>
              <w:t>Dec. 31,</w:t>
            </w:r>
          </w:p>
        </w:tc>
      </w:tr>
    </w:tbl>
    <w:p>
      <w:pPr>
        <w:spacing w:after="0" w:line="17" w:lineRule="exact"/>
        <w:rPr>
          <w:sz w:val="20"/>
          <w:szCs w:val="20"/>
          <w:color w:val="auto"/>
        </w:rPr>
      </w:pPr>
    </w:p>
    <w:p>
      <w:pPr>
        <w:sectPr>
          <w:pgSz w:w="11900" w:h="16838" w:orient="portrait"/>
          <w:cols w:equalWidth="0" w:num="1">
            <w:col w:w="11280"/>
          </w:cols>
          <w:pgMar w:left="240" w:top="341" w:right="379" w:bottom="0" w:gutter="0" w:footer="0" w:header="0"/>
        </w:sectPr>
      </w:pPr>
    </w:p>
    <w:p>
      <w:pPr>
        <w:ind w:left="8080"/>
        <w:spacing w:after="0"/>
        <w:tabs>
          <w:tab w:leader="none" w:pos="8800" w:val="left"/>
        </w:tabs>
        <w:rPr>
          <w:sz w:val="20"/>
          <w:szCs w:val="20"/>
          <w:color w:val="auto"/>
        </w:rPr>
      </w:pPr>
      <w:r>
        <w:rPr>
          <w:rFonts w:ascii="Arial" w:cs="Arial" w:eastAsia="Arial" w:hAnsi="Arial"/>
          <w:sz w:val="12"/>
          <w:szCs w:val="12"/>
          <w:b w:val="1"/>
          <w:bCs w:val="1"/>
          <w:i w:val="1"/>
          <w:iCs w:val="1"/>
          <w:color w:val="auto"/>
        </w:rPr>
        <w:t>2015</w:t>
      </w:r>
      <w:r>
        <w:rPr>
          <w:sz w:val="20"/>
          <w:szCs w:val="20"/>
          <w:color w:val="auto"/>
        </w:rPr>
        <w:tab/>
      </w:r>
      <w:r>
        <w:rPr>
          <w:rFonts w:ascii="Arial" w:cs="Arial" w:eastAsia="Arial" w:hAnsi="Arial"/>
          <w:sz w:val="12"/>
          <w:szCs w:val="12"/>
          <w:b w:val="1"/>
          <w:bCs w:val="1"/>
          <w:i w:val="1"/>
          <w:i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5080</wp:posOffset>
            </wp:positionV>
            <wp:extent cx="814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ectPr>
          <w:pgSz w:w="11900" w:h="16838" w:orient="portrait"/>
          <w:cols w:equalWidth="0" w:num="1">
            <w:col w:w="11280"/>
          </w:cols>
          <w:pgMar w:left="240" w:top="341" w:right="379" w:bottom="0" w:gutter="0" w:footer="0" w:header="0"/>
          <w:type w:val="continuous"/>
        </w:sectPr>
      </w:pPr>
    </w:p>
    <w:bookmarkStart w:id="11" w:name="page12"/>
    <w:bookmarkEnd w:id="11"/>
    <w:tbl>
      <w:tblPr>
        <w:tblLayout w:type="fixed"/>
        <w:tblInd w:w="2120" w:type="dxa"/>
        <w:tblCellMar>
          <w:top w:w="0" w:type="dxa"/>
          <w:left w:w="0" w:type="dxa"/>
          <w:bottom w:w="0" w:type="dxa"/>
          <w:right w:w="0" w:type="dxa"/>
        </w:tblCellMar>
      </w:tblPr>
      <w:tr>
        <w:trPr>
          <w:trHeight w:val="224"/>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97"/>
        </w:trPr>
        <w:tc>
          <w:tcPr>
            <w:tcW w:w="5980" w:type="dxa"/>
            <w:vAlign w:val="bottom"/>
          </w:tcPr>
          <w:p>
            <w:pPr>
              <w:spacing w:after="0"/>
              <w:rPr>
                <w:sz w:val="20"/>
                <w:szCs w:val="20"/>
                <w:color w:val="auto"/>
              </w:rPr>
            </w:pPr>
            <w:r>
              <w:rPr>
                <w:rFonts w:ascii="Arial" w:cs="Arial" w:eastAsia="Arial" w:hAnsi="Arial"/>
                <w:sz w:val="18"/>
                <w:szCs w:val="18"/>
                <w:color w:val="auto"/>
              </w:rPr>
              <w:t>U.S.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05"/>
        </w:trPr>
        <w:tc>
          <w:tcPr>
            <w:tcW w:w="598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522</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647</w:t>
            </w:r>
          </w:p>
        </w:tc>
      </w:tr>
      <w:tr>
        <w:trPr>
          <w:trHeight w:val="223"/>
        </w:trPr>
        <w:tc>
          <w:tcPr>
            <w:tcW w:w="59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1,268</w:t>
            </w:r>
          </w:p>
        </w:tc>
      </w:tr>
      <w:tr>
        <w:trPr>
          <w:trHeight w:val="20"/>
        </w:trPr>
        <w:tc>
          <w:tcPr>
            <w:tcW w:w="59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2014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2014 Form 10-K. Material changes to such risk factors may be reported in subsequent Quarterly Reports on Form 10-Q in Part II, Item 1A. There have been no such changes from the risk factors set forth in our 2014 Form 10-K.</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However, because we are a recent market entrant in these markets, we have not yet developed meaningful market shares in these non-ATE markets. Consequently, we are continuing to evaluate customer buying patterns and market trends in these non-ATE markets. In addition, our orders and net revenues in any given period in these markets do not necessarily reflect the overall trends in these non-ATE markets due to our limited market shares. The level of our orders and net revenues from these non-ATE markets has varied in the past, and we expect will vary significantly in the future, as we work to build our presence in these markets and establish new markets for our products.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w:t>
      </w:r>
    </w:p>
    <w:p>
      <w:pPr>
        <w:sectPr>
          <w:pgSz w:w="11900" w:h="16838" w:orient="portrait"/>
          <w:cols w:equalWidth="0" w:num="1">
            <w:col w:w="11400"/>
          </w:cols>
          <w:pgMar w:left="240" w:top="75" w:right="259" w:bottom="0" w:gutter="0" w:footer="0" w:header="0"/>
        </w:sectPr>
      </w:pPr>
    </w:p>
    <w:bookmarkStart w:id="12" w:name="page13"/>
    <w:bookmarkEnd w:id="12"/>
    <w:p>
      <w:pPr>
        <w:ind w:left="540"/>
        <w:spacing w:after="0" w:line="287" w:lineRule="auto"/>
        <w:rPr>
          <w:sz w:val="20"/>
          <w:szCs w:val="20"/>
          <w:color w:val="auto"/>
        </w:rPr>
      </w:pPr>
      <w:r>
        <w:rPr>
          <w:rFonts w:ascii="Arial" w:cs="Arial" w:eastAsia="Arial" w:hAnsi="Arial"/>
          <w:sz w:val="16"/>
          <w:szCs w:val="16"/>
          <w:color w:val="auto"/>
        </w:rPr>
        <w:t>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5"/>
          </w:tcPr>
          <w:p>
            <w:pPr>
              <w:jc w:val="center"/>
              <w:ind w:right="480"/>
              <w:spacing w:after="0"/>
              <w:rPr>
                <w:sz w:val="20"/>
                <w:szCs w:val="20"/>
                <w:color w:val="auto"/>
              </w:rPr>
            </w:pPr>
            <w:r>
              <w:rPr>
                <w:rFonts w:ascii="Arial" w:cs="Arial" w:eastAsia="Arial" w:hAnsi="Arial"/>
                <w:sz w:val="14"/>
                <w:szCs w:val="14"/>
                <w:b w:val="1"/>
                <w:bCs w:val="1"/>
                <w:i w:val="1"/>
                <w:iCs w:val="1"/>
                <w:color w:val="auto"/>
                <w:w w:val="83"/>
              </w:rPr>
              <w:t>Three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83"/>
              </w:rPr>
              <w:t>Three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23"/>
        </w:trPr>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3"/>
          </w:tcPr>
          <w:p>
            <w:pPr>
              <w:jc w:val="right"/>
              <w:ind w:right="92"/>
              <w:spacing w:after="0"/>
              <w:rPr>
                <w:sz w:val="20"/>
                <w:szCs w:val="20"/>
                <w:color w:val="auto"/>
              </w:rPr>
            </w:pPr>
            <w:r>
              <w:rPr>
                <w:rFonts w:ascii="Arial" w:cs="Arial" w:eastAsia="Arial" w:hAnsi="Arial"/>
                <w:sz w:val="14"/>
                <w:szCs w:val="14"/>
                <w:b w:val="1"/>
                <w:bCs w:val="1"/>
                <w:i w:val="1"/>
                <w:iCs w:val="1"/>
                <w:color w:val="auto"/>
                <w:w w:val="83"/>
              </w:rPr>
              <w:t>2015</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2014</w:t>
            </w:r>
          </w:p>
        </w:tc>
        <w:tc>
          <w:tcPr>
            <w:tcW w:w="180" w:type="dxa"/>
            <w:vAlign w:val="bottom"/>
          </w:tcPr>
          <w:p>
            <w:pPr>
              <w:spacing w:after="0"/>
              <w:rPr>
                <w:sz w:val="19"/>
                <w:szCs w:val="19"/>
                <w:color w:val="auto"/>
              </w:rPr>
            </w:pPr>
          </w:p>
        </w:tc>
        <w:tc>
          <w:tcPr>
            <w:tcW w:w="600" w:type="dxa"/>
            <w:vAlign w:val="bottom"/>
            <w:gridSpan w:val="2"/>
          </w:tcPr>
          <w:p>
            <w:pPr>
              <w:jc w:val="right"/>
              <w:ind w:right="119"/>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20" w:type="dxa"/>
            <w:vAlign w:val="bottom"/>
          </w:tcPr>
          <w:p>
            <w:pPr>
              <w:spacing w:after="0"/>
              <w:rPr>
                <w:sz w:val="19"/>
                <w:szCs w:val="19"/>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780" w:type="dxa"/>
            <w:vAlign w:val="bottom"/>
            <w:gridSpan w:val="4"/>
          </w:tcPr>
          <w:p>
            <w:pPr>
              <w:jc w:val="center"/>
              <w:ind w:left="57"/>
              <w:spacing w:after="0"/>
              <w:rPr>
                <w:sz w:val="20"/>
                <w:szCs w:val="20"/>
                <w:color w:val="auto"/>
              </w:rPr>
            </w:pPr>
            <w:r>
              <w:rPr>
                <w:rFonts w:ascii="Arial" w:cs="Arial" w:eastAsia="Arial" w:hAnsi="Arial"/>
                <w:sz w:val="14"/>
                <w:szCs w:val="14"/>
                <w:b w:val="1"/>
                <w:bCs w:val="1"/>
                <w:i w:val="1"/>
                <w:iCs w:val="1"/>
                <w:color w:val="auto"/>
                <w:w w:val="89"/>
              </w:rPr>
              <w:t>2014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ind w:right="157"/>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8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23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Thermal Products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6,433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5,644</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  789</w:t>
            </w:r>
          </w:p>
        </w:tc>
        <w:tc>
          <w:tcPr>
            <w:tcW w:w="40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14%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  811</w:t>
            </w:r>
          </w:p>
        </w:tc>
        <w:tc>
          <w:tcPr>
            <w:tcW w:w="340" w:type="dxa"/>
            <w:vAlign w:val="bottom"/>
            <w:gridSpan w:val="4"/>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Mechanical Products</w:t>
            </w:r>
          </w:p>
        </w:tc>
        <w:tc>
          <w:tcPr>
            <w:tcW w:w="10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2,534</w:t>
            </w:r>
          </w:p>
        </w:tc>
        <w:tc>
          <w:tcPr>
            <w:tcW w:w="2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2,964</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(430)</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(15)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21"/>
                <w:szCs w:val="21"/>
                <w:color w:val="auto"/>
              </w:rPr>
            </w:pPr>
          </w:p>
        </w:tc>
        <w:tc>
          <w:tcPr>
            <w:tcW w:w="340" w:type="dxa"/>
            <w:vAlign w:val="bottom"/>
            <w:gridSpan w:val="4"/>
          </w:tcPr>
          <w:p>
            <w:pPr>
              <w:jc w:val="center"/>
              <w:ind w:right="20"/>
              <w:spacing w:after="0"/>
              <w:rPr>
                <w:sz w:val="20"/>
                <w:szCs w:val="20"/>
                <w:color w:val="auto"/>
              </w:rPr>
            </w:pPr>
            <w:r>
              <w:rPr>
                <w:rFonts w:ascii="Arial" w:cs="Arial" w:eastAsia="Arial" w:hAnsi="Arial"/>
                <w:sz w:val="18"/>
                <w:szCs w:val="18"/>
                <w:color w:val="auto"/>
                <w:w w:val="79"/>
              </w:rPr>
              <w:t>32</w:t>
            </w:r>
          </w:p>
        </w:tc>
      </w:tr>
      <w:tr>
        <w:trPr>
          <w:trHeight w:val="205"/>
        </w:trPr>
        <w:tc>
          <w:tcPr>
            <w:tcW w:w="23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020" w:type="dxa"/>
            <w:vAlign w:val="bottom"/>
          </w:tcPr>
          <w:p>
            <w:pPr>
              <w:spacing w:after="0"/>
              <w:rPr>
                <w:sz w:val="17"/>
                <w:szCs w:val="17"/>
                <w:color w:val="auto"/>
              </w:rPr>
            </w:pP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3"/>
              </w:rPr>
              <w:t>2,464</w:t>
            </w:r>
          </w:p>
        </w:tc>
        <w:tc>
          <w:tcPr>
            <w:tcW w:w="200" w:type="dxa"/>
            <w:vAlign w:val="bottom"/>
          </w:tcPr>
          <w:p>
            <w:pPr>
              <w:spacing w:after="0"/>
              <w:rPr>
                <w:sz w:val="17"/>
                <w:szCs w:val="17"/>
                <w:color w:val="auto"/>
              </w:rPr>
            </w:pP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3"/>
              </w:rPr>
              <w:t>1,553</w:t>
            </w:r>
          </w:p>
        </w:tc>
        <w:tc>
          <w:tcPr>
            <w:tcW w:w="240" w:type="dxa"/>
            <w:vAlign w:val="bottom"/>
          </w:tcPr>
          <w:p>
            <w:pPr>
              <w:spacing w:after="0"/>
              <w:rPr>
                <w:sz w:val="17"/>
                <w:szCs w:val="17"/>
                <w:color w:val="auto"/>
              </w:rPr>
            </w:pPr>
          </w:p>
        </w:tc>
        <w:tc>
          <w:tcPr>
            <w:tcW w:w="5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911</w:t>
            </w:r>
          </w:p>
        </w:tc>
        <w:tc>
          <w:tcPr>
            <w:tcW w:w="400" w:type="dxa"/>
            <w:vAlign w:val="bottom"/>
            <w:gridSpan w:val="4"/>
          </w:tcPr>
          <w:p>
            <w:pPr>
              <w:jc w:val="center"/>
              <w:ind w:right="80"/>
              <w:spacing w:after="0" w:line="205" w:lineRule="exact"/>
              <w:rPr>
                <w:sz w:val="20"/>
                <w:szCs w:val="20"/>
                <w:color w:val="auto"/>
              </w:rPr>
            </w:pPr>
            <w:r>
              <w:rPr>
                <w:rFonts w:ascii="Arial" w:cs="Arial" w:eastAsia="Arial" w:hAnsi="Arial"/>
                <w:sz w:val="18"/>
                <w:szCs w:val="18"/>
                <w:color w:val="auto"/>
                <w:w w:val="79"/>
              </w:rPr>
              <w:t>59</w:t>
            </w:r>
          </w:p>
        </w:tc>
        <w:tc>
          <w:tcPr>
            <w:tcW w:w="7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1,457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jc w:val="right"/>
              <w:spacing w:after="0" w:line="205" w:lineRule="exact"/>
              <w:rPr>
                <w:sz w:val="20"/>
                <w:szCs w:val="20"/>
                <w:color w:val="auto"/>
              </w:rPr>
            </w:pPr>
            <w:r>
              <w:rPr>
                <w:rFonts w:ascii="Arial" w:cs="Arial" w:eastAsia="Arial" w:hAnsi="Arial"/>
                <w:sz w:val="18"/>
                <w:szCs w:val="18"/>
                <w:color w:val="auto"/>
                <w:w w:val="88"/>
              </w:rPr>
              <w:t>1,007</w:t>
            </w:r>
          </w:p>
        </w:tc>
        <w:tc>
          <w:tcPr>
            <w:tcW w:w="180" w:type="dxa"/>
            <w:vAlign w:val="bottom"/>
          </w:tcPr>
          <w:p>
            <w:pPr>
              <w:spacing w:after="0"/>
              <w:rPr>
                <w:sz w:val="17"/>
                <w:szCs w:val="17"/>
                <w:color w:val="auto"/>
              </w:rPr>
            </w:pPr>
          </w:p>
        </w:tc>
        <w:tc>
          <w:tcPr>
            <w:tcW w:w="340" w:type="dxa"/>
            <w:vAlign w:val="bottom"/>
            <w:gridSpan w:val="4"/>
          </w:tcPr>
          <w:p>
            <w:pPr>
              <w:jc w:val="center"/>
              <w:ind w:right="20"/>
              <w:spacing w:after="0" w:line="205" w:lineRule="exact"/>
              <w:rPr>
                <w:sz w:val="20"/>
                <w:szCs w:val="20"/>
                <w:color w:val="auto"/>
              </w:rPr>
            </w:pPr>
            <w:r>
              <w:rPr>
                <w:rFonts w:ascii="Arial" w:cs="Arial" w:eastAsia="Arial" w:hAnsi="Arial"/>
                <w:sz w:val="18"/>
                <w:szCs w:val="18"/>
                <w:color w:val="auto"/>
                <w:w w:val="79"/>
              </w:rPr>
              <w:t>69</w:t>
            </w:r>
          </w:p>
        </w:tc>
      </w:tr>
      <w:tr>
        <w:trPr>
          <w:trHeight w:val="20"/>
        </w:trPr>
        <w:tc>
          <w:tcPr>
            <w:tcW w:w="23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23"/>
        </w:trPr>
        <w:tc>
          <w:tcPr>
            <w:tcW w:w="2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76"/>
              </w:rPr>
              <w:t>11,431</w:t>
            </w: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76"/>
              </w:rPr>
              <w:t>10,161</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1,270</w:t>
            </w:r>
          </w:p>
        </w:tc>
        <w:tc>
          <w:tcPr>
            <w:tcW w:w="40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12%</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2,438</w:t>
            </w:r>
          </w:p>
        </w:tc>
        <w:tc>
          <w:tcPr>
            <w:tcW w:w="180" w:type="dxa"/>
            <w:vAlign w:val="bottom"/>
          </w:tcPr>
          <w:p>
            <w:pPr>
              <w:spacing w:after="0"/>
              <w:rPr>
                <w:sz w:val="19"/>
                <w:szCs w:val="19"/>
                <w:color w:val="auto"/>
              </w:rPr>
            </w:pPr>
          </w:p>
        </w:tc>
        <w:tc>
          <w:tcPr>
            <w:tcW w:w="340" w:type="dxa"/>
            <w:vAlign w:val="bottom"/>
            <w:gridSpan w:val="4"/>
          </w:tcPr>
          <w:p>
            <w:pPr>
              <w:jc w:val="center"/>
              <w:spacing w:after="0"/>
              <w:rPr>
                <w:sz w:val="20"/>
                <w:szCs w:val="20"/>
                <w:color w:val="auto"/>
              </w:rPr>
            </w:pPr>
            <w:r>
              <w:rPr>
                <w:rFonts w:ascii="Arial" w:cs="Arial" w:eastAsia="Arial" w:hAnsi="Arial"/>
                <w:sz w:val="18"/>
                <w:szCs w:val="18"/>
                <w:color w:val="auto"/>
                <w:w w:val="88"/>
              </w:rPr>
              <w:t>27%</w:t>
            </w:r>
          </w:p>
        </w:tc>
      </w:tr>
      <w:tr>
        <w:trPr>
          <w:trHeight w:val="20"/>
        </w:trPr>
        <w:tc>
          <w:tcPr>
            <w:tcW w:w="23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505"/>
        </w:trPr>
        <w:tc>
          <w:tcPr>
            <w:tcW w:w="2340" w:type="dxa"/>
            <w:vAlign w:val="bottom"/>
          </w:tcPr>
          <w:p>
            <w:pPr>
              <w:spacing w:after="0"/>
              <w:rPr>
                <w:sz w:val="20"/>
                <w:szCs w:val="20"/>
                <w:color w:val="auto"/>
              </w:rPr>
            </w:pPr>
            <w:r>
              <w:rPr>
                <w:rFonts w:ascii="Arial" w:cs="Arial" w:eastAsia="Arial" w:hAnsi="Arial"/>
                <w:sz w:val="18"/>
                <w:szCs w:val="18"/>
                <w:color w:val="auto"/>
              </w:rPr>
              <w:t>ATE market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9,297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8,219</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$1,078</w:t>
            </w:r>
          </w:p>
        </w:tc>
        <w:tc>
          <w:tcPr>
            <w:tcW w:w="40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$6,313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2"/>
              </w:rPr>
              <w:t>$2,984</w:t>
            </w:r>
          </w:p>
        </w:tc>
        <w:tc>
          <w:tcPr>
            <w:tcW w:w="180" w:type="dxa"/>
            <w:vAlign w:val="bottom"/>
          </w:tcPr>
          <w:p>
            <w:pPr>
              <w:spacing w:after="0"/>
              <w:rPr>
                <w:sz w:val="24"/>
                <w:szCs w:val="24"/>
                <w:color w:val="auto"/>
              </w:rPr>
            </w:pPr>
          </w:p>
        </w:tc>
        <w:tc>
          <w:tcPr>
            <w:tcW w:w="340" w:type="dxa"/>
            <w:vAlign w:val="bottom"/>
            <w:gridSpan w:val="4"/>
          </w:tcPr>
          <w:p>
            <w:pPr>
              <w:jc w:val="center"/>
              <w:spacing w:after="0"/>
              <w:rPr>
                <w:sz w:val="20"/>
                <w:szCs w:val="20"/>
                <w:color w:val="auto"/>
              </w:rPr>
            </w:pPr>
            <w:r>
              <w:rPr>
                <w:rFonts w:ascii="Arial" w:cs="Arial" w:eastAsia="Arial" w:hAnsi="Arial"/>
                <w:sz w:val="18"/>
                <w:szCs w:val="18"/>
                <w:color w:val="auto"/>
                <w:w w:val="88"/>
              </w:rPr>
              <w:t>47%</w:t>
            </w:r>
          </w:p>
        </w:tc>
      </w:tr>
      <w:tr>
        <w:trPr>
          <w:trHeight w:val="205"/>
        </w:trPr>
        <w:tc>
          <w:tcPr>
            <w:tcW w:w="2340" w:type="dxa"/>
            <w:vAlign w:val="bottom"/>
          </w:tcPr>
          <w:p>
            <w:pPr>
              <w:spacing w:after="0" w:line="205" w:lineRule="exact"/>
              <w:rPr>
                <w:sz w:val="20"/>
                <w:szCs w:val="20"/>
                <w:color w:val="auto"/>
              </w:rPr>
            </w:pPr>
            <w:r>
              <w:rPr>
                <w:rFonts w:ascii="Arial" w:cs="Arial" w:eastAsia="Arial" w:hAnsi="Arial"/>
                <w:sz w:val="18"/>
                <w:szCs w:val="18"/>
                <w:color w:val="auto"/>
              </w:rPr>
              <w:t>Non-ATE markets</w:t>
            </w:r>
          </w:p>
        </w:tc>
        <w:tc>
          <w:tcPr>
            <w:tcW w:w="1020" w:type="dxa"/>
            <w:vAlign w:val="bottom"/>
          </w:tcPr>
          <w:p>
            <w:pPr>
              <w:spacing w:after="0"/>
              <w:rPr>
                <w:sz w:val="17"/>
                <w:szCs w:val="17"/>
                <w:color w:val="auto"/>
              </w:rPr>
            </w:pP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3"/>
              </w:rPr>
              <w:t>2,134</w:t>
            </w:r>
          </w:p>
        </w:tc>
        <w:tc>
          <w:tcPr>
            <w:tcW w:w="200" w:type="dxa"/>
            <w:vAlign w:val="bottom"/>
          </w:tcPr>
          <w:p>
            <w:pPr>
              <w:spacing w:after="0"/>
              <w:rPr>
                <w:sz w:val="17"/>
                <w:szCs w:val="17"/>
                <w:color w:val="auto"/>
              </w:rPr>
            </w:pP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3"/>
              </w:rPr>
              <w:t>1,942</w:t>
            </w:r>
          </w:p>
        </w:tc>
        <w:tc>
          <w:tcPr>
            <w:tcW w:w="240" w:type="dxa"/>
            <w:vAlign w:val="bottom"/>
          </w:tcPr>
          <w:p>
            <w:pPr>
              <w:spacing w:after="0"/>
              <w:rPr>
                <w:sz w:val="17"/>
                <w:szCs w:val="17"/>
                <w:color w:val="auto"/>
              </w:rPr>
            </w:pPr>
          </w:p>
        </w:tc>
        <w:tc>
          <w:tcPr>
            <w:tcW w:w="5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192</w:t>
            </w:r>
          </w:p>
        </w:tc>
        <w:tc>
          <w:tcPr>
            <w:tcW w:w="400" w:type="dxa"/>
            <w:vAlign w:val="bottom"/>
            <w:gridSpan w:val="4"/>
          </w:tcPr>
          <w:p>
            <w:pPr>
              <w:jc w:val="center"/>
              <w:ind w:right="80"/>
              <w:spacing w:after="0" w:line="205" w:lineRule="exact"/>
              <w:rPr>
                <w:sz w:val="20"/>
                <w:szCs w:val="20"/>
                <w:color w:val="auto"/>
              </w:rPr>
            </w:pPr>
            <w:r>
              <w:rPr>
                <w:rFonts w:ascii="Arial" w:cs="Arial" w:eastAsia="Arial" w:hAnsi="Arial"/>
                <w:sz w:val="18"/>
                <w:szCs w:val="18"/>
                <w:color w:val="auto"/>
                <w:w w:val="79"/>
              </w:rPr>
              <w:t>10</w:t>
            </w:r>
          </w:p>
        </w:tc>
        <w:tc>
          <w:tcPr>
            <w:tcW w:w="7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2,680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(546)</w:t>
            </w:r>
          </w:p>
        </w:tc>
        <w:tc>
          <w:tcPr>
            <w:tcW w:w="34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87"/>
              </w:rPr>
              <w:t>(20)</w:t>
            </w:r>
          </w:p>
        </w:tc>
      </w:tr>
      <w:tr>
        <w:trPr>
          <w:trHeight w:val="20"/>
        </w:trPr>
        <w:tc>
          <w:tcPr>
            <w:tcW w:w="23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23"/>
        </w:trPr>
        <w:tc>
          <w:tcPr>
            <w:tcW w:w="2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76"/>
              </w:rPr>
              <w:t>11,431</w:t>
            </w: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76"/>
              </w:rPr>
              <w:t>10,161</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1,270</w:t>
            </w:r>
          </w:p>
        </w:tc>
        <w:tc>
          <w:tcPr>
            <w:tcW w:w="40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12%</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2,438</w:t>
            </w:r>
          </w:p>
        </w:tc>
        <w:tc>
          <w:tcPr>
            <w:tcW w:w="180" w:type="dxa"/>
            <w:vAlign w:val="bottom"/>
          </w:tcPr>
          <w:p>
            <w:pPr>
              <w:spacing w:after="0"/>
              <w:rPr>
                <w:sz w:val="19"/>
                <w:szCs w:val="19"/>
                <w:color w:val="auto"/>
              </w:rPr>
            </w:pPr>
          </w:p>
        </w:tc>
        <w:tc>
          <w:tcPr>
            <w:tcW w:w="340" w:type="dxa"/>
            <w:vAlign w:val="bottom"/>
            <w:gridSpan w:val="4"/>
          </w:tcPr>
          <w:p>
            <w:pPr>
              <w:jc w:val="center"/>
              <w:spacing w:after="0"/>
              <w:rPr>
                <w:sz w:val="20"/>
                <w:szCs w:val="20"/>
                <w:color w:val="auto"/>
              </w:rPr>
            </w:pPr>
            <w:r>
              <w:rPr>
                <w:rFonts w:ascii="Arial" w:cs="Arial" w:eastAsia="Arial" w:hAnsi="Arial"/>
                <w:sz w:val="18"/>
                <w:szCs w:val="18"/>
                <w:color w:val="auto"/>
                <w:w w:val="88"/>
              </w:rPr>
              <w:t>27%</w:t>
            </w:r>
          </w:p>
        </w:tc>
      </w:tr>
      <w:tr>
        <w:trPr>
          <w:trHeight w:val="20"/>
        </w:trPr>
        <w:tc>
          <w:tcPr>
            <w:tcW w:w="234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Total consolidated orders for the quarter ended March 31, 2015 were $11.4 million compared to $10.2 million for the same period in 2014 and $9.0 million for the quarter ended December 31, 2014. The increase in consolidated orders primarily reflects improved demand in the ATE market, particularly for our Thermal and Electrical Products segments.</w:t>
      </w:r>
    </w:p>
    <w:p>
      <w:pPr>
        <w:spacing w:after="0" w:line="194"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Orders from customers in various markets outside of the ATE market for the quarter ended March 31, 2015 grew by 10% as compared to the same period in 2014, reflecting increased demand from certain customers in the automotive, defense/aerospace and industrial markets. These increases were partially offset by a reduction in orders from certain customers in the telecommunications market. As a percent of our total consolidated orders, non-ATE markets orders were relatively unchanged at 19% in the first quarter of both 2015 and 2014. Orders from customers in various markets outside of the ATE market for the quarter ended March 31, 2015 declined 20% as compared to the quarter ended December 31, 2014, primarily reflecting reduced demand from certain customers in the telecommunications market.</w:t>
      </w:r>
    </w:p>
    <w:p>
      <w:pPr>
        <w:spacing w:after="0" w:line="174"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March 31, 2015, our backlog of unfilled orders for all products was approximately $5.0 million compared with approximately $4.5 million at March 31, 2014 and $3.8 million at December 31, 2014. Our backlog includes customer orders which we have accepted, substantially all of which we expect to deliver in 2015.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ectPr>
          <w:pgSz w:w="11900" w:h="16838" w:orient="portrait"/>
          <w:cols w:equalWidth="0" w:num="1">
            <w:col w:w="11380"/>
          </w:cols>
          <w:pgMar w:left="240" w:top="131" w:right="279" w:bottom="0" w:gutter="0" w:footer="0" w:header="0"/>
        </w:sectPr>
      </w:pP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Net Revenues</w:t>
      </w:r>
    </w:p>
    <w:p>
      <w:pPr>
        <w:sectPr>
          <w:pgSz w:w="11900" w:h="16838" w:orient="portrait"/>
          <w:cols w:equalWidth="0" w:num="1">
            <w:col w:w="11380"/>
          </w:cols>
          <w:pgMar w:left="240" w:top="131" w:right="279" w:bottom="0" w:gutter="0" w:footer="0" w:header="0"/>
          <w:type w:val="continuous"/>
        </w:sectPr>
      </w:pPr>
    </w:p>
    <w:bookmarkStart w:id="13" w:name="page14"/>
    <w:bookmarkEnd w:id="13"/>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6"/>
          </w:tcPr>
          <w:p>
            <w:pPr>
              <w:jc w:val="center"/>
              <w:ind w:right="220"/>
              <w:spacing w:after="0"/>
              <w:rPr>
                <w:sz w:val="20"/>
                <w:szCs w:val="20"/>
                <w:color w:val="auto"/>
              </w:rPr>
            </w:pPr>
            <w:r>
              <w:rPr>
                <w:rFonts w:ascii="Arial" w:cs="Arial" w:eastAsia="Arial" w:hAnsi="Arial"/>
                <w:sz w:val="14"/>
                <w:szCs w:val="14"/>
                <w:b w:val="1"/>
                <w:bCs w:val="1"/>
                <w:i w:val="1"/>
                <w:iCs w:val="1"/>
                <w:color w:val="auto"/>
                <w:w w:val="83"/>
              </w:rPr>
              <w:t>Three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6"/>
          </w:tcPr>
          <w:p>
            <w:pPr>
              <w:jc w:val="center"/>
              <w:ind w:right="140"/>
              <w:spacing w:after="0"/>
              <w:rPr>
                <w:sz w:val="20"/>
                <w:szCs w:val="20"/>
                <w:color w:val="auto"/>
              </w:rPr>
            </w:pPr>
            <w:r>
              <w:rPr>
                <w:rFonts w:ascii="Arial" w:cs="Arial" w:eastAsia="Arial" w:hAnsi="Arial"/>
                <w:sz w:val="14"/>
                <w:szCs w:val="14"/>
                <w:b w:val="1"/>
                <w:bCs w:val="1"/>
                <w:i w:val="1"/>
                <w:iCs w:val="1"/>
                <w:color w:val="auto"/>
                <w:w w:val="83"/>
              </w:rPr>
              <w:t>Three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40"/>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bottom w:val="single" w:sz="8" w:color="auto"/>
            </w:tcBorders>
            <w:gridSpan w:val="4"/>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160" w:type="dxa"/>
            <w:vAlign w:val="bottom"/>
          </w:tcPr>
          <w:p>
            <w:pPr>
              <w:spacing w:after="0"/>
              <w:rPr>
                <w:sz w:val="12"/>
                <w:szCs w:val="12"/>
                <w:color w:val="auto"/>
              </w:rPr>
            </w:pPr>
          </w:p>
        </w:tc>
      </w:tr>
      <w:tr>
        <w:trPr>
          <w:trHeight w:val="223"/>
        </w:trPr>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w w:val="96"/>
              </w:rPr>
              <w:t>2015</w:t>
            </w:r>
          </w:p>
        </w:tc>
        <w:tc>
          <w:tcPr>
            <w:tcW w:w="540" w:type="dxa"/>
            <w:vAlign w:val="bottom"/>
            <w:gridSpan w:val="4"/>
          </w:tcPr>
          <w:p>
            <w:pPr>
              <w:jc w:val="right"/>
              <w:ind w:right="120"/>
              <w:spacing w:after="0"/>
              <w:rPr>
                <w:sz w:val="20"/>
                <w:szCs w:val="20"/>
                <w:color w:val="auto"/>
              </w:rPr>
            </w:pPr>
            <w:r>
              <w:rPr>
                <w:rFonts w:ascii="Arial" w:cs="Arial" w:eastAsia="Arial" w:hAnsi="Arial"/>
                <w:sz w:val="14"/>
                <w:szCs w:val="14"/>
                <w:b w:val="1"/>
                <w:bCs w:val="1"/>
                <w:i w:val="1"/>
                <w:iCs w:val="1"/>
                <w:color w:val="auto"/>
              </w:rPr>
              <w:t>2014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40" w:type="dxa"/>
            <w:vAlign w:val="bottom"/>
          </w:tcPr>
          <w:p>
            <w:pPr>
              <w:spacing w:after="0"/>
              <w:rPr>
                <w:sz w:val="19"/>
                <w:szCs w:val="19"/>
                <w:color w:val="auto"/>
              </w:rPr>
            </w:pPr>
          </w:p>
        </w:tc>
        <w:tc>
          <w:tcPr>
            <w:tcW w:w="42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gridSpan w:val="4"/>
          </w:tcPr>
          <w:p>
            <w:pPr>
              <w:jc w:val="center"/>
              <w:ind w:left="278"/>
              <w:spacing w:after="0"/>
              <w:rPr>
                <w:sz w:val="20"/>
                <w:szCs w:val="20"/>
                <w:color w:val="auto"/>
              </w:rPr>
            </w:pPr>
            <w:r>
              <w:rPr>
                <w:rFonts w:ascii="Arial" w:cs="Arial" w:eastAsia="Arial" w:hAnsi="Arial"/>
                <w:sz w:val="14"/>
                <w:szCs w:val="14"/>
                <w:b w:val="1"/>
                <w:bCs w:val="1"/>
                <w:i w:val="1"/>
                <w:iCs w:val="1"/>
                <w:color w:val="auto"/>
                <w:w w:val="89"/>
              </w:rPr>
              <w:t>2014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5"/>
          </w:tcPr>
          <w:p>
            <w:pPr>
              <w:jc w:val="right"/>
              <w:ind w:right="9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20" w:type="dxa"/>
            <w:vAlign w:val="bottom"/>
          </w:tcPr>
          <w:p>
            <w:pPr>
              <w:spacing w:after="0"/>
              <w:rPr>
                <w:sz w:val="19"/>
                <w:szCs w:val="19"/>
                <w:color w:val="auto"/>
              </w:rPr>
            </w:pPr>
          </w:p>
        </w:tc>
        <w:tc>
          <w:tcPr>
            <w:tcW w:w="280" w:type="dxa"/>
            <w:vAlign w:val="bottom"/>
            <w:gridSpan w:val="2"/>
          </w:tcPr>
          <w:p>
            <w:pPr>
              <w:jc w:val="center"/>
              <w:ind w:left="95"/>
              <w:spacing w:after="0"/>
              <w:rPr>
                <w:sz w:val="20"/>
                <w:szCs w:val="20"/>
                <w:color w:val="auto"/>
              </w:rPr>
            </w:pPr>
            <w:r>
              <w:rPr>
                <w:rFonts w:ascii="Arial" w:cs="Arial" w:eastAsia="Arial" w:hAnsi="Arial"/>
                <w:sz w:val="14"/>
                <w:szCs w:val="14"/>
                <w:b w:val="1"/>
                <w:bCs w:val="1"/>
                <w:i w:val="1"/>
                <w:iCs w:val="1"/>
                <w:color w:val="auto"/>
                <w:w w:val="79"/>
              </w:rPr>
              <w:t>%</w:t>
            </w:r>
          </w:p>
        </w:tc>
        <w:tc>
          <w:tcPr>
            <w:tcW w:w="160" w:type="dxa"/>
            <w:vAlign w:val="bottom"/>
          </w:tcPr>
          <w:p>
            <w:pPr>
              <w:spacing w:after="0"/>
              <w:rPr>
                <w:sz w:val="19"/>
                <w:szCs w:val="19"/>
                <w:color w:val="auto"/>
              </w:rPr>
            </w:pPr>
          </w:p>
        </w:tc>
      </w:tr>
      <w:tr>
        <w:trPr>
          <w:trHeight w:val="235"/>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Thermal Products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5,717</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4"/>
              </w:rPr>
              <w:t>$5,243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1"/>
                <w:szCs w:val="21"/>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9%</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680" w:type="dxa"/>
            <w:vAlign w:val="bottom"/>
            <w:gridSpan w:val="6"/>
          </w:tcPr>
          <w:p>
            <w:pPr>
              <w:jc w:val="right"/>
              <w:ind w:right="60"/>
              <w:spacing w:after="0"/>
              <w:rPr>
                <w:sz w:val="20"/>
                <w:szCs w:val="20"/>
                <w:color w:val="auto"/>
              </w:rPr>
            </w:pPr>
            <w:r>
              <w:rPr>
                <w:rFonts w:ascii="Arial" w:cs="Arial" w:eastAsia="Arial" w:hAnsi="Arial"/>
                <w:sz w:val="18"/>
                <w:szCs w:val="18"/>
                <w:color w:val="auto"/>
              </w:rPr>
              <w:t>$(462)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Mechanical Products</w:t>
            </w:r>
          </w:p>
        </w:tc>
        <w:tc>
          <w:tcPr>
            <w:tcW w:w="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2,435</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2,047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1"/>
                <w:szCs w:val="21"/>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89"/>
              </w:rPr>
              <w:t>23</w:t>
            </w:r>
          </w:p>
        </w:tc>
      </w:tr>
      <w:tr>
        <w:trPr>
          <w:trHeight w:val="205"/>
        </w:trPr>
        <w:tc>
          <w:tcPr>
            <w:tcW w:w="32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2,036</w:t>
            </w:r>
          </w:p>
        </w:tc>
        <w:tc>
          <w:tcPr>
            <w:tcW w:w="140" w:type="dxa"/>
            <w:vAlign w:val="bottom"/>
          </w:tcPr>
          <w:p>
            <w:pPr>
              <w:spacing w:after="0"/>
              <w:rPr>
                <w:sz w:val="17"/>
                <w:szCs w:val="17"/>
                <w:color w:val="auto"/>
              </w:rPr>
            </w:pPr>
          </w:p>
        </w:tc>
        <w:tc>
          <w:tcPr>
            <w:tcW w:w="4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4"/>
              </w:rPr>
              <w:t>1,507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529</w:t>
            </w:r>
          </w:p>
        </w:tc>
        <w:tc>
          <w:tcPr>
            <w:tcW w:w="140" w:type="dxa"/>
            <w:vAlign w:val="bottom"/>
          </w:tcPr>
          <w:p>
            <w:pPr>
              <w:spacing w:after="0"/>
              <w:rPr>
                <w:sz w:val="17"/>
                <w:szCs w:val="17"/>
                <w:color w:val="auto"/>
              </w:rPr>
            </w:pPr>
          </w:p>
        </w:tc>
        <w:tc>
          <w:tcPr>
            <w:tcW w:w="2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9"/>
              </w:rPr>
              <w:t>35</w:t>
            </w:r>
          </w:p>
        </w:tc>
        <w:tc>
          <w:tcPr>
            <w:tcW w:w="22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46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w w:val="93"/>
              </w:rPr>
              <w:t>1,699</w:t>
            </w:r>
          </w:p>
        </w:tc>
        <w:tc>
          <w:tcPr>
            <w:tcW w:w="100" w:type="dxa"/>
            <w:vAlign w:val="bottom"/>
          </w:tcPr>
          <w:p>
            <w:pPr>
              <w:spacing w:after="0"/>
              <w:rPr>
                <w:sz w:val="17"/>
                <w:szCs w:val="17"/>
                <w:color w:val="auto"/>
              </w:rPr>
            </w:pPr>
          </w:p>
        </w:tc>
        <w:tc>
          <w:tcPr>
            <w:tcW w:w="56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7"/>
                <w:szCs w:val="17"/>
                <w:color w:val="auto"/>
              </w:rPr>
            </w:pPr>
          </w:p>
        </w:tc>
        <w:tc>
          <w:tcPr>
            <w:tcW w:w="440" w:type="dxa"/>
            <w:vAlign w:val="bottom"/>
            <w:gridSpan w:val="3"/>
          </w:tcPr>
          <w:p>
            <w:pPr>
              <w:jc w:val="center"/>
              <w:spacing w:after="0" w:line="205" w:lineRule="exact"/>
              <w:rPr>
                <w:sz w:val="20"/>
                <w:szCs w:val="20"/>
                <w:color w:val="auto"/>
              </w:rPr>
            </w:pPr>
            <w:r>
              <w:rPr>
                <w:rFonts w:ascii="Arial" w:cs="Arial" w:eastAsia="Arial" w:hAnsi="Arial"/>
                <w:sz w:val="18"/>
                <w:szCs w:val="18"/>
                <w:color w:val="auto"/>
                <w:w w:val="89"/>
              </w:rPr>
              <w:t>20</w:t>
            </w:r>
          </w:p>
        </w:tc>
      </w:tr>
      <w:tr>
        <w:trPr>
          <w:trHeight w:val="20"/>
        </w:trPr>
        <w:tc>
          <w:tcPr>
            <w:tcW w:w="3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23"/>
        </w:trPr>
        <w:tc>
          <w:tcPr>
            <w:tcW w:w="3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10,188</w:t>
            </w:r>
          </w:p>
        </w:tc>
        <w:tc>
          <w:tcPr>
            <w:tcW w:w="1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8,797</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1,391</w:t>
            </w:r>
          </w:p>
        </w:tc>
        <w:tc>
          <w:tcPr>
            <w:tcW w:w="140" w:type="dxa"/>
            <w:vAlign w:val="bottom"/>
          </w:tcPr>
          <w:p>
            <w:pPr>
              <w:spacing w:after="0"/>
              <w:rPr>
                <w:sz w:val="19"/>
                <w:szCs w:val="19"/>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w w:val="83"/>
              </w:rPr>
              <w:t>16%</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$ 326</w:t>
            </w: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2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505"/>
        </w:trPr>
        <w:tc>
          <w:tcPr>
            <w:tcW w:w="3240" w:type="dxa"/>
            <w:vAlign w:val="bottom"/>
          </w:tcPr>
          <w:p>
            <w:pPr>
              <w:spacing w:after="0"/>
              <w:rPr>
                <w:sz w:val="20"/>
                <w:szCs w:val="20"/>
                <w:color w:val="auto"/>
              </w:rPr>
            </w:pPr>
            <w:r>
              <w:rPr>
                <w:rFonts w:ascii="Arial" w:cs="Arial" w:eastAsia="Arial" w:hAnsi="Arial"/>
                <w:sz w:val="18"/>
                <w:szCs w:val="18"/>
                <w:color w:val="auto"/>
              </w:rPr>
              <w:t>ATE market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8,347</w:t>
            </w:r>
          </w:p>
        </w:tc>
        <w:tc>
          <w:tcPr>
            <w:tcW w:w="1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77"/>
              </w:rPr>
              <w:t>$7,607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24"/>
                <w:szCs w:val="2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w w:val="83"/>
              </w:rPr>
              <w:t>10%</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05"/>
        </w:trPr>
        <w:tc>
          <w:tcPr>
            <w:tcW w:w="3240" w:type="dxa"/>
            <w:vAlign w:val="bottom"/>
          </w:tcPr>
          <w:p>
            <w:pPr>
              <w:spacing w:after="0" w:line="205" w:lineRule="exact"/>
              <w:rPr>
                <w:sz w:val="20"/>
                <w:szCs w:val="20"/>
                <w:color w:val="auto"/>
              </w:rPr>
            </w:pPr>
            <w:r>
              <w:rPr>
                <w:rFonts w:ascii="Arial" w:cs="Arial" w:eastAsia="Arial" w:hAnsi="Arial"/>
                <w:sz w:val="18"/>
                <w:szCs w:val="18"/>
                <w:color w:val="auto"/>
              </w:rPr>
              <w:t>Non-ATE markets</w:t>
            </w:r>
          </w:p>
        </w:tc>
        <w:tc>
          <w:tcPr>
            <w:tcW w:w="6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1,841</w:t>
            </w:r>
          </w:p>
        </w:tc>
        <w:tc>
          <w:tcPr>
            <w:tcW w:w="140" w:type="dxa"/>
            <w:vAlign w:val="bottom"/>
          </w:tcPr>
          <w:p>
            <w:pPr>
              <w:spacing w:after="0"/>
              <w:rPr>
                <w:sz w:val="17"/>
                <w:szCs w:val="17"/>
                <w:color w:val="auto"/>
              </w:rPr>
            </w:pPr>
          </w:p>
        </w:tc>
        <w:tc>
          <w:tcPr>
            <w:tcW w:w="4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4"/>
              </w:rPr>
              <w:t>1,190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651</w:t>
            </w:r>
          </w:p>
        </w:tc>
        <w:tc>
          <w:tcPr>
            <w:tcW w:w="140" w:type="dxa"/>
            <w:vAlign w:val="bottom"/>
          </w:tcPr>
          <w:p>
            <w:pPr>
              <w:spacing w:after="0"/>
              <w:rPr>
                <w:sz w:val="17"/>
                <w:szCs w:val="17"/>
                <w:color w:val="auto"/>
              </w:rPr>
            </w:pPr>
          </w:p>
        </w:tc>
        <w:tc>
          <w:tcPr>
            <w:tcW w:w="2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46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w w:val="93"/>
              </w:rPr>
              <w:t>3,381</w:t>
            </w:r>
          </w:p>
        </w:tc>
        <w:tc>
          <w:tcPr>
            <w:tcW w:w="100" w:type="dxa"/>
            <w:vAlign w:val="bottom"/>
          </w:tcPr>
          <w:p>
            <w:pPr>
              <w:spacing w:after="0"/>
              <w:rPr>
                <w:sz w:val="17"/>
                <w:szCs w:val="17"/>
                <w:color w:val="auto"/>
              </w:rPr>
            </w:pPr>
          </w:p>
        </w:tc>
        <w:tc>
          <w:tcPr>
            <w:tcW w:w="680" w:type="dxa"/>
            <w:vAlign w:val="bottom"/>
            <w:gridSpan w:val="6"/>
          </w:tcPr>
          <w:p>
            <w:pPr>
              <w:jc w:val="right"/>
              <w:ind w:right="60"/>
              <w:spacing w:after="0" w:line="205" w:lineRule="exact"/>
              <w:rPr>
                <w:sz w:val="20"/>
                <w:szCs w:val="20"/>
                <w:color w:val="auto"/>
              </w:rPr>
            </w:pPr>
            <w:r>
              <w:rPr>
                <w:rFonts w:ascii="Arial" w:cs="Arial" w:eastAsia="Arial" w:hAnsi="Arial"/>
                <w:sz w:val="18"/>
                <w:szCs w:val="18"/>
                <w:color w:val="auto"/>
              </w:rPr>
              <w:t>(1,540)</w:t>
            </w:r>
          </w:p>
        </w:tc>
        <w:tc>
          <w:tcPr>
            <w:tcW w:w="44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(46)</w:t>
            </w:r>
          </w:p>
        </w:tc>
      </w:tr>
      <w:tr>
        <w:trPr>
          <w:trHeight w:val="20"/>
        </w:trPr>
        <w:tc>
          <w:tcPr>
            <w:tcW w:w="3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223"/>
        </w:trPr>
        <w:tc>
          <w:tcPr>
            <w:tcW w:w="3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10,188</w:t>
            </w:r>
          </w:p>
        </w:tc>
        <w:tc>
          <w:tcPr>
            <w:tcW w:w="1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8,797</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1,391</w:t>
            </w:r>
          </w:p>
        </w:tc>
        <w:tc>
          <w:tcPr>
            <w:tcW w:w="140" w:type="dxa"/>
            <w:vAlign w:val="bottom"/>
          </w:tcPr>
          <w:p>
            <w:pPr>
              <w:spacing w:after="0"/>
              <w:rPr>
                <w:sz w:val="19"/>
                <w:szCs w:val="19"/>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w w:val="83"/>
              </w:rPr>
              <w:t>16%</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  326</w:t>
            </w: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2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Our consolidated net revenues for the quarter ended March 31, 2015 increased $1.4 million as compared to the same period in 2014, and $326,000 as compared to the fourth quarter of 2014, primarily reflecting the aforementioned increase in demand experienced during the first quarter of 2015 from the ATE market.</w:t>
      </w:r>
    </w:p>
    <w:p>
      <w:pPr>
        <w:spacing w:after="0" w:line="194"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Net revenues from customers in various markets outside of the ATE market for the quarter ended March 31, 2015 grew by 55% as compared to the same period in 2014, primarily reflecting increased demand from certain customers in the automotive market. As a percent of our total consolidated net revenues, non-ATE markets net revenues increased from 14% in the first quarter of 2014 to 18% in the first quarter of 2015. Net revenues from customers in various markets outside of the ATE market for the quarter ended March 31, 2015 declined 46% as compared to the quarter ended December 31, 2014, reflecting reduced demand across almost all of our non-ATE served markets.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quarters ended March 31, 2015 and 2014, our OEM sales as a percentage of net revenues were 8% and 16%, respectively.</w:t>
      </w:r>
    </w:p>
    <w:p>
      <w:pPr>
        <w:spacing w:after="0" w:line="1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2015 Compared to Quarter Ended March 31, 2014</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$10.2 million for the quarter ended March 31, 2015 compared to $8.8 million for the same period in 2014,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or 16%. We believe the increase in our net revenues during the first quarter of 2015 primarily reflects the factors previously discussed in the Overview.</w:t>
      </w:r>
    </w:p>
    <w:p>
      <w:pPr>
        <w:spacing w:after="0" w:line="194"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48% in each of the quarters ended March 31, 2015 and 2014. Our fixed operating costs were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unchanged in absolute dollar value at $1.5 million in each of the quarters ended March 31, 2015 and 2014. However, these costs were more fully absorbed by the higher net revenue levels in the first quarter of 2015, and, as a result, represented 15% of our net revenues for the quarter ended March 31, 2015 as compared to 17% for the same period in 2014. This improvement in our gross margin was offset by an increase in our component material costs as a percentage of net revenues reflecting changes in product and customer mix in our Mechanical and Electrical Products segments.</w:t>
      </w:r>
    </w:p>
    <w:p>
      <w:pPr>
        <w:spacing w:after="0" w:line="170" w:lineRule="exact"/>
        <w:rPr>
          <w:sz w:val="20"/>
          <w:szCs w:val="20"/>
          <w:color w:val="auto"/>
        </w:rPr>
      </w:pPr>
    </w:p>
    <w:p>
      <w:pPr>
        <w:ind w:left="540" w:right="100"/>
        <w:spacing w:after="0" w:line="335" w:lineRule="auto"/>
        <w:rPr>
          <w:sz w:val="20"/>
          <w:szCs w:val="20"/>
          <w:color w:val="auto"/>
        </w:rPr>
      </w:pPr>
      <w:r>
        <w:rPr>
          <w:rFonts w:ascii="Arial" w:cs="Arial" w:eastAsia="Arial" w:hAnsi="Arial"/>
          <w:sz w:val="15"/>
          <w:szCs w:val="15"/>
          <w:i w:val="1"/>
          <w:iCs w:val="1"/>
          <w:color w:val="auto"/>
        </w:rPr>
        <w:t xml:space="preserve">Selling Expense. </w:t>
      </w:r>
      <w:r>
        <w:rPr>
          <w:rFonts w:ascii="Arial" w:cs="Arial" w:eastAsia="Arial" w:hAnsi="Arial"/>
          <w:sz w:val="15"/>
          <w:szCs w:val="15"/>
          <w:color w:val="auto"/>
        </w:rPr>
        <w:t>Selling expense was $1.5 million for the quarter ended March 31, 2015 compared to $1.3 million for the same period in 2014,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$161,000 or 12%. The increase primarily reflects higher levels of third party commission expense reflecting the increase in our net revenues and the shift to a higher percent of total net revenues being generated by sales to end user customers rather than OEM's during the first quarter of 2015 as</w:t>
      </w:r>
    </w:p>
    <w:p>
      <w:pPr>
        <w:sectPr>
          <w:pgSz w:w="11900" w:h="16977" w:orient="portrait"/>
          <w:cols w:equalWidth="0" w:num="1">
            <w:col w:w="11420"/>
          </w:cols>
          <w:pgMar w:left="240" w:top="131" w:right="239" w:bottom="0" w:gutter="0" w:footer="0" w:header="0"/>
        </w:sectPr>
      </w:pPr>
    </w:p>
    <w:bookmarkStart w:id="14" w:name="page15"/>
    <w:bookmarkEnd w:id="14"/>
    <w:p>
      <w:pPr>
        <w:ind w:left="540"/>
        <w:spacing w:after="0"/>
        <w:rPr>
          <w:sz w:val="20"/>
          <w:szCs w:val="20"/>
          <w:color w:val="auto"/>
        </w:rPr>
      </w:pPr>
      <w:r>
        <w:rPr>
          <w:rFonts w:ascii="Arial" w:cs="Arial" w:eastAsia="Arial" w:hAnsi="Arial"/>
          <w:sz w:val="18"/>
          <w:szCs w:val="18"/>
          <w:color w:val="auto"/>
        </w:rPr>
        <w:t>compared to the same period in 2014.</w:t>
      </w:r>
    </w:p>
    <w:p>
      <w:pPr>
        <w:spacing w:after="0" w:line="225"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$942,000 for the first quarter of 2015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$923,000 for the same period in 2014, an increase of $19,000 or 2%. The increase in engineering and product development expense primarily reflects increased salary and benefits expense and higher spending on matters related to our intellectual property. These increases were partially offset by a decrease in spending on materials used in new product development in our Thermal Products segment. The increase in salary and benefits expense reflects both an increase in headcount as well as annual salary increases for existing staff.</w:t>
      </w:r>
    </w:p>
    <w:p>
      <w:pPr>
        <w:spacing w:after="0" w:line="170"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$1.8 million for the first quarter of 2015 compared to $1.5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2014, an increase of $275,000 or 18%. Our expenses for the first quarter of 2015 include $320,000 for due diligence and transaction related costs associated with a potential acquisition. Our due diligence efforts are not yet complete and certain criteria which will impact our final decision with regard to consummating this transaction will not likely be known until the target company's second quarter results are complete. There were no similar costs during the first quarter of 2014. These costs were partially offset by lower levels of spending on various third party professional services we utilize and decreased levels of amortization expense related to our intangible assets.</w:t>
      </w:r>
    </w:p>
    <w:p>
      <w:pPr>
        <w:spacing w:after="0" w:line="17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March 31, 2015, we recorded income tax expense of $233,000 compared to income tax expense of $125,000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2014. Our effective tax rate for the quarter ended March 31, 2015 was 35% compared to an effective tax rate of 30% for the same period in 2014. On a quarterly basis, we record income tax expense or benefit based on the expected annualized effective tax rate for the various taxing jurisdictions in which we operate our businesses. The increase in our effective tax rate in the first quarter of 2015 as compared to the same period in 2014 primarily reflects that a greater proportion of our total pretax income was generated by our domestic operations in the first quarter of 2015 and is therefore subject to the higher U.S. income tax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89"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Mar. 31, 2015</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7"/>
              </w:rPr>
              <w:t>Dec. 31, 2014</w:t>
            </w:r>
          </w:p>
        </w:tc>
      </w:tr>
      <w:tr>
        <w:trPr>
          <w:trHeight w:val="235"/>
        </w:trPr>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$23,126</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Working capital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$28,967</w:t>
            </w:r>
          </w:p>
        </w:tc>
        <w:tc>
          <w:tcPr>
            <w:tcW w:w="1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$28,561</w:t>
            </w:r>
          </w:p>
        </w:tc>
      </w:tr>
    </w:tbl>
    <w:p>
      <w:pPr>
        <w:spacing w:after="0" w:line="223"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As of March 31, 2015, $2.3 million of our cash and cash equivalents was held by our foreign subsidiaries. When these funds are needed for our operations in the U.S., we may be required to accrue and pay U.S. taxes if we repatriate certain of these funds. On February 25, 2015 we repatriated $883,000 from our subsidiary in Singapore. We currently plan to repatriate up to $1.0 million from our German subsidiary during the second half of 2015. Our estimated annualized effective tax rate for 2015 includes the effect of the additional taxes we expect to incur on these repatriated funds.</w:t>
      </w:r>
    </w:p>
    <w:p>
      <w:pPr>
        <w:spacing w:after="0" w:line="167"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We currently expect our cash and cash equivalents and projected future cash flow to be sufficient to support our short term working capital requirements. However, we may need additional financial resources to consummate a significant acquisition if the consideration in such a transaction would require us to utilize a substantial portion of our available cash. We do not currently have any credit facilities under which we can borrow to help fund our working capital or other requirements.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operations for the three months ended March 31, 2015 was $263,000.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we recorded net earnings of $438,000, which included non-cash charges of $200,000 for depreciation and amortization. During the three months ended March 31, 2015, accounts receivable, accounts payable and inventories increased $1.5 million, $676,000 and $475,000, respectively, compared to the levels at the end of 2014. These increases primarily reflect increased business activity during the first quarter of 2015 as compared to the fourth quarter of 2014, particularly in the latter half of the quarter.</w:t>
      </w:r>
    </w:p>
    <w:p>
      <w:pPr>
        <w:spacing w:after="0" w:line="197"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the three months ended March 31, 2015 purchases of property and equipment were $179,000 which primarily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additions to leased systems in our Thermal Products segment and computer hardware and software purchases related to a system upgrade for our domestic operations. We have no significant commitments for capital expenditures for the balance of 2015, however, depending upon changes in market demand or manufacturing and sales strategies, we may make such purchases or investments as we deem necessary and appropriate.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three months ended March 31, 2015 there were no cash flows from financing activities.</w:t>
      </w:r>
    </w:p>
    <w:p>
      <w:pPr>
        <w:sectPr>
          <w:pgSz w:w="11900" w:h="16838" w:orient="portrait"/>
          <w:cols w:equalWidth="0" w:num="1">
            <w:col w:w="11420"/>
          </w:cols>
          <w:pgMar w:left="240" w:top="131" w:right="239" w:bottom="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2015, there have been no significant changes to the accounting policies that we have deemed critical. These policies are more fully described in our 2014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5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420"/>
          </w:cols>
          <w:pgMar w:left="240" w:top="341" w:right="239" w:bottom="127" w:gutter="0" w:footer="0" w:header="0"/>
        </w:sectPr>
      </w:pPr>
    </w:p>
    <w:bookmarkStart w:id="16" w:name="page17"/>
    <w:bookmarkEnd w:id="16"/>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14, 2015</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14, 2015</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538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544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ectPr>
          <w:pgSz w:w="11900" w:h="16838" w:orient="portrait"/>
          <w:cols w:equalWidth="0" w:num="1">
            <w:col w:w="11400"/>
          </w:cols>
          <w:pgMar w:left="240" w:top="131" w:right="259" w:bottom="9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- 21 -</w:t>
      </w:r>
    </w:p>
    <w:p>
      <w:pPr>
        <w:sectPr>
          <w:pgSz w:w="11900" w:h="16838" w:orient="portrait"/>
          <w:cols w:equalWidth="0" w:num="1">
            <w:col w:w="11400"/>
          </w:cols>
          <w:pgMar w:left="240" w:top="131" w:right="259" w:bottom="9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14,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2015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2015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14,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2019-12-06T22:19:52Z</dcterms:created>
  <dcterms:modified xsi:type="dcterms:W3CDTF">2019-12-06T22:19:52Z</dcterms:modified>
</cp:coreProperties>
</file>