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UNITED STATES</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ind w:left="5120"/>
        <w:spacing w:after="0"/>
        <w:rPr>
          <w:sz w:val="20"/>
          <w:szCs w:val="20"/>
          <w:color w:val="auto"/>
        </w:rPr>
      </w:pPr>
      <w:r>
        <w:rPr>
          <w:rFonts w:ascii="Arial" w:cs="Arial" w:eastAsia="Arial" w:hAnsi="Arial"/>
          <w:sz w:val="18"/>
          <w:szCs w:val="18"/>
          <w:color w:val="auto"/>
        </w:rPr>
        <w:t>_____________</w:t>
      </w:r>
    </w:p>
    <w:p>
      <w:pPr>
        <w:spacing w:after="0" w:line="20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4"/>
          <w:szCs w:val="24"/>
          <w:color w:val="auto"/>
        </w:rPr>
      </w:pPr>
    </w:p>
    <w:p>
      <w:pPr>
        <w:ind w:left="5120"/>
        <w:spacing w:after="0"/>
        <w:rPr>
          <w:sz w:val="20"/>
          <w:szCs w:val="20"/>
          <w:color w:val="auto"/>
        </w:rPr>
      </w:pPr>
      <w:r>
        <w:rPr>
          <w:rFonts w:ascii="Arial" w:cs="Arial" w:eastAsia="Arial" w:hAnsi="Arial"/>
          <w:sz w:val="18"/>
          <w:szCs w:val="18"/>
          <w:b w:val="1"/>
          <w:bCs w:val="1"/>
          <w:color w:val="auto"/>
        </w:rPr>
        <w:t>_____________</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(Mark One)</w:t>
      </w:r>
    </w:p>
    <w:p>
      <w:pPr>
        <w:spacing w:after="0" w:line="4" w:lineRule="exact"/>
        <w:rPr>
          <w:sz w:val="24"/>
          <w:szCs w:val="24"/>
          <w:color w:val="auto"/>
        </w:rPr>
      </w:pPr>
    </w:p>
    <w:p>
      <w:pPr>
        <w:ind w:left="4000" w:right="1880" w:hanging="3992"/>
        <w:spacing w:after="0" w:line="266" w:lineRule="auto"/>
        <w:tabs>
          <w:tab w:leader="none" w:pos="263"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auto"/>
        </w:rPr>
        <w:t>June 30, 2019</w:t>
      </w:r>
      <w:r>
        <w:rPr>
          <w:rFonts w:ascii="Arial" w:cs="Arial" w:eastAsia="Arial" w:hAnsi="Arial"/>
          <w:sz w:val="18"/>
          <w:szCs w:val="18"/>
          <w:color w:val="auto"/>
        </w:rPr>
        <w:t xml:space="preserve"> or</w:t>
      </w:r>
    </w:p>
    <w:p>
      <w:pPr>
        <w:spacing w:after="0" w:line="176" w:lineRule="exact"/>
        <w:rPr>
          <w:sz w:val="24"/>
          <w:szCs w:val="24"/>
          <w:color w:val="auto"/>
        </w:rPr>
      </w:pPr>
    </w:p>
    <w:p>
      <w:pPr>
        <w:ind w:left="2840" w:right="1860" w:hanging="2832"/>
        <w:spacing w:after="0" w:line="313" w:lineRule="auto"/>
        <w:tabs>
          <w:tab w:leader="none" w:pos="255"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 xml:space="preserve">TRANSITION REPORT PURSUANT TO SECTION 13 OR 15(d) OF THE SECURITIES EXCHANGE ACT OF 1934 </w:t>
      </w:r>
      <w:r>
        <w:rPr>
          <w:rFonts w:ascii="Arial" w:cs="Arial" w:eastAsia="Arial" w:hAnsi="Arial"/>
          <w:sz w:val="17"/>
          <w:szCs w:val="17"/>
          <w:color w:val="auto"/>
        </w:rPr>
        <w:t>For the transition period from __________________ to ___________________</w:t>
      </w:r>
    </w:p>
    <w:p>
      <w:pPr>
        <w:spacing w:after="0" w:line="142"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1-36117</w:t>
      </w:r>
    </w:p>
    <w:p>
      <w:pPr>
        <w:spacing w:after="0" w:line="22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u w:val="single" w:color="auto"/>
          <w:color w:val="auto"/>
        </w:rPr>
        <w:t>inTEST Corporation</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(Exact Name of Registrant as Specified in its Charter)</w:t>
      </w:r>
    </w:p>
    <w:p>
      <w:pPr>
        <w:spacing w:after="0" w:line="194" w:lineRule="exact"/>
        <w:rPr>
          <w:sz w:val="24"/>
          <w:szCs w:val="24"/>
          <w:color w:val="auto"/>
        </w:rPr>
      </w:pPr>
    </w:p>
    <w:tbl>
      <w:tblPr>
        <w:tblLayout w:type="fixed"/>
        <w:tblInd w:w="920" w:type="dxa"/>
        <w:tblCellMar>
          <w:top w:w="0" w:type="dxa"/>
          <w:left w:w="0" w:type="dxa"/>
          <w:bottom w:w="0" w:type="dxa"/>
          <w:right w:w="0" w:type="dxa"/>
        </w:tblCellMar>
      </w:tblPr>
      <w:tr>
        <w:trPr>
          <w:trHeight w:val="207"/>
        </w:trPr>
        <w:tc>
          <w:tcPr>
            <w:tcW w:w="1780" w:type="dxa"/>
            <w:vAlign w:val="bottom"/>
          </w:tcPr>
          <w:p>
            <w:pPr>
              <w:spacing w:after="0"/>
              <w:rPr>
                <w:sz w:val="17"/>
                <w:szCs w:val="17"/>
                <w:color w:val="auto"/>
              </w:rPr>
            </w:pPr>
          </w:p>
        </w:tc>
        <w:tc>
          <w:tcPr>
            <w:tcW w:w="3560" w:type="dxa"/>
            <w:vAlign w:val="bottom"/>
            <w:gridSpan w:val="2"/>
          </w:tcPr>
          <w:p>
            <w:pPr>
              <w:jc w:val="center"/>
              <w:ind w:right="2840"/>
              <w:spacing w:after="0"/>
              <w:rPr>
                <w:sz w:val="20"/>
                <w:szCs w:val="20"/>
                <w:color w:val="auto"/>
              </w:rPr>
            </w:pPr>
            <w:r>
              <w:rPr>
                <w:rFonts w:ascii="Arial" w:cs="Arial" w:eastAsia="Arial" w:hAnsi="Arial"/>
                <w:sz w:val="18"/>
                <w:szCs w:val="18"/>
                <w:b w:val="1"/>
                <w:bCs w:val="1"/>
                <w:color w:val="auto"/>
                <w:w w:val="91"/>
              </w:rPr>
              <w:t>Delaware</w:t>
            </w:r>
          </w:p>
        </w:tc>
        <w:tc>
          <w:tcPr>
            <w:tcW w:w="3980" w:type="dxa"/>
            <w:vAlign w:val="bottom"/>
            <w:gridSpan w:val="3"/>
          </w:tcPr>
          <w:p>
            <w:pPr>
              <w:jc w:val="right"/>
              <w:ind w:right="1040"/>
              <w:spacing w:after="0"/>
              <w:rPr>
                <w:sz w:val="20"/>
                <w:szCs w:val="20"/>
                <w:color w:val="auto"/>
              </w:rPr>
            </w:pPr>
            <w:r>
              <w:rPr>
                <w:rFonts w:ascii="Arial" w:cs="Arial" w:eastAsia="Arial" w:hAnsi="Arial"/>
                <w:sz w:val="18"/>
                <w:szCs w:val="18"/>
                <w:b w:val="1"/>
                <w:bCs w:val="1"/>
                <w:color w:val="auto"/>
              </w:rPr>
              <w:t>22-2370659</w:t>
            </w:r>
          </w:p>
        </w:tc>
      </w:tr>
      <w:tr>
        <w:trPr>
          <w:trHeight w:val="20"/>
        </w:trPr>
        <w:tc>
          <w:tcPr>
            <w:tcW w:w="17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37"/>
        </w:trPr>
        <w:tc>
          <w:tcPr>
            <w:tcW w:w="5340" w:type="dxa"/>
            <w:vAlign w:val="bottom"/>
            <w:gridSpan w:val="3"/>
          </w:tcPr>
          <w:p>
            <w:pPr>
              <w:jc w:val="center"/>
              <w:ind w:right="104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980" w:type="dxa"/>
            <w:vAlign w:val="bottom"/>
            <w:gridSpan w:val="3"/>
          </w:tcPr>
          <w:p>
            <w:pPr>
              <w:jc w:val="center"/>
              <w:ind w:left="950"/>
              <w:spacing w:after="0"/>
              <w:rPr>
                <w:sz w:val="20"/>
                <w:szCs w:val="20"/>
                <w:color w:val="auto"/>
              </w:rPr>
            </w:pPr>
            <w:r>
              <w:rPr>
                <w:rFonts w:ascii="Arial" w:cs="Arial" w:eastAsia="Arial" w:hAnsi="Arial"/>
                <w:sz w:val="18"/>
                <w:szCs w:val="18"/>
                <w:color w:val="auto"/>
                <w:w w:val="93"/>
              </w:rPr>
              <w:t>(I.R.S. Employer Identification Number)</w:t>
            </w:r>
          </w:p>
        </w:tc>
      </w:tr>
    </w:tbl>
    <w:p>
      <w:pPr>
        <w:spacing w:after="0" w:line="198"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804 East Gate Drive, Suite 200</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u w:val="single" w:color="auto"/>
          <w:color w:val="auto"/>
        </w:rPr>
        <w:t>Mt. Laurel, New Jersey 08054</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u w:val="single" w:color="auto"/>
          <w:color w:val="auto"/>
        </w:rPr>
        <w:t>(856) 505-8800</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12" w:lineRule="exact"/>
        <w:rPr>
          <w:sz w:val="24"/>
          <w:szCs w:val="24"/>
          <w:color w:val="auto"/>
        </w:rPr>
      </w:pPr>
    </w:p>
    <w:tbl>
      <w:tblPr>
        <w:tblLayout w:type="fixed"/>
        <w:tblInd w:w="500" w:type="dxa"/>
        <w:tblCellMar>
          <w:top w:w="0" w:type="dxa"/>
          <w:left w:w="0" w:type="dxa"/>
          <w:bottom w:w="0" w:type="dxa"/>
          <w:right w:w="0" w:type="dxa"/>
        </w:tblCellMar>
      </w:tblPr>
      <w:tr>
        <w:trPr>
          <w:trHeight w:val="207"/>
        </w:trPr>
        <w:tc>
          <w:tcPr>
            <w:tcW w:w="780" w:type="dxa"/>
            <w:vAlign w:val="bottom"/>
          </w:tcPr>
          <w:p>
            <w:pPr>
              <w:spacing w:after="0"/>
              <w:rPr>
                <w:sz w:val="18"/>
                <w:szCs w:val="18"/>
                <w:color w:val="auto"/>
              </w:rPr>
            </w:pPr>
          </w:p>
        </w:tc>
        <w:tc>
          <w:tcPr>
            <w:tcW w:w="2960" w:type="dxa"/>
            <w:vAlign w:val="bottom"/>
            <w:gridSpan w:val="2"/>
          </w:tcPr>
          <w:p>
            <w:pPr>
              <w:jc w:val="center"/>
              <w:ind w:right="1520"/>
              <w:spacing w:after="0"/>
              <w:rPr>
                <w:sz w:val="20"/>
                <w:szCs w:val="20"/>
                <w:color w:val="auto"/>
              </w:rPr>
            </w:pPr>
            <w:r>
              <w:rPr>
                <w:rFonts w:ascii="Arial" w:cs="Arial" w:eastAsia="Arial" w:hAnsi="Arial"/>
                <w:sz w:val="18"/>
                <w:szCs w:val="18"/>
                <w:b w:val="1"/>
                <w:bCs w:val="1"/>
                <w:color w:val="auto"/>
                <w:w w:val="89"/>
              </w:rPr>
              <w:t>Title of Each Class</w:t>
            </w:r>
          </w:p>
        </w:tc>
        <w:tc>
          <w:tcPr>
            <w:tcW w:w="3300" w:type="dxa"/>
            <w:vAlign w:val="bottom"/>
            <w:gridSpan w:val="3"/>
          </w:tcPr>
          <w:p>
            <w:pPr>
              <w:jc w:val="center"/>
              <w:ind w:right="580"/>
              <w:spacing w:after="0"/>
              <w:rPr>
                <w:sz w:val="20"/>
                <w:szCs w:val="20"/>
                <w:color w:val="auto"/>
              </w:rPr>
            </w:pPr>
            <w:r>
              <w:rPr>
                <w:rFonts w:ascii="Arial" w:cs="Arial" w:eastAsia="Arial" w:hAnsi="Arial"/>
                <w:sz w:val="18"/>
                <w:szCs w:val="18"/>
                <w:b w:val="1"/>
                <w:bCs w:val="1"/>
                <w:color w:val="auto"/>
                <w:w w:val="91"/>
              </w:rPr>
              <w:t>Trading Symbol</w:t>
            </w: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0"/>
        </w:trPr>
        <w:tc>
          <w:tcPr>
            <w:tcW w:w="7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r>
      <w:tr>
        <w:trPr>
          <w:trHeight w:val="237"/>
        </w:trPr>
        <w:tc>
          <w:tcPr>
            <w:tcW w:w="3740" w:type="dxa"/>
            <w:vAlign w:val="bottom"/>
            <w:gridSpan w:val="3"/>
          </w:tcPr>
          <w:p>
            <w:pPr>
              <w:jc w:val="center"/>
              <w:ind w:right="720"/>
              <w:spacing w:after="0"/>
              <w:rPr>
                <w:sz w:val="20"/>
                <w:szCs w:val="20"/>
                <w:color w:val="auto"/>
              </w:rPr>
            </w:pPr>
            <w:r>
              <w:rPr>
                <w:rFonts w:ascii="Arial" w:cs="Arial" w:eastAsia="Arial" w:hAnsi="Arial"/>
                <w:sz w:val="18"/>
                <w:szCs w:val="18"/>
                <w:color w:val="auto"/>
                <w:w w:val="89"/>
              </w:rPr>
              <w:t>Common Stock, par value $0.01 per share</w:t>
            </w:r>
          </w:p>
        </w:tc>
        <w:tc>
          <w:tcPr>
            <w:tcW w:w="740" w:type="dxa"/>
            <w:vAlign w:val="bottom"/>
          </w:tcPr>
          <w:p>
            <w:pPr>
              <w:spacing w:after="0"/>
              <w:rPr>
                <w:sz w:val="20"/>
                <w:szCs w:val="20"/>
                <w:color w:val="auto"/>
              </w:rPr>
            </w:pPr>
          </w:p>
        </w:tc>
        <w:tc>
          <w:tcPr>
            <w:tcW w:w="2560" w:type="dxa"/>
            <w:vAlign w:val="bottom"/>
            <w:gridSpan w:val="2"/>
          </w:tcPr>
          <w:p>
            <w:pPr>
              <w:jc w:val="center"/>
              <w:ind w:right="1340"/>
              <w:spacing w:after="0"/>
              <w:rPr>
                <w:sz w:val="20"/>
                <w:szCs w:val="20"/>
                <w:color w:val="auto"/>
              </w:rPr>
            </w:pPr>
            <w:r>
              <w:rPr>
                <w:rFonts w:ascii="Arial" w:cs="Arial" w:eastAsia="Arial" w:hAnsi="Arial"/>
                <w:sz w:val="18"/>
                <w:szCs w:val="18"/>
                <w:color w:val="auto"/>
              </w:rPr>
              <w:t>INTT</w:t>
            </w:r>
          </w:p>
        </w:tc>
        <w:tc>
          <w:tcPr>
            <w:tcW w:w="3520" w:type="dxa"/>
            <w:vAlign w:val="bottom"/>
          </w:tcPr>
          <w:p>
            <w:pPr>
              <w:jc w:val="center"/>
              <w:spacing w:after="0"/>
              <w:rPr>
                <w:sz w:val="20"/>
                <w:szCs w:val="20"/>
                <w:color w:val="auto"/>
              </w:rPr>
            </w:pPr>
            <w:r>
              <w:rPr>
                <w:rFonts w:ascii="Arial" w:cs="Arial" w:eastAsia="Arial" w:hAnsi="Arial"/>
                <w:sz w:val="18"/>
                <w:szCs w:val="18"/>
                <w:color w:val="auto"/>
                <w:w w:val="95"/>
              </w:rPr>
              <w:t>NYSE American</w:t>
            </w:r>
          </w:p>
        </w:tc>
      </w:tr>
    </w:tbl>
    <w:p>
      <w:pPr>
        <w:spacing w:after="0" w:line="202" w:lineRule="exact"/>
        <w:rPr>
          <w:sz w:val="24"/>
          <w:szCs w:val="24"/>
          <w:color w:val="auto"/>
        </w:rPr>
      </w:pPr>
    </w:p>
    <w:p>
      <w:pPr>
        <w:ind w:right="34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tabs>
          <w:tab w:leader="none" w:pos="8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16"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(SS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38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80"/>
          </w:cols>
          <w:pgMar w:left="240" w:top="692" w:right="379" w:bottom="1440" w:gutter="0" w:footer="0" w:header="0"/>
        </w:sectPr>
      </w:pPr>
    </w:p>
    <w:p>
      <w:pPr>
        <w:spacing w:after="0" w:line="14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81"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50" w:lineRule="exact"/>
        <w:rPr>
          <w:sz w:val="24"/>
          <w:szCs w:val="24"/>
          <w:color w:val="auto"/>
        </w:rPr>
      </w:pPr>
    </w:p>
    <w:p>
      <w:pPr>
        <w:sectPr>
          <w:pgSz w:w="11900" w:h="16838" w:orient="portrait"/>
          <w:cols w:equalWidth="0" w:num="2">
            <w:col w:w="6140" w:space="720"/>
            <w:col w:w="4420"/>
          </w:cols>
          <w:pgMar w:left="240" w:top="692" w:right="379" w:bottom="1440" w:gutter="0" w:footer="0" w:header="0"/>
          <w:type w:val="continuous"/>
        </w:sectPr>
      </w:pPr>
    </w:p>
    <w:p>
      <w:pPr>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23" w:lineRule="exact"/>
        <w:rPr>
          <w:sz w:val="24"/>
          <w:szCs w:val="24"/>
          <w:color w:val="auto"/>
        </w:rPr>
      </w:pPr>
    </w:p>
    <w:p>
      <w:pPr>
        <w:sectPr>
          <w:pgSz w:w="11900" w:h="16838" w:orient="portrait"/>
          <w:cols w:equalWidth="0" w:num="2">
            <w:col w:w="1980" w:space="80"/>
            <w:col w:w="9220"/>
          </w:cols>
          <w:pgMar w:left="240" w:top="692" w:right="379" w:bottom="1440" w:gutter="0" w:footer="0" w:header="0"/>
          <w:type w:val="continuous"/>
        </w:sectPr>
      </w:pPr>
    </w:p>
    <w:p>
      <w:pPr>
        <w:spacing w:after="0" w:line="14"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spacing w:after="0" w:line="207" w:lineRule="exact"/>
        <w:tabs>
          <w:tab w:leader="none" w:pos="8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16" w:lineRule="exact"/>
        <w:rPr>
          <w:sz w:val="24"/>
          <w:szCs w:val="24"/>
          <w:color w:val="auto"/>
        </w:rPr>
      </w:pPr>
    </w:p>
    <w:p>
      <w:pPr>
        <w:spacing w:after="0"/>
        <w:rPr>
          <w:sz w:val="20"/>
          <w:szCs w:val="20"/>
          <w:color w:val="auto"/>
        </w:rPr>
      </w:pPr>
      <w:r>
        <w:rPr>
          <w:rFonts w:ascii="Arial" w:cs="Arial" w:eastAsia="Arial" w:hAnsi="Arial"/>
          <w:sz w:val="18"/>
          <w:szCs w:val="18"/>
          <w:color w:val="auto"/>
        </w:rPr>
        <w:t>Number of shares of Common Stock, $0.01 par value, outstanding as of the close of business on July 31, 2019: 10,610,213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692" w:right="379" w:bottom="1440" w:gutter="0" w:footer="0" w:header="0"/>
          <w:type w:val="continuous"/>
        </w:sectPr>
      </w:pPr>
    </w:p>
    <w:bookmarkStart w:id="1" w:name="page2"/>
    <w:bookmarkEnd w:id="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2400" w:type="dxa"/>
            <w:vAlign w:val="bottom"/>
            <w:gridSpan w:val="10"/>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7420" w:type="dxa"/>
            <w:vAlign w:val="bottom"/>
            <w:gridSpan w:val="10"/>
            <w:vMerge w:val="restart"/>
          </w:tcPr>
          <w:p>
            <w:pPr>
              <w:spacing w:after="0"/>
              <w:rPr>
                <w:sz w:val="17"/>
                <w:szCs w:val="17"/>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01"/>
        </w:trPr>
        <w:tc>
          <w:tcPr>
            <w:tcW w:w="920" w:type="dxa"/>
            <w:vAlign w:val="bottom"/>
            <w:gridSpan w:val="2"/>
            <w:vMerge w:val="continue"/>
          </w:tcPr>
          <w:p>
            <w:pPr>
              <w:spacing w:after="0"/>
              <w:rPr>
                <w:sz w:val="17"/>
                <w:szCs w:val="17"/>
                <w:color w:val="auto"/>
              </w:rPr>
            </w:pPr>
          </w:p>
        </w:tc>
        <w:tc>
          <w:tcPr>
            <w:tcW w:w="2400" w:type="dxa"/>
            <w:vAlign w:val="bottom"/>
            <w:tcBorders>
              <w:bottom w:val="single" w:sz="8" w:color="0000EE"/>
            </w:tcBorders>
            <w:gridSpan w:val="10"/>
            <w:vMerge w:val="continue"/>
          </w:tcPr>
          <w:p>
            <w:pPr>
              <w:spacing w:after="0"/>
              <w:rPr>
                <w:sz w:val="17"/>
                <w:szCs w:val="17"/>
                <w:color w:val="auto"/>
              </w:rPr>
            </w:pPr>
          </w:p>
        </w:tc>
        <w:tc>
          <w:tcPr>
            <w:tcW w:w="7420" w:type="dxa"/>
            <w:vAlign w:val="bottom"/>
            <w:gridSpan w:val="10"/>
            <w:vMerge w:val="continue"/>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Item 1.</w:t>
            </w:r>
          </w:p>
        </w:tc>
        <w:tc>
          <w:tcPr>
            <w:tcW w:w="1600" w:type="dxa"/>
            <w:vAlign w:val="bottom"/>
            <w:tcBorders>
              <w:bottom w:val="single" w:sz="8" w:color="0000EE"/>
            </w:tcBorders>
            <w:gridSpan w:val="6"/>
          </w:tcPr>
          <w:p>
            <w:pPr>
              <w:spacing w:after="0"/>
              <w:rPr>
                <w:rFonts w:ascii="Arial" w:cs="Arial" w:eastAsia="Arial" w:hAnsi="Arial"/>
                <w:sz w:val="18"/>
                <w:szCs w:val="18"/>
                <w:b w:val="1"/>
                <w:bCs w:val="1"/>
                <w:i w:val="1"/>
                <w:iCs w:val="1"/>
                <w:color w:val="0000EE"/>
                <w:w w:val="87"/>
              </w:rPr>
            </w:pPr>
            <w:hyperlink w:anchor="page3">
              <w:r>
                <w:rPr>
                  <w:rFonts w:ascii="Arial" w:cs="Arial" w:eastAsia="Arial" w:hAnsi="Arial"/>
                  <w:sz w:val="18"/>
                  <w:szCs w:val="18"/>
                  <w:b w:val="1"/>
                  <w:bCs w:val="1"/>
                  <w:i w:val="1"/>
                  <w:iCs w:val="1"/>
                  <w:color w:val="0000EE"/>
                  <w:w w:val="87"/>
                </w:rPr>
                <w:t>Financial Statements</w:t>
              </w:r>
            </w:hyperlink>
          </w:p>
        </w:tc>
        <w:tc>
          <w:tcPr>
            <w:tcW w:w="8220" w:type="dxa"/>
            <w:vAlign w:val="bottom"/>
            <w:gridSpan w:val="14"/>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2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Consolidated Balance Sheets as of June 30, 2019 (Unaudited) and December 31, 2018</w:t>
              </w:r>
            </w:hyperlink>
          </w:p>
        </w:tc>
        <w:tc>
          <w:tcPr>
            <w:tcW w:w="3600" w:type="dxa"/>
            <w:vAlign w:val="bottom"/>
            <w:gridSpan w:val="6"/>
          </w:tcPr>
          <w:p>
            <w:pPr>
              <w:spacing w:after="0"/>
              <w:rPr>
                <w:sz w:val="24"/>
                <w:szCs w:val="24"/>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20" w:type="dxa"/>
            <w:vAlign w:val="bottom"/>
            <w:gridSpan w:val="20"/>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Unaudited Consolidated Statements of Operations for the three months and six months ended June 30, 2019 and 2018</w:t>
              </w:r>
            </w:hyperlink>
          </w:p>
        </w:tc>
        <w:tc>
          <w:tcPr>
            <w:tcW w:w="68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20" w:type="dxa"/>
            <w:vAlign w:val="bottom"/>
            <w:gridSpan w:val="20"/>
          </w:tcPr>
          <w:p>
            <w:pPr>
              <w:spacing w:after="0" w:line="196" w:lineRule="exact"/>
              <w:rPr>
                <w:rFonts w:ascii="Arial" w:cs="Arial" w:eastAsia="Arial" w:hAnsi="Arial"/>
                <w:sz w:val="18"/>
                <w:szCs w:val="18"/>
                <w:color w:val="0000EE"/>
                <w:w w:val="91"/>
              </w:rPr>
            </w:pPr>
            <w:hyperlink w:anchor="page5">
              <w:r>
                <w:rPr>
                  <w:rFonts w:ascii="Arial" w:cs="Arial" w:eastAsia="Arial" w:hAnsi="Arial"/>
                  <w:sz w:val="18"/>
                  <w:szCs w:val="18"/>
                  <w:color w:val="0000EE"/>
                  <w:w w:val="91"/>
                </w:rPr>
                <w:t>Unaudited Consolidated Statements of Comprehensive Earnings (Loss) for the three months and six months ended June 30, 2019 and</w:t>
              </w:r>
            </w:hyperlink>
          </w:p>
        </w:tc>
        <w:tc>
          <w:tcPr>
            <w:tcW w:w="68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5">
              <w:r>
                <w:rPr>
                  <w:rFonts w:ascii="Arial" w:cs="Arial" w:eastAsia="Arial" w:hAnsi="Arial"/>
                  <w:sz w:val="18"/>
                  <w:szCs w:val="18"/>
                  <w:color w:val="0000EE"/>
                  <w:w w:val="84"/>
                </w:rPr>
                <w:t>2018</w:t>
              </w:r>
            </w:hyperlink>
          </w:p>
        </w:tc>
        <w:tc>
          <w:tcPr>
            <w:tcW w:w="26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13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74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122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Unaudited Consolidated Statements of Stockholders' Equity for the three months and six months ended June 30, 2019 and 2018</w:t>
              </w:r>
            </w:hyperlink>
          </w:p>
        </w:tc>
        <w:tc>
          <w:tcPr>
            <w:tcW w:w="620" w:type="dxa"/>
            <w:vAlign w:val="bottom"/>
            <w:gridSpan w:val="2"/>
          </w:tcPr>
          <w:p>
            <w:pPr>
              <w:spacing w:after="0"/>
              <w:rPr>
                <w:sz w:val="17"/>
                <w:szCs w:val="17"/>
                <w:color w:val="auto"/>
              </w:rPr>
            </w:pPr>
          </w:p>
        </w:tc>
        <w:tc>
          <w:tcPr>
            <w:tcW w:w="68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6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Unaudited Consolidated Statements of Cash Flows for the six months ended June 30, 2019 and 2018</w:t>
              </w:r>
            </w:hyperlink>
          </w:p>
        </w:tc>
        <w:tc>
          <w:tcPr>
            <w:tcW w:w="2560" w:type="dxa"/>
            <w:vAlign w:val="bottom"/>
            <w:gridSpan w:val="4"/>
          </w:tcPr>
          <w:p>
            <w:pPr>
              <w:spacing w:after="0"/>
              <w:rPr>
                <w:sz w:val="17"/>
                <w:szCs w:val="17"/>
                <w:color w:val="auto"/>
              </w:rPr>
            </w:pPr>
          </w:p>
        </w:tc>
        <w:tc>
          <w:tcPr>
            <w:tcW w:w="68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6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Notes to Consolidated Financial Statements</w:t>
              </w:r>
            </w:hyperlink>
          </w:p>
        </w:tc>
        <w:tc>
          <w:tcPr>
            <w:tcW w:w="6660" w:type="dxa"/>
            <w:vAlign w:val="bottom"/>
            <w:gridSpan w:val="9"/>
          </w:tcPr>
          <w:p>
            <w:pPr>
              <w:spacing w:after="0"/>
              <w:rPr>
                <w:sz w:val="17"/>
                <w:szCs w:val="17"/>
                <w:color w:val="auto"/>
              </w:rPr>
            </w:pPr>
          </w:p>
        </w:tc>
        <w:tc>
          <w:tcPr>
            <w:tcW w:w="68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Item 2.</w:t>
            </w:r>
          </w:p>
        </w:tc>
        <w:tc>
          <w:tcPr>
            <w:tcW w:w="9820" w:type="dxa"/>
            <w:vAlign w:val="bottom"/>
            <w:gridSpan w:val="20"/>
          </w:tcPr>
          <w:p>
            <w:pPr>
              <w:spacing w:after="0"/>
              <w:rPr>
                <w:rFonts w:ascii="Arial" w:cs="Arial" w:eastAsia="Arial" w:hAnsi="Arial"/>
                <w:sz w:val="18"/>
                <w:szCs w:val="18"/>
                <w:b w:val="1"/>
                <w:bCs w:val="1"/>
                <w:i w:val="1"/>
                <w:iCs w:val="1"/>
                <w:color w:val="0000EE"/>
              </w:rPr>
            </w:pPr>
            <w:hyperlink w:anchor="page23">
              <w:r>
                <w:rPr>
                  <w:rFonts w:ascii="Arial" w:cs="Arial" w:eastAsia="Arial" w:hAnsi="Arial"/>
                  <w:sz w:val="18"/>
                  <w:szCs w:val="18"/>
                  <w:b w:val="1"/>
                  <w:bCs w:val="1"/>
                  <w:i w:val="1"/>
                  <w:iCs w:val="1"/>
                  <w:color w:val="0000EE"/>
                </w:rPr>
                <w:t>Management's Discussion and Analysis of Financial Condition and Results of Operations</w:t>
              </w:r>
            </w:hyperlink>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Item 3.</w:t>
            </w:r>
          </w:p>
        </w:tc>
        <w:tc>
          <w:tcPr>
            <w:tcW w:w="4480" w:type="dxa"/>
            <w:vAlign w:val="bottom"/>
            <w:tcBorders>
              <w:top w:val="single" w:sz="8" w:color="0000EE"/>
              <w:bottom w:val="single" w:sz="8" w:color="0000EE"/>
            </w:tcBorders>
            <w:gridSpan w:val="13"/>
          </w:tcPr>
          <w:p>
            <w:pPr>
              <w:spacing w:after="0"/>
              <w:rPr>
                <w:rFonts w:ascii="Arial" w:cs="Arial" w:eastAsia="Arial" w:hAnsi="Arial"/>
                <w:sz w:val="18"/>
                <w:szCs w:val="18"/>
                <w:b w:val="1"/>
                <w:bCs w:val="1"/>
                <w:i w:val="1"/>
                <w:iCs w:val="1"/>
                <w:color w:val="0000EE"/>
                <w:w w:val="87"/>
              </w:rPr>
            </w:pPr>
            <w:hyperlink w:anchor="page30">
              <w:r>
                <w:rPr>
                  <w:rFonts w:ascii="Arial" w:cs="Arial" w:eastAsia="Arial" w:hAnsi="Arial"/>
                  <w:sz w:val="18"/>
                  <w:szCs w:val="18"/>
                  <w:b w:val="1"/>
                  <w:bCs w:val="1"/>
                  <w:i w:val="1"/>
                  <w:iCs w:val="1"/>
                  <w:color w:val="0000EE"/>
                  <w:w w:val="87"/>
                </w:rPr>
                <w:t>Quantitative and Qualitative Disclosures About Market Risk</w:t>
              </w:r>
            </w:hyperlink>
          </w:p>
        </w:tc>
        <w:tc>
          <w:tcPr>
            <w:tcW w:w="2200" w:type="dxa"/>
            <w:vAlign w:val="bottom"/>
            <w:tcBorders>
              <w:top w:val="single" w:sz="8" w:color="0000EE"/>
            </w:tcBorders>
            <w:gridSpan w:val="2"/>
          </w:tcPr>
          <w:p>
            <w:pPr>
              <w:spacing w:after="0"/>
              <w:rPr>
                <w:sz w:val="24"/>
                <w:szCs w:val="24"/>
                <w:color w:val="auto"/>
              </w:rPr>
            </w:pPr>
          </w:p>
        </w:tc>
        <w:tc>
          <w:tcPr>
            <w:tcW w:w="3140" w:type="dxa"/>
            <w:vAlign w:val="bottom"/>
            <w:gridSpan w:val="5"/>
          </w:tcPr>
          <w:p>
            <w:pPr>
              <w:spacing w:after="0"/>
              <w:rPr>
                <w:sz w:val="24"/>
                <w:szCs w:val="24"/>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Item 4.</w:t>
            </w:r>
          </w:p>
        </w:tc>
        <w:tc>
          <w:tcPr>
            <w:tcW w:w="1860" w:type="dxa"/>
            <w:vAlign w:val="bottom"/>
            <w:tcBorders>
              <w:bottom w:val="single" w:sz="8" w:color="0000EE"/>
            </w:tcBorders>
            <w:gridSpan w:val="8"/>
          </w:tcPr>
          <w:p>
            <w:pPr>
              <w:spacing w:after="0"/>
              <w:rPr>
                <w:rFonts w:ascii="Arial" w:cs="Arial" w:eastAsia="Arial" w:hAnsi="Arial"/>
                <w:sz w:val="18"/>
                <w:szCs w:val="18"/>
                <w:b w:val="1"/>
                <w:bCs w:val="1"/>
                <w:i w:val="1"/>
                <w:iCs w:val="1"/>
                <w:color w:val="0000EE"/>
                <w:w w:val="85"/>
              </w:rPr>
            </w:pPr>
            <w:hyperlink w:anchor="page31">
              <w:r>
                <w:rPr>
                  <w:rFonts w:ascii="Arial" w:cs="Arial" w:eastAsia="Arial" w:hAnsi="Arial"/>
                  <w:sz w:val="18"/>
                  <w:szCs w:val="18"/>
                  <w:b w:val="1"/>
                  <w:bCs w:val="1"/>
                  <w:i w:val="1"/>
                  <w:iCs w:val="1"/>
                  <w:color w:val="0000EE"/>
                  <w:w w:val="85"/>
                </w:rPr>
                <w:t>Controls and Procedures</w:t>
              </w:r>
            </w:hyperlink>
          </w:p>
        </w:tc>
        <w:tc>
          <w:tcPr>
            <w:tcW w:w="7960" w:type="dxa"/>
            <w:vAlign w:val="bottom"/>
            <w:gridSpan w:val="12"/>
          </w:tcPr>
          <w:p>
            <w:pPr>
              <w:spacing w:after="0"/>
              <w:rPr>
                <w:sz w:val="24"/>
                <w:szCs w:val="24"/>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9820" w:type="dxa"/>
            <w:vAlign w:val="bottom"/>
            <w:gridSpan w:val="20"/>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OTHER INFORMATION</w:t>
              </w:r>
            </w:hyperlink>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Item 1.</w:t>
            </w:r>
          </w:p>
        </w:tc>
        <w:tc>
          <w:tcPr>
            <w:tcW w:w="2020" w:type="dxa"/>
            <w:vAlign w:val="bottom"/>
            <w:tcBorders>
              <w:top w:val="single" w:sz="8" w:color="0000EE"/>
            </w:tcBorders>
            <w:gridSpan w:val="9"/>
          </w:tcPr>
          <w:p>
            <w:pPr>
              <w:spacing w:after="0"/>
              <w:rPr>
                <w:rFonts w:ascii="Arial" w:cs="Arial" w:eastAsia="Arial" w:hAnsi="Arial"/>
                <w:sz w:val="18"/>
                <w:szCs w:val="18"/>
                <w:b w:val="1"/>
                <w:bCs w:val="1"/>
                <w:i w:val="1"/>
                <w:iCs w:val="1"/>
                <w:color w:val="0000EE"/>
              </w:rPr>
            </w:pPr>
            <w:hyperlink w:anchor="page31">
              <w:r>
                <w:rPr>
                  <w:rFonts w:ascii="Arial" w:cs="Arial" w:eastAsia="Arial" w:hAnsi="Arial"/>
                  <w:sz w:val="18"/>
                  <w:szCs w:val="18"/>
                  <w:b w:val="1"/>
                  <w:bCs w:val="1"/>
                  <w:i w:val="1"/>
                  <w:iCs w:val="1"/>
                  <w:color w:val="0000EE"/>
                </w:rPr>
                <w:t>Legal Proceedings</w:t>
              </w:r>
            </w:hyperlink>
          </w:p>
        </w:tc>
        <w:tc>
          <w:tcPr>
            <w:tcW w:w="7800" w:type="dxa"/>
            <w:vAlign w:val="bottom"/>
            <w:gridSpan w:val="11"/>
          </w:tcPr>
          <w:p>
            <w:pPr>
              <w:spacing w:after="0"/>
              <w:rPr>
                <w:sz w:val="24"/>
                <w:szCs w:val="24"/>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Item 1A.</w:t>
            </w:r>
          </w:p>
        </w:tc>
        <w:tc>
          <w:tcPr>
            <w:tcW w:w="960" w:type="dxa"/>
            <w:vAlign w:val="bottom"/>
            <w:tcBorders>
              <w:top w:val="single" w:sz="8" w:color="0000EE"/>
              <w:bottom w:val="single" w:sz="8" w:color="0000EE"/>
            </w:tcBorders>
            <w:gridSpan w:val="3"/>
          </w:tcPr>
          <w:p>
            <w:pPr>
              <w:spacing w:after="0"/>
              <w:rPr>
                <w:rFonts w:ascii="Arial" w:cs="Arial" w:eastAsia="Arial" w:hAnsi="Arial"/>
                <w:sz w:val="18"/>
                <w:szCs w:val="18"/>
                <w:b w:val="1"/>
                <w:bCs w:val="1"/>
                <w:i w:val="1"/>
                <w:iCs w:val="1"/>
                <w:color w:val="0000EE"/>
                <w:w w:val="86"/>
              </w:rPr>
            </w:pPr>
            <w:hyperlink w:anchor="page31">
              <w:r>
                <w:rPr>
                  <w:rFonts w:ascii="Arial" w:cs="Arial" w:eastAsia="Arial" w:hAnsi="Arial"/>
                  <w:sz w:val="18"/>
                  <w:szCs w:val="18"/>
                  <w:b w:val="1"/>
                  <w:bCs w:val="1"/>
                  <w:i w:val="1"/>
                  <w:iCs w:val="1"/>
                  <w:color w:val="0000EE"/>
                  <w:w w:val="86"/>
                </w:rPr>
                <w:t>Risk Factors</w:t>
              </w:r>
            </w:hyperlink>
          </w:p>
        </w:tc>
        <w:tc>
          <w:tcPr>
            <w:tcW w:w="420" w:type="dxa"/>
            <w:vAlign w:val="bottom"/>
            <w:tcBorders>
              <w:top w:val="single" w:sz="8" w:color="0000EE"/>
            </w:tcBorders>
          </w:tcPr>
          <w:p>
            <w:pPr>
              <w:spacing w:after="0"/>
              <w:rPr>
                <w:sz w:val="24"/>
                <w:szCs w:val="24"/>
                <w:color w:val="auto"/>
              </w:rPr>
            </w:pPr>
          </w:p>
        </w:tc>
        <w:tc>
          <w:tcPr>
            <w:tcW w:w="8440" w:type="dxa"/>
            <w:vAlign w:val="bottom"/>
            <w:gridSpan w:val="16"/>
          </w:tcPr>
          <w:p>
            <w:pPr>
              <w:spacing w:after="0"/>
              <w:rPr>
                <w:sz w:val="24"/>
                <w:szCs w:val="24"/>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Item 2.</w:t>
            </w:r>
          </w:p>
        </w:tc>
        <w:tc>
          <w:tcPr>
            <w:tcW w:w="9820" w:type="dxa"/>
            <w:vAlign w:val="bottom"/>
            <w:gridSpan w:val="20"/>
          </w:tcPr>
          <w:p>
            <w:pPr>
              <w:spacing w:after="0"/>
              <w:rPr>
                <w:rFonts w:ascii="Arial" w:cs="Arial" w:eastAsia="Arial" w:hAnsi="Arial"/>
                <w:sz w:val="18"/>
                <w:szCs w:val="18"/>
                <w:b w:val="1"/>
                <w:bCs w:val="1"/>
                <w:i w:val="1"/>
                <w:iCs w:val="1"/>
                <w:color w:val="0000EE"/>
              </w:rPr>
            </w:pPr>
            <w:hyperlink w:anchor="page31">
              <w:r>
                <w:rPr>
                  <w:rFonts w:ascii="Arial" w:cs="Arial" w:eastAsia="Arial" w:hAnsi="Arial"/>
                  <w:sz w:val="18"/>
                  <w:szCs w:val="18"/>
                  <w:b w:val="1"/>
                  <w:bCs w:val="1"/>
                  <w:i w:val="1"/>
                  <w:iCs w:val="1"/>
                  <w:color w:val="0000EE"/>
                </w:rPr>
                <w:t>Unregistered Sales of Equity Securities and Use of Proceeds</w:t>
              </w:r>
            </w:hyperlink>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Item 3.</w:t>
            </w:r>
          </w:p>
        </w:tc>
        <w:tc>
          <w:tcPr>
            <w:tcW w:w="4460" w:type="dxa"/>
            <w:vAlign w:val="bottom"/>
            <w:tcBorders>
              <w:top w:val="single" w:sz="8" w:color="0000EE"/>
            </w:tcBorders>
            <w:gridSpan w:val="12"/>
          </w:tcPr>
          <w:p>
            <w:pPr>
              <w:spacing w:after="0"/>
              <w:rPr>
                <w:rFonts w:ascii="Arial" w:cs="Arial" w:eastAsia="Arial" w:hAnsi="Arial"/>
                <w:sz w:val="18"/>
                <w:szCs w:val="18"/>
                <w:b w:val="1"/>
                <w:bCs w:val="1"/>
                <w:i w:val="1"/>
                <w:iCs w:val="1"/>
                <w:color w:val="0000EE"/>
              </w:rPr>
            </w:pPr>
            <w:hyperlink w:anchor="page31">
              <w:r>
                <w:rPr>
                  <w:rFonts w:ascii="Arial" w:cs="Arial" w:eastAsia="Arial" w:hAnsi="Arial"/>
                  <w:sz w:val="18"/>
                  <w:szCs w:val="18"/>
                  <w:b w:val="1"/>
                  <w:bCs w:val="1"/>
                  <w:i w:val="1"/>
                  <w:iCs w:val="1"/>
                  <w:color w:val="0000EE"/>
                </w:rPr>
                <w:t>Defaults Upon Senior Securities</w:t>
              </w:r>
            </w:hyperlink>
          </w:p>
        </w:tc>
        <w:tc>
          <w:tcPr>
            <w:tcW w:w="5360" w:type="dxa"/>
            <w:vAlign w:val="bottom"/>
            <w:gridSpan w:val="8"/>
          </w:tcPr>
          <w:p>
            <w:pPr>
              <w:spacing w:after="0"/>
              <w:rPr>
                <w:sz w:val="24"/>
                <w:szCs w:val="24"/>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Item 4.</w:t>
            </w:r>
          </w:p>
        </w:tc>
        <w:tc>
          <w:tcPr>
            <w:tcW w:w="2400" w:type="dxa"/>
            <w:vAlign w:val="bottom"/>
            <w:tcBorders>
              <w:top w:val="single" w:sz="8" w:color="0000EE"/>
            </w:tcBorders>
            <w:gridSpan w:val="10"/>
          </w:tcPr>
          <w:p>
            <w:pPr>
              <w:spacing w:after="0"/>
              <w:rPr>
                <w:rFonts w:ascii="Arial" w:cs="Arial" w:eastAsia="Arial" w:hAnsi="Arial"/>
                <w:sz w:val="18"/>
                <w:szCs w:val="18"/>
                <w:b w:val="1"/>
                <w:bCs w:val="1"/>
                <w:i w:val="1"/>
                <w:iCs w:val="1"/>
                <w:color w:val="0000EE"/>
              </w:rPr>
            </w:pPr>
            <w:hyperlink w:anchor="page32">
              <w:r>
                <w:rPr>
                  <w:rFonts w:ascii="Arial" w:cs="Arial" w:eastAsia="Arial" w:hAnsi="Arial"/>
                  <w:sz w:val="18"/>
                  <w:szCs w:val="18"/>
                  <w:b w:val="1"/>
                  <w:bCs w:val="1"/>
                  <w:i w:val="1"/>
                  <w:iCs w:val="1"/>
                  <w:color w:val="0000EE"/>
                </w:rPr>
                <w:t>Mine Safety Disclosures</w:t>
              </w:r>
            </w:hyperlink>
          </w:p>
        </w:tc>
        <w:tc>
          <w:tcPr>
            <w:tcW w:w="7420" w:type="dxa"/>
            <w:vAlign w:val="bottom"/>
            <w:gridSpan w:val="10"/>
          </w:tcPr>
          <w:p>
            <w:pPr>
              <w:spacing w:after="0"/>
              <w:rPr>
                <w:sz w:val="24"/>
                <w:szCs w:val="24"/>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Item 5.</w:t>
            </w:r>
          </w:p>
        </w:tc>
        <w:tc>
          <w:tcPr>
            <w:tcW w:w="1400" w:type="dxa"/>
            <w:vAlign w:val="bottom"/>
            <w:tcBorders>
              <w:top w:val="single" w:sz="8" w:color="0000EE"/>
              <w:bottom w:val="single" w:sz="8" w:color="0000EE"/>
            </w:tcBorders>
            <w:gridSpan w:val="5"/>
          </w:tcPr>
          <w:p>
            <w:pPr>
              <w:spacing w:after="0"/>
              <w:rPr>
                <w:rFonts w:ascii="Arial" w:cs="Arial" w:eastAsia="Arial" w:hAnsi="Arial"/>
                <w:sz w:val="18"/>
                <w:szCs w:val="18"/>
                <w:b w:val="1"/>
                <w:bCs w:val="1"/>
                <w:i w:val="1"/>
                <w:iCs w:val="1"/>
                <w:color w:val="0000EE"/>
                <w:w w:val="90"/>
              </w:rPr>
            </w:pPr>
            <w:hyperlink w:anchor="page32">
              <w:r>
                <w:rPr>
                  <w:rFonts w:ascii="Arial" w:cs="Arial" w:eastAsia="Arial" w:hAnsi="Arial"/>
                  <w:sz w:val="18"/>
                  <w:szCs w:val="18"/>
                  <w:b w:val="1"/>
                  <w:bCs w:val="1"/>
                  <w:i w:val="1"/>
                  <w:iCs w:val="1"/>
                  <w:color w:val="0000EE"/>
                  <w:w w:val="90"/>
                </w:rPr>
                <w:t>Other Information</w:t>
              </w:r>
            </w:hyperlink>
          </w:p>
        </w:tc>
        <w:tc>
          <w:tcPr>
            <w:tcW w:w="400" w:type="dxa"/>
            <w:vAlign w:val="bottom"/>
            <w:tcBorders>
              <w:top w:val="single" w:sz="8" w:color="0000EE"/>
            </w:tcBorders>
            <w:gridSpan w:val="2"/>
          </w:tcPr>
          <w:p>
            <w:pPr>
              <w:spacing w:after="0"/>
              <w:rPr>
                <w:sz w:val="24"/>
                <w:szCs w:val="24"/>
                <w:color w:val="auto"/>
              </w:rPr>
            </w:pPr>
          </w:p>
        </w:tc>
        <w:tc>
          <w:tcPr>
            <w:tcW w:w="8020" w:type="dxa"/>
            <w:vAlign w:val="bottom"/>
            <w:gridSpan w:val="13"/>
          </w:tcPr>
          <w:p>
            <w:pPr>
              <w:spacing w:after="0"/>
              <w:rPr>
                <w:sz w:val="24"/>
                <w:szCs w:val="24"/>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Item 6.</w:t>
            </w:r>
          </w:p>
        </w:tc>
        <w:tc>
          <w:tcPr>
            <w:tcW w:w="9820" w:type="dxa"/>
            <w:vAlign w:val="bottom"/>
            <w:gridSpan w:val="20"/>
          </w:tcPr>
          <w:p>
            <w:pPr>
              <w:spacing w:after="0"/>
              <w:rPr>
                <w:rFonts w:ascii="Arial" w:cs="Arial" w:eastAsia="Arial" w:hAnsi="Arial"/>
                <w:sz w:val="18"/>
                <w:szCs w:val="18"/>
                <w:b w:val="1"/>
                <w:bCs w:val="1"/>
                <w:i w:val="1"/>
                <w:iCs w:val="1"/>
                <w:color w:val="0000EE"/>
              </w:rPr>
            </w:pPr>
            <w:hyperlink w:anchor="page32">
              <w:r>
                <w:rPr>
                  <w:rFonts w:ascii="Arial" w:cs="Arial" w:eastAsia="Arial" w:hAnsi="Arial"/>
                  <w:sz w:val="18"/>
                  <w:szCs w:val="18"/>
                  <w:b w:val="1"/>
                  <w:bCs w:val="1"/>
                  <w:i w:val="1"/>
                  <w:iCs w:val="1"/>
                  <w:color w:val="0000EE"/>
                </w:rPr>
                <w:t>Exhibits</w:t>
              </w:r>
            </w:hyperlink>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rFonts w:ascii="Arial" w:cs="Arial" w:eastAsia="Arial" w:hAnsi="Arial"/>
                <w:sz w:val="18"/>
                <w:szCs w:val="18"/>
                <w:b w:val="1"/>
                <w:bCs w:val="1"/>
                <w:i w:val="1"/>
                <w:iCs w:val="1"/>
                <w:color w:val="0000EE"/>
                <w:w w:val="96"/>
              </w:rPr>
            </w:pPr>
            <w:hyperlink w:anchor="page33">
              <w:r>
                <w:rPr>
                  <w:rFonts w:ascii="Arial" w:cs="Arial" w:eastAsia="Arial" w:hAnsi="Arial"/>
                  <w:sz w:val="18"/>
                  <w:szCs w:val="18"/>
                  <w:b w:val="1"/>
                  <w:bCs w:val="1"/>
                  <w:i w:val="1"/>
                  <w:iCs w:val="1"/>
                  <w:color w:val="0000EE"/>
                  <w:w w:val="96"/>
                </w:rPr>
                <w:t>Signatures</w:t>
              </w:r>
            </w:hyperlink>
          </w:p>
        </w:tc>
        <w:tc>
          <w:tcPr>
            <w:tcW w:w="3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595"/>
        </w:trPr>
        <w:tc>
          <w:tcPr>
            <w:tcW w:w="800" w:type="dxa"/>
            <w:vAlign w:val="bottom"/>
            <w:tcBorders>
              <w:top w:val="single" w:sz="8" w:color="0000EE"/>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2" w:name="page3"/>
    <w:bookmarkEnd w:id="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June 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1"/>
              </w:rPr>
              <w:t>(Unaudited)</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7,594</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rPr>
              <w:t>Trade accounts receivable, net of allowance for doubtful accounts of $233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9,172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10,563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7,183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544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24,493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Property and equipment:</w:t>
            </w: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Machinery and equipment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5,351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rPr>
              <w:t>Leasehold improvements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2,341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2,341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Gross property and equipment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7,692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rPr>
              <w:t>Less: accumulated depreciation</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(5,120)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(4,790)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property and equipment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2,572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9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Right-of-use assets, net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5,548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13,738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14,279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14,911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Restricted certificates of deposit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9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60,796</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67,187</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9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2,412</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rPr>
              <w:t>Accrued wages and benefits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1,979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professional fees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rPr>
              <w:t>Customer deposits and deferred revenue</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712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sales commission</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rPr>
              <w:t>Current portion of operating lease liabilities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1,348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Domestic and foreign income taxes payable</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rPr>
              <w:t>Earnout payable</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12,167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current liabilities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tcPr>
          <w:p>
            <w:pPr>
              <w:ind w:left="48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9,116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21,418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 net of current portion</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4,514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Contingent liability for repayment of state and local grant funds received</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463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tcPr>
          <w:p>
            <w:pPr>
              <w:ind w:left="480"/>
              <w:spacing w:after="0"/>
              <w:rPr>
                <w:sz w:val="20"/>
                <w:szCs w:val="20"/>
                <w:color w:val="auto"/>
              </w:rPr>
            </w:pPr>
            <w:r>
              <w:rPr>
                <w:rFonts w:ascii="Arial" w:cs="Arial" w:eastAsia="Arial" w:hAnsi="Arial"/>
                <w:sz w:val="18"/>
                <w:szCs w:val="18"/>
                <w:color w:val="auto"/>
              </w:rPr>
              <w:t>Total liabilities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16,593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24,307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rPr>
              <w:t>Preferred stock, $0.01 par value; 5,000,000 shares authorized; no shares issued or outstanding</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0"/>
              </w:rPr>
              <w:t>Common stock, $0.01 par value; 20,000,000 shares authorized; 10,626,390 and 10,523,035 shares issued,</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respectively</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26,908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26,513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16,634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rPr>
              <w:t>Accumulated other comprehensive earnings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759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Treasury stock, at cost; 33,077 shares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tcPr>
          <w:p>
            <w:pPr>
              <w:ind w:left="480"/>
              <w:spacing w:after="0"/>
              <w:rPr>
                <w:sz w:val="20"/>
                <w:szCs w:val="20"/>
                <w:color w:val="auto"/>
              </w:rPr>
            </w:pPr>
            <w:r>
              <w:rPr>
                <w:rFonts w:ascii="Arial" w:cs="Arial" w:eastAsia="Arial" w:hAnsi="Arial"/>
                <w:sz w:val="18"/>
                <w:szCs w:val="18"/>
                <w:color w:val="auto"/>
              </w:rPr>
              <w:t>Total stockholders' equity</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44,203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42,880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79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60,796</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67,187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118" w:right="2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3" w:name="page4"/>
    <w:bookmarkEnd w:id="3"/>
    <w:p>
      <w:pPr>
        <w:spacing w:after="0" w:line="191" w:lineRule="auto"/>
        <w:framePr w:w="340" w:h="193" w:wrap="auto" w:vAnchor="page" w:hAnchor="page" w:x="5780" w:y="9415"/>
        <w:rPr>
          <w:rFonts w:ascii="Arial" w:cs="Arial" w:eastAsia="Arial" w:hAnsi="Arial"/>
          <w:sz w:val="21"/>
          <w:szCs w:val="21"/>
          <w:color w:val="auto"/>
        </w:rPr>
      </w:pPr>
      <w:r>
        <w:rPr>
          <w:rFonts w:ascii="Arial" w:cs="Arial" w:eastAsia="Arial" w:hAnsi="Arial"/>
          <w:sz w:val="21"/>
          <w:szCs w:val="21"/>
          <w:color w:val="auto"/>
        </w:rPr>
        <w:t>-2-</w:t>
      </w:r>
    </w:p>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rFonts w:ascii="Arial" w:cs="Arial" w:eastAsia="Arial" w:hAnsi="Arial"/>
          <w:sz w:val="21"/>
          <w:szCs w:val="21"/>
          <w:color w:val="auto"/>
        </w:rPr>
      </w:pPr>
    </w:p>
    <w:p>
      <w:pPr>
        <w:spacing w:after="0" w:line="253" w:lineRule="exact"/>
        <w:rPr>
          <w:rFonts w:ascii="Arial" w:cs="Arial" w:eastAsia="Arial" w:hAnsi="Arial"/>
          <w:sz w:val="21"/>
          <w:szCs w:val="21"/>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rFonts w:ascii="Arial" w:cs="Arial" w:eastAsia="Arial" w:hAnsi="Arial"/>
          <w:sz w:val="21"/>
          <w:szCs w:val="21"/>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rFonts w:ascii="Arial" w:cs="Arial" w:eastAsia="Arial" w:hAnsi="Arial"/>
          <w:sz w:val="21"/>
          <w:szCs w:val="21"/>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9" w:lineRule="exact"/>
        <w:rPr>
          <w:rFonts w:ascii="Arial" w:cs="Arial" w:eastAsia="Arial" w:hAnsi="Arial"/>
          <w:sz w:val="21"/>
          <w:szCs w:val="21"/>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rFonts w:ascii="Arial" w:cs="Arial" w:eastAsia="Arial" w:hAnsi="Arial"/>
          <w:sz w:val="21"/>
          <w:szCs w:val="2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18"/>
                <w:szCs w:val="18"/>
                <w:color w:val="auto"/>
              </w:rPr>
            </w:pPr>
          </w:p>
        </w:tc>
        <w:tc>
          <w:tcPr>
            <w:tcW w:w="238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14,352</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21,097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32,414</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Cost of revenues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7,633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10,187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16,859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19,663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15,555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expense</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2,087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2,538</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160"/>
              <w:spacing w:after="0"/>
              <w:rPr>
                <w:sz w:val="20"/>
                <w:szCs w:val="20"/>
                <w:color w:val="auto"/>
              </w:rPr>
            </w:pPr>
            <w:r>
              <w:rPr>
                <w:rFonts w:ascii="Arial" w:cs="Arial" w:eastAsia="Arial" w:hAnsi="Arial"/>
                <w:sz w:val="18"/>
                <w:szCs w:val="18"/>
                <w:color w:val="auto"/>
              </w:rPr>
              <w:t>Engineering and product development expense</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1,208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1,230</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2,492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 expense</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3,718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3,335</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7,455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160"/>
              <w:spacing w:after="0"/>
              <w:rPr>
                <w:sz w:val="20"/>
                <w:szCs w:val="20"/>
                <w:color w:val="auto"/>
              </w:rPr>
            </w:pPr>
            <w:r>
              <w:rPr>
                <w:rFonts w:ascii="Arial" w:cs="Arial" w:eastAsia="Arial" w:hAnsi="Arial"/>
                <w:sz w:val="18"/>
                <w:szCs w:val="18"/>
                <w:color w:val="auto"/>
              </w:rPr>
              <w:t>Adjustment to contingent consideration liability</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(710)</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7,013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6,393</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14,408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14,881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Operating income (loss)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4,517</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1,147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Other income (loss)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Earnings (loss) before income tax expense (benefit)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4,396</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1,162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382</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(187)</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4,014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951</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8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 per common share - basic</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(0.02)</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0.09</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Weighted average common shares outstanding - basic</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10,411,276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10,342,674</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10,398,147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10,334,492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Net earnings (loss) per common share - diluted</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(0.02)</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0.39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0.09</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880" w:type="dxa"/>
            <w:vAlign w:val="bottom"/>
          </w:tcPr>
          <w:p>
            <w:pPr>
              <w:spacing w:after="0" w:line="201" w:lineRule="exact"/>
              <w:rPr>
                <w:sz w:val="20"/>
                <w:szCs w:val="20"/>
                <w:color w:val="auto"/>
              </w:rPr>
            </w:pPr>
            <w:r>
              <w:rPr>
                <w:rFonts w:ascii="Arial" w:cs="Arial" w:eastAsia="Arial" w:hAnsi="Arial"/>
                <w:sz w:val="18"/>
                <w:szCs w:val="18"/>
                <w:color w:val="auto"/>
                <w:w w:val="91"/>
              </w:rPr>
              <w:t>Weighted average common shares and common share equivalents outstanding -</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00" w:type="dxa"/>
            <w:vAlign w:val="bottom"/>
            <w:gridSpan w:val="2"/>
          </w:tcPr>
          <w:p>
            <w:pPr>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10,411,276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10,370,318</w:t>
            </w: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10,419,914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10,367,812</w:t>
            </w:r>
          </w:p>
        </w:tc>
        <w:tc>
          <w:tcPr>
            <w:tcW w:w="0" w:type="dxa"/>
            <w:vAlign w:val="bottom"/>
          </w:tcPr>
          <w:p>
            <w:pPr>
              <w:spacing w:after="0"/>
              <w:rPr>
                <w:sz w:val="1"/>
                <w:szCs w:val="1"/>
                <w:color w:val="auto"/>
              </w:rPr>
            </w:pPr>
          </w:p>
        </w:tc>
      </w:tr>
    </w:tbl>
    <w:p>
      <w:pPr>
        <w:spacing w:after="0" w:line="202" w:lineRule="exact"/>
        <w:rPr>
          <w:rFonts w:ascii="Arial" w:cs="Arial" w:eastAsia="Arial" w:hAnsi="Arial"/>
          <w:sz w:val="21"/>
          <w:szCs w:val="21"/>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 w:lineRule="exact"/>
        <w:rPr>
          <w:rFonts w:ascii="Arial" w:cs="Arial" w:eastAsia="Arial" w:hAnsi="Arial"/>
          <w:sz w:val="21"/>
          <w:szCs w:val="21"/>
          <w:color w:val="auto"/>
        </w:rPr>
      </w:pPr>
      <w:r>
        <w:rPr>
          <w:rFonts w:ascii="Arial" w:cs="Arial" w:eastAsia="Arial" w:hAnsi="Arial"/>
          <w:sz w:val="21"/>
          <w:szCs w:val="21"/>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 w:name="page5"/>
    <w:bookmarkEnd w:id="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EARNINGS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740" w:type="dxa"/>
            <w:vAlign w:val="bottom"/>
            <w:gridSpan w:val="7"/>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36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3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w:t>
            </w:r>
          </w:p>
        </w:tc>
        <w:tc>
          <w:tcPr>
            <w:tcW w:w="234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(187)</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4,014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951</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1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earnings (loss)</w:t>
            </w:r>
          </w:p>
        </w:tc>
        <w:tc>
          <w:tcPr>
            <w:tcW w:w="234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(128)</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3,894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927</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9"/>
          </w:tcPr>
          <w:p>
            <w:pPr>
              <w:jc w:val="right"/>
              <w:ind w:right="540"/>
              <w:spacing w:after="0"/>
              <w:rPr>
                <w:sz w:val="20"/>
                <w:szCs w:val="20"/>
                <w:color w:val="auto"/>
              </w:rPr>
            </w:pPr>
            <w:r>
              <w:rPr>
                <w:rFonts w:ascii="Arial" w:cs="Arial" w:eastAsia="Arial" w:hAnsi="Arial"/>
                <w:sz w:val="18"/>
                <w:szCs w:val="18"/>
                <w:b w:val="1"/>
                <w:bCs w:val="1"/>
                <w:color w:val="auto"/>
              </w:rPr>
              <w:t>Six Months Ended June 30, 2019</w:t>
            </w: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3"/>
          </w:tcPr>
          <w:p>
            <w:pPr>
              <w:jc w:val="center"/>
              <w:ind w:right="12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2160" w:type="dxa"/>
            <w:vAlign w:val="bottom"/>
            <w:gridSpan w:val="5"/>
            <w:vMerge w:val="restart"/>
          </w:tcPr>
          <w:p>
            <w:pPr>
              <w:jc w:val="right"/>
              <w:ind w:right="540"/>
              <w:spacing w:after="0"/>
              <w:rPr>
                <w:sz w:val="20"/>
                <w:szCs w:val="20"/>
                <w:color w:val="auto"/>
              </w:rPr>
            </w:pPr>
            <w:r>
              <w:rPr>
                <w:rFonts w:ascii="Arial" w:cs="Arial" w:eastAsia="Arial" w:hAnsi="Arial"/>
                <w:sz w:val="18"/>
                <w:szCs w:val="18"/>
                <w:b w:val="1"/>
                <w:bCs w:val="1"/>
                <w:color w:val="auto"/>
              </w:rPr>
              <w:t>Common Stock</w:t>
            </w:r>
          </w:p>
        </w:tc>
        <w:tc>
          <w:tcPr>
            <w:tcW w:w="100" w:type="dxa"/>
            <w:vAlign w:val="bottom"/>
          </w:tcPr>
          <w:p>
            <w:pPr>
              <w:spacing w:after="0"/>
              <w:rPr>
                <w:sz w:val="19"/>
                <w:szCs w:val="19"/>
                <w:color w:val="auto"/>
              </w:rPr>
            </w:pPr>
          </w:p>
        </w:tc>
        <w:tc>
          <w:tcPr>
            <w:tcW w:w="10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3"/>
              </w:rPr>
              <w:t>Additional</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2160" w:type="dxa"/>
            <w:vAlign w:val="bottom"/>
            <w:gridSpan w:val="5"/>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Paid-in</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9"/>
              </w:rPr>
              <w:t>Retained</w:t>
            </w:r>
          </w:p>
        </w:tc>
        <w:tc>
          <w:tcPr>
            <w:tcW w:w="13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8"/>
              </w:rPr>
              <w:t>Comprehensive</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Treasury</w:t>
            </w:r>
          </w:p>
        </w:tc>
        <w:tc>
          <w:tcPr>
            <w:tcW w:w="1220" w:type="dxa"/>
            <w:vAlign w:val="bottom"/>
            <w:gridSpan w:val="4"/>
          </w:tcPr>
          <w:p>
            <w:pPr>
              <w:ind w:left="80"/>
              <w:spacing w:after="0"/>
              <w:rPr>
                <w:sz w:val="20"/>
                <w:szCs w:val="20"/>
                <w:color w:val="auto"/>
              </w:rPr>
            </w:pPr>
            <w:r>
              <w:rPr>
                <w:rFonts w:ascii="Arial" w:cs="Arial" w:eastAsia="Arial" w:hAnsi="Arial"/>
                <w:sz w:val="18"/>
                <w:szCs w:val="18"/>
                <w:b w:val="1"/>
                <w:bCs w:val="1"/>
                <w:color w:val="auto"/>
                <w:w w:val="94"/>
              </w:rPr>
              <w:t>Stockholders'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Shares</w:t>
            </w: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4"/>
              </w:rPr>
              <w:t>Amount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3"/>
              </w:rPr>
              <w:t>Capital</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8"/>
              </w:rPr>
              <w:t>Earnings</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0"/>
              </w:rPr>
              <w:t>Earnings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Stock</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2019</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10,523,035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26,513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15,683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783</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(204)</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1,138</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(83)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Amortization of deferred compensation</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related to stock-based awards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183</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tcPr>
          <w:p>
            <w:pPr>
              <w:spacing w:after="0" w:line="201" w:lineRule="exact"/>
              <w:rPr>
                <w:sz w:val="20"/>
                <w:szCs w:val="20"/>
                <w:color w:val="auto"/>
              </w:rPr>
            </w:pPr>
            <w:r>
              <w:rPr>
                <w:rFonts w:ascii="Arial" w:cs="Arial" w:eastAsia="Arial" w:hAnsi="Arial"/>
                <w:sz w:val="18"/>
                <w:szCs w:val="18"/>
                <w:color w:val="auto"/>
                <w:w w:val="97"/>
              </w:rPr>
              <w:t>Issuance of unvested shares of restricted</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80,300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rPr>
              <w:t>stock</w:t>
            </w:r>
          </w:p>
        </w:tc>
        <w:tc>
          <w:tcPr>
            <w:tcW w:w="9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 2019</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10,603,335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26,695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16,821</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(187)</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Amortization of deferred compensation</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related to stock-based awards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213</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tcPr>
          <w:p>
            <w:pPr>
              <w:spacing w:after="0" w:line="201" w:lineRule="exact"/>
              <w:rPr>
                <w:sz w:val="20"/>
                <w:szCs w:val="20"/>
                <w:color w:val="auto"/>
              </w:rPr>
            </w:pPr>
            <w:r>
              <w:rPr>
                <w:rFonts w:ascii="Arial" w:cs="Arial" w:eastAsia="Arial" w:hAnsi="Arial"/>
                <w:sz w:val="18"/>
                <w:szCs w:val="18"/>
                <w:color w:val="auto"/>
                <w:w w:val="97"/>
              </w:rPr>
              <w:t>Issuance of unvested shares of restricted</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rPr>
              <w:t>stock</w:t>
            </w:r>
          </w:p>
        </w:tc>
        <w:tc>
          <w:tcPr>
            <w:tcW w:w="920" w:type="dxa"/>
            <w:vAlign w:val="bottom"/>
          </w:tcPr>
          <w:p>
            <w:pPr>
              <w:jc w:val="right"/>
              <w:spacing w:after="0"/>
              <w:rPr>
                <w:sz w:val="20"/>
                <w:szCs w:val="20"/>
                <w:color w:val="auto"/>
              </w:rPr>
            </w:pPr>
            <w:r>
              <w:rPr>
                <w:rFonts w:ascii="Arial" w:cs="Arial" w:eastAsia="Arial" w:hAnsi="Arial"/>
                <w:sz w:val="18"/>
                <w:szCs w:val="18"/>
                <w:color w:val="auto"/>
              </w:rPr>
              <w:t>35,380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Forfeiture of unvested shares of restricted</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(12,325)</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40" w:type="dxa"/>
            <w:vAlign w:val="bottom"/>
            <w:gridSpan w:val="2"/>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2019</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10,626,390</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26,908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16,634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(204)</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9"/>
          </w:tcPr>
          <w:p>
            <w:pPr>
              <w:jc w:val="right"/>
              <w:ind w:right="540"/>
              <w:spacing w:after="0"/>
              <w:rPr>
                <w:sz w:val="20"/>
                <w:szCs w:val="20"/>
                <w:color w:val="auto"/>
              </w:rPr>
            </w:pPr>
            <w:r>
              <w:rPr>
                <w:rFonts w:ascii="Arial" w:cs="Arial" w:eastAsia="Arial" w:hAnsi="Arial"/>
                <w:sz w:val="18"/>
                <w:szCs w:val="18"/>
                <w:b w:val="1"/>
                <w:bCs w:val="1"/>
                <w:color w:val="auto"/>
              </w:rPr>
              <w:t>Six Months Ended June 30, 2018</w:t>
            </w: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3"/>
          </w:tcPr>
          <w:p>
            <w:pPr>
              <w:jc w:val="center"/>
              <w:ind w:right="12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2160" w:type="dxa"/>
            <w:vAlign w:val="bottom"/>
            <w:gridSpan w:val="5"/>
            <w:vMerge w:val="restart"/>
          </w:tcPr>
          <w:p>
            <w:pPr>
              <w:jc w:val="right"/>
              <w:ind w:right="540"/>
              <w:spacing w:after="0"/>
              <w:rPr>
                <w:sz w:val="20"/>
                <w:szCs w:val="20"/>
                <w:color w:val="auto"/>
              </w:rPr>
            </w:pPr>
            <w:r>
              <w:rPr>
                <w:rFonts w:ascii="Arial" w:cs="Arial" w:eastAsia="Arial" w:hAnsi="Arial"/>
                <w:sz w:val="18"/>
                <w:szCs w:val="18"/>
                <w:b w:val="1"/>
                <w:bCs w:val="1"/>
                <w:color w:val="auto"/>
              </w:rPr>
              <w:t>Common Stock</w:t>
            </w:r>
          </w:p>
        </w:tc>
        <w:tc>
          <w:tcPr>
            <w:tcW w:w="100" w:type="dxa"/>
            <w:vAlign w:val="bottom"/>
          </w:tcPr>
          <w:p>
            <w:pPr>
              <w:spacing w:after="0"/>
              <w:rPr>
                <w:sz w:val="19"/>
                <w:szCs w:val="19"/>
                <w:color w:val="auto"/>
              </w:rPr>
            </w:pPr>
          </w:p>
        </w:tc>
        <w:tc>
          <w:tcPr>
            <w:tcW w:w="10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3"/>
              </w:rPr>
              <w:t>Additional</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2160" w:type="dxa"/>
            <w:vAlign w:val="bottom"/>
            <w:gridSpan w:val="5"/>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Paid-in</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9"/>
              </w:rPr>
              <w:t>Retained</w:t>
            </w:r>
          </w:p>
        </w:tc>
        <w:tc>
          <w:tcPr>
            <w:tcW w:w="13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8"/>
              </w:rPr>
              <w:t>Comprehensive</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Treasury</w:t>
            </w:r>
          </w:p>
        </w:tc>
        <w:tc>
          <w:tcPr>
            <w:tcW w:w="1220" w:type="dxa"/>
            <w:vAlign w:val="bottom"/>
            <w:gridSpan w:val="4"/>
          </w:tcPr>
          <w:p>
            <w:pPr>
              <w:ind w:left="80"/>
              <w:spacing w:after="0"/>
              <w:rPr>
                <w:sz w:val="20"/>
                <w:szCs w:val="20"/>
                <w:color w:val="auto"/>
              </w:rPr>
            </w:pPr>
            <w:r>
              <w:rPr>
                <w:rFonts w:ascii="Arial" w:cs="Arial" w:eastAsia="Arial" w:hAnsi="Arial"/>
                <w:sz w:val="18"/>
                <w:szCs w:val="18"/>
                <w:b w:val="1"/>
                <w:bCs w:val="1"/>
                <w:color w:val="auto"/>
                <w:w w:val="94"/>
              </w:rPr>
              <w:t>Stockholders'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Shares</w:t>
            </w: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4"/>
              </w:rPr>
              <w:t>Amount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3"/>
              </w:rPr>
              <w:t>Capital</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8"/>
              </w:rPr>
              <w:t>Earnings</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0"/>
              </w:rPr>
              <w:t>Earnings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Stock</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2018</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10,427,435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25,860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12,646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(204)</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381</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Amortization of deferred compensation</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related to stock-based awards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tcPr>
          <w:p>
            <w:pPr>
              <w:spacing w:after="0" w:line="201" w:lineRule="exact"/>
              <w:rPr>
                <w:sz w:val="20"/>
                <w:szCs w:val="20"/>
                <w:color w:val="auto"/>
              </w:rPr>
            </w:pPr>
            <w:r>
              <w:rPr>
                <w:rFonts w:ascii="Arial" w:cs="Arial" w:eastAsia="Arial" w:hAnsi="Arial"/>
                <w:sz w:val="18"/>
                <w:szCs w:val="18"/>
                <w:color w:val="auto"/>
                <w:w w:val="97"/>
              </w:rPr>
              <w:t>Issuance of unvested shares of restricted</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79,200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rPr>
              <w:t>stock</w:t>
            </w:r>
          </w:p>
        </w:tc>
        <w:tc>
          <w:tcPr>
            <w:tcW w:w="9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 2018</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10,506,635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25,980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13,027</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4,014</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(120)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Amortization of deferred compensation</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related to stock-based awards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171</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tcPr>
          <w:p>
            <w:pPr>
              <w:spacing w:after="0" w:line="201" w:lineRule="exact"/>
              <w:rPr>
                <w:sz w:val="20"/>
                <w:szCs w:val="20"/>
                <w:color w:val="auto"/>
              </w:rPr>
            </w:pPr>
            <w:r>
              <w:rPr>
                <w:rFonts w:ascii="Arial" w:cs="Arial" w:eastAsia="Arial" w:hAnsi="Arial"/>
                <w:sz w:val="18"/>
                <w:szCs w:val="18"/>
                <w:color w:val="auto"/>
                <w:w w:val="97"/>
              </w:rPr>
              <w:t>Issuance of unvested shares of restricted</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rPr>
              <w:t>stock</w:t>
            </w:r>
          </w:p>
        </w:tc>
        <w:tc>
          <w:tcPr>
            <w:tcW w:w="920" w:type="dxa"/>
            <w:vAlign w:val="bottom"/>
          </w:tcPr>
          <w:p>
            <w:pPr>
              <w:jc w:val="right"/>
              <w:spacing w:after="0"/>
              <w:rPr>
                <w:sz w:val="20"/>
                <w:szCs w:val="20"/>
                <w:color w:val="auto"/>
              </w:rPr>
            </w:pPr>
            <w:r>
              <w:rPr>
                <w:rFonts w:ascii="Arial" w:cs="Arial" w:eastAsia="Arial" w:hAnsi="Arial"/>
                <w:sz w:val="18"/>
                <w:szCs w:val="18"/>
                <w:color w:val="auto"/>
              </w:rPr>
              <w:t>11,900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40" w:type="dxa"/>
            <w:vAlign w:val="bottom"/>
            <w:gridSpan w:val="2"/>
          </w:tcPr>
          <w:p>
            <w:pPr>
              <w:spacing w:after="0"/>
              <w:rPr>
                <w:sz w:val="20"/>
                <w:szCs w:val="20"/>
                <w:color w:val="auto"/>
              </w:rPr>
            </w:pPr>
            <w:r>
              <w:rPr>
                <w:rFonts w:ascii="Arial" w:cs="Arial" w:eastAsia="Arial" w:hAnsi="Arial"/>
                <w:sz w:val="18"/>
                <w:szCs w:val="18"/>
                <w:color w:val="auto"/>
              </w:rPr>
              <w:t>Balance, June 30, 2018</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10,518,535</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105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26,151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17,041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800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(204)</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43,893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118" w:right="2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6" w:name="page7"/>
    <w:bookmarkEnd w:id="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60" w:type="dxa"/>
            <w:vAlign w:val="bottom"/>
            <w:gridSpan w:val="5"/>
          </w:tcPr>
          <w:p>
            <w:pPr>
              <w:jc w:val="right"/>
              <w:ind w:right="360"/>
              <w:spacing w:after="0"/>
              <w:rPr>
                <w:sz w:val="20"/>
                <w:szCs w:val="20"/>
                <w:color w:val="auto"/>
              </w:rPr>
            </w:pPr>
            <w:r>
              <w:rPr>
                <w:rFonts w:ascii="Arial" w:cs="Arial" w:eastAsia="Arial" w:hAnsi="Arial"/>
                <w:sz w:val="18"/>
                <w:szCs w:val="18"/>
                <w:b w:val="1"/>
                <w:bCs w:val="1"/>
                <w:color w:val="auto"/>
              </w:rPr>
              <w:t>Six Months Ended</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ind w:right="740"/>
              <w:spacing w:after="0"/>
              <w:rPr>
                <w:sz w:val="20"/>
                <w:szCs w:val="20"/>
                <w:color w:val="auto"/>
              </w:rPr>
            </w:pPr>
            <w:r>
              <w:rPr>
                <w:rFonts w:ascii="Arial" w:cs="Arial" w:eastAsia="Arial" w:hAnsi="Arial"/>
                <w:sz w:val="18"/>
                <w:szCs w:val="18"/>
                <w:b w:val="1"/>
                <w:bCs w:val="1"/>
                <w:color w:val="auto"/>
              </w:rPr>
              <w:t>June 30,</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2018</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6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Net earnings</w:t>
            </w:r>
          </w:p>
        </w:tc>
        <w:tc>
          <w:tcPr>
            <w:tcW w:w="162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951</w:t>
            </w:r>
          </w:p>
        </w:tc>
        <w:tc>
          <w:tcPr>
            <w:tcW w:w="102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Adjustments to reconcile net earnings to net cash provided by (used in) operating activities:</w:t>
            </w: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80"/>
              <w:spacing w:after="0"/>
              <w:rPr>
                <w:sz w:val="20"/>
                <w:szCs w:val="20"/>
                <w:color w:val="auto"/>
              </w:rPr>
            </w:pPr>
            <w:r>
              <w:rPr>
                <w:rFonts w:ascii="Arial" w:cs="Arial" w:eastAsia="Arial" w:hAnsi="Arial"/>
                <w:sz w:val="18"/>
                <w:szCs w:val="18"/>
                <w:color w:val="auto"/>
              </w:rPr>
              <w:t>Depreciation and amortization</w:t>
            </w: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1,598</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Payment of earnout related to Ambrell acquisition</w:t>
            </w: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(12,167)</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80"/>
              <w:spacing w:after="0"/>
              <w:rPr>
                <w:sz w:val="20"/>
                <w:szCs w:val="20"/>
                <w:color w:val="auto"/>
              </w:rPr>
            </w:pPr>
            <w:r>
              <w:rPr>
                <w:rFonts w:ascii="Arial" w:cs="Arial" w:eastAsia="Arial" w:hAnsi="Arial"/>
                <w:sz w:val="18"/>
                <w:szCs w:val="18"/>
                <w:color w:val="auto"/>
              </w:rPr>
              <w:t>Adjustment to earnout payable</w:t>
            </w: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Provision for excess and obsolete inventory</w:t>
            </w: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243</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80"/>
              <w:spacing w:after="0"/>
              <w:rPr>
                <w:sz w:val="20"/>
                <w:szCs w:val="20"/>
                <w:color w:val="auto"/>
              </w:rPr>
            </w:pPr>
            <w:r>
              <w:rPr>
                <w:rFonts w:ascii="Arial" w:cs="Arial" w:eastAsia="Arial" w:hAnsi="Arial"/>
                <w:sz w:val="18"/>
                <w:szCs w:val="18"/>
                <w:color w:val="auto"/>
              </w:rPr>
              <w:t>Foreign exchange (gain) loss</w:t>
            </w: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Amortization of deferred compensation related to stock-based awards</w:t>
            </w: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396</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80"/>
              <w:spacing w:after="0"/>
              <w:rPr>
                <w:sz w:val="20"/>
                <w:szCs w:val="20"/>
                <w:color w:val="auto"/>
              </w:rPr>
            </w:pPr>
            <w:r>
              <w:rPr>
                <w:rFonts w:ascii="Arial" w:cs="Arial" w:eastAsia="Arial" w:hAnsi="Arial"/>
                <w:sz w:val="18"/>
                <w:szCs w:val="18"/>
                <w:color w:val="auto"/>
              </w:rPr>
              <w:t>Loss on disposal of property and equipment</w:t>
            </w: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Proceeds from sale of demonstration equipment, net of gain</w:t>
            </w: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80"/>
              <w:spacing w:after="0"/>
              <w:rPr>
                <w:sz w:val="20"/>
                <w:szCs w:val="20"/>
                <w:color w:val="auto"/>
              </w:rPr>
            </w:pPr>
            <w:r>
              <w:rPr>
                <w:rFonts w:ascii="Arial" w:cs="Arial" w:eastAsia="Arial" w:hAnsi="Arial"/>
                <w:sz w:val="18"/>
                <w:szCs w:val="18"/>
                <w:color w:val="auto"/>
              </w:rPr>
              <w:t>Deferred income tax benefit</w:t>
            </w: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(189)</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Changes in assets and liabilities:</w:t>
            </w: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640"/>
              <w:spacing w:after="0"/>
              <w:rPr>
                <w:sz w:val="20"/>
                <w:szCs w:val="20"/>
                <w:color w:val="auto"/>
              </w:rPr>
            </w:pPr>
            <w:r>
              <w:rPr>
                <w:rFonts w:ascii="Arial" w:cs="Arial" w:eastAsia="Arial" w:hAnsi="Arial"/>
                <w:sz w:val="18"/>
                <w:szCs w:val="18"/>
                <w:color w:val="auto"/>
              </w:rPr>
              <w:t>Trade accounts receivable</w:t>
            </w: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1,364</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Inventories</w:t>
            </w: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(908)</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640"/>
              <w:spacing w:after="0"/>
              <w:rPr>
                <w:sz w:val="20"/>
                <w:szCs w:val="20"/>
                <w:color w:val="auto"/>
              </w:rPr>
            </w:pPr>
            <w:r>
              <w:rPr>
                <w:rFonts w:ascii="Arial" w:cs="Arial" w:eastAsia="Arial" w:hAnsi="Arial"/>
                <w:sz w:val="18"/>
                <w:szCs w:val="18"/>
                <w:color w:val="auto"/>
              </w:rPr>
              <w:t>Prepaid expenses and other current assets</w:t>
            </w: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132</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Restricted certificates of deposit</w:t>
            </w: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640"/>
              <w:spacing w:after="0"/>
              <w:rPr>
                <w:sz w:val="20"/>
                <w:szCs w:val="20"/>
                <w:color w:val="auto"/>
              </w:rPr>
            </w:pPr>
            <w:r>
              <w:rPr>
                <w:rFonts w:ascii="Arial" w:cs="Arial" w:eastAsia="Arial" w:hAnsi="Arial"/>
                <w:sz w:val="18"/>
                <w:szCs w:val="18"/>
                <w:color w:val="auto"/>
              </w:rPr>
              <w:t>Other assets</w:t>
            </w: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Accounts payable</w:t>
            </w: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626</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640"/>
              <w:spacing w:after="0"/>
              <w:rPr>
                <w:sz w:val="20"/>
                <w:szCs w:val="20"/>
                <w:color w:val="auto"/>
              </w:rPr>
            </w:pPr>
            <w:r>
              <w:rPr>
                <w:rFonts w:ascii="Arial" w:cs="Arial" w:eastAsia="Arial" w:hAnsi="Arial"/>
                <w:sz w:val="18"/>
                <w:szCs w:val="18"/>
                <w:color w:val="auto"/>
              </w:rPr>
              <w:t>Accrued wages and benefits</w:t>
            </w: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(941)</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Accrued professional fees</w:t>
            </w: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640"/>
              <w:spacing w:after="0"/>
              <w:rPr>
                <w:sz w:val="20"/>
                <w:szCs w:val="20"/>
                <w:color w:val="auto"/>
              </w:rPr>
            </w:pPr>
            <w:r>
              <w:rPr>
                <w:rFonts w:ascii="Arial" w:cs="Arial" w:eastAsia="Arial" w:hAnsi="Arial"/>
                <w:sz w:val="18"/>
                <w:szCs w:val="18"/>
                <w:color w:val="auto"/>
              </w:rPr>
              <w:t>Customer deposits and deferred revenue</w:t>
            </w: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(542)</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Accrued sales commission</w:t>
            </w: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(189)</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640"/>
              <w:spacing w:after="0"/>
              <w:rPr>
                <w:sz w:val="20"/>
                <w:szCs w:val="20"/>
                <w:color w:val="auto"/>
              </w:rPr>
            </w:pPr>
            <w:r>
              <w:rPr>
                <w:rFonts w:ascii="Arial" w:cs="Arial" w:eastAsia="Arial" w:hAnsi="Arial"/>
                <w:sz w:val="18"/>
                <w:szCs w:val="18"/>
                <w:color w:val="auto"/>
              </w:rPr>
              <w:t>Operating lease liabilities</w:t>
            </w: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(668)</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Domestic and foreign income taxes payable</w:t>
            </w: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640"/>
              <w:spacing w:after="0"/>
              <w:rPr>
                <w:sz w:val="20"/>
                <w:szCs w:val="20"/>
                <w:color w:val="auto"/>
              </w:rPr>
            </w:pPr>
            <w:r>
              <w:rPr>
                <w:rFonts w:ascii="Arial" w:cs="Arial" w:eastAsia="Arial" w:hAnsi="Arial"/>
                <w:sz w:val="18"/>
                <w:szCs w:val="18"/>
                <w:color w:val="auto"/>
              </w:rPr>
              <w:t>Contingent liability for repayment of state and local grant funds received</w:t>
            </w: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263</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Long-term portion of Federal transition tax payable</w:t>
            </w: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640"/>
              <w:spacing w:after="0"/>
              <w:rPr>
                <w:sz w:val="20"/>
                <w:szCs w:val="20"/>
                <w:color w:val="auto"/>
              </w:rPr>
            </w:pPr>
            <w:r>
              <w:rPr>
                <w:rFonts w:ascii="Arial" w:cs="Arial" w:eastAsia="Arial" w:hAnsi="Arial"/>
                <w:sz w:val="18"/>
                <w:szCs w:val="18"/>
                <w:color w:val="auto"/>
              </w:rPr>
              <w:t>Other current liabilities</w:t>
            </w: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(156)</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(9,951)</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Purchase of property and equipment</w:t>
            </w: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(298)</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(1,920)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(298)</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(1,920)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Payment of earnout related to Ambrell acquisition</w:t>
            </w: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(4,123)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(4,123)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Effects of exchange rates on cash</w:t>
            </w: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all activities</w:t>
            </w: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(10,267)</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17,861</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13,290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6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7,594</w:t>
            </w:r>
          </w:p>
        </w:tc>
        <w:tc>
          <w:tcPr>
            <w:tcW w:w="10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10,713</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42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Cash payments for:</w:t>
            </w: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Domestic and foreign income taxes</w:t>
            </w:r>
          </w:p>
        </w:tc>
        <w:tc>
          <w:tcPr>
            <w:tcW w:w="162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396</w:t>
            </w:r>
          </w:p>
        </w:tc>
        <w:tc>
          <w:tcPr>
            <w:tcW w:w="102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1,425</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 w:name="page8"/>
    <w:bookmarkEnd w:id="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820" w:hanging="812"/>
        <w:spacing w:after="0"/>
        <w:tabs>
          <w:tab w:leader="none" w:pos="8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w:t>
      </w:r>
    </w:p>
    <w:p>
      <w:pPr>
        <w:spacing w:after="0" w:line="229" w:lineRule="exact"/>
        <w:rPr>
          <w:rFonts w:ascii="Arial" w:cs="Arial" w:eastAsia="Arial" w:hAnsi="Arial"/>
          <w:sz w:val="18"/>
          <w:szCs w:val="18"/>
          <w:b w:val="1"/>
          <w:bCs w:val="1"/>
          <w:color w:val="auto"/>
        </w:rPr>
      </w:pPr>
    </w:p>
    <w:p>
      <w:pPr>
        <w:ind w:left="820" w:right="24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We are a global supplier of precision-engineered solutions for use in manufacturing and testing across a wide range of markets including automotive, defense/aerospace, energy, industrial, semiconductor and telecommunications. We manage our business as two operating segments which are also our reportable segments: Thermal Products ("Thermal") and Electromechanical Semiconductor Products ("EMS"). Our Thermal segment designs, manufactures and sells our thermal test and thermal process products (including induction heating products) while our EMS segment designs, manufactures and sells our semiconductor test products. We manufacture our products in the U.S. Marketing and support activities are conducted worldwide from our facilities in the U.S., Germany, Singapore, the Netherlands and the U.K. The consolidated entity is comprised of inTEST Corporation and our wholly-owned subsidiaries .</w:t>
      </w:r>
    </w:p>
    <w:p>
      <w:pPr>
        <w:spacing w:after="0" w:line="177" w:lineRule="exact"/>
        <w:rPr>
          <w:rFonts w:ascii="Arial" w:cs="Arial" w:eastAsia="Arial" w:hAnsi="Arial"/>
          <w:sz w:val="18"/>
          <w:szCs w:val="18"/>
          <w:b w:val="1"/>
          <w:bCs w:val="1"/>
          <w:color w:val="auto"/>
        </w:rPr>
      </w:pPr>
    </w:p>
    <w:p>
      <w:pPr>
        <w:ind w:left="820" w:right="8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Our EMS segment sells its products to semiconductor manufacturers and third-party test and assembly houses (end user sales) and to automated test equipment (“ATE”) manufacturers (original equipment manufacturer (“OEM”) sales), who ultimately resell our equipment with theirs to both semiconductor manufacturers and third-party test and assembly houses. Our Thermal segment sells its products to many of these same types of customers. However, it also sells into a variety of other markets, including the automotive, consumer electronics, defense/aerospace, energy, industrial and telecommunications markets. As a result of the acquisition of Ambrell Corporation (“Ambrell”) in May 2017, our Thermal segment also sells into the consumer products packaging, fiber optics and other markets within the broader industrial market, and into the wafer processing market within the broader semiconductor market.</w:t>
      </w:r>
    </w:p>
    <w:p>
      <w:pPr>
        <w:spacing w:after="0" w:line="177" w:lineRule="exact"/>
        <w:rPr>
          <w:rFonts w:ascii="Arial" w:cs="Arial" w:eastAsia="Arial" w:hAnsi="Arial"/>
          <w:sz w:val="18"/>
          <w:szCs w:val="18"/>
          <w:b w:val="1"/>
          <w:bCs w:val="1"/>
          <w:color w:val="auto"/>
        </w:rPr>
      </w:pPr>
    </w:p>
    <w:p>
      <w:pPr>
        <w:ind w:left="820" w:right="12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Both of our operating segments have multiple products that we design, manufacture and market to our customers. Due to a number of factors, our products have varying levels of gross margin. The mix of products we sell in any period is ultimately determined by our customers' needs. Therefore, the mix of products sold in any given period can change significantly from the prior period. As a result, our consolidated gross margin can be significantly impacted in any given period by a change in the mix of products sold in that period.</w:t>
      </w:r>
    </w:p>
    <w:p>
      <w:pPr>
        <w:spacing w:after="0" w:line="171" w:lineRule="exact"/>
        <w:rPr>
          <w:rFonts w:ascii="Arial" w:cs="Arial" w:eastAsia="Arial" w:hAnsi="Arial"/>
          <w:sz w:val="18"/>
          <w:szCs w:val="18"/>
          <w:b w:val="1"/>
          <w:bCs w:val="1"/>
          <w:color w:val="auto"/>
        </w:rPr>
      </w:pPr>
    </w:p>
    <w:p>
      <w:pPr>
        <w:ind w:left="820"/>
        <w:spacing w:after="0" w:line="286" w:lineRule="auto"/>
        <w:rPr>
          <w:rFonts w:ascii="Arial" w:cs="Arial" w:eastAsia="Arial" w:hAnsi="Arial"/>
          <w:sz w:val="18"/>
          <w:szCs w:val="18"/>
          <w:b w:val="1"/>
          <w:bCs w:val="1"/>
          <w:color w:val="auto"/>
        </w:rPr>
      </w:pPr>
      <w:r>
        <w:rPr>
          <w:rFonts w:ascii="Arial" w:cs="Arial" w:eastAsia="Arial" w:hAnsi="Arial"/>
          <w:sz w:val="16"/>
          <w:szCs w:val="16"/>
          <w:color w:val="auto"/>
        </w:rPr>
        <w:t>Historically, we have referred to our markets as “Semiconductor” (which includes both the broader semiconductor market as well as the more specialized ATE and wafer processing markets within the broader semiconductor market), and “Non-Semiconductor” (which includes all of the other markets we serve). Starting in the second quarter of 2019, we are referring to the broader semiconductor, ATE and wafer processing markets as the “Semi Market.” All other markets will now be designated as “Multi Markets.” The Semi Market, which is the principal market in which we operate, is characterized by rapid technological change, competitive pricing pressures and cyclical as well as seasonal market patterns. This market is subject to significant economic downturns at various times. Our financial results are affected by a wide variety of factors, including, but not limited to, general economic conditions worldwide and in the markets in which we operate, economic conditions specific to the Semi Market and the other markets we serve, our ability to safeguard patented technology and intellectual property in a rapidly evolving market, downward pricing pressures from customers, and our reliance on a relatively few number of customers for a significant portion of our sales. In addition, we are exposed to the risk of obsolescence of our inventory depending on the mix of future business and technological changes within the markets that we serve. We also continue to implement an acquisition strategy that may cause us to incur substantial expense in reviewing and evaluating potential transactions. We may or may not be successful in locating suitable businesses to acquire. In addition, we may not be able to successfully integrate any business we do acquire with our existing business and we may not be able to operate the acquired business profitably. As a result of these or other factors, we may experience significant period-to-period fluctuations in future operating results.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 w:name="page9"/>
    <w:bookmarkEnd w:id="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ind w:left="820" w:right="5860" w:hanging="812"/>
        <w:spacing w:after="0" w:line="503" w:lineRule="auto"/>
        <w:tabs>
          <w:tab w:leader="none" w:pos="8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u w:val="single" w:color="auto"/>
          <w:color w:val="auto"/>
        </w:rPr>
        <w:t>Basis of Presentation and Use of Estimates</w:t>
      </w:r>
    </w:p>
    <w:p>
      <w:pPr>
        <w:ind w:left="820" w:right="12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The accompanying consolidated financial statements include our accounts and those of our wholly-owned subsidiaries. All significant intercompany accounts and transactions have been eliminated upon consolidation. The preparation of financial statements in conformity with accounting principles generally accepted in the United States of America requires us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Certain of our accounts, including inventories, long-lived assets, goodwill, identifiable intangibles, contingent consideration and deferred tax assets and liabilities including related valuation allowances, are particularly impacted by estimates.</w:t>
      </w:r>
    </w:p>
    <w:p>
      <w:pPr>
        <w:spacing w:after="0" w:line="177" w:lineRule="exact"/>
        <w:rPr>
          <w:rFonts w:ascii="Arial" w:cs="Arial" w:eastAsia="Arial" w:hAnsi="Arial"/>
          <w:sz w:val="18"/>
          <w:szCs w:val="18"/>
          <w:b w:val="1"/>
          <w:bCs w:val="1"/>
          <w:color w:val="auto"/>
        </w:rPr>
      </w:pPr>
    </w:p>
    <w:p>
      <w:pPr>
        <w:ind w:left="82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In the opinion of management, the accompanying unaudited consolidated financial statements include all adjustments (consisting only of normal recurring adjustments) necessary to present fairly the financial position, results of operations, and changes in cash flows for the interim periods presented. Certain footnote information has been condensed or omitted from these consolidated financial statements. Therefore, these consolidated financial statements should be read in conjunction with the consolidated financial statements and accompanying footnotes included in our Form 10-K for the year ended December 31, 2018 (“2018 Form 10-K”) filed on March 26, 2019 with the Securities and Exchange Commission.</w:t>
      </w:r>
    </w:p>
    <w:p>
      <w:pPr>
        <w:spacing w:after="0" w:line="158" w:lineRule="exact"/>
        <w:rPr>
          <w:rFonts w:ascii="Arial" w:cs="Arial" w:eastAsia="Arial" w:hAnsi="Arial"/>
          <w:sz w:val="18"/>
          <w:szCs w:val="18"/>
          <w:b w:val="1"/>
          <w:bCs w:val="1"/>
          <w:color w:val="auto"/>
        </w:rPr>
      </w:pPr>
    </w:p>
    <w:p>
      <w:pPr>
        <w:ind w:left="820"/>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Reclassification</w:t>
      </w:r>
    </w:p>
    <w:p>
      <w:pPr>
        <w:spacing w:after="0" w:line="225" w:lineRule="exact"/>
        <w:rPr>
          <w:rFonts w:ascii="Arial" w:cs="Arial" w:eastAsia="Arial" w:hAnsi="Arial"/>
          <w:sz w:val="18"/>
          <w:szCs w:val="18"/>
          <w:b w:val="1"/>
          <w:bCs w:val="1"/>
          <w:color w:val="auto"/>
        </w:rPr>
      </w:pPr>
    </w:p>
    <w:p>
      <w:pPr>
        <w:ind w:left="820"/>
        <w:spacing w:after="0"/>
        <w:rPr>
          <w:rFonts w:ascii="Arial" w:cs="Arial" w:eastAsia="Arial" w:hAnsi="Arial"/>
          <w:sz w:val="18"/>
          <w:szCs w:val="18"/>
          <w:b w:val="1"/>
          <w:bCs w:val="1"/>
          <w:color w:val="auto"/>
        </w:rPr>
      </w:pPr>
      <w:r>
        <w:rPr>
          <w:rFonts w:ascii="Arial" w:cs="Arial" w:eastAsia="Arial" w:hAnsi="Arial"/>
          <w:sz w:val="18"/>
          <w:szCs w:val="18"/>
          <w:color w:val="auto"/>
        </w:rPr>
        <w:t>Certain prior period amounts have been reclassified to be comparable with the current period's presentation.</w:t>
      </w:r>
    </w:p>
    <w:p>
      <w:pPr>
        <w:spacing w:after="0" w:line="225" w:lineRule="exact"/>
        <w:rPr>
          <w:rFonts w:ascii="Arial" w:cs="Arial" w:eastAsia="Arial" w:hAnsi="Arial"/>
          <w:sz w:val="18"/>
          <w:szCs w:val="18"/>
          <w:b w:val="1"/>
          <w:bCs w:val="1"/>
          <w:color w:val="auto"/>
        </w:rPr>
      </w:pPr>
    </w:p>
    <w:p>
      <w:pPr>
        <w:ind w:left="820"/>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Business Combinations</w:t>
      </w:r>
    </w:p>
    <w:p>
      <w:pPr>
        <w:spacing w:after="0" w:line="225" w:lineRule="exact"/>
        <w:rPr>
          <w:rFonts w:ascii="Arial" w:cs="Arial" w:eastAsia="Arial" w:hAnsi="Arial"/>
          <w:sz w:val="18"/>
          <w:szCs w:val="18"/>
          <w:b w:val="1"/>
          <w:bCs w:val="1"/>
          <w:color w:val="auto"/>
        </w:rPr>
      </w:pPr>
    </w:p>
    <w:p>
      <w:pPr>
        <w:ind w:left="820" w:right="14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Acquired businesses are accounted for using the purchase method of accounting, which requires that the purchase price be allocated to the net assets acquired at their respective fair values. Any excess of the purchase price over the estimated fair values of the net assets acquired is recorded as goodwill. Fair values of intangible assets are estimated by valuation models prepared by our management and third party advisors. The assets purchased and liabilities assumed have been reflected in our consolidated balance sheets, and the results are included in the consolidated statements of operations and consolidated statements of cash flows from the date of acquisition. Any change in the fair value of acquisition-related contingent consideration subsequent to the acquisition date, including changes from events after the acquisition date, will be recognized in the consolidated statement of operations in the period of the estimated fair value change. Acquisition-related transaction costs, including legal and accounting fees and other external costs directly related to the acquisition, are recognized separately from the acquisition and expensed as incurred in general and administrative expense in the consolidated statements of operations.</w:t>
      </w:r>
    </w:p>
    <w:p>
      <w:pPr>
        <w:spacing w:after="0" w:line="166" w:lineRule="exact"/>
        <w:rPr>
          <w:rFonts w:ascii="Arial" w:cs="Arial" w:eastAsia="Arial" w:hAnsi="Arial"/>
          <w:sz w:val="18"/>
          <w:szCs w:val="18"/>
          <w:b w:val="1"/>
          <w:bCs w:val="1"/>
          <w:color w:val="auto"/>
        </w:rPr>
      </w:pPr>
    </w:p>
    <w:p>
      <w:pPr>
        <w:ind w:left="820"/>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Goodwill, Intangible and Long-Lived Assets</w:t>
      </w:r>
    </w:p>
    <w:p>
      <w:pPr>
        <w:spacing w:after="0" w:line="225" w:lineRule="exact"/>
        <w:rPr>
          <w:rFonts w:ascii="Arial" w:cs="Arial" w:eastAsia="Arial" w:hAnsi="Arial"/>
          <w:sz w:val="18"/>
          <w:szCs w:val="18"/>
          <w:b w:val="1"/>
          <w:bCs w:val="1"/>
          <w:color w:val="auto"/>
        </w:rPr>
      </w:pPr>
    </w:p>
    <w:p>
      <w:pPr>
        <w:ind w:left="820" w:right="12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We account for goodwill and intangible assets in accordance with Accounting Standards Codification (“ASC”) 350 (Intangibles - Goodwill and Other). Finite-lived intangible assets are amortized over their estimated useful economic life and are carried at cost less accumulated amortization. Goodwill is assessed for impairment annually in the fourth quarter on a reporting unit basis, or more frequently when events and circumstances occur indicating that the recorded goodwill may be impaired. Goodwill is considered to be impaired if the fair value of a reporting unit is less than its carrying amount. As a part of the goodwill impairment assessment, we have the option to perform a qualitative assessment to determine whether it is more-likely-than-not that the fair value of a reporting unit is less than its carrying amount. If, as a result of our qualitative assessment, we determine that it is more-likely-than-not that the fair value of the reporting unit is greater than its carrying amount, a quantitative goodwill impairment test is not required. However, if, as a result of our qualitative assessment, we determine it is more-likely-than-not that the fair value of a reporting unit is less than its carrying amount, or, if we choose not to perform a qualitative assessment, we are required to perform a quantitative goodwill impairment test to identify potential goodwill impairment and measure the amount of goodwill impairment loss to be recognized.</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9" w:name="page10"/>
    <w:bookmarkEnd w:id="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820" w:right="120"/>
        <w:spacing w:after="0" w:line="269" w:lineRule="auto"/>
        <w:rPr>
          <w:sz w:val="20"/>
          <w:szCs w:val="20"/>
          <w:color w:val="auto"/>
        </w:rPr>
      </w:pPr>
      <w:r>
        <w:rPr>
          <w:rFonts w:ascii="Arial" w:cs="Arial" w:eastAsia="Arial" w:hAnsi="Arial"/>
          <w:sz w:val="17"/>
          <w:szCs w:val="17"/>
          <w:color w:val="auto"/>
        </w:rPr>
        <w:t>The quantitative goodwill impairment test compares the fair value of a reporting unit with its carrying amount, including goodwill. If the fair value of a reporting unit exceeds its carrying amount, goodwill of the reporting unit is considered not impaired. If the carrying amount of a reporting unit exceeds its fair value, an impairment loss will be recognized in an amount equal to that excess, limited to the total amount of goodwill allocated to that reporting unit. The goodwill impairment assessment is based upon a combination of the income approach, which estimates the fair value of our reporting units based upon a discounted cash flow approach, and the market approach which estimates the fair value of our reporting units based upon comparable market multiples. This fair value is then reconciled to our market capitalization at year end with an appropriate control premium. The determination of the fair value of our reporting units requires management to make significant estimates and assumptions including the selection of appropriate peer group companies, control premiums, discount rate, terminal growth rates, forecasts of revenue and expense growth rates, income tax rates, changes in working capital, depreciation, amortization and capital expenditures. Changes in assumptions concerning future financial results or other underlying assumptions could have a significant impact on either the fair value of the reporting unit or the amount of the goodwill impairment charge.</w:t>
      </w:r>
    </w:p>
    <w:p>
      <w:pPr>
        <w:spacing w:after="0" w:line="183" w:lineRule="exact"/>
        <w:rPr>
          <w:sz w:val="20"/>
          <w:szCs w:val="20"/>
          <w:color w:val="auto"/>
        </w:rPr>
      </w:pPr>
    </w:p>
    <w:p>
      <w:pPr>
        <w:ind w:left="820" w:right="100"/>
        <w:spacing w:after="0" w:line="255" w:lineRule="auto"/>
        <w:rPr>
          <w:sz w:val="20"/>
          <w:szCs w:val="20"/>
          <w:color w:val="auto"/>
        </w:rPr>
      </w:pPr>
      <w:r>
        <w:rPr>
          <w:rFonts w:ascii="Arial" w:cs="Arial" w:eastAsia="Arial" w:hAnsi="Arial"/>
          <w:sz w:val="18"/>
          <w:szCs w:val="18"/>
          <w:color w:val="auto"/>
        </w:rPr>
        <w:t>Indefinite-lived intangible assets are assessed for impairment annually in the fourth quarter, or more frequently if events or changes in circumstances indicate that the asset might be impaired. As a part of the impairment assessment, we have the option to perform a qualitative assessment to determine whether it is more likely than not that an indefinite-lived intangible asset is impaired. If, as a result of our qualitative assessment, we determine that it is more-likely-than-not that the fair value of the indefinite-lived intangible asset is less than its carrying amount, the quantitative impairment test is required; otherwise, no further testing is required. The quantitative impairment test consists of a comparison of the fair value of the intangible asset with its carrying amount. If the carrying amount of the intangible asset exceeds its fair value, an impairment loss is recognized in an amount equal to that excess.</w:t>
      </w:r>
    </w:p>
    <w:p>
      <w:pPr>
        <w:spacing w:after="0" w:line="189" w:lineRule="exact"/>
        <w:rPr>
          <w:sz w:val="20"/>
          <w:szCs w:val="20"/>
          <w:color w:val="auto"/>
        </w:rPr>
      </w:pPr>
    </w:p>
    <w:p>
      <w:pPr>
        <w:ind w:left="820" w:right="220"/>
        <w:spacing w:after="0" w:line="297" w:lineRule="auto"/>
        <w:rPr>
          <w:sz w:val="20"/>
          <w:szCs w:val="20"/>
          <w:color w:val="auto"/>
        </w:rPr>
      </w:pPr>
      <w:r>
        <w:rPr>
          <w:rFonts w:ascii="Arial" w:cs="Arial" w:eastAsia="Arial" w:hAnsi="Arial"/>
          <w:sz w:val="16"/>
          <w:szCs w:val="16"/>
          <w:color w:val="auto"/>
        </w:rPr>
        <w:t>Long-lived assets, which consist of finite-lived intangible assets and property and equipment, are assessed for impairment whenever events or changes in business circumstances indicate that the carrying amount of the assets may not be fully recoverable or that the useful lives of these assets are no longer appropriate. Each impairment test is based on a comparison of the estimated undiscounted cash flows to the recorded value of the asset. If impairment is indicated, the asset is written down to its estimated fair value. The cash flow estimates used to determine the impairment, if any, contain management's best estimates using appropriate assumptions and projections at that time.</w:t>
      </w:r>
    </w:p>
    <w:p>
      <w:pPr>
        <w:spacing w:after="0" w:line="158"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u w:val="single" w:color="auto"/>
          <w:color w:val="auto"/>
        </w:rPr>
        <w:t>Revenue Recognition</w:t>
      </w:r>
    </w:p>
    <w:p>
      <w:pPr>
        <w:spacing w:after="0" w:line="225" w:lineRule="exact"/>
        <w:rPr>
          <w:sz w:val="20"/>
          <w:szCs w:val="20"/>
          <w:color w:val="auto"/>
        </w:rPr>
      </w:pPr>
    </w:p>
    <w:p>
      <w:pPr>
        <w:ind w:left="820" w:right="80"/>
        <w:spacing w:after="0" w:line="254" w:lineRule="auto"/>
        <w:rPr>
          <w:sz w:val="20"/>
          <w:szCs w:val="20"/>
          <w:color w:val="auto"/>
        </w:rPr>
      </w:pPr>
      <w:r>
        <w:rPr>
          <w:rFonts w:ascii="Arial" w:cs="Arial" w:eastAsia="Arial" w:hAnsi="Arial"/>
          <w:sz w:val="18"/>
          <w:szCs w:val="18"/>
          <w:color w:val="auto"/>
        </w:rPr>
        <w:t>We recognize revenue in accordance with the guidance in ASC 606 (Revenue from Contracts with Customers). We recognize revenue for the sale of products or services when our performance obligations under the terms of a contract with a customer are satisfied and control of the product or service has been transferred to the customer. Generally, this occurs when we ship a product or perform a service. In certain cases, recognition of revenue is deferred until the product is received by the customer or at some other point in the future when we determine that we have satisfied our performance obligations under the contract. Our contracts with customers may include a combination of products and services, which are generally capable of being distinct and accounted for as separate performance obligations. In addition to the sale of products and services, we also lease certain of our equipment under short-term lease agreements. We recognize revenue from equipment leases on a straight-line basis over the lease term.</w:t>
      </w:r>
    </w:p>
    <w:p>
      <w:pPr>
        <w:spacing w:after="0" w:line="192" w:lineRule="exact"/>
        <w:rPr>
          <w:sz w:val="20"/>
          <w:szCs w:val="20"/>
          <w:color w:val="auto"/>
        </w:rPr>
      </w:pPr>
    </w:p>
    <w:p>
      <w:pPr>
        <w:ind w:left="820" w:right="100"/>
        <w:spacing w:after="0" w:line="259" w:lineRule="auto"/>
        <w:rPr>
          <w:sz w:val="20"/>
          <w:szCs w:val="20"/>
          <w:color w:val="auto"/>
        </w:rPr>
      </w:pPr>
      <w:r>
        <w:rPr>
          <w:rFonts w:ascii="Arial" w:cs="Arial" w:eastAsia="Arial" w:hAnsi="Arial"/>
          <w:sz w:val="18"/>
          <w:szCs w:val="18"/>
          <w:color w:val="auto"/>
        </w:rPr>
        <w:t>Revenue is recorded in an amount that reflects the consideration we expect to receive in exchange for those products or services. We do not have any material variable consideration arrangements or any material payment terms with our customers other than standard net 30 or net 60 day payment terms. We generally do not provide a right of return to our customers. Revenue is recognized net of any taxes collected from customers, which are subsequently remitted to governmental authorities.</w:t>
      </w:r>
    </w:p>
    <w:p>
      <w:pPr>
        <w:spacing w:after="0" w:line="187"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Nature of Products and Services</w:t>
      </w:r>
    </w:p>
    <w:p>
      <w:pPr>
        <w:spacing w:after="0" w:line="23" w:lineRule="exact"/>
        <w:rPr>
          <w:sz w:val="20"/>
          <w:szCs w:val="20"/>
          <w:color w:val="auto"/>
        </w:rPr>
      </w:pPr>
    </w:p>
    <w:p>
      <w:pPr>
        <w:ind w:left="820"/>
        <w:spacing w:after="0" w:line="290" w:lineRule="auto"/>
        <w:rPr>
          <w:sz w:val="20"/>
          <w:szCs w:val="20"/>
          <w:color w:val="auto"/>
        </w:rPr>
      </w:pPr>
      <w:r>
        <w:rPr>
          <w:rFonts w:ascii="Arial" w:cs="Arial" w:eastAsia="Arial" w:hAnsi="Arial"/>
          <w:sz w:val="16"/>
          <w:szCs w:val="16"/>
          <w:color w:val="auto"/>
        </w:rPr>
        <w:t>We sell thermal test and thermal process products (“thermal products”) and semiconductor test products. Our thermal products include ThermoStreams, ThermoChambers and process chillers, which we sell under our Temptronic, Sigma and Thermonics product lines, and Ambrell’s precision induction heating systems, including EkoHeat and EasyHeat products. Our semiconductor test products include manipulators, docking hardware and electrical interface products. We provide post-warranty service for the equipment we sell. We sell semiconductor test products and certain thermal products to the Semi Market. We also sell our thermal products to markets outside the Semi Market (referred to collectively as “Multi Markets”) that include the automotive, defense/aerospace, industrial, telecommunications and other markets.</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10" w:name="page11"/>
    <w:bookmarkEnd w:id="1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820" w:right="120"/>
        <w:spacing w:after="0" w:line="277" w:lineRule="auto"/>
        <w:rPr>
          <w:sz w:val="20"/>
          <w:szCs w:val="20"/>
          <w:color w:val="auto"/>
        </w:rPr>
      </w:pPr>
      <w:r>
        <w:rPr>
          <w:rFonts w:ascii="Arial" w:cs="Arial" w:eastAsia="Arial" w:hAnsi="Arial"/>
          <w:sz w:val="18"/>
          <w:szCs w:val="18"/>
          <w:color w:val="auto"/>
        </w:rPr>
        <w:t>We lease certain of our equipment under short-term leasing agreements with original lease terms of six months or less. Our lease agreements do not contain purchase options.</w:t>
      </w:r>
    </w:p>
    <w:p>
      <w:pPr>
        <w:spacing w:after="0" w:line="170"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Types of Contracts with Customers</w:t>
      </w:r>
    </w:p>
    <w:p>
      <w:pPr>
        <w:spacing w:after="0" w:line="23" w:lineRule="exact"/>
        <w:rPr>
          <w:sz w:val="20"/>
          <w:szCs w:val="20"/>
          <w:color w:val="auto"/>
        </w:rPr>
      </w:pPr>
    </w:p>
    <w:p>
      <w:pPr>
        <w:ind w:left="820"/>
        <w:spacing w:after="0" w:line="292" w:lineRule="auto"/>
        <w:rPr>
          <w:sz w:val="20"/>
          <w:szCs w:val="20"/>
          <w:color w:val="auto"/>
        </w:rPr>
      </w:pPr>
      <w:r>
        <w:rPr>
          <w:rFonts w:ascii="Arial" w:cs="Arial" w:eastAsia="Arial" w:hAnsi="Arial"/>
          <w:sz w:val="16"/>
          <w:szCs w:val="16"/>
          <w:color w:val="auto"/>
        </w:rPr>
        <w:t>Our contracts with customers are generally structured as individual purchase orders which specify the exact products or services being sold or equipment being leased along with the selling price, service fee or monthly lease amount for each individual item on the purchase order. Payment terms and any other customer-specific acceptance criteria are also specified on the purchase order. We generally do not have any customer-specific acceptance criteria, other than that the product performs within the agreed upon specifications. We test substantially all products manufactured as part of our quality assurance process to determine that they comply with specifications prior to shipment to a customer.</w:t>
      </w:r>
    </w:p>
    <w:p>
      <w:pPr>
        <w:spacing w:after="0" w:line="163"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Contract Balances</w:t>
      </w:r>
    </w:p>
    <w:p>
      <w:pPr>
        <w:spacing w:after="0" w:line="23" w:lineRule="exact"/>
        <w:rPr>
          <w:sz w:val="20"/>
          <w:szCs w:val="20"/>
          <w:color w:val="auto"/>
        </w:rPr>
      </w:pPr>
    </w:p>
    <w:p>
      <w:pPr>
        <w:ind w:left="820" w:right="100"/>
        <w:spacing w:after="0" w:line="273" w:lineRule="auto"/>
        <w:rPr>
          <w:sz w:val="20"/>
          <w:szCs w:val="20"/>
          <w:color w:val="auto"/>
        </w:rPr>
      </w:pPr>
      <w:r>
        <w:rPr>
          <w:rFonts w:ascii="Arial" w:cs="Arial" w:eastAsia="Arial" w:hAnsi="Arial"/>
          <w:sz w:val="17"/>
          <w:szCs w:val="17"/>
          <w:color w:val="auto"/>
        </w:rPr>
        <w:t>We record accounts receivable at the time of invoicing. Accounts receivable, net of the allowance for doubtful accounts, is included in current assets on our balance sheet. To the extent that we do not recognize revenue at the same time as we invoice, we record a liability for deferred revenue. In certain instances, we also receive customer deposits in advance of invoicing and recording of accounts receivable. Deferred revenue and customer deposits are included in current liabilities on our consolidated balance sheets.</w:t>
      </w:r>
    </w:p>
    <w:p>
      <w:pPr>
        <w:spacing w:after="0" w:line="177" w:lineRule="exact"/>
        <w:rPr>
          <w:sz w:val="20"/>
          <w:szCs w:val="20"/>
          <w:color w:val="auto"/>
        </w:rPr>
      </w:pPr>
    </w:p>
    <w:p>
      <w:pPr>
        <w:ind w:left="820" w:right="140"/>
        <w:spacing w:after="0" w:line="308" w:lineRule="auto"/>
        <w:rPr>
          <w:sz w:val="20"/>
          <w:szCs w:val="20"/>
          <w:color w:val="auto"/>
        </w:rPr>
      </w:pPr>
      <w:r>
        <w:rPr>
          <w:rFonts w:ascii="Arial" w:cs="Arial" w:eastAsia="Arial" w:hAnsi="Arial"/>
          <w:sz w:val="17"/>
          <w:szCs w:val="17"/>
          <w:color w:val="auto"/>
        </w:rPr>
        <w:t>The allowance for doubtful accounts reflects our best estimate of probable losses inherent in the accounts receivable balance. We determine the allowance based on known troubled accounts, if any, historical experience, and other currently available evidence.</w:t>
      </w:r>
    </w:p>
    <w:p>
      <w:pPr>
        <w:spacing w:after="0" w:line="147"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Costs to Obtain a Contract with a Customer</w:t>
      </w:r>
    </w:p>
    <w:p>
      <w:pPr>
        <w:spacing w:after="0" w:line="23" w:lineRule="exact"/>
        <w:rPr>
          <w:sz w:val="20"/>
          <w:szCs w:val="20"/>
          <w:color w:val="auto"/>
        </w:rPr>
      </w:pPr>
    </w:p>
    <w:p>
      <w:pPr>
        <w:ind w:left="820" w:right="40"/>
        <w:spacing w:after="0" w:line="252" w:lineRule="auto"/>
        <w:rPr>
          <w:sz w:val="20"/>
          <w:szCs w:val="20"/>
          <w:color w:val="auto"/>
        </w:rPr>
      </w:pPr>
      <w:r>
        <w:rPr>
          <w:rFonts w:ascii="Arial" w:cs="Arial" w:eastAsia="Arial" w:hAnsi="Arial"/>
          <w:sz w:val="18"/>
          <w:szCs w:val="18"/>
          <w:color w:val="auto"/>
        </w:rPr>
        <w:t>The only costs we incur associated with obtaining contracts with customers are sales commissions that we pay to our internal sales personnel or third-party sales representatives. These costs are calculated based on an established percentage of the selling price of each product or service sold. Commissions are considered earned by our internal sales personnel at the time we recognize revenue for a particular transaction. Commissions are considered earned by third-party sales representatives at the time revenue is recognized for a particular transaction. We record commission expense in our consolidated statements of operations at the time the commission is earned. Commissions earned but not yet paid are included in current liabilities on our balance sheets.</w:t>
      </w:r>
    </w:p>
    <w:p>
      <w:pPr>
        <w:spacing w:after="0" w:line="194"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Product Warranties</w:t>
      </w:r>
    </w:p>
    <w:p>
      <w:pPr>
        <w:spacing w:after="0" w:line="23" w:lineRule="exact"/>
        <w:rPr>
          <w:sz w:val="20"/>
          <w:szCs w:val="20"/>
          <w:color w:val="auto"/>
        </w:rPr>
      </w:pPr>
    </w:p>
    <w:p>
      <w:pPr>
        <w:ind w:left="820" w:right="40"/>
        <w:spacing w:after="0" w:line="288" w:lineRule="auto"/>
        <w:rPr>
          <w:sz w:val="20"/>
          <w:szCs w:val="20"/>
          <w:color w:val="auto"/>
        </w:rPr>
      </w:pPr>
      <w:r>
        <w:rPr>
          <w:rFonts w:ascii="Arial" w:cs="Arial" w:eastAsia="Arial" w:hAnsi="Arial"/>
          <w:sz w:val="16"/>
          <w:szCs w:val="16"/>
          <w:color w:val="auto"/>
        </w:rPr>
        <w:t>In connection with the sale of our products, we generally provide standard one or two year product warranties which are detailed in our terms and conditions and communicated to our customers. Our standard warranties are not offered for sale separately from our products; therefore, there is no separate performance obligation related to our standard warranties. We record estimated warranty expense for our standard warranties at the time of sale based upon historical claims experience. In very limited cases, we offer customers an option to separately purchase an extended warranty for certain of our products. In the case of extended warranties, we recognize revenue in the amount of the sale price for the extended warranty on a straight-line basis over the extended warranty period. We record costs incurred to provide service under an extended warranty at the time the service is provided. Warranty expense is included in selling expense in our consolidated statements of operations.</w:t>
      </w:r>
    </w:p>
    <w:p>
      <w:pPr>
        <w:spacing w:after="0" w:line="16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Refer to Notes 4 and 11 for further information about our revenue from contracts with customers.</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u w:val="single" w:color="auto"/>
          <w:color w:val="auto"/>
        </w:rPr>
        <w:t>Inventories</w:t>
      </w:r>
    </w:p>
    <w:p>
      <w:pPr>
        <w:spacing w:after="0" w:line="225" w:lineRule="exact"/>
        <w:rPr>
          <w:sz w:val="20"/>
          <w:szCs w:val="20"/>
          <w:color w:val="auto"/>
        </w:rPr>
      </w:pPr>
    </w:p>
    <w:p>
      <w:pPr>
        <w:ind w:left="820" w:right="40"/>
        <w:spacing w:after="0" w:line="255" w:lineRule="auto"/>
        <w:rPr>
          <w:sz w:val="20"/>
          <w:szCs w:val="20"/>
          <w:color w:val="auto"/>
        </w:rPr>
      </w:pPr>
      <w:r>
        <w:rPr>
          <w:rFonts w:ascii="Arial" w:cs="Arial" w:eastAsia="Arial" w:hAnsi="Arial"/>
          <w:sz w:val="18"/>
          <w:szCs w:val="18"/>
          <w:color w:val="auto"/>
        </w:rPr>
        <w:t>Inventories are valued at cost on a first-in, first-out basis, not in excess of market value. Cash flows from the sale of inventories are recorded in operating cash flows. On a quarterly basis, we review our inventories and record excess and obsolete inventory charges based upon our established objective excess and obsolete inventory criteria. These criteria identify material that has not been used in a work order during the prior twelve months and the quantity of material on hand that is greater than the average annual usage of that material over the prior three years. In certain cases, additional excess and obsolete inventory charges are recorded based upon current market conditions, anticipated product life cycles, new product introductions and expected future use of the inventory. The excess and obsolete inventory charges we record establish a new cost basis for the related inventories.</w:t>
      </w:r>
    </w:p>
    <w:p>
      <w:pPr>
        <w:spacing w:after="0" w:line="182"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118" w:right="379" w:bottom="1440" w:gutter="0" w:footer="0" w:header="0"/>
        </w:sectPr>
      </w:pPr>
    </w:p>
    <w:bookmarkStart w:id="11" w:name="page12"/>
    <w:bookmarkEnd w:id="1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u w:val="single" w:color="auto"/>
          <w:color w:val="auto"/>
        </w:rPr>
        <w:t>Leases</w:t>
      </w:r>
    </w:p>
    <w:p>
      <w:pPr>
        <w:spacing w:after="0" w:line="225" w:lineRule="exact"/>
        <w:rPr>
          <w:sz w:val="20"/>
          <w:szCs w:val="20"/>
          <w:color w:val="auto"/>
        </w:rPr>
      </w:pPr>
    </w:p>
    <w:p>
      <w:pPr>
        <w:ind w:left="820"/>
        <w:spacing w:after="0" w:line="270" w:lineRule="auto"/>
        <w:rPr>
          <w:sz w:val="20"/>
          <w:szCs w:val="20"/>
          <w:color w:val="auto"/>
        </w:rPr>
      </w:pPr>
      <w:r>
        <w:rPr>
          <w:rFonts w:ascii="Arial" w:cs="Arial" w:eastAsia="Arial" w:hAnsi="Arial"/>
          <w:sz w:val="17"/>
          <w:szCs w:val="17"/>
          <w:color w:val="auto"/>
        </w:rPr>
        <w:t>We account for leases in accordance with ASC 842 (Leases). We determine if an arrangement is a lease at inception. A lease contract is within scope if the contract has an identified asset (property, plant or equipment) and grants the lessee the right to control the use of the asset during the lease term. The identified asset may be either explicitly or implicitly specified in the contract. In addition, the supplier must not have any practical ability to substitute a different asset and would not economically benefit from doing so for the lease contract to be in scope. The lessee’s right to control the use of the asset during the term of the lease must include the ability to obtain substantially all of the economic benefits from the use of the asset as well as decision-making authority over how the asset will be used. Leases are classified as either operating leases or finance leases based on the guidance in ASC 842. Operating leases are included in operating lease right-of-use (“ROU”) assets and operating lease liabilities in our consolidated balance sheets. Finance leases are included in property and equipment and financing lease liabilities. We do not currently have any financing leases.</w:t>
      </w:r>
    </w:p>
    <w:p>
      <w:pPr>
        <w:spacing w:after="0" w:line="182" w:lineRule="exact"/>
        <w:rPr>
          <w:sz w:val="20"/>
          <w:szCs w:val="20"/>
          <w:color w:val="auto"/>
        </w:rPr>
      </w:pPr>
    </w:p>
    <w:p>
      <w:pPr>
        <w:ind w:left="820"/>
        <w:spacing w:after="0" w:line="270" w:lineRule="auto"/>
        <w:rPr>
          <w:sz w:val="20"/>
          <w:szCs w:val="20"/>
          <w:color w:val="auto"/>
        </w:rPr>
      </w:pPr>
      <w:r>
        <w:rPr>
          <w:rFonts w:ascii="Arial" w:cs="Arial" w:eastAsia="Arial" w:hAnsi="Arial"/>
          <w:sz w:val="17"/>
          <w:szCs w:val="17"/>
          <w:color w:val="auto"/>
        </w:rPr>
        <w:t>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None of our leases provide an implicit rate; therefore, we use our incremental borrowing rate based on the information available at commencement date in determining the present value of lease payments. The operating lease ROU asset also includes any lease payments made and excludes lease incentives. Our lease terms may include options to extend or terminate the lease. We include these options in the determination of the amount of the ROU asset and lease liability when it is reasonably certain that we will exercise that option. Lease expense for lease payments is recognized on a straight-line basis over the lease term. Certain of our operating leases contain predetermined fixed escalations of minimum rentals and rent holidays during the original lease terms. Rent holidays are periods during which we have control of the leased facility but are not obligated to pay rent. For these leases, our right-of-use asset and lease liability are calculated including any rent holiday in the determination of the life of the lease.</w:t>
      </w:r>
    </w:p>
    <w:p>
      <w:pPr>
        <w:spacing w:after="0" w:line="178" w:lineRule="exact"/>
        <w:rPr>
          <w:sz w:val="20"/>
          <w:szCs w:val="20"/>
          <w:color w:val="auto"/>
        </w:rPr>
      </w:pPr>
    </w:p>
    <w:p>
      <w:pPr>
        <w:ind w:left="820" w:right="100"/>
        <w:spacing w:after="0" w:line="257" w:lineRule="auto"/>
        <w:rPr>
          <w:sz w:val="20"/>
          <w:szCs w:val="20"/>
          <w:color w:val="auto"/>
        </w:rPr>
      </w:pPr>
      <w:r>
        <w:rPr>
          <w:rFonts w:ascii="Arial" w:cs="Arial" w:eastAsia="Arial" w:hAnsi="Arial"/>
          <w:sz w:val="18"/>
          <w:szCs w:val="18"/>
          <w:color w:val="auto"/>
        </w:rPr>
        <w:t>We have lease agreements which contain both lease and non-lease components, which are generally accounted for separately. In addition to the monthly rental payments due, most of our leases for our offices and warehouse facilities include non-lease components representing our portion of the common area maintenance, property taxes and insurance charges incurred by the landlord for the facilities which we occupy. These amounts are not included in the calculation of the ROU assets and lease liabilities as they are based on actual charges incurred in the periods to which they apply.</w:t>
      </w:r>
    </w:p>
    <w:p>
      <w:pPr>
        <w:spacing w:after="0" w:line="188" w:lineRule="exact"/>
        <w:rPr>
          <w:sz w:val="20"/>
          <w:szCs w:val="20"/>
          <w:color w:val="auto"/>
        </w:rPr>
      </w:pPr>
    </w:p>
    <w:p>
      <w:pPr>
        <w:ind w:left="820" w:right="80"/>
        <w:spacing w:after="0" w:line="264" w:lineRule="auto"/>
        <w:rPr>
          <w:sz w:val="20"/>
          <w:szCs w:val="20"/>
          <w:color w:val="auto"/>
        </w:rPr>
      </w:pPr>
      <w:r>
        <w:rPr>
          <w:rFonts w:ascii="Arial" w:cs="Arial" w:eastAsia="Arial" w:hAnsi="Arial"/>
          <w:sz w:val="18"/>
          <w:szCs w:val="18"/>
          <w:color w:val="auto"/>
        </w:rPr>
        <w:t>We have made an accounting policy election not to apply the recognition requirements of ASC 842 to short-term leases (leases with a term of one year or less at the commencement date of the lease). Lease expense for short-term lease payments is recognized on a straight-line basis over the lease term.</w:t>
      </w:r>
    </w:p>
    <w:p>
      <w:pPr>
        <w:spacing w:after="0" w:line="181" w:lineRule="exact"/>
        <w:rPr>
          <w:sz w:val="20"/>
          <w:szCs w:val="20"/>
          <w:color w:val="auto"/>
        </w:rPr>
      </w:pPr>
    </w:p>
    <w:p>
      <w:pPr>
        <w:ind w:left="820" w:right="220"/>
        <w:spacing w:after="0" w:line="277" w:lineRule="auto"/>
        <w:rPr>
          <w:sz w:val="20"/>
          <w:szCs w:val="20"/>
          <w:color w:val="auto"/>
        </w:rPr>
      </w:pPr>
      <w:r>
        <w:rPr>
          <w:rFonts w:ascii="Arial" w:cs="Arial" w:eastAsia="Arial" w:hAnsi="Arial"/>
          <w:sz w:val="18"/>
          <w:szCs w:val="18"/>
          <w:color w:val="auto"/>
        </w:rPr>
        <w:t>See “Effect of Recently Adopted Amendments to Authoritative Accounting Guidance” below and Note 7 for further disclosures regarding our leases.</w:t>
      </w:r>
    </w:p>
    <w:p>
      <w:pPr>
        <w:spacing w:after="0" w:line="170"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u w:val="single" w:color="auto"/>
          <w:color w:val="auto"/>
        </w:rPr>
        <w:t>Contingent Liability for Repayment of State and Local Grant Funds Received</w:t>
      </w:r>
    </w:p>
    <w:p>
      <w:pPr>
        <w:spacing w:after="0" w:line="225" w:lineRule="exact"/>
        <w:rPr>
          <w:sz w:val="20"/>
          <w:szCs w:val="20"/>
          <w:color w:val="auto"/>
        </w:rPr>
      </w:pPr>
    </w:p>
    <w:p>
      <w:pPr>
        <w:ind w:left="820" w:right="20"/>
        <w:spacing w:after="0" w:line="288" w:lineRule="auto"/>
        <w:rPr>
          <w:sz w:val="20"/>
          <w:szCs w:val="20"/>
          <w:color w:val="auto"/>
        </w:rPr>
      </w:pPr>
      <w:r>
        <w:rPr>
          <w:rFonts w:ascii="Arial" w:cs="Arial" w:eastAsia="Arial" w:hAnsi="Arial"/>
          <w:sz w:val="16"/>
          <w:szCs w:val="16"/>
          <w:color w:val="auto"/>
        </w:rPr>
        <w:t>In connection with a new facility in Rochester, New York, which our subsidiary, Ambrell Corporation (“Ambrell”), occupied in May 2018, we entered into agreements with the city of Rochester and the state of New York under which we may receive grants totaling up to $550 to help offset a portion of the cost of the leasehold improvements we have made to this facility. In exchange for the funds we may receive under these agreements, we are required to create and maintain specified levels of employment in this location through various dates ending in 2023. If we fail to meet these employment targets, we will be required to repay a proportionate share of the funds received. As of June 30, 2019, we have received $463 in grant funds. We do not expect to receive the remaining $87 of grant funds during 2019, as we currently do not expect to increase our number of employees to the level required to receive these funds during 2019. We have recorded the amounts received under these agreements as a contingent liability on our balance sheet. As time passes, portions of the funds received will no longer be subject to repayment if we have met the employment requirements of the agreements. Amounts that we are irrevocably entitled to keep will be reclassified to deferred revenue and amortized to income on a straight-line basis over the remaining lease term for the Rochester facility.</w:t>
      </w:r>
    </w:p>
    <w:p>
      <w:pPr>
        <w:spacing w:after="0" w:line="162"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118" w:right="379" w:bottom="1440" w:gutter="0" w:footer="0" w:header="0"/>
        </w:sectPr>
      </w:pPr>
    </w:p>
    <w:bookmarkStart w:id="12" w:name="page13"/>
    <w:bookmarkEnd w:id="1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u w:val="single" w:color="auto"/>
          <w:color w:val="auto"/>
        </w:rPr>
        <w:t>Stock-Based Compensation</w:t>
      </w:r>
    </w:p>
    <w:p>
      <w:pPr>
        <w:spacing w:after="0" w:line="225" w:lineRule="exact"/>
        <w:rPr>
          <w:sz w:val="20"/>
          <w:szCs w:val="20"/>
          <w:color w:val="auto"/>
        </w:rPr>
      </w:pPr>
    </w:p>
    <w:p>
      <w:pPr>
        <w:ind w:left="820"/>
        <w:spacing w:after="0" w:line="259" w:lineRule="auto"/>
        <w:rPr>
          <w:sz w:val="20"/>
          <w:szCs w:val="20"/>
          <w:color w:val="auto"/>
        </w:rPr>
      </w:pPr>
      <w:r>
        <w:rPr>
          <w:rFonts w:ascii="Arial" w:cs="Arial" w:eastAsia="Arial" w:hAnsi="Arial"/>
          <w:sz w:val="18"/>
          <w:szCs w:val="18"/>
          <w:color w:val="auto"/>
        </w:rPr>
        <w:t>We account for stock-based compensation in accordance with ASC 718 (Compensation - Stock Compensation), which requires that employee share-based equity awards be accounted for under the fair value method and requires the use of an option pricing model for estimating fair value of stock options granted, which is then amortized to expense over the service periods. See further disclosures related to our stock-based compensation plan in Note 9.</w:t>
      </w:r>
    </w:p>
    <w:p>
      <w:pPr>
        <w:spacing w:after="0" w:line="187"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u w:val="single" w:color="auto"/>
          <w:color w:val="auto"/>
        </w:rPr>
        <w:t>Subsequent Events</w:t>
      </w:r>
    </w:p>
    <w:p>
      <w:pPr>
        <w:spacing w:after="0" w:line="225" w:lineRule="exact"/>
        <w:rPr>
          <w:sz w:val="20"/>
          <w:szCs w:val="20"/>
          <w:color w:val="auto"/>
        </w:rPr>
      </w:pPr>
    </w:p>
    <w:p>
      <w:pPr>
        <w:ind w:left="820" w:right="560"/>
        <w:spacing w:after="0" w:line="342" w:lineRule="auto"/>
        <w:rPr>
          <w:sz w:val="20"/>
          <w:szCs w:val="20"/>
          <w:color w:val="auto"/>
        </w:rPr>
      </w:pPr>
      <w:r>
        <w:rPr>
          <w:rFonts w:ascii="Arial" w:cs="Arial" w:eastAsia="Arial" w:hAnsi="Arial"/>
          <w:sz w:val="16"/>
          <w:szCs w:val="16"/>
          <w:color w:val="auto"/>
        </w:rPr>
        <w:t>We have made an assessment of our operations and determined that there were no material subsequent events requiring adjustment to, or disclosure in, our consolidated financial statements for the six months ended June 30, 2019 other than those described in Note 12.</w:t>
      </w:r>
    </w:p>
    <w:p>
      <w:pPr>
        <w:spacing w:after="0" w:line="124"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225" w:lineRule="exact"/>
        <w:rPr>
          <w:sz w:val="20"/>
          <w:szCs w:val="20"/>
          <w:color w:val="auto"/>
        </w:rPr>
      </w:pPr>
    </w:p>
    <w:p>
      <w:pPr>
        <w:ind w:left="820" w:right="180"/>
        <w:spacing w:after="0" w:line="255" w:lineRule="auto"/>
        <w:rPr>
          <w:sz w:val="20"/>
          <w:szCs w:val="20"/>
          <w:color w:val="auto"/>
        </w:rPr>
      </w:pPr>
      <w:r>
        <w:rPr>
          <w:rFonts w:ascii="Arial" w:cs="Arial" w:eastAsia="Arial" w:hAnsi="Arial"/>
          <w:sz w:val="18"/>
          <w:szCs w:val="18"/>
          <w:color w:val="auto"/>
        </w:rPr>
        <w:t>The asset and liability method is used in accounting for income taxes. Under this method, deferred tax assets and liabilities are recognized for operating loss and tax credit carryforwards and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results of operations in the period that includes the enactment date. A valuation allowance is recorded to reduce the carrying amounts of deferred tax assets if it is more likely than not that such assets will not be realized.</w:t>
      </w:r>
    </w:p>
    <w:p>
      <w:pPr>
        <w:spacing w:after="0" w:line="189" w:lineRule="exact"/>
        <w:rPr>
          <w:sz w:val="20"/>
          <w:szCs w:val="20"/>
          <w:color w:val="auto"/>
        </w:rPr>
      </w:pPr>
    </w:p>
    <w:p>
      <w:pPr>
        <w:jc w:val="both"/>
        <w:ind w:left="820" w:right="80"/>
        <w:spacing w:after="0" w:line="259" w:lineRule="auto"/>
        <w:rPr>
          <w:sz w:val="20"/>
          <w:szCs w:val="20"/>
          <w:color w:val="auto"/>
        </w:rPr>
      </w:pPr>
      <w:r>
        <w:rPr>
          <w:rFonts w:ascii="Arial" w:cs="Arial" w:eastAsia="Arial" w:hAnsi="Arial"/>
          <w:sz w:val="18"/>
          <w:szCs w:val="18"/>
          <w:color w:val="auto"/>
        </w:rPr>
        <w:t>On December 22, 2017, the President of the United States signed into law the Tax Cuts and Jobs Act. This legislation made significant changes in the U.S. tax laws including reducing the corporate tax rate to 21% and creating a territorial tax system with a one-time mandatory transition tax payable on previously unremitted earnings of foreign subsidiaries, among other things. See Note 12 to the consolidated financial statements in our 2018 Form 10-K for additional information regarding income taxes.</w:t>
      </w:r>
    </w:p>
    <w:p>
      <w:pPr>
        <w:spacing w:after="0" w:line="187"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u w:val="single" w:color="auto"/>
          <w:color w:val="auto"/>
        </w:rPr>
        <w:t>Net Earnings (Loss) Per Common Share</w:t>
      </w:r>
    </w:p>
    <w:p>
      <w:pPr>
        <w:spacing w:after="0" w:line="225" w:lineRule="exact"/>
        <w:rPr>
          <w:sz w:val="20"/>
          <w:szCs w:val="20"/>
          <w:color w:val="auto"/>
        </w:rPr>
      </w:pPr>
    </w:p>
    <w:p>
      <w:pPr>
        <w:ind w:left="820"/>
        <w:spacing w:after="0" w:line="257" w:lineRule="auto"/>
        <w:rPr>
          <w:sz w:val="20"/>
          <w:szCs w:val="20"/>
          <w:color w:val="auto"/>
        </w:rPr>
      </w:pPr>
      <w:r>
        <w:rPr>
          <w:rFonts w:ascii="Arial" w:cs="Arial" w:eastAsia="Arial" w:hAnsi="Arial"/>
          <w:sz w:val="18"/>
          <w:szCs w:val="18"/>
          <w:color w:val="auto"/>
        </w:rPr>
        <w:t>Net earnings (loss) per common share - basic is computed by dividing net earnings by the weighted average number of common shares outstanding during each period. Net earnings (loss) per common share - diluted is computed by dividing net earnings by the weighted average number of common shares and common share equivalents outstanding during each period. Common share equivalents represent unvested shares of restricted stock and stock options and are calculated using the treasury stock method. Common share equivalents are excluded from the calculation if their effect is anti-dilutive.</w:t>
      </w:r>
    </w:p>
    <w:p>
      <w:pPr>
        <w:spacing w:after="0" w:line="181"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240" w:top="118" w:right="439" w:bottom="1440" w:gutter="0" w:footer="0" w:header="0"/>
        </w:sectPr>
      </w:pPr>
    </w:p>
    <w:bookmarkStart w:id="13" w:name="page14"/>
    <w:bookmarkEnd w:id="1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820" w:right="120"/>
        <w:spacing w:after="0" w:line="264" w:lineRule="auto"/>
        <w:rPr>
          <w:sz w:val="20"/>
          <w:szCs w:val="20"/>
          <w:color w:val="auto"/>
        </w:rPr>
      </w:pPr>
      <w:r>
        <w:rPr>
          <w:rFonts w:ascii="Arial" w:cs="Arial" w:eastAsia="Arial" w:hAnsi="Arial"/>
          <w:sz w:val="18"/>
          <w:szCs w:val="18"/>
          <w:color w:val="auto"/>
        </w:rPr>
        <w:t>The table below sets forth, for the periods indicated, a reconciliation of weighted average common shares outstanding - basic to weighted average common shares and common share equivalents outstanding - diluted and the average number of potentially dilutive securities that were excluded from the calculation of diluted earnings per share because their effect was anti-dilutive:</w:t>
      </w:r>
    </w:p>
    <w:p>
      <w:pPr>
        <w:sectPr>
          <w:pgSz w:w="11900" w:h="16838" w:orient="portrait"/>
          <w:cols w:equalWidth="0" w:num="1">
            <w:col w:w="11280"/>
          </w:cols>
          <w:pgMar w:left="240" w:top="118"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820"/>
        <w:spacing w:after="0"/>
        <w:rPr>
          <w:sz w:val="20"/>
          <w:szCs w:val="20"/>
          <w:color w:val="auto"/>
        </w:rPr>
      </w:pPr>
      <w:r>
        <w:rPr>
          <w:rFonts w:ascii="Arial" w:cs="Arial" w:eastAsia="Arial" w:hAnsi="Arial"/>
          <w:sz w:val="17"/>
          <w:szCs w:val="17"/>
          <w:color w:val="auto"/>
        </w:rPr>
        <w:t>Weighted average common shares outstanding - basic</w:t>
      </w:r>
    </w:p>
    <w:p>
      <w:pPr>
        <w:spacing w:after="0" w:line="3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Potentially dilutive securities:</w:t>
      </w:r>
    </w:p>
    <w:p>
      <w:pPr>
        <w:spacing w:after="0" w:line="9" w:lineRule="exact"/>
        <w:rPr>
          <w:sz w:val="20"/>
          <w:szCs w:val="20"/>
          <w:color w:val="auto"/>
        </w:rPr>
      </w:pPr>
    </w:p>
    <w:p>
      <w:pPr>
        <w:ind w:left="980" w:right="240" w:hanging="161"/>
        <w:spacing w:after="0" w:line="250" w:lineRule="auto"/>
        <w:rPr>
          <w:sz w:val="20"/>
          <w:szCs w:val="20"/>
          <w:color w:val="auto"/>
        </w:rPr>
      </w:pPr>
      <w:r>
        <w:rPr>
          <w:rFonts w:ascii="Arial" w:cs="Arial" w:eastAsia="Arial" w:hAnsi="Arial"/>
          <w:sz w:val="18"/>
          <w:szCs w:val="18"/>
          <w:color w:val="auto"/>
        </w:rPr>
        <w:t>Unvested shares of restricted stock and employee stock options</w:t>
      </w:r>
    </w:p>
    <w:p>
      <w:pPr>
        <w:spacing w:after="0" w:line="1" w:lineRule="exact"/>
        <w:rPr>
          <w:sz w:val="20"/>
          <w:szCs w:val="20"/>
          <w:color w:val="auto"/>
        </w:rPr>
      </w:pPr>
    </w:p>
    <w:p>
      <w:pPr>
        <w:ind w:left="980" w:right="360" w:hanging="161"/>
        <w:spacing w:after="0" w:line="290" w:lineRule="auto"/>
        <w:rPr>
          <w:sz w:val="20"/>
          <w:szCs w:val="20"/>
          <w:color w:val="auto"/>
        </w:rPr>
      </w:pPr>
      <w:r>
        <w:rPr>
          <w:rFonts w:ascii="Arial" w:cs="Arial" w:eastAsia="Arial" w:hAnsi="Arial"/>
          <w:sz w:val="17"/>
          <w:szCs w:val="17"/>
          <w:color w:val="auto"/>
        </w:rPr>
        <w:t>Weighted average common shares and common share equivalents outstanding - diluted</w:t>
      </w:r>
    </w:p>
    <w:p>
      <w:pPr>
        <w:spacing w:after="0" w:line="162" w:lineRule="exact"/>
        <w:rPr>
          <w:sz w:val="20"/>
          <w:szCs w:val="20"/>
          <w:color w:val="auto"/>
        </w:rPr>
      </w:pPr>
    </w:p>
    <w:p>
      <w:pPr>
        <w:ind w:left="980" w:hanging="161"/>
        <w:spacing w:after="0" w:line="277" w:lineRule="auto"/>
        <w:rPr>
          <w:sz w:val="20"/>
          <w:szCs w:val="20"/>
          <w:color w:val="auto"/>
        </w:rPr>
      </w:pPr>
      <w:r>
        <w:rPr>
          <w:rFonts w:ascii="Arial" w:cs="Arial" w:eastAsia="Arial" w:hAnsi="Arial"/>
          <w:sz w:val="18"/>
          <w:szCs w:val="18"/>
          <w:color w:val="auto"/>
        </w:rPr>
        <w:t>Average number of potentially dilutive securities excluded from calculation</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7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200" w:type="dxa"/>
            <w:vAlign w:val="bottom"/>
          </w:tcPr>
          <w:p>
            <w:pPr>
              <w:spacing w:after="0"/>
              <w:rPr>
                <w:sz w:val="18"/>
                <w:szCs w:val="18"/>
                <w:color w:val="auto"/>
              </w:rPr>
            </w:pPr>
          </w:p>
        </w:tc>
        <w:tc>
          <w:tcPr>
            <w:tcW w:w="26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9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center"/>
              <w:ind w:right="830"/>
              <w:spacing w:after="0"/>
              <w:rPr>
                <w:sz w:val="20"/>
                <w:szCs w:val="20"/>
                <w:color w:val="auto"/>
              </w:rPr>
            </w:pPr>
            <w:r>
              <w:rPr>
                <w:rFonts w:ascii="Arial" w:cs="Arial" w:eastAsia="Arial" w:hAnsi="Arial"/>
                <w:sz w:val="18"/>
                <w:szCs w:val="18"/>
                <w:b w:val="1"/>
                <w:bCs w:val="1"/>
                <w:color w:val="auto"/>
                <w:w w:val="88"/>
              </w:rPr>
              <w:t>June 30,</w:t>
            </w:r>
          </w:p>
        </w:tc>
        <w:tc>
          <w:tcPr>
            <w:tcW w:w="2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center"/>
              <w:ind w:right="790"/>
              <w:spacing w:after="0"/>
              <w:rPr>
                <w:sz w:val="20"/>
                <w:szCs w:val="20"/>
                <w:color w:val="auto"/>
              </w:rPr>
            </w:pPr>
            <w:r>
              <w:rPr>
                <w:rFonts w:ascii="Arial" w:cs="Arial" w:eastAsia="Arial" w:hAnsi="Arial"/>
                <w:sz w:val="18"/>
                <w:szCs w:val="18"/>
                <w:b w:val="1"/>
                <w:bCs w:val="1"/>
                <w:color w:val="auto"/>
                <w:w w:val="88"/>
              </w:rPr>
              <w:t>June 30,</w:t>
            </w:r>
          </w:p>
        </w:tc>
      </w:tr>
      <w:tr>
        <w:trPr>
          <w:trHeight w:val="225"/>
        </w:trPr>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2019</w:t>
            </w:r>
          </w:p>
        </w:tc>
        <w:tc>
          <w:tcPr>
            <w:tcW w:w="18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2019</w:t>
            </w:r>
          </w:p>
        </w:tc>
        <w:tc>
          <w:tcPr>
            <w:tcW w:w="17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-2947035</wp:posOffset>
            </wp:positionH>
            <wp:positionV relativeFrom="paragraph">
              <wp:posOffset>-8890</wp:posOffset>
            </wp:positionV>
            <wp:extent cx="651764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17640" cy="146050"/>
                    </a:xfrm>
                    <a:prstGeom prst="rect">
                      <a:avLst/>
                    </a:prstGeom>
                    <a:noFill/>
                  </pic:spPr>
                </pic:pic>
              </a:graphicData>
            </a:graphic>
          </wp:anchor>
        </w:drawing>
      </w:r>
    </w:p>
    <w:p>
      <w:pPr>
        <w:ind w:left="440"/>
        <w:spacing w:after="0"/>
        <w:tabs>
          <w:tab w:leader="none" w:pos="1860" w:val="left"/>
          <w:tab w:leader="none" w:pos="3300" w:val="left"/>
          <w:tab w:leader="none" w:pos="4700" w:val="left"/>
        </w:tabs>
        <w:rPr>
          <w:sz w:val="20"/>
          <w:szCs w:val="20"/>
          <w:color w:val="auto"/>
        </w:rPr>
      </w:pPr>
      <w:r>
        <w:rPr>
          <w:rFonts w:ascii="Arial" w:cs="Arial" w:eastAsia="Arial" w:hAnsi="Arial"/>
          <w:sz w:val="18"/>
          <w:szCs w:val="18"/>
          <w:color w:val="auto"/>
        </w:rPr>
        <w:t>10,411,276</w:t>
      </w:r>
      <w:r>
        <w:rPr>
          <w:sz w:val="20"/>
          <w:szCs w:val="20"/>
          <w:color w:val="auto"/>
        </w:rPr>
        <w:tab/>
      </w:r>
      <w:r>
        <w:rPr>
          <w:rFonts w:ascii="Arial" w:cs="Arial" w:eastAsia="Arial" w:hAnsi="Arial"/>
          <w:sz w:val="18"/>
          <w:szCs w:val="18"/>
          <w:color w:val="auto"/>
        </w:rPr>
        <w:t>10,342,674</w:t>
      </w:r>
      <w:r>
        <w:rPr>
          <w:sz w:val="20"/>
          <w:szCs w:val="20"/>
          <w:color w:val="auto"/>
        </w:rPr>
        <w:tab/>
      </w:r>
      <w:r>
        <w:rPr>
          <w:rFonts w:ascii="Arial" w:cs="Arial" w:eastAsia="Arial" w:hAnsi="Arial"/>
          <w:sz w:val="18"/>
          <w:szCs w:val="18"/>
          <w:color w:val="auto"/>
        </w:rPr>
        <w:t>10,398,147</w:t>
      </w:r>
      <w:r>
        <w:rPr>
          <w:sz w:val="20"/>
          <w:szCs w:val="20"/>
          <w:color w:val="auto"/>
        </w:rPr>
        <w:tab/>
      </w:r>
      <w:r>
        <w:rPr>
          <w:rFonts w:ascii="Arial" w:cs="Arial" w:eastAsia="Arial" w:hAnsi="Arial"/>
          <w:sz w:val="15"/>
          <w:szCs w:val="15"/>
          <w:color w:val="auto"/>
        </w:rPr>
        <w:t>10,334,492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-2947035</wp:posOffset>
            </wp:positionH>
            <wp:positionV relativeFrom="paragraph">
              <wp:posOffset>142240</wp:posOffset>
            </wp:positionV>
            <wp:extent cx="6517640" cy="274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17640" cy="274320"/>
                    </a:xfrm>
                    <a:prstGeom prst="rect">
                      <a:avLst/>
                    </a:prstGeom>
                    <a:noFill/>
                  </pic:spPr>
                </pic:pic>
              </a:graphicData>
            </a:graphic>
          </wp:anchor>
        </w:drawing>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27,644</w:t>
            </w:r>
          </w:p>
        </w:tc>
        <w:tc>
          <w:tcPr>
            <w:tcW w:w="20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21,767</w:t>
            </w:r>
          </w:p>
        </w:tc>
        <w:tc>
          <w:tcPr>
            <w:tcW w:w="1200" w:type="dxa"/>
            <w:vAlign w:val="bottom"/>
          </w:tcPr>
          <w:p>
            <w:pPr>
              <w:jc w:val="right"/>
              <w:spacing w:after="0"/>
              <w:rPr>
                <w:sz w:val="20"/>
                <w:szCs w:val="20"/>
                <w:color w:val="auto"/>
              </w:rPr>
            </w:pPr>
            <w:r>
              <w:rPr>
                <w:rFonts w:ascii="Arial" w:cs="Arial" w:eastAsia="Arial" w:hAnsi="Arial"/>
                <w:sz w:val="18"/>
                <w:szCs w:val="18"/>
                <w:color w:val="auto"/>
              </w:rPr>
              <w:t>33,320</w:t>
            </w:r>
          </w:p>
        </w:tc>
      </w:tr>
      <w:tr>
        <w:trPr>
          <w:trHeight w:val="20"/>
        </w:trPr>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r>
    </w:tbl>
    <w:p>
      <w:pPr>
        <w:spacing w:after="0" w:line="161" w:lineRule="exact"/>
        <w:rPr>
          <w:sz w:val="20"/>
          <w:szCs w:val="20"/>
          <w:color w:val="auto"/>
        </w:rPr>
      </w:pPr>
    </w:p>
    <w:p>
      <w:pPr>
        <w:ind w:left="440"/>
        <w:spacing w:after="0"/>
        <w:tabs>
          <w:tab w:leader="none" w:pos="1860" w:val="left"/>
          <w:tab w:leader="none" w:pos="3300" w:val="left"/>
          <w:tab w:leader="none" w:pos="4700" w:val="left"/>
        </w:tabs>
        <w:rPr>
          <w:sz w:val="20"/>
          <w:szCs w:val="20"/>
          <w:color w:val="auto"/>
        </w:rPr>
      </w:pPr>
      <w:r>
        <w:rPr>
          <w:rFonts w:ascii="Arial" w:cs="Arial" w:eastAsia="Arial" w:hAnsi="Arial"/>
          <w:sz w:val="18"/>
          <w:szCs w:val="18"/>
          <w:color w:val="auto"/>
        </w:rPr>
        <w:t>10,411,276</w:t>
      </w:r>
      <w:r>
        <w:rPr>
          <w:sz w:val="20"/>
          <w:szCs w:val="20"/>
          <w:color w:val="auto"/>
        </w:rPr>
        <w:tab/>
      </w:r>
      <w:r>
        <w:rPr>
          <w:rFonts w:ascii="Arial" w:cs="Arial" w:eastAsia="Arial" w:hAnsi="Arial"/>
          <w:sz w:val="18"/>
          <w:szCs w:val="18"/>
          <w:color w:val="auto"/>
        </w:rPr>
        <w:t>10,370,318</w:t>
      </w:r>
      <w:r>
        <w:rPr>
          <w:sz w:val="20"/>
          <w:szCs w:val="20"/>
          <w:color w:val="auto"/>
        </w:rPr>
        <w:tab/>
      </w:r>
      <w:r>
        <w:rPr>
          <w:rFonts w:ascii="Arial" w:cs="Arial" w:eastAsia="Arial" w:hAnsi="Arial"/>
          <w:sz w:val="18"/>
          <w:szCs w:val="18"/>
          <w:color w:val="auto"/>
        </w:rPr>
        <w:t>10,419,914</w:t>
      </w:r>
      <w:r>
        <w:rPr>
          <w:sz w:val="20"/>
          <w:szCs w:val="20"/>
          <w:color w:val="auto"/>
        </w:rPr>
        <w:tab/>
      </w:r>
      <w:r>
        <w:rPr>
          <w:rFonts w:ascii="Arial" w:cs="Arial" w:eastAsia="Arial" w:hAnsi="Arial"/>
          <w:sz w:val="15"/>
          <w:szCs w:val="15"/>
          <w:color w:val="auto"/>
        </w:rPr>
        <w:t>10,367,812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-2947035</wp:posOffset>
            </wp:positionH>
            <wp:positionV relativeFrom="paragraph">
              <wp:posOffset>14605</wp:posOffset>
            </wp:positionV>
            <wp:extent cx="651764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17640" cy="16319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640"/>
        <w:spacing w:after="0"/>
        <w:tabs>
          <w:tab w:leader="none" w:pos="2080" w:val="left"/>
          <w:tab w:leader="none" w:pos="3520" w:val="left"/>
          <w:tab w:leader="none" w:pos="4920" w:val="left"/>
        </w:tabs>
        <w:rPr>
          <w:sz w:val="20"/>
          <w:szCs w:val="20"/>
          <w:color w:val="auto"/>
        </w:rPr>
      </w:pPr>
      <w:r>
        <w:rPr>
          <w:rFonts w:ascii="Arial" w:cs="Arial" w:eastAsia="Arial" w:hAnsi="Arial"/>
          <w:sz w:val="18"/>
          <w:szCs w:val="18"/>
          <w:color w:val="auto"/>
        </w:rPr>
        <w:t>618,071</w:t>
      </w:r>
      <w:r>
        <w:rPr>
          <w:sz w:val="20"/>
          <w:szCs w:val="20"/>
          <w:color w:val="auto"/>
        </w:rPr>
        <w:tab/>
      </w:r>
      <w:r>
        <w:rPr>
          <w:rFonts w:ascii="Arial" w:cs="Arial" w:eastAsia="Arial" w:hAnsi="Arial"/>
          <w:sz w:val="18"/>
          <w:szCs w:val="18"/>
          <w:color w:val="auto"/>
        </w:rPr>
        <w:t>275,831</w:t>
      </w:r>
      <w:r>
        <w:rPr>
          <w:sz w:val="20"/>
          <w:szCs w:val="20"/>
          <w:color w:val="auto"/>
        </w:rPr>
        <w:tab/>
      </w:r>
      <w:r>
        <w:rPr>
          <w:rFonts w:ascii="Arial" w:cs="Arial" w:eastAsia="Arial" w:hAnsi="Arial"/>
          <w:sz w:val="18"/>
          <w:szCs w:val="18"/>
          <w:color w:val="auto"/>
        </w:rPr>
        <w:t>423,962</w:t>
      </w:r>
      <w:r>
        <w:rPr>
          <w:sz w:val="20"/>
          <w:szCs w:val="20"/>
          <w:color w:val="auto"/>
        </w:rPr>
        <w:tab/>
      </w:r>
      <w:r>
        <w:rPr>
          <w:rFonts w:ascii="Arial" w:cs="Arial" w:eastAsia="Arial" w:hAnsi="Arial"/>
          <w:sz w:val="16"/>
          <w:szCs w:val="16"/>
          <w:color w:val="auto"/>
        </w:rPr>
        <w:t>189,794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1599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515995" cy="26035"/>
                    </a:xfrm>
                    <a:prstGeom prst="rect">
                      <a:avLst/>
                    </a:prstGeom>
                    <a:noFill/>
                  </pic:spPr>
                </pic:pic>
              </a:graphicData>
            </a:graphic>
          </wp:anchor>
        </w:drawing>
      </w:r>
    </w:p>
    <w:p>
      <w:pPr>
        <w:spacing w:after="0" w:line="265" w:lineRule="exact"/>
        <w:rPr>
          <w:sz w:val="20"/>
          <w:szCs w:val="20"/>
          <w:color w:val="auto"/>
        </w:rPr>
      </w:pPr>
    </w:p>
    <w:p>
      <w:pPr>
        <w:sectPr>
          <w:pgSz w:w="11900" w:h="16838" w:orient="portrait"/>
          <w:cols w:equalWidth="0" w:num="2">
            <w:col w:w="5040" w:space="420"/>
            <w:col w:w="5820"/>
          </w:cols>
          <w:pgMar w:left="240" w:top="118" w:right="379" w:bottom="1440" w:gutter="0" w:footer="0" w:header="0"/>
          <w:type w:val="continuous"/>
        </w:sectPr>
      </w:pPr>
    </w:p>
    <w:p>
      <w:pPr>
        <w:ind w:left="820"/>
        <w:spacing w:after="0"/>
        <w:rPr>
          <w:sz w:val="20"/>
          <w:szCs w:val="20"/>
          <w:color w:val="auto"/>
        </w:rPr>
      </w:pPr>
      <w:r>
        <w:rPr>
          <w:rFonts w:ascii="Arial" w:cs="Arial" w:eastAsia="Arial" w:hAnsi="Arial"/>
          <w:sz w:val="18"/>
          <w:szCs w:val="18"/>
          <w:b w:val="1"/>
          <w:bCs w:val="1"/>
          <w:i w:val="1"/>
          <w:iCs w:val="1"/>
          <w:u w:val="single" w:color="auto"/>
          <w:color w:val="auto"/>
        </w:rPr>
        <w:t>Effect of Recently Adopted Amendments to Authoritative Accounting Guidance</w:t>
      </w:r>
    </w:p>
    <w:p>
      <w:pPr>
        <w:spacing w:after="0" w:line="225" w:lineRule="exact"/>
        <w:rPr>
          <w:sz w:val="20"/>
          <w:szCs w:val="20"/>
          <w:color w:val="auto"/>
        </w:rPr>
      </w:pPr>
    </w:p>
    <w:p>
      <w:pPr>
        <w:ind w:left="820"/>
        <w:spacing w:after="0" w:line="270" w:lineRule="auto"/>
        <w:rPr>
          <w:sz w:val="20"/>
          <w:szCs w:val="20"/>
          <w:color w:val="auto"/>
        </w:rPr>
      </w:pPr>
      <w:r>
        <w:rPr>
          <w:rFonts w:ascii="Arial" w:cs="Arial" w:eastAsia="Arial" w:hAnsi="Arial"/>
          <w:sz w:val="17"/>
          <w:szCs w:val="17"/>
          <w:color w:val="auto"/>
        </w:rPr>
        <w:t>In February 2016, the FASB issued amendments to the current guidance on accounting for lease transactions, which is presented in ASC 842. Subsequent to February 2016, the FASB has issued additional clarifying guidance on certain aspects of this new guidance, along with certain practical expedients that may be applied. The intent of the updated guidance is to increase transparency and comparability among organizations by requiring lessees to recognize assets and liabilities on the balance sheet for the rights and obligations created by leases and to disclose key information about leasing arrangements. Under the new guidance, a lessee is required to record a right-of-use asset and a lease liability on the balance sheet for all leases with terms longer than 12 months. Leases are classified as either finance or operating, with classification affecting the pattern of expense recognition in the income statement. The two permitted transition methods under the guidance are the modified retrospective transition approach, which requires application of the guidance for all comparative periods presented, and the cumulative effect adjustment approach, which requires prospective application at the adoption date.</w:t>
      </w:r>
    </w:p>
    <w:p>
      <w:pPr>
        <w:spacing w:after="0" w:line="182" w:lineRule="exact"/>
        <w:rPr>
          <w:sz w:val="20"/>
          <w:szCs w:val="20"/>
          <w:color w:val="auto"/>
        </w:rPr>
      </w:pPr>
    </w:p>
    <w:p>
      <w:pPr>
        <w:ind w:left="820" w:right="260"/>
        <w:spacing w:after="0" w:line="287" w:lineRule="auto"/>
        <w:rPr>
          <w:sz w:val="20"/>
          <w:szCs w:val="20"/>
          <w:color w:val="auto"/>
        </w:rPr>
      </w:pPr>
      <w:r>
        <w:rPr>
          <w:rFonts w:ascii="Arial" w:cs="Arial" w:eastAsia="Arial" w:hAnsi="Arial"/>
          <w:sz w:val="16"/>
          <w:szCs w:val="16"/>
          <w:color w:val="auto"/>
        </w:rPr>
        <w:t>The amendments were effective for us as of January 1, 2019. We adopted the amendments on January 1, 2019 using the cumulative effect adjustment approach. Accordingly, prior periods have not been restated. We have decided to elect the package of practical expedients, which includes the grandfathering of lease classification and, accordingly, we have not re-evaluated any of our leases for classification purposes in connection with the implementation of ASC 842. They are all still being treated as operating leases under ASC 842. We do not currently have any lease contracts that meet the criteria to be categorized as financing leases under ASC 842. We have no embedded leases, nor do we have any initial direct costs. We are not electing the hindsight practical expedient and therefore are not reevaluating the lease terms that we used under ASC 840.The implementation of this new guidance had a significant impact on our consolidated balance sheet as a result of recording right-of-use assets and lease liabilities for all of our multi-year leases. Under prior guidance, none of these leases had any related asset recorded on our balance sheets. The only related liability recorded on our balance sheets was the amount which represented the difference between the lease payments we had made and the straight-line rent expense we had recorded in our statements of operations. The implementation of this new guidance did not have a significant impact on our pattern of expense recognition for any of our multi-year leases. See “Leases” above and Note 7 for further disclosures regarding our leases.</w:t>
      </w:r>
    </w:p>
    <w:p>
      <w:pPr>
        <w:spacing w:after="0" w:line="162"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118" w:right="379" w:bottom="1440" w:gutter="0" w:footer="0" w:header="0"/>
          <w:type w:val="continuous"/>
        </w:sectPr>
      </w:pPr>
    </w:p>
    <w:bookmarkStart w:id="14" w:name="page15"/>
    <w:bookmarkEnd w:id="1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ind w:left="700" w:hanging="692"/>
        <w:spacing w:after="0"/>
        <w:tabs>
          <w:tab w:leader="none" w:pos="7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6"/>
          <w:szCs w:val="16"/>
          <w:color w:val="auto"/>
        </w:rPr>
        <w:t>Goodwill and intangible assets on our balance sheets are the result of our acquisitions of Sigma Systems Corp. ("Sigma") in October 2008,</w:t>
      </w:r>
    </w:p>
    <w:p>
      <w:pPr>
        <w:spacing w:after="0" w:line="46" w:lineRule="exact"/>
        <w:rPr>
          <w:sz w:val="20"/>
          <w:szCs w:val="20"/>
          <w:color w:val="auto"/>
        </w:rPr>
      </w:pPr>
    </w:p>
    <w:p>
      <w:pPr>
        <w:ind w:left="820"/>
        <w:spacing w:after="0"/>
        <w:rPr>
          <w:sz w:val="20"/>
          <w:szCs w:val="20"/>
          <w:color w:val="auto"/>
        </w:rPr>
      </w:pPr>
      <w:r>
        <w:rPr>
          <w:rFonts w:ascii="Arial" w:cs="Arial" w:eastAsia="Arial" w:hAnsi="Arial"/>
          <w:sz w:val="17"/>
          <w:szCs w:val="17"/>
          <w:color w:val="auto"/>
        </w:rPr>
        <w:t>Thermonics, Inc. ("Thermonics") in January 2012 and Ambrell in May 2017. All of our goodwill and intangible assets are allocated to our</w:t>
      </w:r>
    </w:p>
    <w:p>
      <w:pPr>
        <w:spacing w:after="0" w:line="2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Thermal segment. Goodwill totaled $13,738 at each of June 30, 2019 and December 31, 2018.</w:t>
      </w:r>
    </w:p>
    <w:p>
      <w:pPr>
        <w:spacing w:after="0" w:line="211"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u w:val="single" w:color="auto"/>
          <w:color w:val="auto"/>
        </w:rPr>
        <w:t>Intangible Assets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Changes in the amount of the carrying value of finite-lived intangible assets for the six months ended June 30, 2019 are as follows:</w:t>
      </w:r>
    </w:p>
    <w:p>
      <w:pPr>
        <w:spacing w:after="0" w:line="240" w:lineRule="exact"/>
        <w:rPr>
          <w:sz w:val="20"/>
          <w:szCs w:val="20"/>
          <w:color w:val="auto"/>
        </w:rPr>
      </w:pPr>
    </w:p>
    <w:tbl>
      <w:tblPr>
        <w:tblLayout w:type="fixed"/>
        <w:tblInd w:w="8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2019</w:t>
            </w: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jc w:val="right"/>
              <w:ind w:right="9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8,201</w:t>
            </w: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Amortization</w:t>
            </w: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(632)</w:t>
            </w: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Balance - June 30, 2019</w:t>
            </w:r>
          </w:p>
        </w:tc>
        <w:tc>
          <w:tcPr>
            <w:tcW w:w="1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260" w:type="dxa"/>
            <w:vAlign w:val="bottom"/>
            <w:shd w:val="clear" w:color="auto" w:fill="CCEEFF"/>
          </w:tcPr>
          <w:p>
            <w:pPr>
              <w:jc w:val="right"/>
              <w:ind w:right="9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7,569</w:t>
            </w:r>
          </w:p>
        </w:tc>
      </w:tr>
      <w:tr>
        <w:trPr>
          <w:trHeight w:val="20"/>
        </w:trPr>
        <w:tc>
          <w:tcPr>
            <w:tcW w:w="20" w:type="dxa"/>
            <w:vAlign w:val="bottom"/>
          </w:tcPr>
          <w:p>
            <w:pPr>
              <w:spacing w:after="0" w:line="20" w:lineRule="exact"/>
              <w:rPr>
                <w:sz w:val="1"/>
                <w:szCs w:val="1"/>
                <w:color w:val="auto"/>
              </w:rPr>
            </w:pPr>
          </w:p>
        </w:tc>
        <w:tc>
          <w:tcPr>
            <w:tcW w:w="38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8660" w:type="dxa"/>
            <w:vAlign w:val="bottom"/>
            <w:gridSpan w:val="10"/>
          </w:tcPr>
          <w:p>
            <w:pPr>
              <w:spacing w:after="0"/>
              <w:rPr>
                <w:sz w:val="20"/>
                <w:szCs w:val="20"/>
                <w:color w:val="auto"/>
              </w:rPr>
            </w:pPr>
            <w:r>
              <w:rPr>
                <w:rFonts w:ascii="Arial" w:cs="Arial" w:eastAsia="Arial" w:hAnsi="Arial"/>
                <w:sz w:val="18"/>
                <w:szCs w:val="18"/>
                <w:color w:val="auto"/>
                <w:w w:val="94"/>
              </w:rPr>
              <w:t>The following tables provide further detail about our intangible assets as of June 30, 2019 and December 31, 2018:</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June 30, 2019</w:t>
            </w:r>
          </w:p>
        </w:tc>
        <w:tc>
          <w:tcPr>
            <w:tcW w:w="2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jc w:val="center"/>
              <w:ind w:right="150"/>
              <w:spacing w:after="0" w:line="191" w:lineRule="exact"/>
              <w:rPr>
                <w:sz w:val="20"/>
                <w:szCs w:val="20"/>
                <w:color w:val="auto"/>
              </w:rPr>
            </w:pPr>
            <w:r>
              <w:rPr>
                <w:rFonts w:ascii="Arial" w:cs="Arial" w:eastAsia="Arial" w:hAnsi="Arial"/>
                <w:sz w:val="18"/>
                <w:szCs w:val="18"/>
                <w:b w:val="1"/>
                <w:bCs w:val="1"/>
                <w:color w:val="auto"/>
                <w:w w:val="89"/>
              </w:rPr>
              <w:t>Net</w:t>
            </w:r>
          </w:p>
        </w:tc>
        <w:tc>
          <w:tcPr>
            <w:tcW w:w="10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7"/>
              </w:rPr>
              <w:t>Carrying</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ind w:left="120"/>
              <w:spacing w:after="0"/>
              <w:rPr>
                <w:sz w:val="20"/>
                <w:szCs w:val="20"/>
                <w:color w:val="auto"/>
              </w:rPr>
            </w:pPr>
            <w:r>
              <w:rPr>
                <w:rFonts w:ascii="Arial" w:cs="Arial" w:eastAsia="Arial" w:hAnsi="Arial"/>
                <w:sz w:val="18"/>
                <w:szCs w:val="18"/>
                <w:b w:val="1"/>
                <w:bCs w:val="1"/>
                <w:color w:val="auto"/>
              </w:rPr>
              <w:t>Accumulated</w:t>
            </w:r>
          </w:p>
        </w:tc>
        <w:tc>
          <w:tcPr>
            <w:tcW w:w="26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7"/>
              </w:rPr>
              <w:t>Carrying</w:t>
            </w:r>
          </w:p>
        </w:tc>
      </w:tr>
      <w:tr>
        <w:trPr>
          <w:trHeight w:val="234"/>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Amount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gridSpan w:val="2"/>
          </w:tcPr>
          <w:p>
            <w:pPr>
              <w:ind w:left="100"/>
              <w:spacing w:after="0"/>
              <w:rPr>
                <w:sz w:val="20"/>
                <w:szCs w:val="20"/>
                <w:color w:val="auto"/>
              </w:rPr>
            </w:pPr>
            <w:r>
              <w:rPr>
                <w:rFonts w:ascii="Arial" w:cs="Arial" w:eastAsia="Arial" w:hAnsi="Arial"/>
                <w:sz w:val="18"/>
                <w:szCs w:val="18"/>
                <w:b w:val="1"/>
                <w:bCs w:val="1"/>
                <w:color w:val="auto"/>
              </w:rPr>
              <w:t>Amortization</w:t>
            </w:r>
          </w:p>
        </w:tc>
        <w:tc>
          <w:tcPr>
            <w:tcW w:w="260" w:type="dxa"/>
            <w:vAlign w:val="bottom"/>
          </w:tcPr>
          <w:p>
            <w:pPr>
              <w:spacing w:after="0"/>
              <w:rPr>
                <w:sz w:val="20"/>
                <w:szCs w:val="20"/>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Amount</w:t>
            </w:r>
          </w:p>
        </w:tc>
      </w:tr>
      <w:tr>
        <w:trPr>
          <w:trHeight w:val="210"/>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Finite-lived intangible assets:</w:t>
            </w:r>
          </w:p>
        </w:tc>
        <w:tc>
          <w:tcPr>
            <w:tcW w:w="13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160"/>
              <w:spacing w:after="0"/>
              <w:rPr>
                <w:sz w:val="20"/>
                <w:szCs w:val="20"/>
                <w:color w:val="auto"/>
              </w:rPr>
            </w:pPr>
            <w:r>
              <w:rPr>
                <w:rFonts w:ascii="Arial" w:cs="Arial" w:eastAsia="Arial" w:hAnsi="Arial"/>
                <w:sz w:val="18"/>
                <w:szCs w:val="18"/>
                <w:color w:val="auto"/>
              </w:rPr>
              <w:t>Customer relationships</w:t>
            </w:r>
          </w:p>
        </w:tc>
        <w:tc>
          <w:tcPr>
            <w:tcW w:w="16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10,480</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3,258</w:t>
            </w:r>
          </w:p>
        </w:tc>
        <w:tc>
          <w:tcPr>
            <w:tcW w:w="180" w:type="dxa"/>
            <w:vAlign w:val="bottom"/>
          </w:tcPr>
          <w:p>
            <w:pPr>
              <w:spacing w:after="0"/>
              <w:rPr>
                <w:sz w:val="18"/>
                <w:szCs w:val="18"/>
                <w:color w:val="auto"/>
              </w:rPr>
            </w:pPr>
          </w:p>
        </w:tc>
        <w:tc>
          <w:tcPr>
            <w:tcW w:w="260" w:type="dxa"/>
            <w:vAlign w:val="bottom"/>
          </w:tcPr>
          <w:p>
            <w:pPr>
              <w:jc w:val="right"/>
              <w:ind w:right="75"/>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7,222</w:t>
            </w: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Technology</w:t>
            </w: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321</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w:t>
            </w:r>
          </w:p>
        </w:tc>
      </w:tr>
      <w:tr>
        <w:trPr>
          <w:trHeight w:val="216"/>
        </w:trPr>
        <w:tc>
          <w:tcPr>
            <w:tcW w:w="20" w:type="dxa"/>
            <w:vAlign w:val="bottom"/>
          </w:tcPr>
          <w:p>
            <w:pPr>
              <w:spacing w:after="0"/>
              <w:rPr>
                <w:sz w:val="18"/>
                <w:szCs w:val="18"/>
                <w:color w:val="auto"/>
              </w:rPr>
            </w:pPr>
          </w:p>
        </w:tc>
        <w:tc>
          <w:tcPr>
            <w:tcW w:w="3800" w:type="dxa"/>
            <w:vAlign w:val="bottom"/>
          </w:tcPr>
          <w:p>
            <w:pPr>
              <w:ind w:left="160"/>
              <w:spacing w:after="0"/>
              <w:rPr>
                <w:sz w:val="20"/>
                <w:szCs w:val="20"/>
                <w:color w:val="auto"/>
              </w:rPr>
            </w:pPr>
            <w:r>
              <w:rPr>
                <w:rFonts w:ascii="Arial" w:cs="Arial" w:eastAsia="Arial" w:hAnsi="Arial"/>
                <w:sz w:val="18"/>
                <w:szCs w:val="18"/>
                <w:color w:val="auto"/>
              </w:rPr>
              <w:t>Patents</w:t>
            </w: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590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522</w:t>
            </w:r>
          </w:p>
        </w:tc>
        <w:tc>
          <w:tcPr>
            <w:tcW w:w="2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Software</w:t>
            </w: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270</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800" w:type="dxa"/>
            <w:vAlign w:val="bottom"/>
          </w:tcPr>
          <w:p>
            <w:pPr>
              <w:ind w:left="160"/>
              <w:spacing w:after="0"/>
              <w:rPr>
                <w:sz w:val="20"/>
                <w:szCs w:val="20"/>
                <w:color w:val="auto"/>
              </w:rPr>
            </w:pPr>
            <w:r>
              <w:rPr>
                <w:rFonts w:ascii="Arial" w:cs="Arial" w:eastAsia="Arial" w:hAnsi="Arial"/>
                <w:sz w:val="18"/>
                <w:szCs w:val="18"/>
                <w:color w:val="auto"/>
              </w:rPr>
              <w:t>Trade name</w:t>
            </w: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140</w:t>
            </w:r>
          </w:p>
        </w:tc>
        <w:tc>
          <w:tcPr>
            <w:tcW w:w="2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Customer backlog</w:t>
            </w: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380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Total finite-lived intangible assets</w:t>
            </w: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12,580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5,011</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7,569</w:t>
            </w: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Indefinite-lived intangible assets:</w:t>
            </w: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160"/>
              <w:spacing w:after="0"/>
              <w:rPr>
                <w:sz w:val="20"/>
                <w:szCs w:val="20"/>
                <w:color w:val="auto"/>
              </w:rPr>
            </w:pPr>
            <w:r>
              <w:rPr>
                <w:rFonts w:ascii="Arial" w:cs="Arial" w:eastAsia="Arial" w:hAnsi="Arial"/>
                <w:sz w:val="18"/>
                <w:szCs w:val="18"/>
                <w:color w:val="auto"/>
              </w:rPr>
              <w:t>Trademarks</w:t>
            </w: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6,710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6,710</w:t>
            </w: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134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19,290</w:t>
            </w:r>
          </w:p>
        </w:tc>
        <w:tc>
          <w:tcPr>
            <w:tcW w:w="100" w:type="dxa"/>
            <w:vAlign w:val="bottom"/>
            <w:shd w:val="clear" w:color="auto" w:fill="CCEEFF"/>
          </w:tcPr>
          <w:p>
            <w:pPr>
              <w:spacing w:after="0"/>
              <w:rPr>
                <w:sz w:val="21"/>
                <w:szCs w:val="21"/>
                <w:color w:val="auto"/>
              </w:rPr>
            </w:pP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5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5,011</w:t>
            </w: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14,279</w:t>
            </w:r>
          </w:p>
        </w:tc>
      </w:tr>
      <w:tr>
        <w:trPr>
          <w:trHeight w:val="413"/>
        </w:trPr>
        <w:tc>
          <w:tcPr>
            <w:tcW w:w="20" w:type="dxa"/>
            <w:vAlign w:val="bottom"/>
          </w:tcPr>
          <w:p>
            <w:pPr>
              <w:spacing w:after="0"/>
              <w:rPr>
                <w:sz w:val="24"/>
                <w:szCs w:val="24"/>
                <w:color w:val="auto"/>
              </w:rPr>
            </w:pPr>
          </w:p>
        </w:tc>
        <w:tc>
          <w:tcPr>
            <w:tcW w:w="3800" w:type="dxa"/>
            <w:vAlign w:val="bottom"/>
            <w:tcBorders>
              <w:top w:val="single" w:sz="8" w:color="CCEEFF"/>
            </w:tcBorders>
          </w:tcPr>
          <w:p>
            <w:pPr>
              <w:spacing w:after="0"/>
              <w:rPr>
                <w:sz w:val="24"/>
                <w:szCs w:val="24"/>
                <w:color w:val="auto"/>
              </w:rPr>
            </w:pPr>
          </w:p>
        </w:tc>
        <w:tc>
          <w:tcPr>
            <w:tcW w:w="1340" w:type="dxa"/>
            <w:vAlign w:val="bottom"/>
            <w:tcBorders>
              <w:top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5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3"/>
              </w:rPr>
              <w:t>December 31, 2018</w:t>
            </w:r>
          </w:p>
        </w:tc>
        <w:tc>
          <w:tcPr>
            <w:tcW w:w="18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91"/>
        </w:trPr>
        <w:tc>
          <w:tcPr>
            <w:tcW w:w="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jc w:val="center"/>
              <w:ind w:right="150"/>
              <w:spacing w:after="0" w:line="191" w:lineRule="exact"/>
              <w:rPr>
                <w:sz w:val="20"/>
                <w:szCs w:val="20"/>
                <w:color w:val="auto"/>
              </w:rPr>
            </w:pPr>
            <w:r>
              <w:rPr>
                <w:rFonts w:ascii="Arial" w:cs="Arial" w:eastAsia="Arial" w:hAnsi="Arial"/>
                <w:sz w:val="18"/>
                <w:szCs w:val="18"/>
                <w:b w:val="1"/>
                <w:bCs w:val="1"/>
                <w:color w:val="auto"/>
                <w:w w:val="89"/>
              </w:rPr>
              <w:t>Net</w:t>
            </w:r>
          </w:p>
        </w:tc>
        <w:tc>
          <w:tcPr>
            <w:tcW w:w="10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7"/>
              </w:rPr>
              <w:t>Carrying</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ind w:left="120"/>
              <w:spacing w:after="0"/>
              <w:rPr>
                <w:sz w:val="20"/>
                <w:szCs w:val="20"/>
                <w:color w:val="auto"/>
              </w:rPr>
            </w:pPr>
            <w:r>
              <w:rPr>
                <w:rFonts w:ascii="Arial" w:cs="Arial" w:eastAsia="Arial" w:hAnsi="Arial"/>
                <w:sz w:val="18"/>
                <w:szCs w:val="18"/>
                <w:b w:val="1"/>
                <w:bCs w:val="1"/>
                <w:color w:val="auto"/>
              </w:rPr>
              <w:t>Accumulated</w:t>
            </w:r>
          </w:p>
        </w:tc>
        <w:tc>
          <w:tcPr>
            <w:tcW w:w="26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7"/>
              </w:rPr>
              <w:t>Carrying</w:t>
            </w:r>
          </w:p>
        </w:tc>
      </w:tr>
      <w:tr>
        <w:trPr>
          <w:trHeight w:val="234"/>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Amount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gridSpan w:val="2"/>
          </w:tcPr>
          <w:p>
            <w:pPr>
              <w:ind w:left="100"/>
              <w:spacing w:after="0"/>
              <w:rPr>
                <w:sz w:val="20"/>
                <w:szCs w:val="20"/>
                <w:color w:val="auto"/>
              </w:rPr>
            </w:pPr>
            <w:r>
              <w:rPr>
                <w:rFonts w:ascii="Arial" w:cs="Arial" w:eastAsia="Arial" w:hAnsi="Arial"/>
                <w:sz w:val="18"/>
                <w:szCs w:val="18"/>
                <w:b w:val="1"/>
                <w:bCs w:val="1"/>
                <w:color w:val="auto"/>
              </w:rPr>
              <w:t>Amortization</w:t>
            </w:r>
          </w:p>
        </w:tc>
        <w:tc>
          <w:tcPr>
            <w:tcW w:w="260" w:type="dxa"/>
            <w:vAlign w:val="bottom"/>
          </w:tcPr>
          <w:p>
            <w:pPr>
              <w:spacing w:after="0"/>
              <w:rPr>
                <w:sz w:val="20"/>
                <w:szCs w:val="20"/>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Amount</w:t>
            </w:r>
          </w:p>
        </w:tc>
      </w:tr>
      <w:tr>
        <w:trPr>
          <w:trHeight w:val="210"/>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Finite-lived intangible assets:</w:t>
            </w:r>
          </w:p>
        </w:tc>
        <w:tc>
          <w:tcPr>
            <w:tcW w:w="13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160"/>
              <w:spacing w:after="0"/>
              <w:rPr>
                <w:sz w:val="20"/>
                <w:szCs w:val="20"/>
                <w:color w:val="auto"/>
              </w:rPr>
            </w:pPr>
            <w:r>
              <w:rPr>
                <w:rFonts w:ascii="Arial" w:cs="Arial" w:eastAsia="Arial" w:hAnsi="Arial"/>
                <w:sz w:val="18"/>
                <w:szCs w:val="18"/>
                <w:color w:val="auto"/>
              </w:rPr>
              <w:t>Customer relationships</w:t>
            </w:r>
          </w:p>
        </w:tc>
        <w:tc>
          <w:tcPr>
            <w:tcW w:w="16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10,480</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2,717</w:t>
            </w:r>
          </w:p>
        </w:tc>
        <w:tc>
          <w:tcPr>
            <w:tcW w:w="180" w:type="dxa"/>
            <w:vAlign w:val="bottom"/>
          </w:tcPr>
          <w:p>
            <w:pPr>
              <w:spacing w:after="0"/>
              <w:rPr>
                <w:sz w:val="18"/>
                <w:szCs w:val="18"/>
                <w:color w:val="auto"/>
              </w:rPr>
            </w:pPr>
          </w:p>
        </w:tc>
        <w:tc>
          <w:tcPr>
            <w:tcW w:w="260" w:type="dxa"/>
            <w:vAlign w:val="bottom"/>
          </w:tcPr>
          <w:p>
            <w:pPr>
              <w:jc w:val="right"/>
              <w:ind w:right="75"/>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7,763</w:t>
            </w: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Technology</w:t>
            </w: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250</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w:t>
            </w:r>
          </w:p>
        </w:tc>
      </w:tr>
      <w:tr>
        <w:trPr>
          <w:trHeight w:val="216"/>
        </w:trPr>
        <w:tc>
          <w:tcPr>
            <w:tcW w:w="20" w:type="dxa"/>
            <w:vAlign w:val="bottom"/>
          </w:tcPr>
          <w:p>
            <w:pPr>
              <w:spacing w:after="0"/>
              <w:rPr>
                <w:sz w:val="18"/>
                <w:szCs w:val="18"/>
                <w:color w:val="auto"/>
              </w:rPr>
            </w:pPr>
          </w:p>
        </w:tc>
        <w:tc>
          <w:tcPr>
            <w:tcW w:w="3800" w:type="dxa"/>
            <w:vAlign w:val="bottom"/>
          </w:tcPr>
          <w:p>
            <w:pPr>
              <w:ind w:left="160"/>
              <w:spacing w:after="0"/>
              <w:rPr>
                <w:sz w:val="20"/>
                <w:szCs w:val="20"/>
                <w:color w:val="auto"/>
              </w:rPr>
            </w:pPr>
            <w:r>
              <w:rPr>
                <w:rFonts w:ascii="Arial" w:cs="Arial" w:eastAsia="Arial" w:hAnsi="Arial"/>
                <w:sz w:val="18"/>
                <w:szCs w:val="18"/>
                <w:color w:val="auto"/>
              </w:rPr>
              <w:t>Patents</w:t>
            </w: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590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502</w:t>
            </w:r>
          </w:p>
        </w:tc>
        <w:tc>
          <w:tcPr>
            <w:tcW w:w="2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Software</w:t>
            </w: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270</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800" w:type="dxa"/>
            <w:vAlign w:val="bottom"/>
          </w:tcPr>
          <w:p>
            <w:pPr>
              <w:ind w:left="160"/>
              <w:spacing w:after="0"/>
              <w:rPr>
                <w:sz w:val="20"/>
                <w:szCs w:val="20"/>
                <w:color w:val="auto"/>
              </w:rPr>
            </w:pPr>
            <w:r>
              <w:rPr>
                <w:rFonts w:ascii="Arial" w:cs="Arial" w:eastAsia="Arial" w:hAnsi="Arial"/>
                <w:sz w:val="18"/>
                <w:szCs w:val="18"/>
                <w:color w:val="auto"/>
              </w:rPr>
              <w:t>Trade name</w:t>
            </w: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140</w:t>
            </w:r>
          </w:p>
        </w:tc>
        <w:tc>
          <w:tcPr>
            <w:tcW w:w="2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Customer backlog</w:t>
            </w: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380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Total finite-lived intangible assets</w:t>
            </w: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12,580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4,379</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8,201</w:t>
            </w: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Indefinite-lived intangible assets:</w:t>
            </w: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160"/>
              <w:spacing w:after="0"/>
              <w:rPr>
                <w:sz w:val="20"/>
                <w:szCs w:val="20"/>
                <w:color w:val="auto"/>
              </w:rPr>
            </w:pPr>
            <w:r>
              <w:rPr>
                <w:rFonts w:ascii="Arial" w:cs="Arial" w:eastAsia="Arial" w:hAnsi="Arial"/>
                <w:sz w:val="18"/>
                <w:szCs w:val="18"/>
                <w:color w:val="auto"/>
              </w:rPr>
              <w:t>Trademarks</w:t>
            </w: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6,710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6,710</w:t>
            </w: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13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19,290</w:t>
            </w:r>
          </w:p>
        </w:tc>
        <w:tc>
          <w:tcPr>
            <w:tcW w:w="100" w:type="dxa"/>
            <w:vAlign w:val="bottom"/>
            <w:shd w:val="clear" w:color="auto" w:fill="CCEEFF"/>
          </w:tcPr>
          <w:p>
            <w:pPr>
              <w:spacing w:after="0"/>
              <w:rPr>
                <w:sz w:val="19"/>
                <w:szCs w:val="19"/>
                <w:color w:val="auto"/>
              </w:rPr>
            </w:pP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4,379</w:t>
            </w:r>
          </w:p>
        </w:tc>
        <w:tc>
          <w:tcPr>
            <w:tcW w:w="180" w:type="dxa"/>
            <w:vAlign w:val="bottom"/>
            <w:tcBorders>
              <w:right w:val="single" w:sz="8" w:color="CCEEFF"/>
            </w:tcBorders>
            <w:shd w:val="clear" w:color="auto" w:fill="CCEEFF"/>
          </w:tcPr>
          <w:p>
            <w:pPr>
              <w:spacing w:after="0"/>
              <w:rPr>
                <w:sz w:val="19"/>
                <w:szCs w:val="19"/>
                <w:color w:val="auto"/>
              </w:rPr>
            </w:pP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14,911</w:t>
            </w:r>
          </w:p>
        </w:tc>
      </w:tr>
      <w:tr>
        <w:trPr>
          <w:trHeight w:val="20"/>
        </w:trPr>
        <w:tc>
          <w:tcPr>
            <w:tcW w:w="20" w:type="dxa"/>
            <w:vAlign w:val="bottom"/>
          </w:tcPr>
          <w:p>
            <w:pPr>
              <w:spacing w:after="0" w:line="20" w:lineRule="exact"/>
              <w:rPr>
                <w:sz w:val="1"/>
                <w:szCs w:val="1"/>
                <w:color w:val="auto"/>
              </w:rPr>
            </w:pPr>
          </w:p>
        </w:tc>
        <w:tc>
          <w:tcPr>
            <w:tcW w:w="38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5" w:lineRule="exact"/>
        <w:rPr>
          <w:sz w:val="20"/>
          <w:szCs w:val="20"/>
          <w:color w:val="auto"/>
        </w:rPr>
      </w:pPr>
    </w:p>
    <w:p>
      <w:pPr>
        <w:jc w:val="center"/>
        <w:ind w:right="-33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80"/>
          </w:cols>
          <w:pgMar w:left="240" w:top="118" w:right="579" w:bottom="1440" w:gutter="0" w:footer="0" w:header="0"/>
        </w:sectPr>
      </w:pPr>
    </w:p>
    <w:bookmarkStart w:id="15" w:name="page16"/>
    <w:bookmarkEnd w:id="1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left="820"/>
        <w:spacing w:after="0" w:line="264" w:lineRule="auto"/>
        <w:rPr>
          <w:sz w:val="20"/>
          <w:szCs w:val="20"/>
          <w:color w:val="auto"/>
        </w:rPr>
      </w:pPr>
      <w:r>
        <w:rPr>
          <w:rFonts w:ascii="Arial" w:cs="Arial" w:eastAsia="Arial" w:hAnsi="Arial"/>
          <w:sz w:val="18"/>
          <w:szCs w:val="18"/>
          <w:color w:val="auto"/>
        </w:rPr>
        <w:t>We generally amortize our finite-lived intangible assets over their estimated useful lives on a straight-line basis, unless an alternate amortization method can be reliably determined. Any such alternate amortization method would be based on the pattern in which the economic benefits of the intangible asset are expected to be consumed. None of our intangible assets have any residual value.</w:t>
      </w:r>
    </w:p>
    <w:p>
      <w:pPr>
        <w:spacing w:after="0" w:line="181" w:lineRule="exact"/>
        <w:rPr>
          <w:sz w:val="20"/>
          <w:szCs w:val="20"/>
          <w:color w:val="auto"/>
        </w:rPr>
      </w:pPr>
    </w:p>
    <w:p>
      <w:pPr>
        <w:ind w:left="820" w:right="360"/>
        <w:spacing w:after="0" w:line="264" w:lineRule="auto"/>
        <w:rPr>
          <w:sz w:val="20"/>
          <w:szCs w:val="20"/>
          <w:color w:val="auto"/>
        </w:rPr>
      </w:pPr>
      <w:r>
        <w:rPr>
          <w:rFonts w:ascii="Arial" w:cs="Arial" w:eastAsia="Arial" w:hAnsi="Arial"/>
          <w:sz w:val="18"/>
          <w:szCs w:val="18"/>
          <w:color w:val="auto"/>
        </w:rPr>
        <w:t>Total amortization expense for our finite-lived intangible assets was $315 and $632 for the three and six months ended June 30, 2019, respectively, and $247 and $463 for the three and six months ended June 30, 2018, respectively. The following table sets forth the estimated annual amortization expense for each of the next five years:</w:t>
      </w:r>
    </w:p>
    <w:p>
      <w:pPr>
        <w:spacing w:after="0" w:line="196"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2019 (remainder)</w:t>
            </w:r>
          </w:p>
        </w:tc>
        <w:tc>
          <w:tcPr>
            <w:tcW w:w="40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625</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2020</w:t>
            </w:r>
          </w:p>
        </w:tc>
        <w:tc>
          <w:tcPr>
            <w:tcW w:w="40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1,233</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40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1,227</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2022</w:t>
            </w:r>
          </w:p>
        </w:tc>
        <w:tc>
          <w:tcPr>
            <w:tcW w:w="40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1,167</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40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1,067</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820" w:hanging="812"/>
        <w:spacing w:after="0"/>
        <w:tabs>
          <w:tab w:leader="none" w:pos="8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REVENUE FROM CONTRACTS WITH CUSTOMERS</w:t>
      </w:r>
    </w:p>
    <w:p>
      <w:pPr>
        <w:spacing w:after="0" w:line="229" w:lineRule="exact"/>
        <w:rPr>
          <w:sz w:val="20"/>
          <w:szCs w:val="20"/>
          <w:color w:val="auto"/>
        </w:rPr>
      </w:pPr>
    </w:p>
    <w:p>
      <w:pPr>
        <w:ind w:left="800" w:right="540"/>
        <w:spacing w:after="0" w:line="342" w:lineRule="auto"/>
        <w:rPr>
          <w:sz w:val="20"/>
          <w:szCs w:val="20"/>
          <w:color w:val="auto"/>
        </w:rPr>
      </w:pPr>
      <w:r>
        <w:rPr>
          <w:rFonts w:ascii="Arial" w:cs="Arial" w:eastAsia="Arial" w:hAnsi="Arial"/>
          <w:sz w:val="16"/>
          <w:szCs w:val="16"/>
          <w:color w:val="auto"/>
        </w:rPr>
        <w:t>The following tables provide additional information about our revenue from contracts with customers, including revenue by customer and product type and revenue by market. See also Note 11 for information about revenue by operating segment and geographic region.</w:t>
      </w:r>
    </w:p>
    <w:p>
      <w:pPr>
        <w:spacing w:after="0" w:line="120"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4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20" w:type="dxa"/>
            <w:vAlign w:val="bottom"/>
            <w:gridSpan w:val="5"/>
          </w:tcPr>
          <w:p>
            <w:pPr>
              <w:ind w:left="24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8"/>
                <w:szCs w:val="18"/>
                <w:color w:val="auto"/>
              </w:rPr>
            </w:pPr>
          </w:p>
        </w:tc>
        <w:tc>
          <w:tcPr>
            <w:tcW w:w="246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46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9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6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8"/>
                <w:szCs w:val="18"/>
                <w:color w:val="auto"/>
              </w:rPr>
            </w:pPr>
          </w:p>
        </w:tc>
      </w:tr>
      <w:tr>
        <w:trPr>
          <w:trHeight w:val="210"/>
        </w:trPr>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revenues by customer type:</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End user</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13,106</w:t>
            </w:r>
          </w:p>
        </w:tc>
        <w:tc>
          <w:tcPr>
            <w:tcW w:w="5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18,173</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29,143</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34,502</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OEM/Integrator</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2,924</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3,271</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5,466</w:t>
            </w:r>
          </w:p>
        </w:tc>
      </w:tr>
      <w:tr>
        <w:trPr>
          <w:trHeight w:val="20"/>
        </w:trPr>
        <w:tc>
          <w:tcPr>
            <w:tcW w:w="46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640" w:type="dxa"/>
            <w:vAlign w:val="bottom"/>
          </w:tcPr>
          <w:p>
            <w:pPr>
              <w:spacing w:after="0"/>
              <w:rPr>
                <w:sz w:val="18"/>
                <w:szCs w:val="18"/>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14,352</w:t>
            </w:r>
          </w:p>
        </w:tc>
        <w:tc>
          <w:tcPr>
            <w:tcW w:w="2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21,097</w:t>
            </w:r>
          </w:p>
        </w:tc>
        <w:tc>
          <w:tcPr>
            <w:tcW w:w="2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32,414</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39,968</w:t>
            </w:r>
          </w:p>
        </w:tc>
      </w:tr>
      <w:tr>
        <w:trPr>
          <w:trHeight w:val="20"/>
        </w:trPr>
        <w:tc>
          <w:tcPr>
            <w:tcW w:w="46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b w:val="1"/>
                <w:bCs w:val="1"/>
                <w:i w:val="1"/>
                <w:iCs w:val="1"/>
                <w:color w:val="auto"/>
              </w:rPr>
              <w:t>Net revenues by product type:</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Thermal test</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4,282</w:t>
            </w:r>
          </w:p>
        </w:tc>
        <w:tc>
          <w:tcPr>
            <w:tcW w:w="5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5,885</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9,249</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11,722</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Induction heating</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4,321</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5,937</w:t>
            </w:r>
          </w:p>
        </w:tc>
        <w:tc>
          <w:tcPr>
            <w:tcW w:w="2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10,072</w:t>
            </w:r>
          </w:p>
        </w:tc>
        <w:tc>
          <w:tcPr>
            <w:tcW w:w="3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11,559</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Semiconductor test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3,609</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6,809</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8,893</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12,148</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Service/other</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2,140</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2,466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4,200</w:t>
            </w:r>
          </w:p>
        </w:tc>
        <w:tc>
          <w:tcPr>
            <w:tcW w:w="3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4,539</w:t>
            </w:r>
          </w:p>
        </w:tc>
      </w:tr>
      <w:tr>
        <w:trPr>
          <w:trHeight w:val="20"/>
        </w:trPr>
        <w:tc>
          <w:tcPr>
            <w:tcW w:w="46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64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14,352</w:t>
            </w: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21,097</w:t>
            </w: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32,414</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39,968</w:t>
            </w:r>
          </w:p>
        </w:tc>
      </w:tr>
      <w:tr>
        <w:trPr>
          <w:trHeight w:val="197"/>
        </w:trPr>
        <w:tc>
          <w:tcPr>
            <w:tcW w:w="464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revenues by market: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Semi Market</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7,641</w:t>
            </w:r>
          </w:p>
        </w:tc>
        <w:tc>
          <w:tcPr>
            <w:tcW w:w="5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13,043</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17,752</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23,582</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4,279</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5,000</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10,225</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10,653</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Telecommunications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691</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1,343</w:t>
            </w:r>
          </w:p>
        </w:tc>
        <w:tc>
          <w:tcPr>
            <w:tcW w:w="2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1,284</w:t>
            </w:r>
          </w:p>
        </w:tc>
        <w:tc>
          <w:tcPr>
            <w:tcW w:w="3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2,622</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Other Multi Markets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3,153</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3,111</w:t>
            </w:r>
          </w:p>
        </w:tc>
      </w:tr>
      <w:tr>
        <w:trPr>
          <w:trHeight w:val="20"/>
        </w:trPr>
        <w:tc>
          <w:tcPr>
            <w:tcW w:w="46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640" w:type="dxa"/>
            <w:vAlign w:val="bottom"/>
          </w:tcPr>
          <w:p>
            <w:pPr>
              <w:spacing w:after="0"/>
              <w:rPr>
                <w:sz w:val="18"/>
                <w:szCs w:val="18"/>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14,352</w:t>
            </w:r>
          </w:p>
        </w:tc>
        <w:tc>
          <w:tcPr>
            <w:tcW w:w="2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21,097</w:t>
            </w:r>
          </w:p>
        </w:tc>
        <w:tc>
          <w:tcPr>
            <w:tcW w:w="2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32,414</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39,968</w:t>
            </w:r>
          </w:p>
        </w:tc>
      </w:tr>
      <w:tr>
        <w:trPr>
          <w:trHeight w:val="20"/>
        </w:trPr>
        <w:tc>
          <w:tcPr>
            <w:tcW w:w="46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There was no change in the amount of the allowance for doubtful accounts for the six months ended June 30, 2019.</w:t>
      </w:r>
    </w:p>
    <w:p>
      <w:pPr>
        <w:spacing w:after="0" w:line="218"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240" w:top="118" w:right="399" w:bottom="1440" w:gutter="0" w:footer="0" w:header="0"/>
        </w:sectPr>
      </w:pPr>
    </w:p>
    <w:bookmarkStart w:id="16" w:name="page17"/>
    <w:bookmarkEnd w:id="1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ind w:left="820" w:hanging="812"/>
        <w:spacing w:after="0"/>
        <w:tabs>
          <w:tab w:leader="none" w:pos="8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MAJOR CUSTOMERS</w:t>
      </w:r>
    </w:p>
    <w:p>
      <w:pPr>
        <w:spacing w:after="0" w:line="229" w:lineRule="exact"/>
        <w:rPr>
          <w:sz w:val="20"/>
          <w:szCs w:val="20"/>
          <w:color w:val="auto"/>
        </w:rPr>
      </w:pPr>
    </w:p>
    <w:p>
      <w:pPr>
        <w:ind w:left="800" w:right="200"/>
        <w:spacing w:after="0" w:line="312" w:lineRule="auto"/>
        <w:rPr>
          <w:sz w:val="20"/>
          <w:szCs w:val="20"/>
          <w:color w:val="auto"/>
        </w:rPr>
      </w:pPr>
      <w:r>
        <w:rPr>
          <w:rFonts w:ascii="Arial" w:cs="Arial" w:eastAsia="Arial" w:hAnsi="Arial"/>
          <w:sz w:val="16"/>
          <w:szCs w:val="16"/>
          <w:color w:val="auto"/>
        </w:rPr>
        <w:t>During the six months ended June 30, 2019 and 2018, Texas Instruments Incorporated accounted for 12% and 13% of our consolidated net revenues, respectively. While both of our segments sold to this customer, these revenues were primarily generated by our EMS segment. No other customers accounted for 10% or more of our consolidated net revenues during the six months ended June 30, 2019 and 2018.</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jc w:val="right"/>
              <w:ind w:right="190"/>
              <w:spacing w:after="0"/>
              <w:rPr>
                <w:sz w:val="20"/>
                <w:szCs w:val="20"/>
                <w:color w:val="auto"/>
              </w:rPr>
            </w:pPr>
            <w:r>
              <w:rPr>
                <w:rFonts w:ascii="Arial" w:cs="Arial" w:eastAsia="Arial" w:hAnsi="Arial"/>
                <w:sz w:val="18"/>
                <w:szCs w:val="18"/>
                <w:b w:val="1"/>
                <w:bCs w:val="1"/>
                <w:color w:val="auto"/>
                <w:w w:val="90"/>
              </w:rPr>
              <w:t>(6)</w:t>
            </w:r>
          </w:p>
        </w:tc>
        <w:tc>
          <w:tcPr>
            <w:tcW w:w="320" w:type="dxa"/>
            <w:vAlign w:val="bottom"/>
          </w:tcPr>
          <w:p>
            <w:pPr>
              <w:spacing w:after="0"/>
              <w:rPr>
                <w:sz w:val="20"/>
                <w:szCs w:val="20"/>
                <w:color w:val="auto"/>
              </w:rPr>
            </w:pPr>
          </w:p>
        </w:tc>
        <w:tc>
          <w:tcPr>
            <w:tcW w:w="6720" w:type="dxa"/>
            <w:vAlign w:val="bottom"/>
          </w:tcPr>
          <w:p>
            <w:pPr>
              <w:spacing w:after="0"/>
              <w:rPr>
                <w:sz w:val="20"/>
                <w:szCs w:val="20"/>
                <w:color w:val="auto"/>
              </w:rPr>
            </w:pPr>
            <w:r>
              <w:rPr>
                <w:rFonts w:ascii="Arial" w:cs="Arial" w:eastAsia="Arial" w:hAnsi="Arial"/>
                <w:sz w:val="18"/>
                <w:szCs w:val="18"/>
                <w:b w:val="1"/>
                <w:bCs w:val="1"/>
                <w:color w:val="auto"/>
              </w:rPr>
              <w:t>INVENTORIES</w:t>
            </w: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00" w:type="dxa"/>
            <w:vAlign w:val="bottom"/>
          </w:tcPr>
          <w:p>
            <w:pPr>
              <w:spacing w:after="0"/>
              <w:rPr>
                <w:sz w:val="24"/>
                <w:szCs w:val="24"/>
                <w:color w:val="auto"/>
              </w:rPr>
            </w:pPr>
          </w:p>
        </w:tc>
        <w:tc>
          <w:tcPr>
            <w:tcW w:w="7040" w:type="dxa"/>
            <w:vAlign w:val="bottom"/>
            <w:gridSpan w:val="2"/>
          </w:tcPr>
          <w:p>
            <w:pPr>
              <w:ind w:left="300"/>
              <w:spacing w:after="0"/>
              <w:rPr>
                <w:sz w:val="20"/>
                <w:szCs w:val="20"/>
                <w:color w:val="auto"/>
              </w:rPr>
            </w:pPr>
            <w:r>
              <w:rPr>
                <w:rFonts w:ascii="Arial" w:cs="Arial" w:eastAsia="Arial" w:hAnsi="Arial"/>
                <w:sz w:val="18"/>
                <w:szCs w:val="18"/>
                <w:color w:val="auto"/>
                <w:w w:val="92"/>
              </w:rPr>
              <w:t>Inventories held at June 30, 2019 and December 31, 2018 were comprised of the following:</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2019</w:t>
            </w: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r>
      <w:tr>
        <w:trPr>
          <w:trHeight w:val="210"/>
        </w:trPr>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280" w:type="dxa"/>
            <w:vAlign w:val="bottom"/>
            <w:gridSpan w:val="2"/>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5,331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4,654</w:t>
            </w:r>
          </w:p>
        </w:tc>
      </w:tr>
      <w:tr>
        <w:trPr>
          <w:trHeight w:val="216"/>
        </w:trPr>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Work in process</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962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1,026</w:t>
            </w:r>
          </w:p>
        </w:tc>
      </w:tr>
      <w:tr>
        <w:trPr>
          <w:trHeight w:val="216"/>
        </w:trPr>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Inventory consigned to others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r>
      <w:tr>
        <w:trPr>
          <w:trHeight w:val="216"/>
        </w:trPr>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Finished goods</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778</w:t>
            </w:r>
          </w:p>
        </w:tc>
      </w:tr>
      <w:tr>
        <w:trPr>
          <w:trHeight w:val="20"/>
        </w:trPr>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Total inventories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7,183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6,520</w:t>
            </w:r>
          </w:p>
        </w:tc>
      </w:tr>
      <w:tr>
        <w:trPr>
          <w:trHeight w:val="20"/>
        </w:trPr>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7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820" w:right="320"/>
        <w:spacing w:after="0" w:line="277" w:lineRule="auto"/>
        <w:rPr>
          <w:sz w:val="20"/>
          <w:szCs w:val="20"/>
          <w:color w:val="auto"/>
        </w:rPr>
      </w:pPr>
      <w:r>
        <w:rPr>
          <w:rFonts w:ascii="Arial" w:cs="Arial" w:eastAsia="Arial" w:hAnsi="Arial"/>
          <w:sz w:val="18"/>
          <w:szCs w:val="18"/>
          <w:color w:val="auto"/>
        </w:rPr>
        <w:t>Total charges incurred for excess and obsolete inventory for the three and six months ended June 30, 2019 and 2018, respectively, were as follows:</w:t>
      </w:r>
    </w:p>
    <w:p>
      <w:pPr>
        <w:spacing w:after="0" w:line="166"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380" w:type="dxa"/>
            <w:vAlign w:val="bottom"/>
            <w:gridSpan w:val="5"/>
          </w:tcPr>
          <w:p>
            <w:pPr>
              <w:jc w:val="center"/>
              <w:ind w:left="210"/>
              <w:spacing w:after="0"/>
              <w:rPr>
                <w:sz w:val="20"/>
                <w:szCs w:val="20"/>
                <w:color w:val="auto"/>
              </w:rPr>
            </w:pPr>
            <w:r>
              <w:rPr>
                <w:rFonts w:ascii="Arial" w:cs="Arial" w:eastAsia="Arial" w:hAnsi="Arial"/>
                <w:sz w:val="18"/>
                <w:szCs w:val="18"/>
                <w:b w:val="1"/>
                <w:bCs w:val="1"/>
                <w:color w:val="auto"/>
                <w:w w:val="92"/>
              </w:rPr>
              <w:t>Three Months Ended</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6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3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center"/>
              <w:ind w:right="600"/>
              <w:spacing w:after="0"/>
              <w:rPr>
                <w:sz w:val="20"/>
                <w:szCs w:val="20"/>
                <w:color w:val="auto"/>
              </w:rPr>
            </w:pPr>
            <w:r>
              <w:rPr>
                <w:rFonts w:ascii="Arial" w:cs="Arial" w:eastAsia="Arial" w:hAnsi="Arial"/>
                <w:sz w:val="18"/>
                <w:szCs w:val="18"/>
                <w:b w:val="1"/>
                <w:bCs w:val="1"/>
                <w:color w:val="auto"/>
                <w:w w:val="88"/>
              </w:rPr>
              <w:t>June 30,</w:t>
            </w:r>
          </w:p>
        </w:tc>
        <w:tc>
          <w:tcPr>
            <w:tcW w:w="3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center"/>
              <w:ind w:left="550"/>
              <w:spacing w:after="0"/>
              <w:rPr>
                <w:sz w:val="20"/>
                <w:szCs w:val="20"/>
                <w:color w:val="auto"/>
              </w:rPr>
            </w:pPr>
            <w:r>
              <w:rPr>
                <w:rFonts w:ascii="Arial" w:cs="Arial" w:eastAsia="Arial" w:hAnsi="Arial"/>
                <w:sz w:val="18"/>
                <w:szCs w:val="18"/>
                <w:b w:val="1"/>
                <w:bCs w:val="1"/>
                <w:color w:val="auto"/>
                <w:w w:val="88"/>
              </w:rPr>
              <w:t>June 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3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2018</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8"/>
                <w:szCs w:val="18"/>
                <w:color w:val="auto"/>
              </w:rPr>
            </w:pPr>
          </w:p>
        </w:tc>
      </w:tr>
      <w:tr>
        <w:trPr>
          <w:trHeight w:val="210"/>
        </w:trPr>
        <w:tc>
          <w:tcPr>
            <w:tcW w:w="3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Excess and obsolete inventory charges</w:t>
            </w:r>
          </w:p>
        </w:tc>
        <w:tc>
          <w:tcPr>
            <w:tcW w:w="184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c>
          <w:tcPr>
            <w:tcW w:w="10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243</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w:t>
            </w:r>
          </w:p>
        </w:tc>
      </w:tr>
    </w:tbl>
    <w:p>
      <w:pPr>
        <w:spacing w:after="0" w:line="195" w:lineRule="exact"/>
        <w:rPr>
          <w:sz w:val="20"/>
          <w:szCs w:val="20"/>
          <w:color w:val="auto"/>
        </w:rPr>
      </w:pPr>
    </w:p>
    <w:p>
      <w:pPr>
        <w:jc w:val="center"/>
        <w:ind w:right="-33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80"/>
          </w:cols>
          <w:pgMar w:left="240" w:top="118" w:right="579" w:bottom="1440" w:gutter="0" w:footer="0" w:header="0"/>
        </w:sectPr>
      </w:pPr>
    </w:p>
    <w:bookmarkStart w:id="17" w:name="page18"/>
    <w:bookmarkEnd w:id="1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ind w:left="820" w:hanging="812"/>
        <w:spacing w:after="0"/>
        <w:tabs>
          <w:tab w:leader="none" w:pos="8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rFonts w:ascii="Arial" w:cs="Arial" w:eastAsia="Arial" w:hAnsi="Arial"/>
          <w:sz w:val="18"/>
          <w:szCs w:val="18"/>
          <w:b w:val="1"/>
          <w:bCs w:val="1"/>
          <w:color w:val="auto"/>
        </w:rPr>
      </w:pPr>
    </w:p>
    <w:p>
      <w:pPr>
        <w:ind w:left="820" w:right="1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As previously discussed in Note 2, we account for our leases in accordance with the guidance in ASC 842, which was effective for us as of January 1, 2019. In connection with the implementation of ASC 842, we recorded non-cash increases in operating lease liabilities and right-of-use assets of $5,197 and $4,816, respectively, as of the effective date of this guidance.</w:t>
      </w:r>
    </w:p>
    <w:p>
      <w:pPr>
        <w:spacing w:after="0" w:line="181" w:lineRule="exact"/>
        <w:rPr>
          <w:rFonts w:ascii="Arial" w:cs="Arial" w:eastAsia="Arial" w:hAnsi="Arial"/>
          <w:sz w:val="18"/>
          <w:szCs w:val="18"/>
          <w:b w:val="1"/>
          <w:bCs w:val="1"/>
          <w:color w:val="auto"/>
        </w:rPr>
      </w:pPr>
    </w:p>
    <w:p>
      <w:pPr>
        <w:ind w:left="820"/>
        <w:spacing w:after="0"/>
        <w:rPr>
          <w:rFonts w:ascii="Arial" w:cs="Arial" w:eastAsia="Arial" w:hAnsi="Arial"/>
          <w:sz w:val="18"/>
          <w:szCs w:val="18"/>
          <w:b w:val="1"/>
          <w:bCs w:val="1"/>
          <w:color w:val="auto"/>
        </w:rPr>
      </w:pPr>
      <w:r>
        <w:rPr>
          <w:rFonts w:ascii="Arial" w:cs="Arial" w:eastAsia="Arial" w:hAnsi="Arial"/>
          <w:sz w:val="16"/>
          <w:szCs w:val="16"/>
          <w:color w:val="auto"/>
        </w:rPr>
        <w:t>We lease our offices, warehouse facilities and certain equipment under non-cancellable operating leases that expire at various dates through</w:t>
      </w:r>
    </w:p>
    <w:p>
      <w:pPr>
        <w:spacing w:after="0" w:line="46" w:lineRule="exact"/>
        <w:rPr>
          <w:rFonts w:ascii="Arial" w:cs="Arial" w:eastAsia="Arial" w:hAnsi="Arial"/>
          <w:sz w:val="18"/>
          <w:szCs w:val="18"/>
          <w:b w:val="1"/>
          <w:bCs w:val="1"/>
          <w:color w:val="auto"/>
        </w:rPr>
      </w:pPr>
    </w:p>
    <w:p>
      <w:pPr>
        <w:ind w:left="820"/>
        <w:spacing w:after="0"/>
        <w:rPr>
          <w:rFonts w:ascii="Arial" w:cs="Arial" w:eastAsia="Arial" w:hAnsi="Arial"/>
          <w:sz w:val="18"/>
          <w:szCs w:val="18"/>
          <w:b w:val="1"/>
          <w:bCs w:val="1"/>
          <w:color w:val="auto"/>
        </w:rPr>
      </w:pPr>
      <w:r>
        <w:rPr>
          <w:rFonts w:ascii="Arial" w:cs="Arial" w:eastAsia="Arial" w:hAnsi="Arial"/>
          <w:sz w:val="16"/>
          <w:szCs w:val="16"/>
          <w:color w:val="auto"/>
        </w:rPr>
        <w:t>2028. Total operating lease and short-term lease costs for the three and six months ended June 30, 2019 and 2018, respectively, were as follows:</w:t>
      </w:r>
    </w:p>
    <w:p>
      <w:pPr>
        <w:spacing w:after="0" w:line="230"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48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520" w:type="dxa"/>
            <w:vAlign w:val="bottom"/>
            <w:gridSpan w:val="6"/>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380" w:type="dxa"/>
            <w:vAlign w:val="bottom"/>
          </w:tcPr>
          <w:p>
            <w:pPr>
              <w:spacing w:after="0"/>
              <w:rPr>
                <w:sz w:val="18"/>
                <w:szCs w:val="18"/>
                <w:color w:val="auto"/>
              </w:rPr>
            </w:pPr>
          </w:p>
        </w:tc>
        <w:tc>
          <w:tcPr>
            <w:tcW w:w="2340" w:type="dxa"/>
            <w:vAlign w:val="bottom"/>
            <w:gridSpan w:val="6"/>
          </w:tcPr>
          <w:p>
            <w:pPr>
              <w:jc w:val="center"/>
              <w:ind w:right="480"/>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48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b w:val="1"/>
                <w:bCs w:val="1"/>
                <w:color w:val="auto"/>
              </w:rPr>
              <w:t>June 30,</w:t>
            </w:r>
          </w:p>
        </w:tc>
        <w:tc>
          <w:tcPr>
            <w:tcW w:w="9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center"/>
              <w:ind w:left="470"/>
              <w:spacing w:after="0"/>
              <w:rPr>
                <w:sz w:val="20"/>
                <w:szCs w:val="20"/>
                <w:color w:val="auto"/>
              </w:rPr>
            </w:pPr>
            <w:r>
              <w:rPr>
                <w:rFonts w:ascii="Arial" w:cs="Arial" w:eastAsia="Arial" w:hAnsi="Arial"/>
                <w:sz w:val="18"/>
                <w:szCs w:val="18"/>
                <w:b w:val="1"/>
                <w:bCs w:val="1"/>
                <w:color w:val="auto"/>
                <w:w w:val="88"/>
              </w:rPr>
              <w:t>June 30,</w:t>
            </w:r>
          </w:p>
        </w:tc>
        <w:tc>
          <w:tcPr>
            <w:tcW w:w="4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48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2019</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18"/>
                <w:szCs w:val="18"/>
                <w:color w:val="auto"/>
              </w:rPr>
            </w:pPr>
          </w:p>
        </w:tc>
      </w:tr>
      <w:tr>
        <w:trPr>
          <w:trHeight w:val="210"/>
        </w:trPr>
        <w:tc>
          <w:tcPr>
            <w:tcW w:w="48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417</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736</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835</w:t>
            </w:r>
          </w:p>
        </w:tc>
        <w:tc>
          <w:tcPr>
            <w:tcW w:w="80" w:type="dxa"/>
            <w:vAlign w:val="bottom"/>
            <w:shd w:val="clear" w:color="auto" w:fill="CCEEFF"/>
          </w:tcPr>
          <w:p>
            <w:pPr>
              <w:spacing w:after="0"/>
              <w:rPr>
                <w:sz w:val="18"/>
                <w:szCs w:val="18"/>
                <w:color w:val="auto"/>
              </w:rPr>
            </w:pPr>
          </w:p>
        </w:tc>
      </w:tr>
      <w:tr>
        <w:trPr>
          <w:trHeight w:val="230"/>
        </w:trPr>
        <w:tc>
          <w:tcPr>
            <w:tcW w:w="4180" w:type="dxa"/>
            <w:vAlign w:val="bottom"/>
            <w:gridSpan w:val="2"/>
          </w:tcPr>
          <w:p>
            <w:pPr>
              <w:spacing w:after="0"/>
              <w:rPr>
                <w:sz w:val="20"/>
                <w:szCs w:val="20"/>
                <w:color w:val="auto"/>
              </w:rPr>
            </w:pPr>
            <w:r>
              <w:rPr>
                <w:rFonts w:ascii="Arial" w:cs="Arial" w:eastAsia="Arial" w:hAnsi="Arial"/>
                <w:sz w:val="18"/>
                <w:szCs w:val="18"/>
                <w:color w:val="auto"/>
              </w:rPr>
              <w:t>Short-term lease cost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13</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20"/>
                <w:szCs w:val="20"/>
                <w:color w:val="auto"/>
              </w:rPr>
            </w:pPr>
          </w:p>
        </w:tc>
      </w:tr>
      <w:tr>
        <w:trPr>
          <w:trHeight w:val="418"/>
        </w:trPr>
        <w:tc>
          <w:tcPr>
            <w:tcW w:w="5980" w:type="dxa"/>
            <w:vAlign w:val="bottom"/>
            <w:gridSpan w:val="6"/>
          </w:tcPr>
          <w:p>
            <w:pPr>
              <w:spacing w:after="0"/>
              <w:rPr>
                <w:sz w:val="20"/>
                <w:szCs w:val="20"/>
                <w:color w:val="auto"/>
              </w:rPr>
            </w:pPr>
            <w:r>
              <w:rPr>
                <w:rFonts w:ascii="Arial" w:cs="Arial" w:eastAsia="Arial" w:hAnsi="Arial"/>
                <w:sz w:val="18"/>
                <w:szCs w:val="18"/>
                <w:color w:val="auto"/>
                <w:w w:val="98"/>
              </w:rPr>
              <w:t>The following is additional information about our leases as of June 30, 2019: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48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Range of remaining lease terms (in years)</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to</w:t>
            </w:r>
          </w:p>
        </w:tc>
        <w:tc>
          <w:tcPr>
            <w:tcW w:w="460" w:type="dxa"/>
            <w:vAlign w:val="bottom"/>
            <w:shd w:val="clear" w:color="auto" w:fill="CCEEFF"/>
          </w:tcPr>
          <w:p>
            <w:pPr>
              <w:ind w:left="60"/>
              <w:spacing w:after="0"/>
              <w:rPr>
                <w:sz w:val="20"/>
                <w:szCs w:val="20"/>
                <w:color w:val="auto"/>
              </w:rPr>
            </w:pPr>
            <w:r>
              <w:rPr>
                <w:rFonts w:ascii="Arial" w:cs="Arial" w:eastAsia="Arial" w:hAnsi="Arial"/>
                <w:sz w:val="18"/>
                <w:szCs w:val="18"/>
                <w:color w:val="auto"/>
              </w:rPr>
              <w:t>8.9</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Weighted average remaining lease term (in years)</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ind w:left="60"/>
              <w:spacing w:after="0"/>
              <w:rPr>
                <w:sz w:val="20"/>
                <w:szCs w:val="20"/>
                <w:color w:val="auto"/>
              </w:rPr>
            </w:pPr>
            <w:r>
              <w:rPr>
                <w:rFonts w:ascii="Arial" w:cs="Arial" w:eastAsia="Arial" w:hAnsi="Arial"/>
                <w:sz w:val="18"/>
                <w:szCs w:val="18"/>
                <w:color w:val="auto"/>
              </w:rPr>
              <w:t>5.7</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discount rate</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60"/>
              <w:spacing w:after="0"/>
              <w:rPr>
                <w:sz w:val="20"/>
                <w:szCs w:val="20"/>
                <w:color w:val="auto"/>
              </w:rPr>
            </w:pPr>
            <w:r>
              <w:rPr>
                <w:rFonts w:ascii="Arial" w:cs="Arial" w:eastAsia="Arial" w:hAnsi="Arial"/>
                <w:sz w:val="18"/>
                <w:szCs w:val="18"/>
                <w:color w:val="auto"/>
                <w:w w:val="92"/>
              </w:rPr>
              <w:t>5.0%</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32"/>
        </w:trPr>
        <w:tc>
          <w:tcPr>
            <w:tcW w:w="7920" w:type="dxa"/>
            <w:vAlign w:val="bottom"/>
            <w:gridSpan w:val="11"/>
          </w:tcPr>
          <w:p>
            <w:pPr>
              <w:spacing w:after="0"/>
              <w:rPr>
                <w:sz w:val="20"/>
                <w:szCs w:val="20"/>
                <w:color w:val="auto"/>
              </w:rPr>
            </w:pPr>
            <w:r>
              <w:rPr>
                <w:rFonts w:ascii="Arial" w:cs="Arial" w:eastAsia="Arial" w:hAnsi="Arial"/>
                <w:sz w:val="18"/>
                <w:szCs w:val="18"/>
                <w:color w:val="auto"/>
                <w:w w:val="90"/>
              </w:rPr>
              <w:t>Supplemental cash flow information related to leases for the six months ended June 30, 2019 was as follows:</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480" w:type="dxa"/>
            <w:vAlign w:val="bottom"/>
          </w:tcPr>
          <w:p>
            <w:pPr>
              <w:spacing w:after="0"/>
              <w:rPr>
                <w:sz w:val="18"/>
                <w:szCs w:val="18"/>
                <w:color w:val="auto"/>
              </w:rPr>
            </w:pPr>
          </w:p>
        </w:tc>
        <w:tc>
          <w:tcPr>
            <w:tcW w:w="7440" w:type="dxa"/>
            <w:vAlign w:val="bottom"/>
            <w:gridSpan w:val="10"/>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480" w:type="dxa"/>
            <w:vAlign w:val="bottom"/>
          </w:tcPr>
          <w:p>
            <w:pPr>
              <w:spacing w:after="0"/>
              <w:rPr>
                <w:sz w:val="17"/>
                <w:szCs w:val="17"/>
                <w:color w:val="auto"/>
              </w:rPr>
            </w:pPr>
          </w:p>
        </w:tc>
        <w:tc>
          <w:tcPr>
            <w:tcW w:w="7440" w:type="dxa"/>
            <w:vAlign w:val="bottom"/>
            <w:gridSpan w:val="10"/>
            <w:shd w:val="clear" w:color="auto" w:fill="CCEEFF"/>
          </w:tcPr>
          <w:p>
            <w:pPr>
              <w:spacing w:after="0" w:line="201" w:lineRule="exact"/>
              <w:rPr>
                <w:sz w:val="20"/>
                <w:szCs w:val="20"/>
                <w:color w:val="auto"/>
              </w:rPr>
            </w:pPr>
            <w:r>
              <w:rPr>
                <w:rFonts w:ascii="Arial" w:cs="Arial" w:eastAsia="Arial" w:hAnsi="Arial"/>
                <w:sz w:val="18"/>
                <w:szCs w:val="18"/>
                <w:color w:val="auto"/>
                <w:w w:val="90"/>
              </w:rPr>
              <w:t>Non-cash increases (decreases) in operating lease liabilities and right-of-use assets as a result of lease</w:t>
            </w: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tcBorders>
              <w:right w:val="single" w:sz="8" w:color="CCEEFF"/>
            </w:tcBorders>
            <w:shd w:val="clear" w:color="auto" w:fill="CCEEFF"/>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480" w:type="dxa"/>
            <w:vAlign w:val="bottom"/>
          </w:tcPr>
          <w:p>
            <w:pPr>
              <w:spacing w:after="0"/>
              <w:rPr>
                <w:sz w:val="20"/>
                <w:szCs w:val="20"/>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modifications:</w:t>
            </w:r>
          </w:p>
        </w:tc>
        <w:tc>
          <w:tcPr>
            <w:tcW w:w="4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80" w:type="dxa"/>
            <w:vAlign w:val="bottom"/>
            <w:tcBorders>
              <w:right w:val="single" w:sz="8" w:color="CCEEFF"/>
            </w:tcBorders>
            <w:shd w:val="clear" w:color="auto" w:fill="CCEEFF"/>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4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Modification to Ambrell’s U.K. facility lease</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(486)</w:t>
            </w:r>
          </w:p>
        </w:tc>
        <w:tc>
          <w:tcPr>
            <w:tcW w:w="80" w:type="dxa"/>
            <w:vAlign w:val="bottom"/>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45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4"/>
              </w:rPr>
              <w:t>Modification to lease for facility in Mansfield, Massachusetts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1,819</w:t>
            </w:r>
          </w:p>
        </w:tc>
        <w:tc>
          <w:tcPr>
            <w:tcW w:w="80" w:type="dxa"/>
            <w:vAlign w:val="bottom"/>
          </w:tcPr>
          <w:p>
            <w:pPr>
              <w:spacing w:after="0"/>
              <w:rPr>
                <w:sz w:val="18"/>
                <w:szCs w:val="18"/>
                <w:color w:val="auto"/>
              </w:rPr>
            </w:pPr>
          </w:p>
        </w:tc>
      </w:tr>
    </w:tbl>
    <w:p>
      <w:pPr>
        <w:spacing w:after="0" w:line="202" w:lineRule="exact"/>
        <w:rPr>
          <w:sz w:val="20"/>
          <w:szCs w:val="20"/>
          <w:color w:val="auto"/>
        </w:rPr>
      </w:pPr>
    </w:p>
    <w:p>
      <w:pPr>
        <w:ind w:left="820" w:right="20"/>
        <w:spacing w:after="0" w:line="312" w:lineRule="auto"/>
        <w:rPr>
          <w:sz w:val="20"/>
          <w:szCs w:val="20"/>
          <w:color w:val="auto"/>
        </w:rPr>
      </w:pPr>
      <w:r>
        <w:rPr>
          <w:rFonts w:ascii="Arial" w:cs="Arial" w:eastAsia="Arial" w:hAnsi="Arial"/>
          <w:sz w:val="16"/>
          <w:szCs w:val="16"/>
          <w:color w:val="auto"/>
        </w:rPr>
        <w:t>The lease for Ambrell’s U.K. facility had an original term of 15 years, which extended through August 2029. The lease included the option to terminate the lease at specified points in time without penalty. We exercised this option in March 2019, and the lease now expires in September 2019. At the effective date of this modification, we recorded a reduction in our ROU assets and operating lease liabilities of approximately $486.</w:t>
      </w:r>
    </w:p>
    <w:p>
      <w:pPr>
        <w:spacing w:after="0" w:line="147" w:lineRule="exact"/>
        <w:rPr>
          <w:sz w:val="20"/>
          <w:szCs w:val="20"/>
          <w:color w:val="auto"/>
        </w:rPr>
      </w:pPr>
    </w:p>
    <w:p>
      <w:pPr>
        <w:ind w:left="820"/>
        <w:spacing w:after="0" w:line="276" w:lineRule="auto"/>
        <w:rPr>
          <w:sz w:val="20"/>
          <w:szCs w:val="20"/>
          <w:color w:val="auto"/>
        </w:rPr>
      </w:pPr>
      <w:r>
        <w:rPr>
          <w:rFonts w:ascii="Arial" w:cs="Arial" w:eastAsia="Arial" w:hAnsi="Arial"/>
          <w:sz w:val="17"/>
          <w:szCs w:val="17"/>
          <w:color w:val="auto"/>
        </w:rPr>
        <w:t>On April 8, 2019, we executed an amendment to the lease for our facility in Mansfield, Massachusetts that extended the term of the lease for an additional forty months to December 31, 2024 and expanded the amount of leased space by approximately 6,100 square feet. The current rate per square foot that is in place through August 31, 2021 (the original expiration date of the lease) did not change. After August 31, 2021, there are predetermined fixed escalations of the rate as outlined in the amendment. At the effective date of this modification, we recorded an increase in our ROU assets and operating lease liabilities of approximately $1,819.</w:t>
      </w:r>
    </w:p>
    <w:p>
      <w:pPr>
        <w:spacing w:after="0" w:line="173"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8620" w:type="dxa"/>
            <w:vAlign w:val="bottom"/>
          </w:tcPr>
          <w:p>
            <w:pPr>
              <w:spacing w:after="0"/>
              <w:rPr>
                <w:sz w:val="20"/>
                <w:szCs w:val="20"/>
                <w:color w:val="auto"/>
              </w:rPr>
            </w:pPr>
            <w:r>
              <w:rPr>
                <w:rFonts w:ascii="Arial" w:cs="Arial" w:eastAsia="Arial" w:hAnsi="Arial"/>
                <w:sz w:val="18"/>
                <w:szCs w:val="18"/>
                <w:color w:val="auto"/>
              </w:rPr>
              <w:t>Maturities of lease liabilities as of June 30, 2019 were as follows:</w:t>
            </w:r>
          </w:p>
        </w:tc>
        <w:tc>
          <w:tcPr>
            <w:tcW w:w="6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2019 (remainder)</w:t>
            </w: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807</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2020</w:t>
            </w:r>
          </w:p>
        </w:tc>
        <w:tc>
          <w:tcPr>
            <w:tcW w:w="6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1,572</w:t>
            </w: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6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1,064</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2022</w:t>
            </w:r>
          </w:p>
        </w:tc>
        <w:tc>
          <w:tcPr>
            <w:tcW w:w="6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825</w:t>
            </w: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6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834</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Thereafter</w:t>
            </w:r>
          </w:p>
        </w:tc>
        <w:tc>
          <w:tcPr>
            <w:tcW w:w="6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1,626</w:t>
            </w:r>
          </w:p>
        </w:tc>
      </w:tr>
      <w:tr>
        <w:trPr>
          <w:trHeight w:val="20"/>
        </w:trPr>
        <w:tc>
          <w:tcPr>
            <w:tcW w:w="86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lease payments</w:t>
            </w: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6,728</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Less imputed interest</w:t>
            </w:r>
          </w:p>
        </w:tc>
        <w:tc>
          <w:tcPr>
            <w:tcW w:w="6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(866)</w:t>
            </w:r>
          </w:p>
        </w:tc>
      </w:tr>
      <w:tr>
        <w:trPr>
          <w:trHeight w:val="20"/>
        </w:trPr>
        <w:tc>
          <w:tcPr>
            <w:tcW w:w="86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8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5,862</w:t>
            </w:r>
          </w:p>
        </w:tc>
      </w:tr>
      <w:tr>
        <w:trPr>
          <w:trHeight w:val="20"/>
        </w:trPr>
        <w:tc>
          <w:tcPr>
            <w:tcW w:w="86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5"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118" w:right="379" w:bottom="1440" w:gutter="0" w:footer="0" w:header="0"/>
        </w:sectPr>
      </w:pPr>
    </w:p>
    <w:bookmarkStart w:id="18" w:name="page19"/>
    <w:bookmarkEnd w:id="1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ind w:left="820" w:hanging="812"/>
        <w:spacing w:after="0"/>
        <w:tabs>
          <w:tab w:leader="none" w:pos="8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u w:val="single" w:color="auto"/>
          <w:color w:val="auto"/>
        </w:rPr>
        <w:t>Letters of Credit</w:t>
      </w:r>
    </w:p>
    <w:p>
      <w:pPr>
        <w:spacing w:after="0" w:line="225" w:lineRule="exact"/>
        <w:rPr>
          <w:sz w:val="20"/>
          <w:szCs w:val="20"/>
          <w:color w:val="auto"/>
        </w:rPr>
      </w:pPr>
    </w:p>
    <w:p>
      <w:pPr>
        <w:ind w:left="800" w:right="60"/>
        <w:spacing w:after="0" w:line="297" w:lineRule="auto"/>
        <w:rPr>
          <w:sz w:val="20"/>
          <w:szCs w:val="20"/>
          <w:color w:val="auto"/>
        </w:rPr>
      </w:pPr>
      <w:r>
        <w:rPr>
          <w:rFonts w:ascii="Arial" w:cs="Arial" w:eastAsia="Arial" w:hAnsi="Arial"/>
          <w:sz w:val="16"/>
          <w:szCs w:val="16"/>
          <w:color w:val="auto"/>
        </w:rPr>
        <w:t>We have issued letters of credit as the security deposits for certain of our domestic leases. These letters of credit are secured by pledged certificates of deposit that are classified as Restricted Certificates of Deposit on our balance sheets. The terms of our leases require us to renew these letters of credit at least 30 days prior to their expiration dates for successive terms of not less than one year until lease expiration. In accordance with the terms of our lease, the letter of credit related to our facility in Mt. Laurel, New Jersey was reduced from $125 to $90 on April 1, 2019. On April 8, 2019, the lease for our Mansfield, Massachusetts facility was modified as previously discussed.</w:t>
      </w:r>
    </w:p>
    <w:p>
      <w:pPr>
        <w:spacing w:after="0" w:line="154"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60" w:type="dxa"/>
            <w:vAlign w:val="bottom"/>
            <w:gridSpan w:val="6"/>
          </w:tcPr>
          <w:p>
            <w:pPr>
              <w:jc w:val="right"/>
              <w:ind w:right="1060"/>
              <w:spacing w:after="0"/>
              <w:rPr>
                <w:sz w:val="20"/>
                <w:szCs w:val="20"/>
                <w:color w:val="auto"/>
              </w:rPr>
            </w:pPr>
            <w:r>
              <w:rPr>
                <w:rFonts w:ascii="Arial" w:cs="Arial" w:eastAsia="Arial" w:hAnsi="Arial"/>
                <w:sz w:val="18"/>
                <w:szCs w:val="18"/>
                <w:b w:val="1"/>
                <w:bCs w:val="1"/>
                <w:color w:val="auto"/>
              </w:rPr>
              <w:t>Letters of Credit</w:t>
            </w:r>
          </w:p>
        </w:tc>
        <w:tc>
          <w:tcPr>
            <w:tcW w:w="0" w:type="dxa"/>
            <w:vAlign w:val="bottom"/>
          </w:tcPr>
          <w:p>
            <w:pPr>
              <w:spacing w:after="0"/>
              <w:rPr>
                <w:sz w:val="1"/>
                <w:szCs w:val="1"/>
                <w:color w:val="auto"/>
              </w:rPr>
            </w:pPr>
          </w:p>
        </w:tc>
      </w:tr>
      <w:tr>
        <w:trPr>
          <w:trHeight w:val="234"/>
        </w:trPr>
        <w:tc>
          <w:tcPr>
            <w:tcW w:w="3200" w:type="dxa"/>
            <w:vAlign w:val="bottom"/>
          </w:tcPr>
          <w:p>
            <w:pPr>
              <w:spacing w:after="0"/>
              <w:rPr>
                <w:sz w:val="20"/>
                <w:szCs w:val="20"/>
                <w:color w:val="auto"/>
              </w:rPr>
            </w:pP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6"/>
              </w:rPr>
              <w:t>Original</w:t>
            </w: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rPr>
              <w:t>L/C</w:t>
            </w:r>
          </w:p>
        </w:tc>
        <w:tc>
          <w:tcPr>
            <w:tcW w:w="1240" w:type="dxa"/>
            <w:vAlign w:val="bottom"/>
            <w:gridSpan w:val="2"/>
            <w:vMerge w:val="restart"/>
          </w:tcPr>
          <w:p>
            <w:pPr>
              <w:jc w:val="center"/>
              <w:ind w:right="80"/>
              <w:spacing w:after="0"/>
              <w:rPr>
                <w:sz w:val="20"/>
                <w:szCs w:val="20"/>
                <w:color w:val="auto"/>
              </w:rPr>
            </w:pPr>
            <w:r>
              <w:rPr>
                <w:rFonts w:ascii="Arial" w:cs="Arial" w:eastAsia="Arial" w:hAnsi="Arial"/>
                <w:sz w:val="18"/>
                <w:szCs w:val="18"/>
                <w:b w:val="1"/>
                <w:bCs w:val="1"/>
                <w:color w:val="auto"/>
                <w:w w:val="86"/>
              </w:rPr>
              <w:t>Lease</w:t>
            </w:r>
          </w:p>
        </w:tc>
        <w:tc>
          <w:tcPr>
            <w:tcW w:w="280" w:type="dxa"/>
            <w:vAlign w:val="bottom"/>
          </w:tcPr>
          <w:p>
            <w:pPr>
              <w:spacing w:after="0"/>
              <w:rPr>
                <w:sz w:val="20"/>
                <w:szCs w:val="20"/>
                <w:color w:val="auto"/>
              </w:rPr>
            </w:pPr>
          </w:p>
        </w:tc>
        <w:tc>
          <w:tcPr>
            <w:tcW w:w="3060" w:type="dxa"/>
            <w:vAlign w:val="bottom"/>
            <w:gridSpan w:val="6"/>
          </w:tcPr>
          <w:p>
            <w:pPr>
              <w:jc w:val="right"/>
              <w:ind w:right="900"/>
              <w:spacing w:after="0"/>
              <w:rPr>
                <w:sz w:val="20"/>
                <w:szCs w:val="20"/>
                <w:color w:val="auto"/>
              </w:rPr>
            </w:pPr>
            <w:r>
              <w:rPr>
                <w:rFonts w:ascii="Arial" w:cs="Arial" w:eastAsia="Arial" w:hAnsi="Arial"/>
                <w:sz w:val="18"/>
                <w:szCs w:val="18"/>
                <w:b w:val="1"/>
                <w:bCs w:val="1"/>
                <w:color w:val="auto"/>
              </w:rPr>
              <w:t>Amount Outstanding</w:t>
            </w:r>
          </w:p>
        </w:tc>
        <w:tc>
          <w:tcPr>
            <w:tcW w:w="0" w:type="dxa"/>
            <w:vAlign w:val="bottom"/>
          </w:tcPr>
          <w:p>
            <w:pPr>
              <w:spacing w:after="0"/>
              <w:rPr>
                <w:sz w:val="1"/>
                <w:szCs w:val="1"/>
                <w:color w:val="auto"/>
              </w:rPr>
            </w:pPr>
          </w:p>
        </w:tc>
      </w:tr>
      <w:tr>
        <w:trPr>
          <w:trHeight w:val="191"/>
        </w:trPr>
        <w:tc>
          <w:tcPr>
            <w:tcW w:w="32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L/C</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Expiration</w:t>
            </w:r>
          </w:p>
        </w:tc>
        <w:tc>
          <w:tcPr>
            <w:tcW w:w="1520" w:type="dxa"/>
            <w:vAlign w:val="bottom"/>
            <w:gridSpan w:val="3"/>
          </w:tcPr>
          <w:p>
            <w:pPr>
              <w:jc w:val="center"/>
              <w:ind w:right="290"/>
              <w:spacing w:after="0"/>
              <w:rPr>
                <w:sz w:val="20"/>
                <w:szCs w:val="20"/>
                <w:color w:val="auto"/>
              </w:rPr>
            </w:pPr>
            <w:r>
              <w:rPr>
                <w:rFonts w:ascii="Arial" w:cs="Arial" w:eastAsia="Arial" w:hAnsi="Arial"/>
                <w:sz w:val="18"/>
                <w:szCs w:val="18"/>
                <w:b w:val="1"/>
                <w:bCs w:val="1"/>
                <w:color w:val="auto"/>
                <w:w w:val="93"/>
              </w:rPr>
              <w:t>Expiration</w:t>
            </w:r>
          </w:p>
        </w:tc>
        <w:tc>
          <w:tcPr>
            <w:tcW w:w="134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34"/>
        </w:trPr>
        <w:tc>
          <w:tcPr>
            <w:tcW w:w="32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Issue Date</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Mt. Laurel, NJ</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3/29/2010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3/31/2020</w:t>
            </w:r>
          </w:p>
        </w:tc>
        <w:tc>
          <w:tcPr>
            <w:tcW w:w="152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4/30/2021 $</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Mansfield, MA</w:t>
            </w:r>
          </w:p>
        </w:tc>
        <w:tc>
          <w:tcPr>
            <w:tcW w:w="1140" w:type="dxa"/>
            <w:vAlign w:val="bottom"/>
          </w:tcPr>
          <w:p>
            <w:pPr>
              <w:jc w:val="right"/>
              <w:spacing w:after="0"/>
              <w:rPr>
                <w:sz w:val="20"/>
                <w:szCs w:val="20"/>
                <w:color w:val="auto"/>
              </w:rPr>
            </w:pPr>
            <w:r>
              <w:rPr>
                <w:rFonts w:ascii="Arial" w:cs="Arial" w:eastAsia="Arial" w:hAnsi="Arial"/>
                <w:sz w:val="18"/>
                <w:szCs w:val="18"/>
                <w:color w:val="auto"/>
              </w:rPr>
              <w:t>10/27/2010</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11/08/2019</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12/31/2024</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820" w:hanging="812"/>
        <w:spacing w:after="0"/>
        <w:tabs>
          <w:tab w:leader="none" w:pos="8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29" w:lineRule="exact"/>
        <w:rPr>
          <w:rFonts w:ascii="Arial" w:cs="Arial" w:eastAsia="Arial" w:hAnsi="Arial"/>
          <w:sz w:val="18"/>
          <w:szCs w:val="18"/>
          <w:b w:val="1"/>
          <w:bCs w:val="1"/>
          <w:color w:val="auto"/>
        </w:rPr>
      </w:pPr>
    </w:p>
    <w:p>
      <w:pPr>
        <w:ind w:left="820" w:right="52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As of June 30, 2019, we have unvested restricted stock awards and stock options granted under stock-based compensation plans that are described more fully in Note 14 to the consolidated financial statements in our 2018 Form 10-K.</w:t>
      </w:r>
    </w:p>
    <w:p>
      <w:pPr>
        <w:spacing w:after="0" w:line="146" w:lineRule="exact"/>
        <w:rPr>
          <w:rFonts w:ascii="Arial" w:cs="Arial" w:eastAsia="Arial" w:hAnsi="Arial"/>
          <w:sz w:val="18"/>
          <w:szCs w:val="18"/>
          <w:b w:val="1"/>
          <w:bCs w:val="1"/>
          <w:color w:val="auto"/>
        </w:rPr>
      </w:pPr>
    </w:p>
    <w:p>
      <w:pPr>
        <w:ind w:left="820" w:right="1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As of June 30, 2019, total unrecognized compensation expense related to unvested restricted stock awards and stock options was $2,168. The weighted average period over which this expense is expected to be recognized is 3.1 years. The following table shows the allocation of the compensation expense we recorded during the three and six months ended June 30, 2019 and 2018, respectively, related to stock-based compensation:</w:t>
      </w:r>
    </w:p>
    <w:p>
      <w:pPr>
        <w:spacing w:after="0" w:line="183"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340" w:type="dxa"/>
            <w:vAlign w:val="bottom"/>
            <w:gridSpan w:val="5"/>
          </w:tcPr>
          <w:p>
            <w:pPr>
              <w:jc w:val="right"/>
              <w:ind w:right="90"/>
              <w:spacing w:after="0"/>
              <w:rPr>
                <w:sz w:val="20"/>
                <w:szCs w:val="20"/>
                <w:color w:val="auto"/>
              </w:rPr>
            </w:pPr>
            <w:r>
              <w:rPr>
                <w:rFonts w:ascii="Arial" w:cs="Arial" w:eastAsia="Arial" w:hAnsi="Arial"/>
                <w:sz w:val="18"/>
                <w:szCs w:val="18"/>
                <w:b w:val="1"/>
                <w:bCs w:val="1"/>
                <w:color w:val="auto"/>
              </w:rPr>
              <w:t>Three Months Ended</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6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40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8"/>
                <w:szCs w:val="18"/>
                <w:b w:val="1"/>
                <w:bCs w:val="1"/>
                <w:color w:val="auto"/>
              </w:rPr>
              <w:t>June 30,</w:t>
            </w:r>
          </w:p>
        </w:tc>
        <w:tc>
          <w:tcPr>
            <w:tcW w:w="3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3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8"/>
                <w:szCs w:val="18"/>
                <w:color w:val="auto"/>
              </w:rPr>
            </w:pP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52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Selling expense</w:t>
            </w:r>
          </w:p>
        </w:tc>
        <w:tc>
          <w:tcPr>
            <w:tcW w:w="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Engineering and product development expense</w:t>
            </w:r>
          </w:p>
        </w:tc>
        <w:tc>
          <w:tcPr>
            <w:tcW w:w="6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169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377</w:t>
            </w:r>
          </w:p>
        </w:tc>
        <w:tc>
          <w:tcPr>
            <w:tcW w:w="3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289</w:t>
            </w:r>
          </w:p>
        </w:tc>
      </w:tr>
      <w:tr>
        <w:trPr>
          <w:trHeight w:val="20"/>
        </w:trPr>
        <w:tc>
          <w:tcPr>
            <w:tcW w:w="4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0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w:t>
            </w:r>
          </w:p>
        </w:tc>
        <w:tc>
          <w:tcPr>
            <w:tcW w:w="100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396</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w:t>
            </w:r>
          </w:p>
        </w:tc>
      </w:tr>
      <w:tr>
        <w:trPr>
          <w:trHeight w:val="20"/>
        </w:trPr>
        <w:tc>
          <w:tcPr>
            <w:tcW w:w="40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There was no stock-based compensation expense capitalized in the three or six months ended June 30, 2019 or 2018.</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u w:val="single" w:color="auto"/>
          <w:color w:val="auto"/>
        </w:rPr>
        <w:t>Restricted Stock Awards</w:t>
      </w:r>
    </w:p>
    <w:p>
      <w:pPr>
        <w:spacing w:after="0" w:line="225" w:lineRule="exact"/>
        <w:rPr>
          <w:sz w:val="20"/>
          <w:szCs w:val="20"/>
          <w:color w:val="auto"/>
        </w:rPr>
      </w:pPr>
    </w:p>
    <w:p>
      <w:pPr>
        <w:ind w:left="820"/>
        <w:spacing w:after="0" w:line="297" w:lineRule="auto"/>
        <w:rPr>
          <w:sz w:val="20"/>
          <w:szCs w:val="20"/>
          <w:color w:val="auto"/>
        </w:rPr>
      </w:pPr>
      <w:r>
        <w:rPr>
          <w:rFonts w:ascii="Arial" w:cs="Arial" w:eastAsia="Arial" w:hAnsi="Arial"/>
          <w:sz w:val="16"/>
          <w:szCs w:val="16"/>
          <w:color w:val="auto"/>
        </w:rPr>
        <w:t>We record compensation expense for restricted stock awards based on the quoted market price of our stock at the grant date and amortize the expense over the vesting period. Restricted stock awards generally vest over four years for employees and over one year for our independent directors. In March 2019 and 2018, we granted 36,000 and 32,000 shares of restricted stock, respectively, to our independent directors. These shares vest 25% at each of March 31, June 30, September 30, and December 31 of the year in which they were granted. The total compensation expense related to these shares is $257 and $270, respectively, and is recorded as the shares vest.</w:t>
      </w:r>
    </w:p>
    <w:p>
      <w:pPr>
        <w:spacing w:after="0" w:line="151" w:lineRule="exact"/>
        <w:rPr>
          <w:sz w:val="20"/>
          <w:szCs w:val="20"/>
          <w:color w:val="auto"/>
        </w:rPr>
      </w:pPr>
    </w:p>
    <w:p>
      <w:pPr>
        <w:jc w:val="center"/>
        <w:ind w:right="-27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40"/>
          </w:cols>
          <w:pgMar w:left="240" w:top="118" w:right="519" w:bottom="1440" w:gutter="0" w:footer="0" w:header="0"/>
        </w:sectPr>
      </w:pPr>
    </w:p>
    <w:bookmarkStart w:id="19" w:name="page20"/>
    <w:bookmarkEnd w:id="1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following table summarizes the activity related to unvested shares of restricted stock for the six months ended June 30, 2019:</w:t>
      </w:r>
    </w:p>
    <w:p>
      <w:pPr>
        <w:spacing w:after="0" w:line="221"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6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6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6880" w:type="dxa"/>
            <w:vAlign w:val="bottom"/>
          </w:tcPr>
          <w:p>
            <w:pPr>
              <w:spacing w:after="0"/>
              <w:rPr>
                <w:sz w:val="18"/>
                <w:szCs w:val="18"/>
                <w:color w:val="auto"/>
              </w:rPr>
            </w:pPr>
          </w:p>
        </w:tc>
        <w:tc>
          <w:tcPr>
            <w:tcW w:w="17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Number</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Grant Date</w:t>
            </w:r>
          </w:p>
        </w:tc>
      </w:tr>
      <w:tr>
        <w:trPr>
          <w:trHeight w:val="234"/>
        </w:trPr>
        <w:tc>
          <w:tcPr>
            <w:tcW w:w="6880" w:type="dxa"/>
            <w:vAlign w:val="bottom"/>
          </w:tcPr>
          <w:p>
            <w:pPr>
              <w:spacing w:after="0"/>
              <w:rPr>
                <w:sz w:val="20"/>
                <w:szCs w:val="20"/>
                <w:color w:val="auto"/>
              </w:rPr>
            </w:pPr>
          </w:p>
        </w:tc>
        <w:tc>
          <w:tcPr>
            <w:tcW w:w="15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of Shares</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2"/>
              </w:rPr>
              <w:t>Fair Value</w:t>
            </w:r>
          </w:p>
        </w:tc>
        <w:tc>
          <w:tcPr>
            <w:tcW w:w="100" w:type="dxa"/>
            <w:vAlign w:val="bottom"/>
          </w:tcPr>
          <w:p>
            <w:pPr>
              <w:spacing w:after="0"/>
              <w:rPr>
                <w:sz w:val="20"/>
                <w:szCs w:val="20"/>
                <w:color w:val="auto"/>
              </w:rPr>
            </w:pPr>
          </w:p>
        </w:tc>
      </w:tr>
      <w:tr>
        <w:trPr>
          <w:trHeight w:val="210"/>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Unvested shares outstanding, January 1, 2019</w:t>
            </w:r>
          </w:p>
        </w:tc>
        <w:tc>
          <w:tcPr>
            <w:tcW w:w="1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114,750</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6.92</w:t>
            </w:r>
          </w:p>
        </w:tc>
      </w:tr>
      <w:tr>
        <w:trPr>
          <w:trHeight w:val="216"/>
        </w:trPr>
        <w:tc>
          <w:tcPr>
            <w:tcW w:w="6880" w:type="dxa"/>
            <w:vAlign w:val="bottom"/>
          </w:tcPr>
          <w:p>
            <w:pPr>
              <w:ind w:left="160"/>
              <w:spacing w:after="0"/>
              <w:rPr>
                <w:sz w:val="20"/>
                <w:szCs w:val="20"/>
                <w:color w:val="auto"/>
              </w:rPr>
            </w:pPr>
            <w:r>
              <w:rPr>
                <w:rFonts w:ascii="Arial" w:cs="Arial" w:eastAsia="Arial" w:hAnsi="Arial"/>
                <w:sz w:val="18"/>
                <w:szCs w:val="18"/>
                <w:color w:val="auto"/>
              </w:rPr>
              <w:t>Granted</w:t>
            </w:r>
          </w:p>
        </w:tc>
        <w:tc>
          <w:tcPr>
            <w:tcW w:w="1700" w:type="dxa"/>
            <w:vAlign w:val="bottom"/>
            <w:gridSpan w:val="2"/>
          </w:tcPr>
          <w:p>
            <w:pPr>
              <w:jc w:val="right"/>
              <w:ind w:right="140"/>
              <w:spacing w:after="0"/>
              <w:rPr>
                <w:sz w:val="20"/>
                <w:szCs w:val="20"/>
                <w:color w:val="auto"/>
              </w:rPr>
            </w:pPr>
            <w:r>
              <w:rPr>
                <w:rFonts w:ascii="Arial" w:cs="Arial" w:eastAsia="Arial" w:hAnsi="Arial"/>
                <w:sz w:val="18"/>
                <w:szCs w:val="18"/>
                <w:color w:val="auto"/>
              </w:rPr>
              <w:t>115,680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6.57</w:t>
            </w:r>
          </w:p>
        </w:tc>
      </w:tr>
      <w:tr>
        <w:trPr>
          <w:trHeight w:val="216"/>
        </w:trPr>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1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(43,724)</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w:t>
            </w:r>
          </w:p>
        </w:tc>
      </w:tr>
      <w:tr>
        <w:trPr>
          <w:trHeight w:val="216"/>
        </w:trPr>
        <w:tc>
          <w:tcPr>
            <w:tcW w:w="688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700" w:type="dxa"/>
            <w:vAlign w:val="bottom"/>
            <w:gridSpan w:val="2"/>
          </w:tcPr>
          <w:p>
            <w:pPr>
              <w:jc w:val="right"/>
              <w:ind w:right="80"/>
              <w:spacing w:after="0"/>
              <w:rPr>
                <w:sz w:val="20"/>
                <w:szCs w:val="20"/>
                <w:color w:val="auto"/>
              </w:rPr>
            </w:pPr>
            <w:r>
              <w:rPr>
                <w:rFonts w:ascii="Arial" w:cs="Arial" w:eastAsia="Arial" w:hAnsi="Arial"/>
                <w:sz w:val="18"/>
                <w:szCs w:val="18"/>
                <w:color w:val="auto"/>
              </w:rPr>
              <w:t>(12,325)</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7.14</w:t>
            </w:r>
          </w:p>
        </w:tc>
      </w:tr>
      <w:tr>
        <w:trPr>
          <w:trHeight w:val="250"/>
        </w:trPr>
        <w:tc>
          <w:tcPr>
            <w:tcW w:w="6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shares outstanding, June 30, 2019</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174,381</w:t>
            </w:r>
          </w:p>
        </w:tc>
        <w:tc>
          <w:tcPr>
            <w:tcW w:w="1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6.68</w:t>
            </w:r>
          </w:p>
        </w:tc>
      </w:tr>
    </w:tbl>
    <w:p>
      <w:pPr>
        <w:spacing w:after="0" w:line="202" w:lineRule="exact"/>
        <w:rPr>
          <w:sz w:val="20"/>
          <w:szCs w:val="20"/>
          <w:color w:val="auto"/>
        </w:rPr>
      </w:pPr>
    </w:p>
    <w:p>
      <w:pPr>
        <w:ind w:left="820" w:right="300"/>
        <w:spacing w:after="0" w:line="277" w:lineRule="auto"/>
        <w:rPr>
          <w:sz w:val="20"/>
          <w:szCs w:val="20"/>
          <w:color w:val="auto"/>
        </w:rPr>
      </w:pPr>
      <w:r>
        <w:rPr>
          <w:rFonts w:ascii="Arial" w:cs="Arial" w:eastAsia="Arial" w:hAnsi="Arial"/>
          <w:sz w:val="18"/>
          <w:szCs w:val="18"/>
          <w:color w:val="auto"/>
        </w:rPr>
        <w:t>The total fair value of the shares that vested during the six months ended June 30, 2019 and 2018 was $292 and $238, respectively, as of the vesting dates of these shares.</w:t>
      </w:r>
    </w:p>
    <w:p>
      <w:pPr>
        <w:spacing w:after="0" w:line="170"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u w:val="single" w:color="auto"/>
          <w:color w:val="auto"/>
        </w:rPr>
        <w:t>Stock Options</w:t>
      </w:r>
    </w:p>
    <w:p>
      <w:pPr>
        <w:spacing w:after="0" w:line="225" w:lineRule="exact"/>
        <w:rPr>
          <w:sz w:val="20"/>
          <w:szCs w:val="20"/>
          <w:color w:val="auto"/>
        </w:rPr>
      </w:pPr>
    </w:p>
    <w:p>
      <w:pPr>
        <w:jc w:val="both"/>
        <w:ind w:left="820" w:right="40"/>
        <w:spacing w:after="0" w:line="264" w:lineRule="auto"/>
        <w:rPr>
          <w:sz w:val="20"/>
          <w:szCs w:val="20"/>
          <w:color w:val="auto"/>
        </w:rPr>
      </w:pPr>
      <w:r>
        <w:rPr>
          <w:rFonts w:ascii="Arial" w:cs="Arial" w:eastAsia="Arial" w:hAnsi="Arial"/>
          <w:sz w:val="18"/>
          <w:szCs w:val="18"/>
          <w:color w:val="auto"/>
        </w:rPr>
        <w:t>We record compensation expense for stock options based on the fair market value of the options as of the grant date. No option may be granted with an exercise period in excess of ten years from the date of grant. Generally, stock options will be granted with an exercise price equal to the fair market value of our stock on the date of grant and will vest over four years.</w:t>
      </w:r>
    </w:p>
    <w:p>
      <w:pPr>
        <w:spacing w:after="0" w:line="181" w:lineRule="exact"/>
        <w:rPr>
          <w:sz w:val="20"/>
          <w:szCs w:val="20"/>
          <w:color w:val="auto"/>
        </w:rPr>
      </w:pPr>
    </w:p>
    <w:p>
      <w:pPr>
        <w:ind w:left="820"/>
        <w:spacing w:after="0"/>
        <w:rPr>
          <w:sz w:val="20"/>
          <w:szCs w:val="20"/>
          <w:color w:val="auto"/>
        </w:rPr>
      </w:pPr>
      <w:r>
        <w:rPr>
          <w:rFonts w:ascii="Arial" w:cs="Arial" w:eastAsia="Arial" w:hAnsi="Arial"/>
          <w:sz w:val="16"/>
          <w:szCs w:val="16"/>
          <w:color w:val="auto"/>
        </w:rPr>
        <w:t>The fair value for stock options granted during the six months ended June 30, 2019 and 2018 was estimated at the date of grant using the Black-</w:t>
      </w:r>
    </w:p>
    <w:p>
      <w:pPr>
        <w:spacing w:after="0" w:line="4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Scholes option pricing model with the following weighted average assumptions:</w:t>
      </w:r>
    </w:p>
    <w:p>
      <w:pPr>
        <w:spacing w:after="0" w:line="207" w:lineRule="exact"/>
        <w:rPr>
          <w:sz w:val="20"/>
          <w:szCs w:val="20"/>
          <w:color w:val="auto"/>
        </w:rPr>
      </w:pPr>
    </w:p>
    <w:tbl>
      <w:tblPr>
        <w:tblLayout w:type="fixed"/>
        <w:tblInd w:w="820" w:type="dxa"/>
        <w:tblCellMar>
          <w:top w:w="0" w:type="dxa"/>
          <w:left w:w="0" w:type="dxa"/>
          <w:bottom w:w="0" w:type="dxa"/>
          <w:right w:w="0" w:type="dxa"/>
        </w:tblCellMar>
      </w:tblPr>
      <w:tr>
        <w:trPr>
          <w:trHeight w:val="234"/>
        </w:trPr>
        <w:tc>
          <w:tcPr>
            <w:tcW w:w="6800" w:type="dxa"/>
            <w:vAlign w:val="bottom"/>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2019</w:t>
            </w:r>
          </w:p>
        </w:tc>
        <w:tc>
          <w:tcPr>
            <w:tcW w:w="4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20"/>
                <w:szCs w:val="20"/>
                <w:color w:val="auto"/>
              </w:rPr>
            </w:pPr>
          </w:p>
        </w:tc>
      </w:tr>
      <w:tr>
        <w:trPr>
          <w:trHeight w:val="210"/>
        </w:trPr>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2.38%</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w:t>
            </w: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0.00%</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0.00%</w:t>
            </w:r>
          </w:p>
        </w:tc>
      </w:tr>
      <w:tr>
        <w:trPr>
          <w:trHeight w:val="216"/>
        </w:trPr>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common stock market price volatility factor</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w:t>
            </w: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w:t>
            </w:r>
          </w:p>
        </w:tc>
      </w:tr>
      <w:tr>
        <w:trPr>
          <w:trHeight w:val="230"/>
        </w:trPr>
        <w:tc>
          <w:tcPr>
            <w:tcW w:w="7860" w:type="dxa"/>
            <w:vAlign w:val="bottom"/>
            <w:gridSpan w:val="2"/>
          </w:tcPr>
          <w:p>
            <w:pPr>
              <w:spacing w:after="0"/>
              <w:rPr>
                <w:sz w:val="20"/>
                <w:szCs w:val="20"/>
                <w:color w:val="auto"/>
              </w:rPr>
            </w:pPr>
            <w:r>
              <w:rPr>
                <w:rFonts w:ascii="Arial" w:cs="Arial" w:eastAsia="Arial" w:hAnsi="Arial"/>
                <w:sz w:val="18"/>
                <w:szCs w:val="18"/>
                <w:color w:val="auto"/>
              </w:rPr>
              <w:t>Weighted average expected life of stock options (years)</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6.25</w:t>
            </w: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6.25</w:t>
            </w:r>
          </w:p>
        </w:tc>
      </w:tr>
    </w:tbl>
    <w:p>
      <w:pPr>
        <w:spacing w:after="0" w:line="187" w:lineRule="exact"/>
        <w:rPr>
          <w:sz w:val="20"/>
          <w:szCs w:val="20"/>
          <w:color w:val="auto"/>
        </w:rPr>
      </w:pPr>
    </w:p>
    <w:p>
      <w:pPr>
        <w:ind w:left="820" w:right="260"/>
        <w:spacing w:after="0" w:line="277" w:lineRule="auto"/>
        <w:rPr>
          <w:sz w:val="20"/>
          <w:szCs w:val="20"/>
          <w:color w:val="auto"/>
        </w:rPr>
      </w:pPr>
      <w:r>
        <w:rPr>
          <w:rFonts w:ascii="Arial" w:cs="Arial" w:eastAsia="Arial" w:hAnsi="Arial"/>
          <w:sz w:val="18"/>
          <w:szCs w:val="18"/>
          <w:color w:val="auto"/>
        </w:rPr>
        <w:t>The per share weighted average fair value of stock options issued during the six months ended June 30, 2019 and 2018 was $2.78 and $3.52, respectively.</w:t>
      </w:r>
    </w:p>
    <w:p>
      <w:pPr>
        <w:spacing w:after="0" w:line="17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following table summarizes the activity related to stock options for the six months ended June 30, 2019:</w:t>
      </w:r>
    </w:p>
    <w:p>
      <w:pPr>
        <w:sectPr>
          <w:pgSz w:w="11900" w:h="16838" w:orient="portrait"/>
          <w:cols w:equalWidth="0" w:num="1">
            <w:col w:w="11200"/>
          </w:cols>
          <w:pgMar w:left="240" w:top="118"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820"/>
        <w:spacing w:after="0"/>
        <w:rPr>
          <w:sz w:val="20"/>
          <w:szCs w:val="20"/>
          <w:color w:val="auto"/>
        </w:rPr>
      </w:pPr>
      <w:r>
        <w:rPr>
          <w:rFonts w:ascii="Arial" w:cs="Arial" w:eastAsia="Arial" w:hAnsi="Arial"/>
          <w:sz w:val="16"/>
          <w:szCs w:val="16"/>
          <w:color w:val="auto"/>
        </w:rPr>
        <w:t>Options outstanding, January 1, 2019 (21,800 exercisable)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-107315</wp:posOffset>
            </wp:positionV>
            <wp:extent cx="651764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spacing w:after="0" w:line="2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Granted</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-130810</wp:posOffset>
            </wp:positionV>
            <wp:extent cx="651764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ind w:left="980"/>
        <w:spacing w:after="0"/>
        <w:rPr>
          <w:sz w:val="20"/>
          <w:szCs w:val="20"/>
          <w:color w:val="auto"/>
        </w:rPr>
      </w:pPr>
      <w:r>
        <w:rPr>
          <w:rFonts w:ascii="Arial" w:cs="Arial" w:eastAsia="Arial" w:hAnsi="Arial"/>
          <w:sz w:val="18"/>
          <w:szCs w:val="18"/>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14605</wp:posOffset>
            </wp:positionV>
            <wp:extent cx="6517640"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517640" cy="163195"/>
                    </a:xfrm>
                    <a:prstGeom prst="rect">
                      <a:avLst/>
                    </a:prstGeom>
                    <a:noFill/>
                  </pic:spPr>
                </pic:pic>
              </a:graphicData>
            </a:graphic>
          </wp:anchor>
        </w:drawing>
      </w:r>
    </w:p>
    <w:p>
      <w:pPr>
        <w:spacing w:after="0" w:line="29" w:lineRule="exact"/>
        <w:rPr>
          <w:sz w:val="20"/>
          <w:szCs w:val="20"/>
          <w:color w:val="auto"/>
        </w:rPr>
      </w:pPr>
    </w:p>
    <w:p>
      <w:pPr>
        <w:ind w:left="820"/>
        <w:spacing w:after="0"/>
        <w:rPr>
          <w:sz w:val="20"/>
          <w:szCs w:val="20"/>
          <w:color w:val="auto"/>
        </w:rPr>
      </w:pPr>
      <w:r>
        <w:rPr>
          <w:rFonts w:ascii="Arial" w:cs="Arial" w:eastAsia="Arial" w:hAnsi="Arial"/>
          <w:sz w:val="16"/>
          <w:szCs w:val="16"/>
          <w:color w:val="auto"/>
        </w:rPr>
        <w:t>Options outstanding, June 30, 2019 (84,550 exercisable)</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1760" w:type="dxa"/>
            <w:vAlign w:val="bottom"/>
            <w:gridSpan w:val="3"/>
          </w:tcPr>
          <w:p>
            <w:pPr>
              <w:jc w:val="right"/>
              <w:ind w:right="660"/>
              <w:spacing w:after="0"/>
              <w:rPr>
                <w:sz w:val="20"/>
                <w:szCs w:val="20"/>
                <w:color w:val="auto"/>
              </w:rPr>
            </w:pPr>
            <w:r>
              <w:rPr>
                <w:rFonts w:ascii="Arial" w:cs="Arial" w:eastAsia="Arial" w:hAnsi="Arial"/>
                <w:sz w:val="18"/>
                <w:szCs w:val="18"/>
                <w:b w:val="1"/>
                <w:bCs w:val="1"/>
                <w:color w:val="auto"/>
              </w:rPr>
              <w:t>Number</w:t>
            </w:r>
          </w:p>
        </w:tc>
        <w:tc>
          <w:tcPr>
            <w:tcW w:w="2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Grant Date</w:t>
            </w:r>
          </w:p>
        </w:tc>
      </w:tr>
      <w:tr>
        <w:trPr>
          <w:trHeight w:val="234"/>
        </w:trPr>
        <w:tc>
          <w:tcPr>
            <w:tcW w:w="1760" w:type="dxa"/>
            <w:vAlign w:val="bottom"/>
            <w:gridSpan w:val="3"/>
          </w:tcPr>
          <w:p>
            <w:pPr>
              <w:jc w:val="right"/>
              <w:ind w:right="620"/>
              <w:spacing w:after="0"/>
              <w:rPr>
                <w:sz w:val="20"/>
                <w:szCs w:val="20"/>
                <w:color w:val="auto"/>
              </w:rPr>
            </w:pPr>
            <w:r>
              <w:rPr>
                <w:rFonts w:ascii="Arial" w:cs="Arial" w:eastAsia="Arial" w:hAnsi="Arial"/>
                <w:sz w:val="18"/>
                <w:szCs w:val="18"/>
                <w:b w:val="1"/>
                <w:bCs w:val="1"/>
                <w:color w:val="auto"/>
              </w:rPr>
              <w:t>of Shares</w:t>
            </w:r>
          </w:p>
        </w:tc>
        <w:tc>
          <w:tcPr>
            <w:tcW w:w="200" w:type="dxa"/>
            <w:vAlign w:val="bottom"/>
          </w:tcPr>
          <w:p>
            <w:pPr>
              <w:spacing w:after="0"/>
              <w:rPr>
                <w:sz w:val="20"/>
                <w:szCs w:val="20"/>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Fair Value</w:t>
            </w:r>
          </w:p>
        </w:tc>
      </w:tr>
      <w:tr>
        <w:trPr>
          <w:trHeight w:val="195"/>
        </w:trPr>
        <w:tc>
          <w:tcPr>
            <w:tcW w:w="15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264,400</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7.54</w:t>
            </w:r>
          </w:p>
        </w:tc>
        <w:tc>
          <w:tcPr>
            <w:tcW w:w="20" w:type="dxa"/>
            <w:vAlign w:val="bottom"/>
          </w:tcPr>
          <w:p>
            <w:pPr>
              <w:spacing w:after="0"/>
              <w:rPr>
                <w:sz w:val="16"/>
                <w:szCs w:val="16"/>
                <w:color w:val="auto"/>
              </w:rPr>
            </w:pPr>
          </w:p>
        </w:tc>
      </w:tr>
      <w:tr>
        <w:trPr>
          <w:trHeight w:val="216"/>
        </w:trPr>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239,160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6.32</w:t>
            </w:r>
          </w:p>
        </w:tc>
      </w:tr>
      <w:tr>
        <w:trPr>
          <w:trHeight w:val="216"/>
        </w:trPr>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30"/>
        </w:trPr>
        <w:tc>
          <w:tcPr>
            <w:tcW w:w="1760" w:type="dxa"/>
            <w:vAlign w:val="bottom"/>
            <w:gridSpan w:val="3"/>
          </w:tcPr>
          <w:p>
            <w:pPr>
              <w:jc w:val="right"/>
              <w:ind w:right="140"/>
              <w:spacing w:after="0"/>
              <w:rPr>
                <w:sz w:val="20"/>
                <w:szCs w:val="20"/>
                <w:color w:val="auto"/>
              </w:rPr>
            </w:pPr>
            <w:r>
              <w:rPr>
                <w:rFonts w:ascii="Arial" w:cs="Arial" w:eastAsia="Arial" w:hAnsi="Arial"/>
                <w:sz w:val="18"/>
                <w:szCs w:val="18"/>
                <w:color w:val="auto"/>
              </w:rPr>
              <w:t>(7,050)</w:t>
            </w:r>
          </w:p>
        </w:tc>
        <w:tc>
          <w:tcPr>
            <w:tcW w:w="20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8.45</w:t>
            </w:r>
          </w:p>
        </w:tc>
      </w:tr>
      <w:tr>
        <w:trPr>
          <w:trHeight w:val="210"/>
        </w:trPr>
        <w:tc>
          <w:tcPr>
            <w:tcW w:w="15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496,510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6.94</w:t>
            </w:r>
          </w:p>
        </w:tc>
      </w:tr>
      <w:tr>
        <w:trPr>
          <w:trHeight w:val="20"/>
        </w:trPr>
        <w:tc>
          <w:tcPr>
            <w:tcW w:w="1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5" w:lineRule="exact"/>
        <w:rPr>
          <w:sz w:val="20"/>
          <w:szCs w:val="20"/>
          <w:color w:val="auto"/>
        </w:rPr>
      </w:pPr>
    </w:p>
    <w:p>
      <w:pPr>
        <w:sectPr>
          <w:pgSz w:w="11900" w:h="16838" w:orient="portrait"/>
          <w:cols w:equalWidth="0" w:num="2">
            <w:col w:w="6980" w:space="720"/>
            <w:col w:w="3500"/>
          </w:cols>
          <w:pgMar w:left="240" w:top="118" w:right="459" w:bottom="1440" w:gutter="0" w:footer="0" w:header="0"/>
          <w:type w:val="continuous"/>
        </w:sectPr>
      </w:pPr>
    </w:p>
    <w:p>
      <w:pPr>
        <w:jc w:val="center"/>
        <w:ind w:right="-239"/>
        <w:spacing w:after="0"/>
        <w:rPr>
          <w:sz w:val="20"/>
          <w:szCs w:val="20"/>
          <w:color w:val="auto"/>
        </w:rPr>
      </w:pPr>
      <w:r>
        <w:rPr>
          <w:rFonts w:ascii="Arial" w:cs="Arial" w:eastAsia="Arial" w:hAnsi="Arial"/>
          <w:sz w:val="19"/>
          <w:szCs w:val="19"/>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00"/>
          </w:cols>
          <w:pgMar w:left="240" w:top="118" w:right="459" w:bottom="1440" w:gutter="0" w:footer="0" w:header="0"/>
          <w:type w:val="continuous"/>
        </w:sectPr>
      </w:pPr>
    </w:p>
    <w:bookmarkStart w:id="20" w:name="page21"/>
    <w:bookmarkEnd w:id="2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ind w:left="820" w:hanging="812"/>
        <w:spacing w:after="0"/>
        <w:tabs>
          <w:tab w:leader="none" w:pos="8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229" w:lineRule="exact"/>
        <w:rPr>
          <w:rFonts w:ascii="Arial" w:cs="Arial" w:eastAsia="Arial" w:hAnsi="Arial"/>
          <w:sz w:val="18"/>
          <w:szCs w:val="18"/>
          <w:b w:val="1"/>
          <w:bCs w:val="1"/>
          <w:color w:val="auto"/>
        </w:rPr>
      </w:pPr>
    </w:p>
    <w:p>
      <w:pPr>
        <w:ind w:left="820" w:right="8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We have defined contribution 401(k) plans for our employees who work in the U.S. All permanent employees of inTEST Corporation, inTEST EMS LLC, Temptronic Corporation (“Temptronic”) and inTEST Silicon Valley Corporation who are at least 18 years of age are eligible to participate in the inTEST Corporation Incentive Savings Plan. We match employee contributions dollar for dollar up to 10% of the employee's annual compensation, with a maximum limit of $5. Employer contributions vest ratably over four years. Matching contributions are discretionary. For the three and six months ended June 30, 2019, we recorded $92 and $282 of expense for matching contributions, respectively. For the three and six months ended June 30, 2018 we recorded $84 and $205 of expense for matching contributions, respectively.</w:t>
      </w:r>
    </w:p>
    <w:p>
      <w:pPr>
        <w:spacing w:after="0" w:line="164" w:lineRule="exact"/>
        <w:rPr>
          <w:rFonts w:ascii="Arial" w:cs="Arial" w:eastAsia="Arial" w:hAnsi="Arial"/>
          <w:sz w:val="18"/>
          <w:szCs w:val="18"/>
          <w:b w:val="1"/>
          <w:bCs w:val="1"/>
          <w:color w:val="auto"/>
        </w:rPr>
      </w:pPr>
    </w:p>
    <w:p>
      <w:pPr>
        <w:ind w:left="820" w:right="18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All permanent employees of Ambrell are immediately eligible to participate in the Ambrell Corporation Savings &amp; Profit Sharing Plan (the "Ambrell Plan") upon employment and are eligible for employer matching contributions after completing one year of service, as defined in the Ambrell Plan. The Ambrell Plan allows eligible employees to make voluntary contributions up to 100% of compensation, up to the federal government contribution limits. We make a matching contribution of 25% of each employee's contributions up to a maximum of 2% of such employee's annual compensation. For the three and six months ended June 30, 2019, we recorded $14 and $37 of expense for matching contributions, respectively. For the three and six months ended June 30, 2018 we recorded $10 and $36 of expense for matching contributions, respectively</w:t>
      </w:r>
    </w:p>
    <w:p>
      <w:pPr>
        <w:spacing w:after="0" w:line="200" w:lineRule="exact"/>
        <w:rPr>
          <w:rFonts w:ascii="Arial" w:cs="Arial" w:eastAsia="Arial" w:hAnsi="Arial"/>
          <w:sz w:val="18"/>
          <w:szCs w:val="18"/>
          <w:b w:val="1"/>
          <w:bCs w:val="1"/>
          <w:color w:val="auto"/>
        </w:rPr>
      </w:pPr>
    </w:p>
    <w:p>
      <w:pPr>
        <w:spacing w:after="0" w:line="228" w:lineRule="exact"/>
        <w:rPr>
          <w:rFonts w:ascii="Arial" w:cs="Arial" w:eastAsia="Arial" w:hAnsi="Arial"/>
          <w:sz w:val="18"/>
          <w:szCs w:val="18"/>
          <w:b w:val="1"/>
          <w:bCs w:val="1"/>
          <w:color w:val="auto"/>
        </w:rPr>
      </w:pPr>
    </w:p>
    <w:p>
      <w:pPr>
        <w:ind w:left="820" w:hanging="812"/>
        <w:spacing w:after="0"/>
        <w:tabs>
          <w:tab w:leader="none" w:pos="8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29" w:lineRule="exact"/>
        <w:rPr>
          <w:rFonts w:ascii="Arial" w:cs="Arial" w:eastAsia="Arial" w:hAnsi="Arial"/>
          <w:sz w:val="18"/>
          <w:szCs w:val="18"/>
          <w:b w:val="1"/>
          <w:bCs w:val="1"/>
          <w:color w:val="auto"/>
        </w:rPr>
      </w:pPr>
    </w:p>
    <w:p>
      <w:pPr>
        <w:ind w:left="8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We have two reportable segments, which are also our reporting units, Thermal and EMS. Thermal includes the operations of Temptronic, Thermonics, Sigma, inTEST Thermal Solutions GmbH (Germany), inTEST Pte, Limited (Singapore) and Ambrell. Sales of this segment consist primarily of temperature management systems that we design, manufacture and market under our Temptronic, Thermonics and Sigma product lines, and precision induction heating systems that are designed, manufactured and marketed by Ambrell. In addition, this segment provides post-warranty service and support. EMS includes the operations of our manufacturing facilities in Mt. Laurel, New Jersey and Fremont, California. Sales of this segment consist primarily of manipulator, docking hardware and tester interface products, which we design, manufacture and market.</w:t>
      </w:r>
    </w:p>
    <w:p>
      <w:pPr>
        <w:spacing w:after="0" w:line="189" w:lineRule="exact"/>
        <w:rPr>
          <w:rFonts w:ascii="Arial" w:cs="Arial" w:eastAsia="Arial" w:hAnsi="Arial"/>
          <w:sz w:val="18"/>
          <w:szCs w:val="18"/>
          <w:b w:val="1"/>
          <w:bCs w:val="1"/>
          <w:color w:val="auto"/>
        </w:rPr>
      </w:pPr>
    </w:p>
    <w:p>
      <w:pPr>
        <w:ind w:left="820" w:right="3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We operate our business worldwide and sell our products both domestically and internationally. Both of our segments sell to semiconductor manufacturers, third-party test and assembly houses and ATE manufacturers. Thermal also sells into a variety of markets outside of the Semi Market, including the automotive, consumer electronics, consumer product packaging, defense/aerospace, energy, fiber optics, industrial, telecommunications and other markets.</w:t>
      </w:r>
    </w:p>
    <w:p>
      <w:pPr>
        <w:spacing w:after="0" w:line="183"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4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40" w:type="dxa"/>
            <w:vAlign w:val="bottom"/>
            <w:gridSpan w:val="5"/>
          </w:tcPr>
          <w:p>
            <w:pPr>
              <w:jc w:val="right"/>
              <w:ind w:right="74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8"/>
                <w:szCs w:val="18"/>
                <w:color w:val="auto"/>
              </w:rPr>
            </w:pPr>
          </w:p>
        </w:tc>
        <w:tc>
          <w:tcPr>
            <w:tcW w:w="246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46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9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6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8"/>
                <w:szCs w:val="18"/>
                <w:color w:val="auto"/>
              </w:rPr>
            </w:pPr>
          </w:p>
        </w:tc>
      </w:tr>
      <w:tr>
        <w:trPr>
          <w:trHeight w:val="210"/>
        </w:trPr>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Thermal</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10,519</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13,999</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23,153</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27,233</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EMS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3,833</w:t>
            </w:r>
          </w:p>
        </w:tc>
        <w:tc>
          <w:tcPr>
            <w:tcW w:w="2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7,098</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9,261</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12,735</w:t>
            </w:r>
          </w:p>
        </w:tc>
      </w:tr>
      <w:tr>
        <w:trPr>
          <w:trHeight w:val="20"/>
        </w:trPr>
        <w:tc>
          <w:tcPr>
            <w:tcW w:w="46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64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14,352</w:t>
            </w:r>
          </w:p>
        </w:tc>
        <w:tc>
          <w:tcPr>
            <w:tcW w:w="2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21,097</w:t>
            </w:r>
          </w:p>
        </w:tc>
        <w:tc>
          <w:tcPr>
            <w:tcW w:w="2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32,414</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39,968</w:t>
            </w:r>
          </w:p>
        </w:tc>
      </w:tr>
      <w:tr>
        <w:trPr>
          <w:trHeight w:val="20"/>
        </w:trPr>
        <w:tc>
          <w:tcPr>
            <w:tcW w:w="4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6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Earnings (loss) before income tax expense (benefit):</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Thermal</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309</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2,592</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1,453</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2,500</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EMS</w:t>
            </w:r>
          </w:p>
        </w:tc>
        <w:tc>
          <w:tcPr>
            <w:tcW w:w="26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2,194</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1,149</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3,486</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Corporate</w:t>
            </w: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(711)</w:t>
            </w:r>
          </w:p>
        </w:tc>
        <w:tc>
          <w:tcPr>
            <w:tcW w:w="3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(390)</w:t>
            </w:r>
          </w:p>
        </w:tc>
        <w:tc>
          <w:tcPr>
            <w:tcW w:w="26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(1,440)</w:t>
            </w:r>
          </w:p>
        </w:tc>
        <w:tc>
          <w:tcPr>
            <w:tcW w:w="3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(608)</w:t>
            </w:r>
          </w:p>
        </w:tc>
      </w:tr>
      <w:tr>
        <w:trPr>
          <w:trHeight w:val="20"/>
        </w:trPr>
        <w:tc>
          <w:tcPr>
            <w:tcW w:w="46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64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4,396</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1,162</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5,378</w:t>
            </w:r>
          </w:p>
        </w:tc>
      </w:tr>
      <w:tr>
        <w:trPr>
          <w:trHeight w:val="197"/>
        </w:trPr>
        <w:tc>
          <w:tcPr>
            <w:tcW w:w="464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b w:val="1"/>
                <w:bCs w:val="1"/>
                <w:i w:val="1"/>
                <w:iCs w:val="1"/>
                <w:color w:val="auto"/>
              </w:rPr>
              <w:t>Net earnings (loss):</w:t>
            </w: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Thermal</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298</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2,415</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1,189</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1,960</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EMS</w:t>
            </w: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125</w:t>
            </w:r>
          </w:p>
        </w:tc>
        <w:tc>
          <w:tcPr>
            <w:tcW w:w="34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1,945</w:t>
            </w:r>
          </w:p>
        </w:tc>
        <w:tc>
          <w:tcPr>
            <w:tcW w:w="2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940</w:t>
            </w:r>
          </w:p>
        </w:tc>
        <w:tc>
          <w:tcPr>
            <w:tcW w:w="3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2,950</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26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(610)</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(346)</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(1,178)</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(515)</w:t>
            </w:r>
          </w:p>
        </w:tc>
      </w:tr>
      <w:tr>
        <w:trPr>
          <w:trHeight w:val="20"/>
        </w:trPr>
        <w:tc>
          <w:tcPr>
            <w:tcW w:w="46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64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(187)</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4,014</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951</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4,395</w:t>
            </w:r>
          </w:p>
        </w:tc>
      </w:tr>
      <w:tr>
        <w:trPr>
          <w:trHeight w:val="20"/>
        </w:trPr>
        <w:tc>
          <w:tcPr>
            <w:tcW w:w="4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118" w:right="379" w:bottom="1440" w:gutter="0" w:footer="0" w:header="0"/>
        </w:sectPr>
      </w:pPr>
    </w:p>
    <w:bookmarkStart w:id="21" w:name="page22"/>
    <w:bookmarkEnd w:id="2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41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41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r>
      <w:tr>
        <w:trPr>
          <w:trHeight w:val="210"/>
        </w:trPr>
        <w:tc>
          <w:tcPr>
            <w:tcW w:w="41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Identifiable assets:</w:t>
            </w:r>
          </w:p>
        </w:tc>
        <w:tc>
          <w:tcPr>
            <w:tcW w:w="2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Thermal</w:t>
            </w:r>
          </w:p>
        </w:tc>
        <w:tc>
          <w:tcPr>
            <w:tcW w:w="30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53,052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55,343</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EMS</w:t>
            </w:r>
          </w:p>
        </w:tc>
        <w:tc>
          <w:tcPr>
            <w:tcW w:w="2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7,101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6,692</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Corporate</w:t>
            </w:r>
          </w:p>
        </w:tc>
        <w:tc>
          <w:tcPr>
            <w:tcW w:w="2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643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5,152</w:t>
            </w:r>
          </w:p>
        </w:tc>
      </w:tr>
      <w:tr>
        <w:trPr>
          <w:trHeight w:val="20"/>
        </w:trPr>
        <w:tc>
          <w:tcPr>
            <w:tcW w:w="41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140" w:type="dxa"/>
            <w:vAlign w:val="bottom"/>
            <w:shd w:val="clear" w:color="auto" w:fill="CCEEFF"/>
          </w:tcPr>
          <w:p>
            <w:pPr>
              <w:spacing w:after="0"/>
              <w:rPr>
                <w:sz w:val="19"/>
                <w:szCs w:val="19"/>
                <w:color w:val="auto"/>
              </w:rPr>
            </w:pPr>
          </w:p>
        </w:tc>
        <w:tc>
          <w:tcPr>
            <w:tcW w:w="27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60,796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67,187</w:t>
            </w:r>
          </w:p>
        </w:tc>
      </w:tr>
      <w:tr>
        <w:trPr>
          <w:trHeight w:val="20"/>
        </w:trPr>
        <w:tc>
          <w:tcPr>
            <w:tcW w:w="414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left="820" w:right="260"/>
        <w:spacing w:after="0" w:line="277" w:lineRule="auto"/>
        <w:rPr>
          <w:sz w:val="20"/>
          <w:szCs w:val="20"/>
          <w:color w:val="auto"/>
        </w:rPr>
      </w:pPr>
      <w:r>
        <w:rPr>
          <w:rFonts w:ascii="Arial" w:cs="Arial" w:eastAsia="Arial" w:hAnsi="Arial"/>
          <w:sz w:val="18"/>
          <w:szCs w:val="18"/>
          <w:color w:val="auto"/>
        </w:rPr>
        <w:t>The following table provides information about our geographic areas of operation. Net revenues from unaffiliated customers are based on the location to which the goods are shipped.</w:t>
      </w:r>
    </w:p>
    <w:p>
      <w:pPr>
        <w:spacing w:after="0" w:line="166"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4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40" w:type="dxa"/>
            <w:vAlign w:val="bottom"/>
            <w:gridSpan w:val="5"/>
          </w:tcPr>
          <w:p>
            <w:pPr>
              <w:ind w:left="26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8"/>
                <w:szCs w:val="18"/>
                <w:color w:val="auto"/>
              </w:rPr>
            </w:pPr>
          </w:p>
        </w:tc>
        <w:tc>
          <w:tcPr>
            <w:tcW w:w="246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46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9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6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8"/>
                <w:szCs w:val="18"/>
                <w:color w:val="auto"/>
              </w:rPr>
            </w:pPr>
          </w:p>
        </w:tc>
      </w:tr>
      <w:tr>
        <w:trPr>
          <w:trHeight w:val="210"/>
        </w:trPr>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U.S.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6,283</w:t>
            </w:r>
          </w:p>
        </w:tc>
        <w:tc>
          <w:tcPr>
            <w:tcW w:w="5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6,818</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13,093</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13,361</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8,069</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14,279</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19,321</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26,607</w:t>
            </w:r>
          </w:p>
        </w:tc>
      </w:tr>
      <w:tr>
        <w:trPr>
          <w:trHeight w:val="20"/>
        </w:trPr>
        <w:tc>
          <w:tcPr>
            <w:tcW w:w="46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64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14,352</w:t>
            </w:r>
          </w:p>
        </w:tc>
        <w:tc>
          <w:tcPr>
            <w:tcW w:w="2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21,097</w:t>
            </w:r>
          </w:p>
        </w:tc>
        <w:tc>
          <w:tcPr>
            <w:tcW w:w="2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32,414</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39,968</w:t>
            </w:r>
          </w:p>
        </w:tc>
      </w:tr>
      <w:tr>
        <w:trPr>
          <w:trHeight w:val="20"/>
        </w:trPr>
        <w:tc>
          <w:tcPr>
            <w:tcW w:w="4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68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6880" w:type="dxa"/>
            <w:vAlign w:val="bottom"/>
          </w:tcPr>
          <w:p>
            <w:pPr>
              <w:spacing w:after="0"/>
              <w:rPr>
                <w:sz w:val="20"/>
                <w:szCs w:val="20"/>
                <w:color w:val="auto"/>
              </w:rPr>
            </w:pP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2019</w:t>
            </w:r>
          </w:p>
        </w:tc>
        <w:tc>
          <w:tcPr>
            <w:tcW w:w="4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r>
      <w:tr>
        <w:trPr>
          <w:trHeight w:val="210"/>
        </w:trPr>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Property and equipment:</w:t>
            </w:r>
          </w:p>
        </w:tc>
        <w:tc>
          <w:tcPr>
            <w:tcW w:w="1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U.S.</w:t>
            </w: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2,239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2,327</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1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w:t>
            </w:r>
          </w:p>
        </w:tc>
      </w:tr>
      <w:tr>
        <w:trPr>
          <w:trHeight w:val="20"/>
        </w:trPr>
        <w:tc>
          <w:tcPr>
            <w:tcW w:w="688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880" w:type="dxa"/>
            <w:vAlign w:val="bottom"/>
          </w:tcPr>
          <w:p>
            <w:pPr>
              <w:spacing w:after="0"/>
              <w:rPr>
                <w:sz w:val="18"/>
                <w:szCs w:val="18"/>
                <w:color w:val="auto"/>
              </w:rPr>
            </w:pP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2,572</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2,717</w:t>
            </w:r>
          </w:p>
        </w:tc>
      </w:tr>
      <w:tr>
        <w:trPr>
          <w:trHeight w:val="20"/>
        </w:trPr>
        <w:tc>
          <w:tcPr>
            <w:tcW w:w="68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820" w:hanging="812"/>
        <w:spacing w:after="0"/>
        <w:tabs>
          <w:tab w:leader="none" w:pos="8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9" w:lineRule="exact"/>
        <w:rPr>
          <w:rFonts w:ascii="Arial" w:cs="Arial" w:eastAsia="Arial" w:hAnsi="Arial"/>
          <w:sz w:val="18"/>
          <w:szCs w:val="18"/>
          <w:b w:val="1"/>
          <w:bCs w:val="1"/>
          <w:color w:val="auto"/>
        </w:rPr>
      </w:pPr>
    </w:p>
    <w:p>
      <w:pPr>
        <w:ind w:left="82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July 31, 2019, our Board of Directors terminated the 2015 Stock Repurchase Plan which had been authorized on October 27, 2015 and under which we had repurchased a total of 297,020 shares at a cost of $1,195. The shares were repurchased between October 2015 and January 2017. All of the repurchased shares were retired.</w:t>
      </w:r>
    </w:p>
    <w:p>
      <w:pPr>
        <w:spacing w:after="0" w:line="181" w:lineRule="exact"/>
        <w:rPr>
          <w:rFonts w:ascii="Arial" w:cs="Arial" w:eastAsia="Arial" w:hAnsi="Arial"/>
          <w:sz w:val="18"/>
          <w:szCs w:val="18"/>
          <w:b w:val="1"/>
          <w:bCs w:val="1"/>
          <w:color w:val="auto"/>
        </w:rPr>
      </w:pPr>
    </w:p>
    <w:p>
      <w:pPr>
        <w:ind w:left="82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On July 31, 2019, our Board of Directors authorized the repurchase of up to $3,000 of our common stock from time to time on the open market, in compliance with Rule 10b-18 under the Securities Exchange Act of 1934, or in privately negotiated transactions pursuant to a newly authorized stock repurchase plan (the “2019 Repurchase Plan”). Repurchases may also be made under a Rule 10b5-1 plan to be entered into with RW Baird &amp; Co, which would permit shares to be repurchased when we might otherwise be precluded from doing so under insider trading laws and our internal trading windows. The timing and amount of any shares repurchased under the 2019 Repurchase Plan will be determined by our management, based on our evaluation of market conditions and other factors. The 2019 Repurchase Plan does not obligate us to purchase any particular amount of common stock and may be suspended or discontinued at any time without prior notice. The 2019 Repurchase Plan will be funded using our operating cash flow or available cash.</w:t>
      </w:r>
    </w:p>
    <w:p>
      <w:pPr>
        <w:spacing w:after="0" w:line="172"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240" w:top="118" w:right="399" w:bottom="1440" w:gutter="0" w:footer="0" w:header="0"/>
        </w:sectPr>
      </w:pPr>
    </w:p>
    <w:bookmarkStart w:id="22" w:name="page23"/>
    <w:bookmarkEnd w:id="2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b w:val="1"/>
          <w:bCs w:val="1"/>
          <w:u w:val="single" w:color="auto"/>
          <w:color w:val="auto"/>
        </w:rPr>
        <w:t>Risk Factors and Forward-Looking Statements</w:t>
      </w:r>
    </w:p>
    <w:p>
      <w:pPr>
        <w:spacing w:after="0" w:line="229" w:lineRule="exact"/>
        <w:rPr>
          <w:sz w:val="20"/>
          <w:szCs w:val="20"/>
          <w:color w:val="auto"/>
        </w:rPr>
      </w:pPr>
    </w:p>
    <w:p>
      <w:pPr>
        <w:ind w:left="820"/>
        <w:spacing w:after="0" w:line="289" w:lineRule="auto"/>
        <w:rPr>
          <w:sz w:val="20"/>
          <w:szCs w:val="20"/>
          <w:color w:val="auto"/>
        </w:rPr>
      </w:pPr>
      <w:r>
        <w:rPr>
          <w:rFonts w:ascii="Arial" w:cs="Arial" w:eastAsia="Arial" w:hAnsi="Arial"/>
          <w:sz w:val="16"/>
          <w:szCs w:val="16"/>
          <w:color w:val="auto"/>
        </w:rPr>
        <w:t>In addition to historical information, this report and management’s discussion and analysis (“MD&amp;A”) contains statements relating to possible future events and results that are considered "forward-looking statements" within the meaning of the Private Securities Litigation Reform Act of 1995, as amended. These statements can often be identified by the use of forward-looking terminology such as "believes," "expects," "intends," "may," "will," "should," "plans" or "anticipates" or similar terminology. See Part I, Item 1 - "Business - Cautionary Statement Regarding Forward-Looking Statements" in our 2018 Form 10-K for examples of statements made in this report which may be "forward-looking statements." These statements involve risks and uncertainties and are based on various assumptions. Although we believe that our expectations are based on reasonable assumptions, investors and prospective investors are cautioned that such statements are only projections, and there cannot be any assurance that these events or results will occur. We undertake no obligation to update the information in this report and MD&amp;A to reflect events or circumstances after the date hereof or to reflect the occurrence of anticipated or unanticipated events.</w:t>
      </w:r>
    </w:p>
    <w:p>
      <w:pPr>
        <w:spacing w:after="0" w:line="167" w:lineRule="exact"/>
        <w:rPr>
          <w:sz w:val="20"/>
          <w:szCs w:val="20"/>
          <w:color w:val="auto"/>
        </w:rPr>
      </w:pPr>
    </w:p>
    <w:p>
      <w:pPr>
        <w:ind w:left="820" w:right="20"/>
        <w:spacing w:after="0" w:line="270" w:lineRule="auto"/>
        <w:rPr>
          <w:sz w:val="20"/>
          <w:szCs w:val="20"/>
          <w:color w:val="auto"/>
        </w:rPr>
      </w:pPr>
      <w:r>
        <w:rPr>
          <w:rFonts w:ascii="Arial" w:cs="Arial" w:eastAsia="Arial" w:hAnsi="Arial"/>
          <w:sz w:val="17"/>
          <w:szCs w:val="17"/>
          <w:color w:val="auto"/>
        </w:rPr>
        <w:t>Information about the primary risks and uncertainties that could cause our actual future results to differ materially from our historic results or the results described in the forward-looking statements made in this report or presented elsewhere by management from time to time include, but are not limited to indications of a change in the market cycles in the Semi Market or other markets we serve; changes in business conditions and general economic conditions both domestically and globally; changes in the demand for semiconductors, generally; the success of our strategy to diversify our business by entering markets outside the Semi Market; the possibility of future acquisitions or dispositions and the successful integration of any acquired operations; the ability to borrow funds or raise capital to finance major potential acquisitions; the costs associated with reviewing and evaluating potential transactions; changes in the rates of, and timing of, capital expenditures by our customers; progress of product development programs; increases in raw material and fabrication costs associated with our products; and other risk factors included in Part I, Item 1A - "Risk Factors" in our 2018 Form 10-K. Material changes to such risk factors may be reported in subsequent Quarterly Reports on Form 10-Q in Part II, Item 1A.</w:t>
      </w:r>
    </w:p>
    <w:p>
      <w:pPr>
        <w:spacing w:after="0" w:line="174" w:lineRule="exact"/>
        <w:rPr>
          <w:sz w:val="20"/>
          <w:szCs w:val="20"/>
          <w:color w:val="auto"/>
        </w:rPr>
      </w:pPr>
    </w:p>
    <w:p>
      <w:pPr>
        <w:ind w:left="820"/>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This MD&amp;A should be read in conjunction with the accompanying consolidated financial statements.</w:t>
      </w:r>
    </w:p>
    <w:p>
      <w:pPr>
        <w:spacing w:after="0" w:line="225" w:lineRule="exact"/>
        <w:rPr>
          <w:sz w:val="20"/>
          <w:szCs w:val="20"/>
          <w:color w:val="auto"/>
        </w:rPr>
      </w:pPr>
    </w:p>
    <w:p>
      <w:pPr>
        <w:ind w:left="820" w:right="60"/>
        <w:spacing w:after="0" w:line="279" w:lineRule="auto"/>
        <w:rPr>
          <w:sz w:val="20"/>
          <w:szCs w:val="20"/>
          <w:color w:val="auto"/>
        </w:rPr>
      </w:pPr>
      <w:r>
        <w:rPr>
          <w:rFonts w:ascii="Arial" w:cs="Arial" w:eastAsia="Arial" w:hAnsi="Arial"/>
          <w:sz w:val="17"/>
          <w:szCs w:val="17"/>
          <w:color w:val="auto"/>
        </w:rPr>
        <w:t>We are a global supplier of precision-engineered solutions for use in manufacturing and testing across a wide range of markets including automotive, defense/aerospace, energy, industrial, semiconductor and telecommunications. We manage our business as two operating segments: Thermal and EMS. Our Thermal segment designs, manufactures and sells our thermal test and thermal process products (including induction heating products) while our EMS segment designs, manufactures and sells our semiconductor test products.</w:t>
      </w:r>
    </w:p>
    <w:p>
      <w:pPr>
        <w:spacing w:after="0" w:line="171" w:lineRule="exact"/>
        <w:rPr>
          <w:sz w:val="20"/>
          <w:szCs w:val="20"/>
          <w:color w:val="auto"/>
        </w:rPr>
      </w:pPr>
    </w:p>
    <w:p>
      <w:pPr>
        <w:ind w:left="820" w:right="60"/>
        <w:spacing w:after="0" w:line="293" w:lineRule="auto"/>
        <w:rPr>
          <w:sz w:val="20"/>
          <w:szCs w:val="20"/>
          <w:color w:val="auto"/>
        </w:rPr>
      </w:pPr>
      <w:r>
        <w:rPr>
          <w:rFonts w:ascii="Arial" w:cs="Arial" w:eastAsia="Arial" w:hAnsi="Arial"/>
          <w:sz w:val="16"/>
          <w:szCs w:val="16"/>
          <w:color w:val="auto"/>
        </w:rPr>
        <w:t>Our EMS segment sells its products to semiconductor manufacturers and third-party test and assembly houses (end user sales) and to ATE manufacturers (OEM sales), who ultimately resell our equipment with theirs to both semiconductor manufacturers and third-party test and assembly houses. Our Thermal segment sells its products to many of these same types of customers. However, it also sells into a variety of other markets, including the automotive, consumer electronics, defense/aerospace, energy, industrial and telecommunications markets. As a result of the acquisition of Ambrell in May 2017, our Thermal segment also sells into the consumer products packaging, fiber optics and other markets within the broader industrial market, and into the wafer processing market within the broader semiconductor market.</w:t>
      </w:r>
    </w:p>
    <w:p>
      <w:pPr>
        <w:spacing w:after="0" w:line="165" w:lineRule="exact"/>
        <w:rPr>
          <w:sz w:val="20"/>
          <w:szCs w:val="20"/>
          <w:color w:val="auto"/>
        </w:rPr>
      </w:pPr>
    </w:p>
    <w:p>
      <w:pPr>
        <w:ind w:left="820"/>
        <w:spacing w:after="0" w:line="279" w:lineRule="auto"/>
        <w:rPr>
          <w:sz w:val="20"/>
          <w:szCs w:val="20"/>
          <w:color w:val="auto"/>
        </w:rPr>
      </w:pPr>
      <w:r>
        <w:rPr>
          <w:rFonts w:ascii="Arial" w:cs="Arial" w:eastAsia="Arial" w:hAnsi="Arial"/>
          <w:sz w:val="17"/>
          <w:szCs w:val="17"/>
          <w:color w:val="auto"/>
        </w:rPr>
        <w:t>Both of our operating segments have multiple products that we design, manufacture and market to our customers. Due to a number of factors, our products have varying levels of gross margin. The mix of products we sell in any period is ultimately determined by our customers' needs. Therefore, the mix of products sold in any given period can change significantly from the prior period. As a result, our consolidated gross margin can be significantly impacted in any given period by a change in the mix of products sold in that period.</w:t>
      </w:r>
    </w:p>
    <w:p>
      <w:pPr>
        <w:spacing w:after="0" w:line="17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118" w:right="379" w:bottom="1440" w:gutter="0" w:footer="0" w:header="0"/>
        </w:sectPr>
      </w:pPr>
    </w:p>
    <w:bookmarkStart w:id="23" w:name="page24"/>
    <w:bookmarkEnd w:id="2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820"/>
        <w:spacing w:after="0"/>
        <w:rPr>
          <w:sz w:val="20"/>
          <w:szCs w:val="20"/>
          <w:color w:val="auto"/>
        </w:rPr>
      </w:pPr>
      <w:r>
        <w:rPr>
          <w:rFonts w:ascii="Arial" w:cs="Arial" w:eastAsia="Arial" w:hAnsi="Arial"/>
          <w:sz w:val="18"/>
          <w:szCs w:val="18"/>
          <w:i w:val="1"/>
          <w:iCs w:val="1"/>
          <w:u w:val="single" w:color="auto"/>
          <w:color w:val="auto"/>
        </w:rPr>
        <w:t>Markets</w:t>
      </w:r>
    </w:p>
    <w:p>
      <w:pPr>
        <w:spacing w:after="0" w:line="225" w:lineRule="exact"/>
        <w:rPr>
          <w:sz w:val="20"/>
          <w:szCs w:val="20"/>
          <w:color w:val="auto"/>
        </w:rPr>
      </w:pPr>
    </w:p>
    <w:p>
      <w:pPr>
        <w:ind w:left="820" w:right="60"/>
        <w:spacing w:after="0" w:line="286" w:lineRule="auto"/>
        <w:rPr>
          <w:sz w:val="20"/>
          <w:szCs w:val="20"/>
          <w:color w:val="auto"/>
        </w:rPr>
      </w:pPr>
      <w:r>
        <w:rPr>
          <w:rFonts w:ascii="Arial" w:cs="Arial" w:eastAsia="Arial" w:hAnsi="Arial"/>
          <w:sz w:val="16"/>
          <w:szCs w:val="16"/>
          <w:color w:val="auto"/>
        </w:rPr>
        <w:t>Historically, we have referred to our markets as “Semiconductor” (which includes both the broader semiconductor market as well as the more specialized semiconductor ATE and wafer processing markets within the broader semiconductor market), and “Non-Semiconductor” (which includes all of the other markets we serve). Starting in the second quarter of 2019, we are referring to the semiconductor, ATE and wafer processing markets as the “Semi Market.” All other markets will now be designated as “Multi Markets.” While the Semi Market is the cornerstone of inTEST and a very important component of our business, Multi Markets are where we have focused our strategic growth efforts in the last several years. Our goal has been to grow our business, both organically and through acquisition, in these markets as we believe these markets have historically been less cyclical than the Semi Market. It is important to note that business within our Thermal segment can fall into either the Semi Market or Multi Markets, depending upon how our customers utilize our products or upon their respective applications. Prior to the acquisition of Ambrell in May 2017, we offered only highly specialized engineering solutions used for testing applications in Multi Markets, the demand for which is limited and which varies significantly from period to period. Our acquisition of Ambrell not only provided expansion into new markets but also broadened our product offerings to include products sold into process or manufacturing applications. Historically, Ambrell sold its precision induction heating systems almost exclusively to customers in the industrial market, but since 2018, has also had significant sales into the Semi Market. Overall, however, the acquisition of Ambrell has reduced our dependence on customers in the Semi Market. We expect that our future orders and net revenues will be approximately equally split between the Semi Market and Multi Markets.</w:t>
      </w:r>
    </w:p>
    <w:p>
      <w:pPr>
        <w:spacing w:after="0" w:line="172" w:lineRule="exact"/>
        <w:rPr>
          <w:sz w:val="20"/>
          <w:szCs w:val="20"/>
          <w:color w:val="auto"/>
        </w:rPr>
      </w:pPr>
    </w:p>
    <w:p>
      <w:pPr>
        <w:ind w:left="820"/>
        <w:spacing w:after="0" w:line="291" w:lineRule="auto"/>
        <w:rPr>
          <w:sz w:val="20"/>
          <w:szCs w:val="20"/>
          <w:color w:val="auto"/>
        </w:rPr>
      </w:pPr>
      <w:r>
        <w:rPr>
          <w:rFonts w:ascii="Arial" w:cs="Arial" w:eastAsia="Arial" w:hAnsi="Arial"/>
          <w:sz w:val="16"/>
          <w:szCs w:val="16"/>
          <w:color w:val="auto"/>
        </w:rPr>
        <w:t>The portion of our business that is derived from the Semi Market is substantially dependent upon the demand for ATE by semiconductor manufacturers and companies that specialize in the testing of ICs or, for Ambrell, the demand for wafer processing equipment. Demand for ATE or wafer processing equipment is driven by semiconductor manufacturers that are opening new, or expanding existing, semiconductor fabrication facilities or upgrading equipment, which in turn is dependent upon the current and anticipated market demand for semiconductors and products incorporating semiconductors. Such market demand can be the result of market expansion, development of new technologies or redesigned products to incorporate new features, or the replacement of aging equipment. In addition, we continue to focus on design improvements and new approaches for our own products which contribute to our net revenues as our customers adopt these new products.</w:t>
      </w:r>
    </w:p>
    <w:p>
      <w:pPr>
        <w:spacing w:after="0" w:line="167" w:lineRule="exact"/>
        <w:rPr>
          <w:sz w:val="20"/>
          <w:szCs w:val="20"/>
          <w:color w:val="auto"/>
        </w:rPr>
      </w:pPr>
    </w:p>
    <w:p>
      <w:pPr>
        <w:ind w:left="820"/>
        <w:spacing w:after="0" w:line="290" w:lineRule="auto"/>
        <w:rPr>
          <w:sz w:val="20"/>
          <w:szCs w:val="20"/>
          <w:color w:val="auto"/>
        </w:rPr>
      </w:pPr>
      <w:r>
        <w:rPr>
          <w:rFonts w:ascii="Arial" w:cs="Arial" w:eastAsia="Arial" w:hAnsi="Arial"/>
          <w:sz w:val="16"/>
          <w:szCs w:val="16"/>
          <w:color w:val="auto"/>
        </w:rPr>
        <w:t>In the past, the Semi Market has been highly cyclical with recurring periods of oversupply, which often severely impact the Semi Market's demand for the products we manufacture and sell into the market. This cyclicality can cause wide fluctuations in both our orders and net revenues and, depending on our ability to react quickly to these shifts in demand, can significantly impact our results of operations. Market cycles are difficult to predict, and because they are generally characterized by sequential periods of growth or declines in orders and net revenues during each cycle, year over year comparisons of operating results may not always be as meaningful as comparisons of periods at similar points in either up or down cycles. In addition, during both downward and upward cycles in the Semi Market, in any given quarter, the trend in both our orders and net revenues can be erratic. This can occur, for example, when orders are canceled or currently scheduled delivery dates are accelerated or postponed by a significant customer or when customer forecasts and general business conditions fluctuate during a quarter.</w:t>
      </w:r>
    </w:p>
    <w:p>
      <w:pPr>
        <w:spacing w:after="0" w:line="166" w:lineRule="exact"/>
        <w:rPr>
          <w:sz w:val="20"/>
          <w:szCs w:val="20"/>
          <w:color w:val="auto"/>
        </w:rPr>
      </w:pPr>
    </w:p>
    <w:p>
      <w:pPr>
        <w:ind w:left="820" w:right="280"/>
        <w:spacing w:after="0" w:line="286" w:lineRule="auto"/>
        <w:rPr>
          <w:sz w:val="20"/>
          <w:szCs w:val="20"/>
          <w:color w:val="auto"/>
        </w:rPr>
      </w:pPr>
      <w:r>
        <w:rPr>
          <w:rFonts w:ascii="Arial" w:cs="Arial" w:eastAsia="Arial" w:hAnsi="Arial"/>
          <w:sz w:val="17"/>
          <w:szCs w:val="17"/>
          <w:color w:val="auto"/>
        </w:rPr>
        <w:t>In addition to being cyclical, the Semi Market has also developed a seasonal pattern, with the second and third quarters being the periods of strong demand and the first and fourth quarters being periods of weakened demand. These periods of heightened or reduced demand can shift depending on various factors impacting both our customers and the markets that they serve.</w:t>
      </w:r>
    </w:p>
    <w:p>
      <w:pPr>
        <w:spacing w:after="0" w:line="166" w:lineRule="exact"/>
        <w:rPr>
          <w:sz w:val="20"/>
          <w:szCs w:val="20"/>
          <w:color w:val="auto"/>
        </w:rPr>
      </w:pPr>
    </w:p>
    <w:p>
      <w:pPr>
        <w:ind w:left="820" w:right="60"/>
        <w:spacing w:after="0" w:line="259" w:lineRule="auto"/>
        <w:rPr>
          <w:sz w:val="20"/>
          <w:szCs w:val="20"/>
          <w:color w:val="auto"/>
        </w:rPr>
      </w:pPr>
      <w:r>
        <w:rPr>
          <w:rFonts w:ascii="Arial" w:cs="Arial" w:eastAsia="Arial" w:hAnsi="Arial"/>
          <w:sz w:val="18"/>
          <w:szCs w:val="18"/>
          <w:color w:val="auto"/>
        </w:rPr>
        <w:t>Third-party market share statistics are not available for the products we manufacture and sell into the Semi Market; therefore, comparisons of period over period changes in our market share are not easily determined. As a result, it is difficult to ascertain if Semi Market volatility in any period is the result of macro-economic or customer-specific factors impacting Semi Market demand, or if we have gained or lost market share to a competitor during the period.</w:t>
      </w:r>
    </w:p>
    <w:p>
      <w:pPr>
        <w:spacing w:after="0" w:line="18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118" w:right="379" w:bottom="1440" w:gutter="0" w:footer="0" w:header="0"/>
        </w:sectPr>
      </w:pPr>
    </w:p>
    <w:bookmarkStart w:id="24" w:name="page25"/>
    <w:bookmarkEnd w:id="2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820" w:right="140"/>
        <w:spacing w:after="0" w:line="270" w:lineRule="auto"/>
        <w:rPr>
          <w:sz w:val="20"/>
          <w:szCs w:val="20"/>
          <w:color w:val="auto"/>
        </w:rPr>
      </w:pPr>
      <w:r>
        <w:rPr>
          <w:rFonts w:ascii="Arial" w:cs="Arial" w:eastAsia="Arial" w:hAnsi="Arial"/>
          <w:sz w:val="17"/>
          <w:szCs w:val="17"/>
          <w:color w:val="auto"/>
        </w:rPr>
        <w:t>While the majority of our orders and net revenues are derived from the Semi Market, our operating results do not always follow the overall trend in the Semi Market in any given period. We believe that these anomalies may be driven by a variety of factors within the Semi Market, including, for example, changing product requirements, longer time periods between new product offerings by OEMs and changes in customer buying patterns. In addition, in recent periods, we have seen instances when demand within the Semi Market is not consistent for each of our product segments or for any given product within a particular product segment. This inconsistency in demand can be driven by a number of factors, but in most cases, we have found that the primary reason is unique customer-specific changes in demand for certain products driven by the needs of their customers or markets served. These shifts in market practices and customer-specific needs have had, and may continue to have, varying levels of impact on our operating results and are difficult to quantify or predict from period to period. Management has taken, and will continue to take, such actions it deems appropriate to adjust our strategies, products and operations to counter such shifts in market practices as they become evident.</w:t>
      </w:r>
    </w:p>
    <w:p>
      <w:pPr>
        <w:spacing w:after="0" w:line="178" w:lineRule="exact"/>
        <w:rPr>
          <w:sz w:val="20"/>
          <w:szCs w:val="20"/>
          <w:color w:val="auto"/>
        </w:rPr>
      </w:pPr>
    </w:p>
    <w:p>
      <w:pPr>
        <w:ind w:left="820" w:right="160"/>
        <w:spacing w:after="0" w:line="288" w:lineRule="auto"/>
        <w:rPr>
          <w:sz w:val="20"/>
          <w:szCs w:val="20"/>
          <w:color w:val="auto"/>
        </w:rPr>
      </w:pPr>
      <w:r>
        <w:rPr>
          <w:rFonts w:ascii="Arial" w:cs="Arial" w:eastAsia="Arial" w:hAnsi="Arial"/>
          <w:sz w:val="16"/>
          <w:szCs w:val="16"/>
          <w:color w:val="auto"/>
        </w:rPr>
        <w:t>As previously mentioned, as part of our ongoing strategy to reduce the impact of Semi Market volatility on our business operations, we continue to diversify our served markets to address the thermal test and thermal process requirements of several other markets outside the Semi Market. These include the automotive, consumer electronics, consumer product packaging, defense/aerospace, energy, fiber optics, industrial, telecommunications and other markets which we now refer to as Multi Markets. We believe that these markets usually are less cyclical than the Semi Market. While market share statistics exist for some of these markets, due to the nature of our highly specialized product offerings in these markets, we do not expect broad market penetration in many of these markets and, therefore, do not anticipate developing meaningful market shares in these markets. In addition, our orders and net revenues in any given period in these markets do not necessarily reflect the overall trends in these markets due to our limited market shares. Consequently, we are continuing to evaluate buying patterns and opportunities for growth in these markets that may affect our performance. The level of our orders and net revenues from these markets has varied in the past, and we expect will vary significantly in the future, as we work to build our presence in these markets and establish new markets for our products.</w:t>
      </w:r>
    </w:p>
    <w:p>
      <w:pPr>
        <w:spacing w:after="0" w:line="169" w:lineRule="exact"/>
        <w:rPr>
          <w:sz w:val="20"/>
          <w:szCs w:val="20"/>
          <w:color w:val="auto"/>
        </w:rPr>
      </w:pPr>
    </w:p>
    <w:p>
      <w:pPr>
        <w:ind w:left="820"/>
        <w:spacing w:after="0"/>
        <w:rPr>
          <w:sz w:val="20"/>
          <w:szCs w:val="20"/>
          <w:color w:val="auto"/>
        </w:rPr>
      </w:pPr>
      <w:r>
        <w:rPr>
          <w:rFonts w:ascii="Arial" w:cs="Arial" w:eastAsia="Arial" w:hAnsi="Arial"/>
          <w:sz w:val="18"/>
          <w:szCs w:val="18"/>
          <w:i w:val="1"/>
          <w:iCs w:val="1"/>
          <w:u w:val="single" w:color="auto"/>
          <w:color w:val="auto"/>
        </w:rPr>
        <w:t>Orders and Backlog</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7"/>
          <w:szCs w:val="17"/>
          <w:color w:val="auto"/>
        </w:rPr>
        <w:t>The following table sets forth, for the periods indicated, a breakdown of the orders received by operating segment and market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3"/>
          </w:tcPr>
          <w:p>
            <w:pPr>
              <w:jc w:val="center"/>
              <w:ind w:left="30"/>
              <w:spacing w:after="0"/>
              <w:rPr>
                <w:sz w:val="20"/>
                <w:szCs w:val="20"/>
                <w:color w:val="auto"/>
              </w:rPr>
            </w:pPr>
            <w:r>
              <w:rPr>
                <w:rFonts w:ascii="Arial" w:cs="Arial" w:eastAsia="Arial" w:hAnsi="Arial"/>
                <w:sz w:val="18"/>
                <w:szCs w:val="18"/>
                <w:b w:val="1"/>
                <w:bCs w:val="1"/>
                <w:color w:val="auto"/>
                <w:w w:val="89"/>
              </w:rPr>
              <w:t>Three</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93"/>
              </w:rPr>
              <w:t>Three</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6"/>
          </w:tcPr>
          <w:p>
            <w:pPr>
              <w:jc w:val="center"/>
              <w:ind w:right="170"/>
              <w:spacing w:after="0"/>
              <w:rPr>
                <w:sz w:val="20"/>
                <w:szCs w:val="20"/>
                <w:color w:val="auto"/>
              </w:rPr>
            </w:pPr>
            <w:r>
              <w:rPr>
                <w:rFonts w:ascii="Arial" w:cs="Arial" w:eastAsia="Arial" w:hAnsi="Arial"/>
                <w:sz w:val="18"/>
                <w:szCs w:val="18"/>
                <w:b w:val="1"/>
                <w:bCs w:val="1"/>
                <w:color w:val="auto"/>
                <w:w w:val="90"/>
              </w:rPr>
              <w:t>Months Ended</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4"/>
          </w:tcPr>
          <w:p>
            <w:pPr>
              <w:spacing w:after="0"/>
              <w:rPr>
                <w:sz w:val="20"/>
                <w:szCs w:val="20"/>
                <w:color w:val="auto"/>
              </w:rPr>
            </w:pPr>
            <w:r>
              <w:rPr>
                <w:rFonts w:ascii="Arial" w:cs="Arial" w:eastAsia="Arial" w:hAnsi="Arial"/>
                <w:sz w:val="18"/>
                <w:szCs w:val="18"/>
                <w:b w:val="1"/>
                <w:bCs w:val="1"/>
                <w:color w:val="auto"/>
              </w:rPr>
              <w:t>Months Ended</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34"/>
        </w:trPr>
        <w:tc>
          <w:tcPr>
            <w:tcW w:w="8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gridSpan w:val="3"/>
          </w:tcPr>
          <w:p>
            <w:pPr>
              <w:jc w:val="center"/>
              <w:ind w:left="30"/>
              <w:spacing w:after="0"/>
              <w:rPr>
                <w:sz w:val="20"/>
                <w:szCs w:val="20"/>
                <w:color w:val="auto"/>
              </w:rPr>
            </w:pPr>
            <w:r>
              <w:rPr>
                <w:rFonts w:ascii="Arial" w:cs="Arial" w:eastAsia="Arial" w:hAnsi="Arial"/>
                <w:sz w:val="18"/>
                <w:szCs w:val="18"/>
                <w:b w:val="1"/>
                <w:bCs w:val="1"/>
                <w:color w:val="auto"/>
                <w:w w:val="88"/>
              </w:rPr>
              <w:t>June 30,</w:t>
            </w: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gridSpan w:val="3"/>
          </w:tcPr>
          <w:p>
            <w:pPr>
              <w:ind w:left="460"/>
              <w:spacing w:after="0"/>
              <w:rPr>
                <w:sz w:val="20"/>
                <w:szCs w:val="20"/>
                <w:color w:val="auto"/>
              </w:rPr>
            </w:pPr>
            <w:r>
              <w:rPr>
                <w:rFonts w:ascii="Arial" w:cs="Arial" w:eastAsia="Arial" w:hAnsi="Arial"/>
                <w:sz w:val="18"/>
                <w:szCs w:val="18"/>
                <w:b w:val="1"/>
                <w:bCs w:val="1"/>
                <w:color w:val="auto"/>
                <w:w w:val="90"/>
              </w:rPr>
              <w:t>Change</w:t>
            </w: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96"/>
              </w:rPr>
              <w:t>March 31,</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gridSpan w:val="4"/>
          </w:tcPr>
          <w:p>
            <w:pPr>
              <w:ind w:left="200"/>
              <w:spacing w:after="0"/>
              <w:rPr>
                <w:sz w:val="20"/>
                <w:szCs w:val="20"/>
                <w:color w:val="auto"/>
              </w:rPr>
            </w:pPr>
            <w:r>
              <w:rPr>
                <w:rFonts w:ascii="Arial" w:cs="Arial" w:eastAsia="Arial" w:hAnsi="Arial"/>
                <w:sz w:val="18"/>
                <w:szCs w:val="18"/>
                <w:b w:val="1"/>
                <w:bCs w:val="1"/>
                <w:color w:val="auto"/>
              </w:rPr>
              <w:t>Change</w:t>
            </w: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10"/>
        </w:trPr>
        <w:tc>
          <w:tcPr>
            <w:tcW w:w="8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gridSpan w:val="2"/>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2018</w:t>
            </w:r>
          </w:p>
        </w:tc>
        <w:tc>
          <w:tcPr>
            <w:tcW w:w="28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tcBorders>
              <w:top w:val="single" w:sz="8" w:color="auto"/>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w w:val="89"/>
              </w:rPr>
              <w:t>2019</w:t>
            </w: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0"/>
        </w:trPr>
        <w:tc>
          <w:tcPr>
            <w:tcW w:w="8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Orders:</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Thermal</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12,112</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13,278</w:t>
            </w: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(1,166)</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8,821</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3,291</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3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EMS</w:t>
            </w:r>
          </w:p>
        </w:tc>
        <w:tc>
          <w:tcPr>
            <w:tcW w:w="22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3,809</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5,988</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(2,179)</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320" w:type="dxa"/>
            <w:vAlign w:val="bottom"/>
            <w:tcBorders>
              <w:right w:val="single" w:sz="8" w:color="CCEEFF"/>
            </w:tcBorders>
            <w:shd w:val="clear" w:color="auto" w:fill="CCEEFF"/>
          </w:tcPr>
          <w:p>
            <w:pPr>
              <w:spacing w:after="0"/>
              <w:rPr>
                <w:sz w:val="18"/>
                <w:szCs w:val="18"/>
                <w:color w:val="auto"/>
              </w:rPr>
            </w:pP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3,074</w:t>
            </w:r>
          </w:p>
        </w:tc>
        <w:tc>
          <w:tcPr>
            <w:tcW w:w="22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735</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40" w:type="dxa"/>
            <w:vAlign w:val="bottom"/>
          </w:tcPr>
          <w:p>
            <w:pPr>
              <w:spacing w:after="0"/>
              <w:rPr>
                <w:sz w:val="18"/>
                <w:szCs w:val="18"/>
                <w:color w:val="auto"/>
              </w:rPr>
            </w:pPr>
          </w:p>
        </w:tc>
      </w:tr>
      <w:tr>
        <w:trPr>
          <w:trHeight w:val="20"/>
        </w:trPr>
        <w:tc>
          <w:tcPr>
            <w:tcW w:w="820" w:type="dxa"/>
            <w:vAlign w:val="bottom"/>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10"/>
        </w:trPr>
        <w:tc>
          <w:tcPr>
            <w:tcW w:w="8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15,921</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19,266</w:t>
            </w: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(3,345)</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11,895</w:t>
            </w:r>
          </w:p>
        </w:tc>
        <w:tc>
          <w:tcPr>
            <w:tcW w:w="20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4,026</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340" w:type="dxa"/>
            <w:vAlign w:val="bottom"/>
          </w:tcPr>
          <w:p>
            <w:pPr>
              <w:spacing w:after="0"/>
              <w:rPr>
                <w:sz w:val="18"/>
                <w:szCs w:val="18"/>
                <w:color w:val="auto"/>
              </w:rPr>
            </w:pPr>
          </w:p>
        </w:tc>
      </w:tr>
      <w:tr>
        <w:trPr>
          <w:trHeight w:val="20"/>
        </w:trPr>
        <w:tc>
          <w:tcPr>
            <w:tcW w:w="8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7"/>
        </w:trPr>
        <w:tc>
          <w:tcPr>
            <w:tcW w:w="820" w:type="dxa"/>
            <w:vAlign w:val="bottom"/>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4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tcPr>
          <w:p>
            <w:pPr>
              <w:spacing w:after="0"/>
              <w:rPr>
                <w:sz w:val="17"/>
                <w:szCs w:val="17"/>
                <w:color w:val="auto"/>
              </w:rPr>
            </w:pPr>
          </w:p>
        </w:tc>
      </w:tr>
      <w:tr>
        <w:trPr>
          <w:trHeight w:val="216"/>
        </w:trPr>
        <w:tc>
          <w:tcPr>
            <w:tcW w:w="8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Semi Market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8,629</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11,981</w:t>
            </w: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(3,352)</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5,573</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3,056</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3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Multi Markets</w:t>
            </w:r>
          </w:p>
        </w:tc>
        <w:tc>
          <w:tcPr>
            <w:tcW w:w="22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7,292</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7,285</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320" w:type="dxa"/>
            <w:vAlign w:val="bottom"/>
            <w:tcBorders>
              <w:right w:val="single" w:sz="8" w:color="CCEEFF"/>
            </w:tcBorders>
            <w:shd w:val="clear" w:color="auto" w:fill="CCEEFF"/>
          </w:tcPr>
          <w:p>
            <w:pPr>
              <w:spacing w:after="0"/>
              <w:rPr>
                <w:sz w:val="18"/>
                <w:szCs w:val="18"/>
                <w:color w:val="auto"/>
              </w:rPr>
            </w:pP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6,322</w:t>
            </w:r>
          </w:p>
        </w:tc>
        <w:tc>
          <w:tcPr>
            <w:tcW w:w="22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970</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18"/>
                <w:szCs w:val="18"/>
                <w:color w:val="auto"/>
              </w:rPr>
            </w:pPr>
          </w:p>
        </w:tc>
      </w:tr>
      <w:tr>
        <w:trPr>
          <w:trHeight w:val="20"/>
        </w:trPr>
        <w:tc>
          <w:tcPr>
            <w:tcW w:w="820" w:type="dxa"/>
            <w:vAlign w:val="bottom"/>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10"/>
        </w:trPr>
        <w:tc>
          <w:tcPr>
            <w:tcW w:w="8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15,921</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19,266</w:t>
            </w: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(3,345)</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11,895</w:t>
            </w:r>
          </w:p>
        </w:tc>
        <w:tc>
          <w:tcPr>
            <w:tcW w:w="20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4,026</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340" w:type="dxa"/>
            <w:vAlign w:val="bottom"/>
          </w:tcPr>
          <w:p>
            <w:pPr>
              <w:spacing w:after="0"/>
              <w:rPr>
                <w:sz w:val="18"/>
                <w:szCs w:val="18"/>
                <w:color w:val="auto"/>
              </w:rPr>
            </w:pPr>
          </w:p>
        </w:tc>
      </w:tr>
      <w:tr>
        <w:trPr>
          <w:trHeight w:val="20"/>
        </w:trPr>
        <w:tc>
          <w:tcPr>
            <w:tcW w:w="8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394"/>
        </w:trPr>
        <w:tc>
          <w:tcPr>
            <w:tcW w:w="8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jc w:val="center"/>
              <w:spacing w:after="0"/>
              <w:rPr>
                <w:sz w:val="20"/>
                <w:szCs w:val="20"/>
                <w:color w:val="auto"/>
              </w:rPr>
            </w:pPr>
            <w:r>
              <w:rPr>
                <w:rFonts w:ascii="Arial" w:cs="Arial" w:eastAsia="Arial" w:hAnsi="Arial"/>
                <w:sz w:val="18"/>
                <w:szCs w:val="18"/>
                <w:b w:val="1"/>
                <w:bCs w:val="1"/>
                <w:color w:val="auto"/>
                <w:w w:val="88"/>
              </w:rPr>
              <w:t>Six</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16"/>
        </w:trPr>
        <w:tc>
          <w:tcPr>
            <w:tcW w:w="8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Months Ended</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34"/>
        </w:trPr>
        <w:tc>
          <w:tcPr>
            <w:tcW w:w="8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6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4"/>
          </w:tcPr>
          <w:p>
            <w:pPr>
              <w:ind w:left="120"/>
              <w:spacing w:after="0"/>
              <w:rPr>
                <w:sz w:val="20"/>
                <w:szCs w:val="20"/>
                <w:color w:val="auto"/>
              </w:rPr>
            </w:pPr>
            <w:r>
              <w:rPr>
                <w:rFonts w:ascii="Arial" w:cs="Arial" w:eastAsia="Arial" w:hAnsi="Arial"/>
                <w:sz w:val="18"/>
                <w:szCs w:val="18"/>
                <w:b w:val="1"/>
                <w:bCs w:val="1"/>
                <w:color w:val="auto"/>
              </w:rPr>
              <w:t>Change</w:t>
            </w:r>
          </w:p>
        </w:tc>
        <w:tc>
          <w:tcPr>
            <w:tcW w:w="2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10"/>
        </w:trPr>
        <w:tc>
          <w:tcPr>
            <w:tcW w:w="8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2019</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ind w:right="210"/>
              <w:spacing w:after="0"/>
              <w:rPr>
                <w:sz w:val="20"/>
                <w:szCs w:val="20"/>
                <w:color w:val="auto"/>
              </w:rPr>
            </w:pPr>
            <w:r>
              <w:rPr>
                <w:rFonts w:ascii="Arial" w:cs="Arial" w:eastAsia="Arial" w:hAnsi="Arial"/>
                <w:sz w:val="18"/>
                <w:szCs w:val="18"/>
                <w:b w:val="1"/>
                <w:bCs w:val="1"/>
                <w:color w:val="auto"/>
                <w:w w:val="89"/>
              </w:rPr>
              <w:t>2018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0"/>
        </w:trPr>
        <w:tc>
          <w:tcPr>
            <w:tcW w:w="8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Orders:</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tcBorders>
              <w:top w:val="single" w:sz="8" w:color="auto"/>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Thermal</w:t>
            </w:r>
          </w:p>
        </w:tc>
        <w:tc>
          <w:tcPr>
            <w:tcW w:w="220" w:type="dxa"/>
            <w:vAlign w:val="bottom"/>
          </w:tcPr>
          <w:p>
            <w:pPr>
              <w:spacing w:after="0"/>
              <w:rPr>
                <w:sz w:val="18"/>
                <w:szCs w:val="18"/>
                <w:color w:val="auto"/>
              </w:rPr>
            </w:pPr>
          </w:p>
        </w:tc>
        <w:tc>
          <w:tcPr>
            <w:tcW w:w="84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tcPr>
          <w:p>
            <w:pPr>
              <w:jc w:val="right"/>
              <w:ind w:right="190"/>
              <w:spacing w:after="0"/>
              <w:rPr>
                <w:sz w:val="20"/>
                <w:szCs w:val="20"/>
                <w:color w:val="auto"/>
              </w:rPr>
            </w:pPr>
            <w:r>
              <w:rPr>
                <w:rFonts w:ascii="Arial" w:cs="Arial" w:eastAsia="Arial" w:hAnsi="Arial"/>
                <w:sz w:val="18"/>
                <w:szCs w:val="18"/>
                <w:color w:val="auto"/>
                <w:w w:val="87"/>
              </w:rPr>
              <w:t>20,933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Pr>
          <w:p>
            <w:pPr>
              <w:spacing w:after="0"/>
              <w:rPr>
                <w:sz w:val="18"/>
                <w:szCs w:val="18"/>
                <w:color w:val="auto"/>
              </w:rPr>
            </w:pP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27,779</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(6,846)</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EMS</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6,883</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12,075</w:t>
            </w:r>
          </w:p>
        </w:tc>
        <w:tc>
          <w:tcPr>
            <w:tcW w:w="46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(5,192)</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0"/>
        </w:trPr>
        <w:tc>
          <w:tcPr>
            <w:tcW w:w="820" w:type="dxa"/>
            <w:vAlign w:val="bottom"/>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10"/>
        </w:trPr>
        <w:tc>
          <w:tcPr>
            <w:tcW w:w="8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tcPr>
          <w:p>
            <w:pPr>
              <w:jc w:val="right"/>
              <w:ind w:right="190"/>
              <w:spacing w:after="0"/>
              <w:rPr>
                <w:sz w:val="20"/>
                <w:szCs w:val="20"/>
                <w:color w:val="auto"/>
              </w:rPr>
            </w:pPr>
            <w:r>
              <w:rPr>
                <w:rFonts w:ascii="Arial" w:cs="Arial" w:eastAsia="Arial" w:hAnsi="Arial"/>
                <w:sz w:val="18"/>
                <w:szCs w:val="18"/>
                <w:color w:val="auto"/>
                <w:w w:val="87"/>
              </w:rPr>
              <w:t>27,816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Pr>
          <w:p>
            <w:pPr>
              <w:spacing w:after="0"/>
              <w:rPr>
                <w:sz w:val="18"/>
                <w:szCs w:val="18"/>
                <w:color w:val="auto"/>
              </w:rPr>
            </w:pP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39,854</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(12,038)</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0"/>
        </w:trPr>
        <w:tc>
          <w:tcPr>
            <w:tcW w:w="820" w:type="dxa"/>
            <w:vAlign w:val="bottom"/>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tcBorders>
              <w:top w:val="single" w:sz="8" w:color="auto"/>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right w:val="single" w:sz="8" w:color="CCEEFF"/>
            </w:tcBorders>
            <w:gridSpan w:val="3"/>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Semi Market</w:t>
            </w:r>
          </w:p>
        </w:tc>
        <w:tc>
          <w:tcPr>
            <w:tcW w:w="220" w:type="dxa"/>
            <w:vAlign w:val="bottom"/>
          </w:tcPr>
          <w:p>
            <w:pPr>
              <w:spacing w:after="0"/>
              <w:rPr>
                <w:sz w:val="18"/>
                <w:szCs w:val="18"/>
                <w:color w:val="auto"/>
              </w:rPr>
            </w:pPr>
          </w:p>
        </w:tc>
        <w:tc>
          <w:tcPr>
            <w:tcW w:w="84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tcPr>
          <w:p>
            <w:pPr>
              <w:jc w:val="right"/>
              <w:ind w:right="190"/>
              <w:spacing w:after="0"/>
              <w:rPr>
                <w:sz w:val="20"/>
                <w:szCs w:val="20"/>
                <w:color w:val="auto"/>
              </w:rPr>
            </w:pPr>
            <w:r>
              <w:rPr>
                <w:rFonts w:ascii="Arial" w:cs="Arial" w:eastAsia="Arial" w:hAnsi="Arial"/>
                <w:sz w:val="18"/>
                <w:szCs w:val="18"/>
                <w:color w:val="auto"/>
                <w:w w:val="87"/>
              </w:rPr>
              <w:t>14,202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Pr>
          <w:p>
            <w:pPr>
              <w:spacing w:after="0"/>
              <w:rPr>
                <w:sz w:val="18"/>
                <w:szCs w:val="18"/>
                <w:color w:val="auto"/>
              </w:rPr>
            </w:pP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24,512</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(10,310)</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Multi Markets</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w w:val="87"/>
              </w:rPr>
              <w:t>13,614</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15,342</w:t>
            </w:r>
          </w:p>
        </w:tc>
        <w:tc>
          <w:tcPr>
            <w:tcW w:w="46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(1,728)</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0"/>
        </w:trPr>
        <w:tc>
          <w:tcPr>
            <w:tcW w:w="820" w:type="dxa"/>
            <w:vAlign w:val="bottom"/>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10"/>
        </w:trPr>
        <w:tc>
          <w:tcPr>
            <w:tcW w:w="8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tcPr>
          <w:p>
            <w:pPr>
              <w:jc w:val="right"/>
              <w:ind w:right="190"/>
              <w:spacing w:after="0"/>
              <w:rPr>
                <w:sz w:val="20"/>
                <w:szCs w:val="20"/>
                <w:color w:val="auto"/>
              </w:rPr>
            </w:pPr>
            <w:r>
              <w:rPr>
                <w:rFonts w:ascii="Arial" w:cs="Arial" w:eastAsia="Arial" w:hAnsi="Arial"/>
                <w:sz w:val="18"/>
                <w:szCs w:val="18"/>
                <w:color w:val="auto"/>
                <w:w w:val="87"/>
              </w:rPr>
              <w:t>27,816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Pr>
          <w:p>
            <w:pPr>
              <w:spacing w:after="0"/>
              <w:rPr>
                <w:sz w:val="18"/>
                <w:szCs w:val="18"/>
                <w:color w:val="auto"/>
              </w:rPr>
            </w:pP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39,854</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(12,038)</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426"/>
        </w:trPr>
        <w:tc>
          <w:tcPr>
            <w:tcW w:w="8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15"/>
        </w:trPr>
        <w:tc>
          <w:tcPr>
            <w:tcW w:w="82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sectPr>
      </w:pPr>
    </w:p>
    <w:bookmarkStart w:id="25" w:name="page26"/>
    <w:bookmarkEnd w:id="2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820" w:right="140"/>
        <w:spacing w:after="0" w:line="279" w:lineRule="auto"/>
        <w:rPr>
          <w:sz w:val="20"/>
          <w:szCs w:val="20"/>
          <w:color w:val="auto"/>
        </w:rPr>
      </w:pPr>
      <w:r>
        <w:rPr>
          <w:rFonts w:ascii="Arial" w:cs="Arial" w:eastAsia="Arial" w:hAnsi="Arial"/>
          <w:sz w:val="17"/>
          <w:szCs w:val="17"/>
          <w:color w:val="auto"/>
        </w:rPr>
        <w:t>Total consolidated orders for the three months ended June 30, 2019 were $15.9 million compared to $19.3 million for the same period in 2018 and $11.9 million for the three months ended March 31, 2019. Orders from customers in Multi Markets for the three months ended June 30, 2019 were $7.3 million, or 46% of total consolidated orders, compared to $7.3 million, or 38% of total consolidated orders for the same period in 2018 and $6.3 million or 53% of total consolidated orders for the three months ended March 31, 2019.</w:t>
      </w:r>
    </w:p>
    <w:p>
      <w:pPr>
        <w:spacing w:after="0" w:line="171" w:lineRule="exact"/>
        <w:rPr>
          <w:sz w:val="20"/>
          <w:szCs w:val="20"/>
          <w:color w:val="auto"/>
        </w:rPr>
      </w:pPr>
    </w:p>
    <w:p>
      <w:pPr>
        <w:ind w:left="820" w:right="180"/>
        <w:spacing w:after="0" w:line="254" w:lineRule="auto"/>
        <w:rPr>
          <w:sz w:val="20"/>
          <w:szCs w:val="20"/>
          <w:color w:val="auto"/>
        </w:rPr>
      </w:pPr>
      <w:r>
        <w:rPr>
          <w:rFonts w:ascii="Arial" w:cs="Arial" w:eastAsia="Arial" w:hAnsi="Arial"/>
          <w:sz w:val="18"/>
          <w:szCs w:val="18"/>
          <w:color w:val="auto"/>
        </w:rPr>
        <w:t>The significant decrease in our consolidated orders during the three and six months ended June 30, 2019 as compared to the same periods in 2018 primarily represents cyclical and seasonal softening in the Semi Market, where over half of our business is derived. Orders for the six months ended June 30, 2019 were also affected by reduced demand in some of our Multi Markets, specifically the optical transceivers segment within the telecommunications market, which we believe primarily reflects technological changes occurring in that market. In addition to market specific drivers, we believe slowing growth in the global economy has also contributed to the declines in demand which we have experienced. Our consolidated orders for the three months ended June 30, 2019 increased $4.0 million or 34% as compared to the three months ended March 31, 2019. We believe this sequential increase primarily reflects that we have experienced the trough of the current cyclical downturn in the Semi Market.</w:t>
      </w:r>
    </w:p>
    <w:p>
      <w:pPr>
        <w:spacing w:after="0" w:line="192" w:lineRule="exact"/>
        <w:rPr>
          <w:sz w:val="20"/>
          <w:szCs w:val="20"/>
          <w:color w:val="auto"/>
        </w:rPr>
      </w:pPr>
    </w:p>
    <w:p>
      <w:pPr>
        <w:ind w:left="820" w:right="160"/>
        <w:spacing w:after="0" w:line="290" w:lineRule="auto"/>
        <w:rPr>
          <w:sz w:val="20"/>
          <w:szCs w:val="20"/>
          <w:color w:val="auto"/>
        </w:rPr>
      </w:pPr>
      <w:r>
        <w:rPr>
          <w:rFonts w:ascii="Arial" w:cs="Arial" w:eastAsia="Arial" w:hAnsi="Arial"/>
          <w:sz w:val="16"/>
          <w:szCs w:val="16"/>
          <w:color w:val="auto"/>
        </w:rPr>
        <w:t>At June 30, 2019, our backlog of unfilled orders for all products was approximately $8.8 million compared with approximately $13.6 million at June 30, 2018 and $7.2 million at March 31, 2019. Our backlog includes customer orders which we have accepted, substantially all of which we expect to deliver in 2019. The significant decline in our backlog at June 30, 2019 as compared to June 30, 2018 primarily reflects the impact of the aforementioned weakness in the Semi Market and, to a lesser extent, reduced demand in certain of the Multi Markets that we serve. While backlog is calculated on the basis of firm purchase orders, a customer may cancel an order or accelerate or postpone currently scheduled delivery dates. Our backlog may be affected by the tendency of customers to rely on short lead times available from suppliers, including us, in periods of depressed demand. In periods of increased demand, there is a tendency towards longer lead times that has the effect of increasing backlog. As a result, our backlog at a particular date is not necessarily indicative of sales for any future period.</w:t>
      </w:r>
    </w:p>
    <w:p>
      <w:pPr>
        <w:spacing w:after="0" w:line="166" w:lineRule="exact"/>
        <w:rPr>
          <w:sz w:val="20"/>
          <w:szCs w:val="20"/>
          <w:color w:val="auto"/>
        </w:rPr>
      </w:pPr>
    </w:p>
    <w:p>
      <w:pPr>
        <w:ind w:left="820"/>
        <w:spacing w:after="0"/>
        <w:rPr>
          <w:sz w:val="20"/>
          <w:szCs w:val="20"/>
          <w:color w:val="auto"/>
        </w:rPr>
      </w:pPr>
      <w:r>
        <w:rPr>
          <w:rFonts w:ascii="Arial" w:cs="Arial" w:eastAsia="Arial" w:hAnsi="Arial"/>
          <w:sz w:val="18"/>
          <w:szCs w:val="18"/>
          <w:i w:val="1"/>
          <w:iCs w:val="1"/>
          <w:u w:val="single" w:color="auto"/>
          <w:color w:val="auto"/>
        </w:rPr>
        <w:t>Net Revenues</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7"/>
          <w:szCs w:val="17"/>
          <w:color w:val="auto"/>
        </w:rPr>
        <w:t>The following table sets forth, for the periods indicated, a breakdown of the net revenues by operating segment and market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Three</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4"/>
          </w:tcPr>
          <w:p>
            <w:pPr>
              <w:jc w:val="center"/>
              <w:ind w:left="470"/>
              <w:spacing w:after="0"/>
              <w:rPr>
                <w:sz w:val="20"/>
                <w:szCs w:val="20"/>
                <w:color w:val="auto"/>
              </w:rPr>
            </w:pPr>
            <w:r>
              <w:rPr>
                <w:rFonts w:ascii="Arial" w:cs="Arial" w:eastAsia="Arial" w:hAnsi="Arial"/>
                <w:sz w:val="18"/>
                <w:szCs w:val="18"/>
                <w:b w:val="1"/>
                <w:bCs w:val="1"/>
                <w:color w:val="auto"/>
                <w:w w:val="89"/>
              </w:rPr>
              <w:t>Three</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Months</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90"/>
              </w:rPr>
              <w:t>Months Ended</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Ended</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34"/>
        </w:trPr>
        <w:tc>
          <w:tcPr>
            <w:tcW w:w="8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4"/>
          </w:tcPr>
          <w:p>
            <w:pPr>
              <w:jc w:val="center"/>
              <w:ind w:left="470"/>
              <w:spacing w:after="0"/>
              <w:rPr>
                <w:sz w:val="20"/>
                <w:szCs w:val="20"/>
                <w:color w:val="auto"/>
              </w:rPr>
            </w:pPr>
            <w:r>
              <w:rPr>
                <w:rFonts w:ascii="Arial" w:cs="Arial" w:eastAsia="Arial" w:hAnsi="Arial"/>
                <w:sz w:val="18"/>
                <w:szCs w:val="18"/>
                <w:b w:val="1"/>
                <w:bCs w:val="1"/>
                <w:color w:val="auto"/>
                <w:w w:val="88"/>
              </w:rPr>
              <w:t>June 30,</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gridSpan w:val="3"/>
          </w:tcPr>
          <w:p>
            <w:pPr>
              <w:ind w:left="560"/>
              <w:spacing w:after="0"/>
              <w:rPr>
                <w:sz w:val="20"/>
                <w:szCs w:val="20"/>
                <w:color w:val="auto"/>
              </w:rPr>
            </w:pPr>
            <w:r>
              <w:rPr>
                <w:rFonts w:ascii="Arial" w:cs="Arial" w:eastAsia="Arial" w:hAnsi="Arial"/>
                <w:sz w:val="18"/>
                <w:szCs w:val="18"/>
                <w:b w:val="1"/>
                <w:bCs w:val="1"/>
                <w:color w:val="auto"/>
              </w:rPr>
              <w:t>Change</w:t>
            </w: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March 31,</w:t>
            </w:r>
          </w:p>
        </w:tc>
        <w:tc>
          <w:tcPr>
            <w:tcW w:w="260" w:type="dxa"/>
            <w:vAlign w:val="bottom"/>
          </w:tcPr>
          <w:p>
            <w:pPr>
              <w:spacing w:after="0"/>
              <w:rPr>
                <w:sz w:val="20"/>
                <w:szCs w:val="20"/>
                <w:color w:val="auto"/>
              </w:rPr>
            </w:pPr>
          </w:p>
        </w:tc>
        <w:tc>
          <w:tcPr>
            <w:tcW w:w="1240" w:type="dxa"/>
            <w:vAlign w:val="bottom"/>
            <w:gridSpan w:val="3"/>
          </w:tcPr>
          <w:p>
            <w:pPr>
              <w:ind w:left="540"/>
              <w:spacing w:after="0"/>
              <w:rPr>
                <w:sz w:val="20"/>
                <w:szCs w:val="20"/>
                <w:color w:val="auto"/>
              </w:rPr>
            </w:pPr>
            <w:r>
              <w:rPr>
                <w:rFonts w:ascii="Arial" w:cs="Arial" w:eastAsia="Arial" w:hAnsi="Arial"/>
                <w:sz w:val="18"/>
                <w:szCs w:val="18"/>
                <w:b w:val="1"/>
                <w:bCs w:val="1"/>
                <w:color w:val="auto"/>
              </w:rPr>
              <w:t>Change</w:t>
            </w: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10"/>
        </w:trPr>
        <w:tc>
          <w:tcPr>
            <w:tcW w:w="8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2018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2019</w:t>
            </w:r>
          </w:p>
        </w:tc>
        <w:tc>
          <w:tcPr>
            <w:tcW w:w="2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0"/>
        </w:trPr>
        <w:tc>
          <w:tcPr>
            <w:tcW w:w="820" w:type="dxa"/>
            <w:vAlign w:val="bottom"/>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revenues:</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Thermal</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10,519</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13,999</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center"/>
              <w:ind w:left="70"/>
              <w:spacing w:after="0"/>
              <w:rPr>
                <w:sz w:val="20"/>
                <w:szCs w:val="20"/>
                <w:color w:val="auto"/>
              </w:rPr>
            </w:pPr>
            <w:r>
              <w:rPr>
                <w:rFonts w:ascii="Arial" w:cs="Arial" w:eastAsia="Arial" w:hAnsi="Arial"/>
                <w:sz w:val="18"/>
                <w:szCs w:val="18"/>
                <w:color w:val="auto"/>
                <w:w w:val="91"/>
              </w:rPr>
              <w:t>(3,480)</w:t>
            </w:r>
          </w:p>
        </w:tc>
        <w:tc>
          <w:tcPr>
            <w:tcW w:w="3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12,634</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(2,115)</w:t>
            </w:r>
          </w:p>
        </w:tc>
        <w:tc>
          <w:tcPr>
            <w:tcW w:w="3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3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EMS</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7,098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91"/>
              </w:rPr>
              <w:t>(3,265)</w:t>
            </w:r>
          </w:p>
        </w:tc>
        <w:tc>
          <w:tcPr>
            <w:tcW w:w="3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5,428</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(1,595)</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40" w:type="dxa"/>
            <w:vAlign w:val="bottom"/>
          </w:tcPr>
          <w:p>
            <w:pPr>
              <w:spacing w:after="0"/>
              <w:rPr>
                <w:sz w:val="18"/>
                <w:szCs w:val="18"/>
                <w:color w:val="auto"/>
              </w:rPr>
            </w:pPr>
          </w:p>
        </w:tc>
      </w:tr>
      <w:tr>
        <w:trPr>
          <w:trHeight w:val="20"/>
        </w:trPr>
        <w:tc>
          <w:tcPr>
            <w:tcW w:w="820" w:type="dxa"/>
            <w:vAlign w:val="bottom"/>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10"/>
        </w:trPr>
        <w:tc>
          <w:tcPr>
            <w:tcW w:w="8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14,352</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21,097</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center"/>
              <w:ind w:left="70"/>
              <w:spacing w:after="0"/>
              <w:rPr>
                <w:sz w:val="20"/>
                <w:szCs w:val="20"/>
                <w:color w:val="auto"/>
              </w:rPr>
            </w:pPr>
            <w:r>
              <w:rPr>
                <w:rFonts w:ascii="Arial" w:cs="Arial" w:eastAsia="Arial" w:hAnsi="Arial"/>
                <w:sz w:val="18"/>
                <w:szCs w:val="18"/>
                <w:color w:val="auto"/>
                <w:w w:val="91"/>
              </w:rPr>
              <w:t>(6,745)</w:t>
            </w:r>
          </w:p>
        </w:tc>
        <w:tc>
          <w:tcPr>
            <w:tcW w:w="3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18,062</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(3,710)</w:t>
            </w:r>
          </w:p>
        </w:tc>
        <w:tc>
          <w:tcPr>
            <w:tcW w:w="3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340" w:type="dxa"/>
            <w:vAlign w:val="bottom"/>
          </w:tcPr>
          <w:p>
            <w:pPr>
              <w:spacing w:after="0"/>
              <w:rPr>
                <w:sz w:val="18"/>
                <w:szCs w:val="18"/>
                <w:color w:val="auto"/>
              </w:rPr>
            </w:pPr>
          </w:p>
        </w:tc>
      </w:tr>
      <w:tr>
        <w:trPr>
          <w:trHeight w:val="20"/>
        </w:trPr>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7"/>
        </w:trPr>
        <w:tc>
          <w:tcPr>
            <w:tcW w:w="820" w:type="dxa"/>
            <w:vAlign w:val="bottom"/>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tcPr>
          <w:p>
            <w:pPr>
              <w:spacing w:after="0"/>
              <w:rPr>
                <w:sz w:val="17"/>
                <w:szCs w:val="17"/>
                <w:color w:val="auto"/>
              </w:rPr>
            </w:pPr>
          </w:p>
        </w:tc>
      </w:tr>
      <w:tr>
        <w:trPr>
          <w:trHeight w:val="216"/>
        </w:trPr>
        <w:tc>
          <w:tcPr>
            <w:tcW w:w="82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Semi Market</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7,641</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13,043</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center"/>
              <w:ind w:left="70"/>
              <w:spacing w:after="0"/>
              <w:rPr>
                <w:sz w:val="20"/>
                <w:szCs w:val="20"/>
                <w:color w:val="auto"/>
              </w:rPr>
            </w:pPr>
            <w:r>
              <w:rPr>
                <w:rFonts w:ascii="Arial" w:cs="Arial" w:eastAsia="Arial" w:hAnsi="Arial"/>
                <w:sz w:val="18"/>
                <w:szCs w:val="18"/>
                <w:color w:val="auto"/>
                <w:w w:val="91"/>
              </w:rPr>
              <w:t>(5,402)</w:t>
            </w:r>
          </w:p>
        </w:tc>
        <w:tc>
          <w:tcPr>
            <w:tcW w:w="3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10,111</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(2,470)</w:t>
            </w:r>
          </w:p>
        </w:tc>
        <w:tc>
          <w:tcPr>
            <w:tcW w:w="3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3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Multi Markets</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8,054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91"/>
              </w:rPr>
              <w:t>(1,343)</w:t>
            </w:r>
          </w:p>
        </w:tc>
        <w:tc>
          <w:tcPr>
            <w:tcW w:w="3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7,951</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40" w:type="dxa"/>
            <w:vAlign w:val="bottom"/>
          </w:tcPr>
          <w:p>
            <w:pPr>
              <w:spacing w:after="0"/>
              <w:rPr>
                <w:sz w:val="18"/>
                <w:szCs w:val="18"/>
                <w:color w:val="auto"/>
              </w:rPr>
            </w:pPr>
          </w:p>
        </w:tc>
      </w:tr>
      <w:tr>
        <w:trPr>
          <w:trHeight w:val="20"/>
        </w:trPr>
        <w:tc>
          <w:tcPr>
            <w:tcW w:w="820" w:type="dxa"/>
            <w:vAlign w:val="bottom"/>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10"/>
        </w:trPr>
        <w:tc>
          <w:tcPr>
            <w:tcW w:w="8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14,352</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21,097</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center"/>
              <w:ind w:left="70"/>
              <w:spacing w:after="0"/>
              <w:rPr>
                <w:sz w:val="20"/>
                <w:szCs w:val="20"/>
                <w:color w:val="auto"/>
              </w:rPr>
            </w:pPr>
            <w:r>
              <w:rPr>
                <w:rFonts w:ascii="Arial" w:cs="Arial" w:eastAsia="Arial" w:hAnsi="Arial"/>
                <w:sz w:val="18"/>
                <w:szCs w:val="18"/>
                <w:color w:val="auto"/>
                <w:w w:val="91"/>
              </w:rPr>
              <w:t>(6,745)</w:t>
            </w:r>
          </w:p>
        </w:tc>
        <w:tc>
          <w:tcPr>
            <w:tcW w:w="3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18,062</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(3,710)</w:t>
            </w:r>
          </w:p>
        </w:tc>
        <w:tc>
          <w:tcPr>
            <w:tcW w:w="3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340" w:type="dxa"/>
            <w:vAlign w:val="bottom"/>
          </w:tcPr>
          <w:p>
            <w:pPr>
              <w:spacing w:after="0"/>
              <w:rPr>
                <w:sz w:val="18"/>
                <w:szCs w:val="18"/>
                <w:color w:val="auto"/>
              </w:rPr>
            </w:pPr>
          </w:p>
        </w:tc>
      </w:tr>
      <w:tr>
        <w:trPr>
          <w:trHeight w:val="20"/>
        </w:trPr>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13"/>
        </w:trPr>
        <w:tc>
          <w:tcPr>
            <w:tcW w:w="8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jc w:val="center"/>
              <w:ind w:left="250"/>
              <w:spacing w:after="0"/>
              <w:rPr>
                <w:sz w:val="20"/>
                <w:szCs w:val="20"/>
                <w:color w:val="auto"/>
              </w:rPr>
            </w:pPr>
            <w:r>
              <w:rPr>
                <w:rFonts w:ascii="Arial" w:cs="Arial" w:eastAsia="Arial" w:hAnsi="Arial"/>
                <w:sz w:val="18"/>
                <w:szCs w:val="18"/>
                <w:color w:val="auto"/>
                <w:w w:val="93"/>
              </w:rPr>
              <w:t>-24-</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15"/>
        </w:trPr>
        <w:tc>
          <w:tcPr>
            <w:tcW w:w="82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sectPr>
      </w:pPr>
    </w:p>
    <w:bookmarkStart w:id="26" w:name="page27"/>
    <w:bookmarkEnd w:id="2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2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Six</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2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Months Ended</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34"/>
        </w:trPr>
        <w:tc>
          <w:tcPr>
            <w:tcW w:w="21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ind w:left="880"/>
              <w:spacing w:after="0"/>
              <w:rPr>
                <w:sz w:val="20"/>
                <w:szCs w:val="20"/>
                <w:color w:val="auto"/>
              </w:rPr>
            </w:pPr>
            <w:r>
              <w:rPr>
                <w:rFonts w:ascii="Arial" w:cs="Arial" w:eastAsia="Arial" w:hAnsi="Arial"/>
                <w:sz w:val="18"/>
                <w:szCs w:val="18"/>
                <w:b w:val="1"/>
                <w:bCs w:val="1"/>
                <w:color w:val="auto"/>
              </w:rPr>
              <w:t>Change</w:t>
            </w:r>
          </w:p>
        </w:tc>
        <w:tc>
          <w:tcPr>
            <w:tcW w:w="10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r>
      <w:tr>
        <w:trPr>
          <w:trHeight w:val="210"/>
        </w:trPr>
        <w:tc>
          <w:tcPr>
            <w:tcW w:w="21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4"/>
              </w:rPr>
              <w:t>2018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r>
      <w:tr>
        <w:trPr>
          <w:trHeight w:val="210"/>
        </w:trPr>
        <w:tc>
          <w:tcPr>
            <w:tcW w:w="21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revenues:</w:t>
            </w: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Thermal</w:t>
            </w:r>
          </w:p>
        </w:tc>
        <w:tc>
          <w:tcPr>
            <w:tcW w:w="900" w:type="dxa"/>
            <w:vAlign w:val="bottom"/>
          </w:tcPr>
          <w:p>
            <w:pPr>
              <w:jc w:val="right"/>
              <w:ind w:right="71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23,153</w:t>
            </w:r>
          </w:p>
        </w:tc>
        <w:tc>
          <w:tcPr>
            <w:tcW w:w="7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27,233</w:t>
            </w:r>
          </w:p>
        </w:tc>
        <w:tc>
          <w:tcPr>
            <w:tcW w:w="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(4,080)</w:t>
            </w:r>
          </w:p>
        </w:tc>
        <w:tc>
          <w:tcPr>
            <w:tcW w:w="4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r>
      <w:tr>
        <w:trPr>
          <w:trHeight w:val="216"/>
        </w:trPr>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EMS</w:t>
            </w: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9,261</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(3,474)</w:t>
            </w:r>
          </w:p>
        </w:tc>
        <w:tc>
          <w:tcPr>
            <w:tcW w:w="4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r>
      <w:tr>
        <w:trPr>
          <w:trHeight w:val="20"/>
        </w:trPr>
        <w:tc>
          <w:tcPr>
            <w:tcW w:w="21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r>
      <w:tr>
        <w:trPr>
          <w:trHeight w:val="210"/>
        </w:trPr>
        <w:tc>
          <w:tcPr>
            <w:tcW w:w="2100" w:type="dxa"/>
            <w:vAlign w:val="bottom"/>
          </w:tcPr>
          <w:p>
            <w:pPr>
              <w:spacing w:after="0"/>
              <w:rPr>
                <w:sz w:val="18"/>
                <w:szCs w:val="18"/>
                <w:color w:val="auto"/>
              </w:rPr>
            </w:pPr>
          </w:p>
        </w:tc>
        <w:tc>
          <w:tcPr>
            <w:tcW w:w="900" w:type="dxa"/>
            <w:vAlign w:val="bottom"/>
          </w:tcPr>
          <w:p>
            <w:pPr>
              <w:jc w:val="right"/>
              <w:ind w:right="71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32,414</w:t>
            </w:r>
          </w:p>
        </w:tc>
        <w:tc>
          <w:tcPr>
            <w:tcW w:w="7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39,968</w:t>
            </w:r>
          </w:p>
        </w:tc>
        <w:tc>
          <w:tcPr>
            <w:tcW w:w="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(7,554)</w:t>
            </w:r>
          </w:p>
        </w:tc>
        <w:tc>
          <w:tcPr>
            <w:tcW w:w="4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r>
      <w:tr>
        <w:trPr>
          <w:trHeight w:val="210"/>
        </w:trPr>
        <w:tc>
          <w:tcPr>
            <w:tcW w:w="210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Semi Market</w:t>
            </w:r>
          </w:p>
        </w:tc>
        <w:tc>
          <w:tcPr>
            <w:tcW w:w="900" w:type="dxa"/>
            <w:vAlign w:val="bottom"/>
          </w:tcPr>
          <w:p>
            <w:pPr>
              <w:jc w:val="right"/>
              <w:ind w:right="71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17,752</w:t>
            </w:r>
          </w:p>
        </w:tc>
        <w:tc>
          <w:tcPr>
            <w:tcW w:w="7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23,582</w:t>
            </w:r>
          </w:p>
        </w:tc>
        <w:tc>
          <w:tcPr>
            <w:tcW w:w="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(5,830)</w:t>
            </w:r>
          </w:p>
        </w:tc>
        <w:tc>
          <w:tcPr>
            <w:tcW w:w="4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r>
      <w:tr>
        <w:trPr>
          <w:trHeight w:val="216"/>
        </w:trPr>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Multi Markets</w:t>
            </w: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14,662</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16,386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(1,724)</w:t>
            </w:r>
          </w:p>
        </w:tc>
        <w:tc>
          <w:tcPr>
            <w:tcW w:w="4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r>
      <w:tr>
        <w:trPr>
          <w:trHeight w:val="20"/>
        </w:trPr>
        <w:tc>
          <w:tcPr>
            <w:tcW w:w="21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r>
      <w:tr>
        <w:trPr>
          <w:trHeight w:val="210"/>
        </w:trPr>
        <w:tc>
          <w:tcPr>
            <w:tcW w:w="2100" w:type="dxa"/>
            <w:vAlign w:val="bottom"/>
          </w:tcPr>
          <w:p>
            <w:pPr>
              <w:spacing w:after="0"/>
              <w:rPr>
                <w:sz w:val="18"/>
                <w:szCs w:val="18"/>
                <w:color w:val="auto"/>
              </w:rPr>
            </w:pPr>
          </w:p>
        </w:tc>
        <w:tc>
          <w:tcPr>
            <w:tcW w:w="900" w:type="dxa"/>
            <w:vAlign w:val="bottom"/>
          </w:tcPr>
          <w:p>
            <w:pPr>
              <w:jc w:val="right"/>
              <w:ind w:right="71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32,414</w:t>
            </w:r>
          </w:p>
        </w:tc>
        <w:tc>
          <w:tcPr>
            <w:tcW w:w="7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39,968</w:t>
            </w:r>
          </w:p>
        </w:tc>
        <w:tc>
          <w:tcPr>
            <w:tcW w:w="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(7,554)</w:t>
            </w:r>
          </w:p>
        </w:tc>
        <w:tc>
          <w:tcPr>
            <w:tcW w:w="4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r>
      <w:tr>
        <w:trPr>
          <w:trHeight w:val="20"/>
        </w:trPr>
        <w:tc>
          <w:tcPr>
            <w:tcW w:w="2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2" w:lineRule="exact"/>
        <w:rPr>
          <w:sz w:val="20"/>
          <w:szCs w:val="20"/>
          <w:color w:val="auto"/>
        </w:rPr>
      </w:pPr>
    </w:p>
    <w:p>
      <w:pPr>
        <w:ind w:left="820" w:right="80"/>
        <w:spacing w:after="0" w:line="279" w:lineRule="auto"/>
        <w:rPr>
          <w:sz w:val="20"/>
          <w:szCs w:val="20"/>
          <w:color w:val="auto"/>
        </w:rPr>
      </w:pPr>
      <w:r>
        <w:rPr>
          <w:rFonts w:ascii="Arial" w:cs="Arial" w:eastAsia="Arial" w:hAnsi="Arial"/>
          <w:sz w:val="17"/>
          <w:szCs w:val="17"/>
          <w:color w:val="auto"/>
        </w:rPr>
        <w:t>Total consolidated net revenues for the three months ended June 30, 2019 were $14.4 million compared to $21.1 million for the same period in 2018 and $18.1 million for the three months ended March 31, 2019. We believe the decreases in our consolidated net revenues as compared to the same period in 2018 and the three months ended March 31, 2019 primarily reflect the aforementioned softening in the Semi Market, reduced demand in certain of the Multi Markets that we serve and, to a lesser extent, slowing growth in the global economy.</w:t>
      </w:r>
    </w:p>
    <w:p>
      <w:pPr>
        <w:spacing w:after="0" w:line="171" w:lineRule="exact"/>
        <w:rPr>
          <w:sz w:val="20"/>
          <w:szCs w:val="20"/>
          <w:color w:val="auto"/>
        </w:rPr>
      </w:pPr>
    </w:p>
    <w:p>
      <w:pPr>
        <w:ind w:left="820" w:right="360"/>
        <w:spacing w:after="0" w:line="264" w:lineRule="auto"/>
        <w:rPr>
          <w:sz w:val="20"/>
          <w:szCs w:val="20"/>
          <w:color w:val="auto"/>
        </w:rPr>
      </w:pPr>
      <w:r>
        <w:rPr>
          <w:rFonts w:ascii="Arial" w:cs="Arial" w:eastAsia="Arial" w:hAnsi="Arial"/>
          <w:sz w:val="18"/>
          <w:szCs w:val="18"/>
          <w:color w:val="auto"/>
        </w:rPr>
        <w:t>Net revenues from customers in Multi Markets for the three months ended June 30, 2019 were $6.7 million, or 47% of total consolidated net revenues, compared to $8.1 million, or 38% of total consolidated net revenues for the same period in 2018 and $8.0 million or 44% of total consolidated net revenues for the three months ended March 31, 2019.</w:t>
      </w:r>
    </w:p>
    <w:p>
      <w:pPr>
        <w:spacing w:after="0" w:line="177" w:lineRule="exact"/>
        <w:rPr>
          <w:sz w:val="20"/>
          <w:szCs w:val="20"/>
          <w:color w:val="auto"/>
        </w:rPr>
      </w:pPr>
    </w:p>
    <w:p>
      <w:pPr>
        <w:ind w:left="820"/>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9" w:lineRule="exact"/>
        <w:rPr>
          <w:sz w:val="20"/>
          <w:szCs w:val="20"/>
          <w:color w:val="auto"/>
        </w:rPr>
      </w:pPr>
    </w:p>
    <w:p>
      <w:pPr>
        <w:jc w:val="both"/>
        <w:ind w:left="820" w:right="300"/>
        <w:spacing w:after="0" w:line="312" w:lineRule="auto"/>
        <w:rPr>
          <w:sz w:val="20"/>
          <w:szCs w:val="20"/>
          <w:color w:val="auto"/>
        </w:rPr>
      </w:pPr>
      <w:r>
        <w:rPr>
          <w:rFonts w:ascii="Arial" w:cs="Arial" w:eastAsia="Arial" w:hAnsi="Arial"/>
          <w:sz w:val="16"/>
          <w:szCs w:val="16"/>
          <w:color w:val="auto"/>
        </w:rPr>
        <w:t>The results of operations for our two operating segments are generally affected by the same factors described in the Overview section above. Separate discussions and analyses for each segment would be repetitive. The discussion and analysis that follows, therefore, is presented on a consolidated basis and includes discussion of factors unique to each segment where significant to an understanding of that segment.</w:t>
      </w:r>
    </w:p>
    <w:p>
      <w:pPr>
        <w:spacing w:after="0" w:line="147" w:lineRule="exact"/>
        <w:rPr>
          <w:sz w:val="20"/>
          <w:szCs w:val="20"/>
          <w:color w:val="auto"/>
        </w:rPr>
      </w:pPr>
    </w:p>
    <w:p>
      <w:pPr>
        <w:ind w:left="820"/>
        <w:spacing w:after="0"/>
        <w:rPr>
          <w:sz w:val="20"/>
          <w:szCs w:val="20"/>
          <w:color w:val="auto"/>
        </w:rPr>
      </w:pPr>
      <w:r>
        <w:rPr>
          <w:rFonts w:ascii="Arial" w:cs="Arial" w:eastAsia="Arial" w:hAnsi="Arial"/>
          <w:sz w:val="18"/>
          <w:szCs w:val="18"/>
          <w:i w:val="1"/>
          <w:iCs w:val="1"/>
          <w:u w:val="single" w:color="auto"/>
          <w:color w:val="auto"/>
        </w:rPr>
        <w:t>Three Months Ended June 30, 2019 Compared to Three Months Ended June 30, 2018</w:t>
      </w:r>
    </w:p>
    <w:p>
      <w:pPr>
        <w:spacing w:after="0" w:line="225" w:lineRule="exact"/>
        <w:rPr>
          <w:sz w:val="20"/>
          <w:szCs w:val="20"/>
          <w:color w:val="auto"/>
        </w:rPr>
      </w:pPr>
    </w:p>
    <w:p>
      <w:pPr>
        <w:ind w:left="820"/>
        <w:spacing w:after="0" w:line="264" w:lineRule="auto"/>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Net revenues were $14.4 million for the three months ended June 30, 2019 compared to $21.1 million for the same period in 2018,</w:t>
      </w:r>
      <w:r>
        <w:rPr>
          <w:rFonts w:ascii="Arial" w:cs="Arial" w:eastAsia="Arial" w:hAnsi="Arial"/>
          <w:sz w:val="18"/>
          <w:szCs w:val="18"/>
          <w:i w:val="1"/>
          <w:iCs w:val="1"/>
          <w:color w:val="auto"/>
        </w:rPr>
        <w:t xml:space="preserve"> </w:t>
      </w:r>
      <w:r>
        <w:rPr>
          <w:rFonts w:ascii="Arial" w:cs="Arial" w:eastAsia="Arial" w:hAnsi="Arial"/>
          <w:sz w:val="18"/>
          <w:szCs w:val="18"/>
          <w:color w:val="auto"/>
        </w:rPr>
        <w:t>a decrease of $6.7 million, or 32%. We believe the decrease in our net revenues during the second quarter of 2019 primarily reflects the factors previously discussed in the Overview.</w:t>
      </w:r>
    </w:p>
    <w:p>
      <w:pPr>
        <w:spacing w:after="0" w:line="181" w:lineRule="exact"/>
        <w:rPr>
          <w:sz w:val="20"/>
          <w:szCs w:val="20"/>
          <w:color w:val="auto"/>
        </w:rPr>
      </w:pPr>
    </w:p>
    <w:p>
      <w:pPr>
        <w:ind w:left="820" w:right="20"/>
        <w:spacing w:after="0" w:line="270" w:lineRule="auto"/>
        <w:rPr>
          <w:sz w:val="20"/>
          <w:szCs w:val="20"/>
          <w:color w:val="auto"/>
        </w:rPr>
      </w:pPr>
      <w:r>
        <w:rPr>
          <w:rFonts w:ascii="Arial" w:cs="Arial" w:eastAsia="Arial" w:hAnsi="Arial"/>
          <w:sz w:val="17"/>
          <w:szCs w:val="17"/>
          <w:i w:val="1"/>
          <w:iCs w:val="1"/>
          <w:color w:val="auto"/>
        </w:rPr>
        <w:t xml:space="preserve">Gross Margin. </w:t>
      </w:r>
      <w:r>
        <w:rPr>
          <w:rFonts w:ascii="Arial" w:cs="Arial" w:eastAsia="Arial" w:hAnsi="Arial"/>
          <w:sz w:val="17"/>
          <w:szCs w:val="17"/>
          <w:color w:val="auto"/>
        </w:rPr>
        <w:t>Our consolidated gross margin was 47% of net revenues for the three months ended June 30, 2019 as compared to 52% of net</w:t>
      </w:r>
      <w:r>
        <w:rPr>
          <w:rFonts w:ascii="Arial" w:cs="Arial" w:eastAsia="Arial" w:hAnsi="Arial"/>
          <w:sz w:val="17"/>
          <w:szCs w:val="17"/>
          <w:i w:val="1"/>
          <w:iCs w:val="1"/>
          <w:color w:val="auto"/>
        </w:rPr>
        <w:t xml:space="preserve"> </w:t>
      </w:r>
      <w:r>
        <w:rPr>
          <w:rFonts w:ascii="Arial" w:cs="Arial" w:eastAsia="Arial" w:hAnsi="Arial"/>
          <w:sz w:val="17"/>
          <w:szCs w:val="17"/>
          <w:color w:val="auto"/>
        </w:rPr>
        <w:t>revenues for the same period in 2018. The decrease in our gross margin as a percentage of net revenues primarily reflects an increase in our fixed operating costs as a percentage of net revenues. Although our fixed operating costs decreased by $149,000 in absolute dollar terms, they represented 17% of net revenues for the three months ended June 30, 2019 as compared to 13% of net revenues for the same period in 2018. This is a result of not being as fully absorbed by the lower net revenues levels in the second quarter of 2019. The $149,000 decrease in our fixed operating costs primarily reflects lower levels of outsourced labor in our Thermal segment and a reduction in facility related costs for Ambrell as a result of its relocation in May 2018. The increase in our fixed operating costs as a percentage of net revenues was partially offset by a reduction in component material costs in our Thermal segment for the three months ended June 30, 2019 as compared to the same period in 2018, reflecting changes in product and customer mix.</w:t>
      </w:r>
    </w:p>
    <w:p>
      <w:pPr>
        <w:spacing w:after="0" w:line="182" w:lineRule="exact"/>
        <w:rPr>
          <w:sz w:val="20"/>
          <w:szCs w:val="20"/>
          <w:color w:val="auto"/>
        </w:rPr>
      </w:pPr>
    </w:p>
    <w:p>
      <w:pPr>
        <w:ind w:left="820" w:right="340"/>
        <w:spacing w:after="0" w:line="259" w:lineRule="auto"/>
        <w:rPr>
          <w:sz w:val="20"/>
          <w:szCs w:val="20"/>
          <w:color w:val="auto"/>
        </w:rPr>
      </w:pPr>
      <w:r>
        <w:rPr>
          <w:rFonts w:ascii="Arial" w:cs="Arial" w:eastAsia="Arial" w:hAnsi="Arial"/>
          <w:sz w:val="18"/>
          <w:szCs w:val="18"/>
          <w:i w:val="1"/>
          <w:iCs w:val="1"/>
          <w:color w:val="auto"/>
        </w:rPr>
        <w:t xml:space="preserve">Selling Expense. </w:t>
      </w:r>
      <w:r>
        <w:rPr>
          <w:rFonts w:ascii="Arial" w:cs="Arial" w:eastAsia="Arial" w:hAnsi="Arial"/>
          <w:sz w:val="18"/>
          <w:szCs w:val="18"/>
          <w:color w:val="auto"/>
        </w:rPr>
        <w:t>Selling expense was $2.1 million for the three months ended June 30, 2019 compared to $2.5 million for the same period in</w:t>
      </w:r>
      <w:r>
        <w:rPr>
          <w:rFonts w:ascii="Arial" w:cs="Arial" w:eastAsia="Arial" w:hAnsi="Arial"/>
          <w:sz w:val="18"/>
          <w:szCs w:val="18"/>
          <w:i w:val="1"/>
          <w:iCs w:val="1"/>
          <w:color w:val="auto"/>
        </w:rPr>
        <w:t xml:space="preserve"> </w:t>
      </w:r>
      <w:r>
        <w:rPr>
          <w:rFonts w:ascii="Arial" w:cs="Arial" w:eastAsia="Arial" w:hAnsi="Arial"/>
          <w:sz w:val="18"/>
          <w:szCs w:val="18"/>
          <w:color w:val="auto"/>
        </w:rPr>
        <w:t>2018, a decrease of $451,000, or 18%. The decrease primarily reflects lower levels of commission expense as a result of the reduction in net revenues. To a lesser extent, there were also reductions in salary and benefits expense, reflecting lower headcount, and decreased levels of spending on travel costs, warranty costs and advertising expenditures.</w:t>
      </w:r>
    </w:p>
    <w:p>
      <w:pPr>
        <w:spacing w:after="0" w:line="187" w:lineRule="exact"/>
        <w:rPr>
          <w:sz w:val="20"/>
          <w:szCs w:val="20"/>
          <w:color w:val="auto"/>
        </w:rPr>
      </w:pPr>
    </w:p>
    <w:p>
      <w:pPr>
        <w:ind w:left="820" w:right="320"/>
        <w:spacing w:after="0" w:line="259" w:lineRule="auto"/>
        <w:rPr>
          <w:sz w:val="20"/>
          <w:szCs w:val="20"/>
          <w:color w:val="auto"/>
        </w:rPr>
      </w:pPr>
      <w:r>
        <w:rPr>
          <w:rFonts w:ascii="Arial" w:cs="Arial" w:eastAsia="Arial" w:hAnsi="Arial"/>
          <w:sz w:val="18"/>
          <w:szCs w:val="18"/>
          <w:i w:val="1"/>
          <w:iCs w:val="1"/>
          <w:color w:val="auto"/>
        </w:rPr>
        <w:t xml:space="preserve">Engineering and Product Development Expense. </w:t>
      </w:r>
      <w:r>
        <w:rPr>
          <w:rFonts w:ascii="Arial" w:cs="Arial" w:eastAsia="Arial" w:hAnsi="Arial"/>
          <w:sz w:val="18"/>
          <w:szCs w:val="18"/>
          <w:color w:val="auto"/>
        </w:rPr>
        <w:t>Engineering and product development expense was relatively unchanged at $1.2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each of the three months ended June 30, 2019 and 2018. Decreases in legal fees paid related to our intellectual property were offset by an increase in consolidated spending on materials used in new product development and third-party resources used in research and development projects.</w:t>
      </w:r>
    </w:p>
    <w:p>
      <w:pPr>
        <w:spacing w:after="0" w:line="18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118" w:right="359" w:bottom="1440" w:gutter="0" w:footer="0" w:header="0"/>
        </w:sectPr>
      </w:pPr>
    </w:p>
    <w:bookmarkStart w:id="27" w:name="page28"/>
    <w:bookmarkEnd w:id="2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820" w:right="120"/>
        <w:spacing w:after="0" w:line="293" w:lineRule="auto"/>
        <w:rPr>
          <w:sz w:val="20"/>
          <w:szCs w:val="20"/>
          <w:color w:val="auto"/>
        </w:rPr>
      </w:pPr>
      <w:r>
        <w:rPr>
          <w:rFonts w:ascii="Arial" w:cs="Arial" w:eastAsia="Arial" w:hAnsi="Arial"/>
          <w:sz w:val="16"/>
          <w:szCs w:val="16"/>
          <w:i w:val="1"/>
          <w:iCs w:val="1"/>
          <w:color w:val="auto"/>
        </w:rPr>
        <w:t xml:space="preserve">General and Administrative Expense. </w:t>
      </w:r>
      <w:r>
        <w:rPr>
          <w:rFonts w:ascii="Arial" w:cs="Arial" w:eastAsia="Arial" w:hAnsi="Arial"/>
          <w:sz w:val="16"/>
          <w:szCs w:val="16"/>
          <w:color w:val="auto"/>
        </w:rPr>
        <w:t>General and administrative expense was $3.7 million for the three months ended June 30, 2019 compared</w:t>
      </w:r>
      <w:r>
        <w:rPr>
          <w:rFonts w:ascii="Arial" w:cs="Arial" w:eastAsia="Arial" w:hAnsi="Arial"/>
          <w:sz w:val="16"/>
          <w:szCs w:val="16"/>
          <w:i w:val="1"/>
          <w:iCs w:val="1"/>
          <w:color w:val="auto"/>
        </w:rPr>
        <w:t xml:space="preserve"> </w:t>
      </w:r>
      <w:r>
        <w:rPr>
          <w:rFonts w:ascii="Arial" w:cs="Arial" w:eastAsia="Arial" w:hAnsi="Arial"/>
          <w:sz w:val="16"/>
          <w:szCs w:val="16"/>
          <w:color w:val="auto"/>
        </w:rPr>
        <w:t>to $3.3 million for the same period in 2018, an increase of $383,000, or 12%. During the three months ended June 30, 2019, we incurred $351,000 related to an acquisition opportunity which we have decided not to pursue, and $175,000 for costs related to the consolidation of Ambrell’s European operations. There were no similar costs in the same period in 2018. To a lesser extent, there were also increases in salary and benefits expense, reflecting hiring new employees, and higher levels of amortization expense related to intangible assets. These increases were partially offset by reductions in both profit-related bonus expense and spending on third-party professionals.</w:t>
      </w:r>
    </w:p>
    <w:p>
      <w:pPr>
        <w:spacing w:after="0" w:line="165" w:lineRule="exact"/>
        <w:rPr>
          <w:sz w:val="20"/>
          <w:szCs w:val="20"/>
          <w:color w:val="auto"/>
        </w:rPr>
      </w:pPr>
    </w:p>
    <w:p>
      <w:pPr>
        <w:ind w:left="820" w:right="140"/>
        <w:spacing w:after="0" w:line="257" w:lineRule="auto"/>
        <w:rPr>
          <w:sz w:val="20"/>
          <w:szCs w:val="20"/>
          <w:color w:val="auto"/>
        </w:rPr>
      </w:pPr>
      <w:r>
        <w:rPr>
          <w:rFonts w:ascii="Arial" w:cs="Arial" w:eastAsia="Arial" w:hAnsi="Arial"/>
          <w:sz w:val="18"/>
          <w:szCs w:val="18"/>
          <w:i w:val="1"/>
          <w:iCs w:val="1"/>
          <w:color w:val="auto"/>
        </w:rPr>
        <w:t xml:space="preserve">Contingent Consideration Liability Adjustment. </w:t>
      </w:r>
      <w:r>
        <w:rPr>
          <w:rFonts w:ascii="Arial" w:cs="Arial" w:eastAsia="Arial" w:hAnsi="Arial"/>
          <w:sz w:val="18"/>
          <w:szCs w:val="18"/>
          <w:color w:val="auto"/>
        </w:rPr>
        <w:t>During the three months ended June 30, 2018, we recorded a decrease in the fair value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for contingent consideration of $710,000. This liability was a result of our acquisition of Ambrell in May 2017 and is discussed further in Notes 3 and 4 to our consolidated financial statements in our 2018 Form 10-K. The decrease in the fair value was primarily a result of a decrease in the then-projected adjusted EBITDA of Ambrell for the second half of 2018.There was no similar adjustment for the three months ended June 30, 2019 as we no longer have a contingent consideration liability.</w:t>
      </w:r>
    </w:p>
    <w:p>
      <w:pPr>
        <w:spacing w:after="0" w:line="188" w:lineRule="exact"/>
        <w:rPr>
          <w:sz w:val="20"/>
          <w:szCs w:val="20"/>
          <w:color w:val="auto"/>
        </w:rPr>
      </w:pPr>
    </w:p>
    <w:p>
      <w:pPr>
        <w:jc w:val="both"/>
        <w:ind w:left="820"/>
        <w:spacing w:after="0" w:line="297" w:lineRule="auto"/>
        <w:rPr>
          <w:sz w:val="20"/>
          <w:szCs w:val="20"/>
          <w:color w:val="auto"/>
        </w:rPr>
      </w:pPr>
      <w:r>
        <w:rPr>
          <w:rFonts w:ascii="Arial" w:cs="Arial" w:eastAsia="Arial" w:hAnsi="Arial"/>
          <w:sz w:val="16"/>
          <w:szCs w:val="16"/>
          <w:i w:val="1"/>
          <w:iCs w:val="1"/>
          <w:color w:val="auto"/>
        </w:rPr>
        <w:t xml:space="preserve">Income Tax Expense. </w:t>
      </w:r>
      <w:r>
        <w:rPr>
          <w:rFonts w:ascii="Arial" w:cs="Arial" w:eastAsia="Arial" w:hAnsi="Arial"/>
          <w:sz w:val="16"/>
          <w:szCs w:val="16"/>
          <w:color w:val="auto"/>
        </w:rPr>
        <w:t>For the three months ended June 30, 2019, we recorded an income tax benefit of $113,000 compared to income tax expense</w:t>
      </w:r>
      <w:r>
        <w:rPr>
          <w:rFonts w:ascii="Arial" w:cs="Arial" w:eastAsia="Arial" w:hAnsi="Arial"/>
          <w:sz w:val="16"/>
          <w:szCs w:val="16"/>
          <w:i w:val="1"/>
          <w:iCs w:val="1"/>
          <w:color w:val="auto"/>
        </w:rPr>
        <w:t xml:space="preserve"> </w:t>
      </w:r>
      <w:r>
        <w:rPr>
          <w:rFonts w:ascii="Arial" w:cs="Arial" w:eastAsia="Arial" w:hAnsi="Arial"/>
          <w:sz w:val="16"/>
          <w:szCs w:val="16"/>
          <w:color w:val="auto"/>
        </w:rPr>
        <w:t>of $382,000 for the same period in 2018. Our effective tax rate was 38% for the three months ended June 30, 2019 compared to 9% for the same period in 2018. On a quarterly basis, we record income tax expense or benefit based on the expected annualized effective tax rate for the various taxing jurisdictions in which we operate our businesses. The lower effective tax rate for the three months ended June 30, 2018 reflects recording the aforementioned decrease of $710,000 in our liability for contingent consideration during that period. This adjustment was not taxable.</w:t>
      </w:r>
    </w:p>
    <w:p>
      <w:pPr>
        <w:spacing w:after="0" w:line="158" w:lineRule="exact"/>
        <w:rPr>
          <w:sz w:val="20"/>
          <w:szCs w:val="20"/>
          <w:color w:val="auto"/>
        </w:rPr>
      </w:pPr>
    </w:p>
    <w:p>
      <w:pPr>
        <w:ind w:left="820"/>
        <w:spacing w:after="0"/>
        <w:rPr>
          <w:sz w:val="20"/>
          <w:szCs w:val="20"/>
          <w:color w:val="auto"/>
        </w:rPr>
      </w:pPr>
      <w:r>
        <w:rPr>
          <w:rFonts w:ascii="Arial" w:cs="Arial" w:eastAsia="Arial" w:hAnsi="Arial"/>
          <w:sz w:val="18"/>
          <w:szCs w:val="18"/>
          <w:i w:val="1"/>
          <w:iCs w:val="1"/>
          <w:u w:val="single" w:color="auto"/>
          <w:color w:val="auto"/>
        </w:rPr>
        <w:t>Six Months Ended June 30, 2019 Compared to Six Months Ended June 30, 2018</w:t>
      </w:r>
    </w:p>
    <w:p>
      <w:pPr>
        <w:spacing w:after="0" w:line="225" w:lineRule="exact"/>
        <w:rPr>
          <w:sz w:val="20"/>
          <w:szCs w:val="20"/>
          <w:color w:val="auto"/>
        </w:rPr>
      </w:pPr>
    </w:p>
    <w:p>
      <w:pPr>
        <w:ind w:left="820" w:right="20"/>
        <w:spacing w:after="0" w:line="264" w:lineRule="auto"/>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Net revenues were $32.4 million for the six months ended June 30, 2019 compared to $40.0 million for the same period in 2018, a</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of $7.6 million, or 19%. We believe the decrease in our net revenues during the first six months of 2019 primarily reflects the factors previously discussed in the Overview.</w:t>
      </w:r>
    </w:p>
    <w:p>
      <w:pPr>
        <w:spacing w:after="0" w:line="181" w:lineRule="exact"/>
        <w:rPr>
          <w:sz w:val="20"/>
          <w:szCs w:val="20"/>
          <w:color w:val="auto"/>
        </w:rPr>
      </w:pPr>
    </w:p>
    <w:p>
      <w:pPr>
        <w:ind w:left="820"/>
        <w:spacing w:after="0" w:line="288" w:lineRule="auto"/>
        <w:rPr>
          <w:sz w:val="20"/>
          <w:szCs w:val="20"/>
          <w:color w:val="auto"/>
        </w:rPr>
      </w:pPr>
      <w:r>
        <w:rPr>
          <w:rFonts w:ascii="Arial" w:cs="Arial" w:eastAsia="Arial" w:hAnsi="Arial"/>
          <w:sz w:val="16"/>
          <w:szCs w:val="16"/>
          <w:i w:val="1"/>
          <w:iCs w:val="1"/>
          <w:color w:val="auto"/>
        </w:rPr>
        <w:t xml:space="preserve">Gross Margin. </w:t>
      </w:r>
      <w:r>
        <w:rPr>
          <w:rFonts w:ascii="Arial" w:cs="Arial" w:eastAsia="Arial" w:hAnsi="Arial"/>
          <w:sz w:val="16"/>
          <w:szCs w:val="16"/>
          <w:color w:val="auto"/>
        </w:rPr>
        <w:t>Our consolidated gross margin was 48% of net revenues for the six months ended June 30, 2019 as compared to 51% of net</w:t>
      </w:r>
      <w:r>
        <w:rPr>
          <w:rFonts w:ascii="Arial" w:cs="Arial" w:eastAsia="Arial" w:hAnsi="Arial"/>
          <w:sz w:val="16"/>
          <w:szCs w:val="16"/>
          <w:i w:val="1"/>
          <w:iCs w:val="1"/>
          <w:color w:val="auto"/>
        </w:rPr>
        <w:t xml:space="preserve"> </w:t>
      </w:r>
      <w:r>
        <w:rPr>
          <w:rFonts w:ascii="Arial" w:cs="Arial" w:eastAsia="Arial" w:hAnsi="Arial"/>
          <w:sz w:val="16"/>
          <w:szCs w:val="16"/>
          <w:color w:val="auto"/>
        </w:rPr>
        <w:t>revenues for the same period in 2018. The decrease in our gross margin as a percentage of net revenues primarily reflects an increase in our fixed operating costs as a percentage of net revenues. Although our fixed operating costs decreased by $120,000 in absolute dollar terms, they represented 16% of net revenues for the six months ended June 30, 2019 as compared to 13% of net revenues for the same period in 2018. This is a result of not being as fully absorbed by the lower net revenues levels in the first six months of 2019. The $120,000 decrease in our fixed operating costs primarily reflects a reduction in facility related costs for Ambrell as a result of its relocation in May 2018 and lower levels of outsourced labor in our Thermal segment. These decreases were partially offset by an increase in salary and benefits expense and materials used for service in our Thermal segment and a reduction in the utilization rates at our machine shop in our EMS segment. The increase in our fixed operating costs as a percentage of net revenues was partially offset by a reduction in component material costs in our Thermal segment for the six months ended June 30, 2019 as compared to the same period in 2018, reflecting changes in product and customer mix.</w:t>
      </w:r>
    </w:p>
    <w:p>
      <w:pPr>
        <w:spacing w:after="0" w:line="169" w:lineRule="exact"/>
        <w:rPr>
          <w:sz w:val="20"/>
          <w:szCs w:val="20"/>
          <w:color w:val="auto"/>
        </w:rPr>
      </w:pPr>
    </w:p>
    <w:p>
      <w:pPr>
        <w:ind w:left="820" w:right="20"/>
        <w:spacing w:after="0" w:line="259" w:lineRule="auto"/>
        <w:rPr>
          <w:sz w:val="20"/>
          <w:szCs w:val="20"/>
          <w:color w:val="auto"/>
        </w:rPr>
      </w:pPr>
      <w:r>
        <w:rPr>
          <w:rFonts w:ascii="Arial" w:cs="Arial" w:eastAsia="Arial" w:hAnsi="Arial"/>
          <w:sz w:val="18"/>
          <w:szCs w:val="18"/>
          <w:i w:val="1"/>
          <w:iCs w:val="1"/>
          <w:color w:val="auto"/>
        </w:rPr>
        <w:t xml:space="preserve">Selling Expense. </w:t>
      </w:r>
      <w:r>
        <w:rPr>
          <w:rFonts w:ascii="Arial" w:cs="Arial" w:eastAsia="Arial" w:hAnsi="Arial"/>
          <w:sz w:val="18"/>
          <w:szCs w:val="18"/>
          <w:color w:val="auto"/>
        </w:rPr>
        <w:t>Selling expense was $4.5 million for the six months ended June 30, 2019 compared to $5.0 million for the same period in 2018,</w:t>
      </w:r>
      <w:r>
        <w:rPr>
          <w:rFonts w:ascii="Arial" w:cs="Arial" w:eastAsia="Arial" w:hAnsi="Arial"/>
          <w:sz w:val="18"/>
          <w:szCs w:val="18"/>
          <w:i w:val="1"/>
          <w:iCs w:val="1"/>
          <w:color w:val="auto"/>
        </w:rPr>
        <w:t xml:space="preserve"> </w:t>
      </w:r>
      <w:r>
        <w:rPr>
          <w:rFonts w:ascii="Arial" w:cs="Arial" w:eastAsia="Arial" w:hAnsi="Arial"/>
          <w:sz w:val="18"/>
          <w:szCs w:val="18"/>
          <w:color w:val="auto"/>
        </w:rPr>
        <w:t>a decrease of $553,000, or 11%. The decrease primarily reflects lower levels of commission expense as a result of the reduction in net revenues. To a lesser extent, there were also reductions in salary and benefits expense, reflecting lower headcount, and decreased levels of spending on travel costs, advertising expenditures and warranty costs.</w:t>
      </w:r>
    </w:p>
    <w:p>
      <w:pPr>
        <w:spacing w:after="0" w:line="187" w:lineRule="exact"/>
        <w:rPr>
          <w:sz w:val="20"/>
          <w:szCs w:val="20"/>
          <w:color w:val="auto"/>
        </w:rPr>
      </w:pPr>
    </w:p>
    <w:p>
      <w:pPr>
        <w:ind w:left="820" w:right="100"/>
        <w:spacing w:after="0" w:line="264" w:lineRule="auto"/>
        <w:rPr>
          <w:sz w:val="20"/>
          <w:szCs w:val="20"/>
          <w:color w:val="auto"/>
        </w:rPr>
      </w:pPr>
      <w:r>
        <w:rPr>
          <w:rFonts w:ascii="Arial" w:cs="Arial" w:eastAsia="Arial" w:hAnsi="Arial"/>
          <w:sz w:val="18"/>
          <w:szCs w:val="18"/>
          <w:i w:val="1"/>
          <w:iCs w:val="1"/>
          <w:color w:val="auto"/>
        </w:rPr>
        <w:t xml:space="preserve">Engineering and Product Development Expense. </w:t>
      </w:r>
      <w:r>
        <w:rPr>
          <w:rFonts w:ascii="Arial" w:cs="Arial" w:eastAsia="Arial" w:hAnsi="Arial"/>
          <w:sz w:val="18"/>
          <w:szCs w:val="18"/>
          <w:color w:val="auto"/>
        </w:rPr>
        <w:t>Engineering and product development expense was relatively unchanged at $2.5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each of the six months ended June 30, 2019 and 2018. Decreases in legal fees paid related to our intellectual property were offset by an increase in spending on third-party resources used in research and development projects.</w:t>
      </w:r>
    </w:p>
    <w:p>
      <w:pPr>
        <w:spacing w:after="0" w:line="1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118" w:right="379" w:bottom="1440" w:gutter="0" w:footer="0" w:header="0"/>
        </w:sectPr>
      </w:pPr>
    </w:p>
    <w:bookmarkStart w:id="28" w:name="page29"/>
    <w:bookmarkEnd w:id="2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820" w:right="60"/>
        <w:spacing w:after="0" w:line="272" w:lineRule="auto"/>
        <w:rPr>
          <w:sz w:val="20"/>
          <w:szCs w:val="20"/>
          <w:color w:val="auto"/>
        </w:rPr>
      </w:pPr>
      <w:r>
        <w:rPr>
          <w:rFonts w:ascii="Arial" w:cs="Arial" w:eastAsia="Arial" w:hAnsi="Arial"/>
          <w:sz w:val="17"/>
          <w:szCs w:val="17"/>
          <w:i w:val="1"/>
          <w:iCs w:val="1"/>
          <w:color w:val="auto"/>
        </w:rPr>
        <w:t xml:space="preserve">General and Administrative Expense. </w:t>
      </w:r>
      <w:r>
        <w:rPr>
          <w:rFonts w:ascii="Arial" w:cs="Arial" w:eastAsia="Arial" w:hAnsi="Arial"/>
          <w:sz w:val="17"/>
          <w:szCs w:val="17"/>
          <w:color w:val="auto"/>
        </w:rPr>
        <w:t>General and administrative expense was $7.5 million for the six months ended June 30, 2019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$6.3 million for the same period in 2018, an increase of $1.1 million, or 18%. During the six months ended June 30, 2019, we incurred $703,000 related to an acquisition opportunity which we have decided not to pursue, and $175,000 for costs related to the consolidation of Ambrell’s European operations. There were no similar costs in the same period in 2018. During the six months ended June 30, 2018, there were increases in salary and benefits expense, reflecting hiring new employees, higher levels of amortization expense related to intangible assets, higher levels of professional fees paid to third-party consultants and an increase in compensation expense related to stock-based awards. These increases were partially offset by a reduction in expense for profit-related bonuses.</w:t>
      </w:r>
    </w:p>
    <w:p>
      <w:pPr>
        <w:spacing w:after="0" w:line="178" w:lineRule="exact"/>
        <w:rPr>
          <w:sz w:val="20"/>
          <w:szCs w:val="20"/>
          <w:color w:val="auto"/>
        </w:rPr>
      </w:pPr>
    </w:p>
    <w:p>
      <w:pPr>
        <w:ind w:left="820" w:right="120"/>
        <w:spacing w:after="0" w:line="276" w:lineRule="auto"/>
        <w:rPr>
          <w:sz w:val="20"/>
          <w:szCs w:val="20"/>
          <w:color w:val="auto"/>
        </w:rPr>
      </w:pPr>
      <w:r>
        <w:rPr>
          <w:rFonts w:ascii="Arial" w:cs="Arial" w:eastAsia="Arial" w:hAnsi="Arial"/>
          <w:sz w:val="17"/>
          <w:szCs w:val="17"/>
          <w:i w:val="1"/>
          <w:iCs w:val="1"/>
          <w:color w:val="auto"/>
        </w:rPr>
        <w:t xml:space="preserve">Contingent Consideration Liability Adjustment. </w:t>
      </w:r>
      <w:r>
        <w:rPr>
          <w:rFonts w:ascii="Arial" w:cs="Arial" w:eastAsia="Arial" w:hAnsi="Arial"/>
          <w:sz w:val="17"/>
          <w:szCs w:val="17"/>
          <w:color w:val="auto"/>
        </w:rPr>
        <w:t>During the six months ended June 30, 2018, we recorded an increase in the fair value of our</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liability for contingent consideration of $1.0 million. This liability was a result of our acquisition of Ambrell in May 2017 and is discussed further in Notes 3 and 4 to our consolidated financial statements in our 2018 Form 10-K. The increase in the fair value was primarily a result of an increase in the then-projected adjusted EBITDA of Ambrell for the year ending December 31, 2018. There was no similar adjustment for the six months ended June 30, 2019 as we no longer have a contingent consideration liability.</w:t>
      </w:r>
    </w:p>
    <w:p>
      <w:pPr>
        <w:spacing w:after="0" w:line="173" w:lineRule="exact"/>
        <w:rPr>
          <w:sz w:val="20"/>
          <w:szCs w:val="20"/>
          <w:color w:val="auto"/>
        </w:rPr>
      </w:pPr>
    </w:p>
    <w:p>
      <w:pPr>
        <w:ind w:left="820"/>
        <w:spacing w:after="0"/>
        <w:rPr>
          <w:sz w:val="20"/>
          <w:szCs w:val="20"/>
          <w:color w:val="auto"/>
        </w:rPr>
      </w:pPr>
      <w:r>
        <w:rPr>
          <w:rFonts w:ascii="Arial" w:cs="Arial" w:eastAsia="Arial" w:hAnsi="Arial"/>
          <w:sz w:val="16"/>
          <w:szCs w:val="16"/>
          <w:i w:val="1"/>
          <w:iCs w:val="1"/>
          <w:color w:val="auto"/>
        </w:rPr>
        <w:t xml:space="preserve">Income Tax Expense. </w:t>
      </w:r>
      <w:r>
        <w:rPr>
          <w:rFonts w:ascii="Arial" w:cs="Arial" w:eastAsia="Arial" w:hAnsi="Arial"/>
          <w:sz w:val="16"/>
          <w:szCs w:val="16"/>
          <w:color w:val="auto"/>
        </w:rPr>
        <w:t>For the six months ended June 30, 2019, we recorded income tax expense of $211,000 compared to $983,000 for the same</w:t>
      </w:r>
    </w:p>
    <w:p>
      <w:pPr>
        <w:spacing w:after="0" w:line="46" w:lineRule="exact"/>
        <w:rPr>
          <w:sz w:val="20"/>
          <w:szCs w:val="20"/>
          <w:color w:val="auto"/>
        </w:rPr>
      </w:pPr>
    </w:p>
    <w:p>
      <w:pPr>
        <w:ind w:left="820"/>
        <w:spacing w:after="0"/>
        <w:rPr>
          <w:sz w:val="20"/>
          <w:szCs w:val="20"/>
          <w:color w:val="auto"/>
        </w:rPr>
      </w:pPr>
      <w:r>
        <w:rPr>
          <w:rFonts w:ascii="Arial" w:cs="Arial" w:eastAsia="Arial" w:hAnsi="Arial"/>
          <w:sz w:val="16"/>
          <w:szCs w:val="16"/>
          <w:color w:val="auto"/>
        </w:rPr>
        <w:t>period in 2018. Our effective tax rate was 18% in each of the six months ended June 30, 2019 and 2018. On a quarterly basis, we record income</w:t>
      </w:r>
    </w:p>
    <w:p>
      <w:pPr>
        <w:spacing w:after="0" w:line="32" w:lineRule="exact"/>
        <w:rPr>
          <w:sz w:val="20"/>
          <w:szCs w:val="20"/>
          <w:color w:val="auto"/>
        </w:rPr>
      </w:pPr>
    </w:p>
    <w:p>
      <w:pPr>
        <w:ind w:left="820"/>
        <w:spacing w:after="0"/>
        <w:rPr>
          <w:sz w:val="20"/>
          <w:szCs w:val="20"/>
          <w:color w:val="auto"/>
        </w:rPr>
      </w:pPr>
      <w:r>
        <w:rPr>
          <w:rFonts w:ascii="Arial" w:cs="Arial" w:eastAsia="Arial" w:hAnsi="Arial"/>
          <w:sz w:val="16"/>
          <w:szCs w:val="16"/>
          <w:color w:val="auto"/>
        </w:rPr>
        <w:t>tax expense or benefit based on the expected annualized effective tax rate for the various taxing jurisdictions in which we operate our businesses.</w:t>
      </w:r>
    </w:p>
    <w:p>
      <w:pPr>
        <w:spacing w:after="0" w:line="230" w:lineRule="exact"/>
        <w:rPr>
          <w:sz w:val="20"/>
          <w:szCs w:val="20"/>
          <w:color w:val="auto"/>
        </w:rPr>
      </w:pPr>
    </w:p>
    <w:p>
      <w:pPr>
        <w:ind w:left="820"/>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jc w:val="both"/>
        <w:ind w:left="820" w:right="260"/>
        <w:spacing w:after="0" w:line="264" w:lineRule="auto"/>
        <w:rPr>
          <w:sz w:val="20"/>
          <w:szCs w:val="20"/>
          <w:color w:val="auto"/>
        </w:rPr>
      </w:pPr>
      <w:r>
        <w:rPr>
          <w:rFonts w:ascii="Arial" w:cs="Arial" w:eastAsia="Arial" w:hAnsi="Arial"/>
          <w:sz w:val="18"/>
          <w:szCs w:val="18"/>
          <w:color w:val="auto"/>
        </w:rPr>
        <w:t>As discussed more fully in the Overview, our business and results of operations are substantially dependent upon the demand within the Semi Market. The cyclical and volatile nature of demand in this market makes estimates of future revenues, results of operations and net cash flows difficult.</w:t>
      </w:r>
    </w:p>
    <w:p>
      <w:pPr>
        <w:spacing w:after="0" w:line="181" w:lineRule="exact"/>
        <w:rPr>
          <w:sz w:val="20"/>
          <w:szCs w:val="20"/>
          <w:color w:val="auto"/>
        </w:rPr>
      </w:pPr>
    </w:p>
    <w:p>
      <w:pPr>
        <w:ind w:left="820"/>
        <w:spacing w:after="0" w:line="264" w:lineRule="auto"/>
        <w:rPr>
          <w:sz w:val="20"/>
          <w:szCs w:val="20"/>
          <w:color w:val="auto"/>
        </w:rPr>
      </w:pPr>
      <w:r>
        <w:rPr>
          <w:rFonts w:ascii="Arial" w:cs="Arial" w:eastAsia="Arial" w:hAnsi="Arial"/>
          <w:sz w:val="18"/>
          <w:szCs w:val="18"/>
          <w:color w:val="auto"/>
        </w:rPr>
        <w:t>Our primary historical source of liquidity and capital resources has been cash flow generated by our operations, and we manage our businesses to maximize operating cash flows as our primary source of liquidity. We use cash to fund growth in our operating assets, for new product research and development, for acquisitions and for stock repurchases.</w:t>
      </w:r>
    </w:p>
    <w:p>
      <w:pPr>
        <w:spacing w:after="0" w:line="164" w:lineRule="exact"/>
        <w:rPr>
          <w:sz w:val="20"/>
          <w:szCs w:val="20"/>
          <w:color w:val="auto"/>
        </w:rPr>
      </w:pPr>
    </w:p>
    <w:tbl>
      <w:tblPr>
        <w:tblLayout w:type="fixed"/>
        <w:tblInd w:w="820" w:type="dxa"/>
        <w:tblCellMar>
          <w:top w:w="0" w:type="dxa"/>
          <w:left w:w="0" w:type="dxa"/>
          <w:bottom w:w="0" w:type="dxa"/>
          <w:right w:w="0" w:type="dxa"/>
        </w:tblCellMar>
      </w:tblPr>
      <w:tr>
        <w:trPr>
          <w:trHeight w:val="207"/>
        </w:trPr>
        <w:tc>
          <w:tcPr>
            <w:tcW w:w="7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Liquidity</w:t>
            </w:r>
          </w:p>
        </w:tc>
        <w:tc>
          <w:tcPr>
            <w:tcW w:w="5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53"/>
        </w:trPr>
        <w:tc>
          <w:tcPr>
            <w:tcW w:w="6420" w:type="dxa"/>
            <w:vAlign w:val="bottom"/>
            <w:gridSpan w:val="2"/>
          </w:tcPr>
          <w:p>
            <w:pPr>
              <w:spacing w:after="0"/>
              <w:rPr>
                <w:sz w:val="20"/>
                <w:szCs w:val="20"/>
                <w:color w:val="auto"/>
              </w:rPr>
            </w:pPr>
            <w:r>
              <w:rPr>
                <w:rFonts w:ascii="Arial" w:cs="Arial" w:eastAsia="Arial" w:hAnsi="Arial"/>
                <w:sz w:val="18"/>
                <w:szCs w:val="18"/>
                <w:color w:val="auto"/>
                <w:w w:val="97"/>
              </w:rPr>
              <w:t>Our cash and cash equivalents and working capital were as follows (in thousands):</w:t>
            </w: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70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70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r>
      <w:tr>
        <w:trPr>
          <w:trHeight w:val="210"/>
        </w:trPr>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7,594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17,861</w:t>
            </w:r>
          </w:p>
        </w:tc>
      </w:tr>
      <w:tr>
        <w:trPr>
          <w:trHeight w:val="230"/>
        </w:trPr>
        <w:tc>
          <w:tcPr>
            <w:tcW w:w="6420" w:type="dxa"/>
            <w:vAlign w:val="bottom"/>
            <w:gridSpan w:val="2"/>
          </w:tcPr>
          <w:p>
            <w:pPr>
              <w:spacing w:after="0"/>
              <w:rPr>
                <w:sz w:val="20"/>
                <w:szCs w:val="20"/>
                <w:color w:val="auto"/>
              </w:rPr>
            </w:pPr>
            <w:r>
              <w:rPr>
                <w:rFonts w:ascii="Arial" w:cs="Arial" w:eastAsia="Arial" w:hAnsi="Arial"/>
                <w:sz w:val="18"/>
                <w:szCs w:val="18"/>
                <w:color w:val="auto"/>
              </w:rPr>
              <w:t>Working capital</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15,377</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14,203</w:t>
            </w:r>
          </w:p>
        </w:tc>
      </w:tr>
    </w:tbl>
    <w:p>
      <w:pPr>
        <w:spacing w:after="0" w:line="187" w:lineRule="exact"/>
        <w:rPr>
          <w:sz w:val="20"/>
          <w:szCs w:val="20"/>
          <w:color w:val="auto"/>
        </w:rPr>
      </w:pPr>
    </w:p>
    <w:p>
      <w:pPr>
        <w:ind w:left="820" w:right="20"/>
        <w:spacing w:after="0" w:line="293" w:lineRule="auto"/>
        <w:rPr>
          <w:sz w:val="20"/>
          <w:szCs w:val="20"/>
          <w:color w:val="auto"/>
        </w:rPr>
      </w:pPr>
      <w:r>
        <w:rPr>
          <w:rFonts w:ascii="Arial" w:cs="Arial" w:eastAsia="Arial" w:hAnsi="Arial"/>
          <w:sz w:val="16"/>
          <w:szCs w:val="16"/>
          <w:color w:val="auto"/>
        </w:rPr>
        <w:t>As of June 30, 2019, $4.2 million, or 55%, of our cash and cash equivalents was held by our foreign subsidiaries. We currently expect to repatriate between $1.5 million and $1.8 million from our subsidiary in Germany during the third quarter of 2019. We currently expect our cash and cash equivalents and projected future cash flow to be sufficient to support our short term working capital requirements and other corporate requirements. However, we may need additional financial resources, which could include debt or equity financings, to consummate a significant acquisition if the consideration in such a transaction would require us to utilize a substantial portion of, or an amount equal to or in excess of, our available cash. We do not currently have any credit facilities under which we can borrow to help fund our working capital or other requirements.</w:t>
      </w:r>
    </w:p>
    <w:p>
      <w:pPr>
        <w:spacing w:after="0" w:line="16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118" w:right="359" w:bottom="1440" w:gutter="0" w:footer="0" w:header="0"/>
        </w:sectPr>
      </w:pPr>
    </w:p>
    <w:bookmarkStart w:id="29" w:name="page30"/>
    <w:bookmarkEnd w:id="2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820"/>
        <w:spacing w:after="0"/>
        <w:rPr>
          <w:sz w:val="20"/>
          <w:szCs w:val="20"/>
          <w:color w:val="auto"/>
        </w:rPr>
      </w:pPr>
      <w:r>
        <w:rPr>
          <w:rFonts w:ascii="Arial" w:cs="Arial" w:eastAsia="Arial" w:hAnsi="Arial"/>
          <w:sz w:val="18"/>
          <w:szCs w:val="18"/>
          <w:i w:val="1"/>
          <w:iCs w:val="1"/>
          <w:u w:val="single" w:color="auto"/>
          <w:color w:val="auto"/>
        </w:rPr>
        <w:t>Cash Flows</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6"/>
          <w:szCs w:val="16"/>
          <w:i w:val="1"/>
          <w:iCs w:val="1"/>
          <w:color w:val="auto"/>
        </w:rPr>
        <w:t xml:space="preserve">Operating Activities. </w:t>
      </w:r>
      <w:r>
        <w:rPr>
          <w:rFonts w:ascii="Arial" w:cs="Arial" w:eastAsia="Arial" w:hAnsi="Arial"/>
          <w:sz w:val="16"/>
          <w:szCs w:val="16"/>
          <w:color w:val="auto"/>
        </w:rPr>
        <w:t>Net cash used in operations for the six months ended June 30, 2019 was $10.0 million. During the six months ended June</w:t>
      </w:r>
    </w:p>
    <w:p>
      <w:pPr>
        <w:spacing w:after="0" w:line="46" w:lineRule="exact"/>
        <w:rPr>
          <w:sz w:val="20"/>
          <w:szCs w:val="20"/>
          <w:color w:val="auto"/>
        </w:rPr>
      </w:pPr>
    </w:p>
    <w:p>
      <w:pPr>
        <w:ind w:left="820"/>
        <w:spacing w:after="0"/>
        <w:rPr>
          <w:sz w:val="20"/>
          <w:szCs w:val="20"/>
          <w:color w:val="auto"/>
        </w:rPr>
      </w:pPr>
      <w:r>
        <w:rPr>
          <w:rFonts w:ascii="Arial" w:cs="Arial" w:eastAsia="Arial" w:hAnsi="Arial"/>
          <w:sz w:val="16"/>
          <w:szCs w:val="16"/>
          <w:color w:val="auto"/>
        </w:rPr>
        <w:t>30, 2019, we paid the $12.2 million earnout payable that was on our balance sheet at December 31, 2018. This earnout payable was related to the</w:t>
      </w:r>
    </w:p>
    <w:p>
      <w:pPr>
        <w:spacing w:after="0" w:line="32" w:lineRule="exact"/>
        <w:rPr>
          <w:sz w:val="20"/>
          <w:szCs w:val="20"/>
          <w:color w:val="auto"/>
        </w:rPr>
      </w:pPr>
    </w:p>
    <w:p>
      <w:pPr>
        <w:ind w:left="820"/>
        <w:spacing w:after="0"/>
        <w:rPr>
          <w:sz w:val="20"/>
          <w:szCs w:val="20"/>
          <w:color w:val="auto"/>
        </w:rPr>
      </w:pPr>
      <w:r>
        <w:rPr>
          <w:rFonts w:ascii="Arial" w:cs="Arial" w:eastAsia="Arial" w:hAnsi="Arial"/>
          <w:sz w:val="16"/>
          <w:szCs w:val="16"/>
          <w:color w:val="auto"/>
        </w:rPr>
        <w:t>aforementioned acquisition of Ambrell. For the six months ended June 30, 2019, we recorded net earnings of $951,000. During this same period,</w:t>
      </w:r>
    </w:p>
    <w:p>
      <w:pPr>
        <w:spacing w:after="0" w:line="32" w:lineRule="exact"/>
        <w:rPr>
          <w:sz w:val="20"/>
          <w:szCs w:val="20"/>
          <w:color w:val="auto"/>
        </w:rPr>
      </w:pPr>
    </w:p>
    <w:p>
      <w:pPr>
        <w:ind w:left="820"/>
        <w:spacing w:after="0"/>
        <w:rPr>
          <w:sz w:val="20"/>
          <w:szCs w:val="20"/>
          <w:color w:val="auto"/>
        </w:rPr>
      </w:pPr>
      <w:r>
        <w:rPr>
          <w:rFonts w:ascii="Arial" w:cs="Arial" w:eastAsia="Arial" w:hAnsi="Arial"/>
          <w:sz w:val="17"/>
          <w:szCs w:val="17"/>
          <w:color w:val="auto"/>
        </w:rPr>
        <w:t>we had non-cash charges of $1.6 million for depreciation and amortization that included $601,000 of amortization related to our right-of-use</w:t>
      </w:r>
    </w:p>
    <w:p>
      <w:pPr>
        <w:spacing w:after="0" w:line="21" w:lineRule="exact"/>
        <w:rPr>
          <w:sz w:val="20"/>
          <w:szCs w:val="20"/>
          <w:color w:val="auto"/>
        </w:rPr>
      </w:pPr>
    </w:p>
    <w:p>
      <w:pPr>
        <w:ind w:left="820"/>
        <w:spacing w:after="0"/>
        <w:rPr>
          <w:sz w:val="20"/>
          <w:szCs w:val="20"/>
          <w:color w:val="auto"/>
        </w:rPr>
      </w:pPr>
      <w:r>
        <w:rPr>
          <w:rFonts w:ascii="Arial" w:cs="Arial" w:eastAsia="Arial" w:hAnsi="Arial"/>
          <w:sz w:val="16"/>
          <w:szCs w:val="16"/>
          <w:color w:val="auto"/>
        </w:rPr>
        <w:t>assets. These right-of-use assets, and the related operating lease liabilities, were established at January 1, 2019 in connection with the adoption of</w:t>
      </w:r>
    </w:p>
    <w:p>
      <w:pPr>
        <w:spacing w:after="0" w:line="32" w:lineRule="exact"/>
        <w:rPr>
          <w:sz w:val="20"/>
          <w:szCs w:val="20"/>
          <w:color w:val="auto"/>
        </w:rPr>
      </w:pPr>
    </w:p>
    <w:p>
      <w:pPr>
        <w:ind w:left="820"/>
        <w:spacing w:after="0"/>
        <w:rPr>
          <w:sz w:val="20"/>
          <w:szCs w:val="20"/>
          <w:color w:val="auto"/>
        </w:rPr>
      </w:pPr>
      <w:r>
        <w:rPr>
          <w:rFonts w:ascii="Arial" w:cs="Arial" w:eastAsia="Arial" w:hAnsi="Arial"/>
          <w:sz w:val="16"/>
          <w:szCs w:val="16"/>
          <w:color w:val="auto"/>
        </w:rPr>
        <w:t>ASC 842, as discussed further in Notes 2 and 7 to our consolidated financial statements. During the six months ended June 30, 2019, we also</w:t>
      </w:r>
    </w:p>
    <w:p>
      <w:pPr>
        <w:spacing w:after="0" w:line="32" w:lineRule="exact"/>
        <w:rPr>
          <w:sz w:val="20"/>
          <w:szCs w:val="20"/>
          <w:color w:val="auto"/>
        </w:rPr>
      </w:pPr>
    </w:p>
    <w:p>
      <w:pPr>
        <w:ind w:left="820"/>
        <w:spacing w:after="0"/>
        <w:rPr>
          <w:sz w:val="20"/>
          <w:szCs w:val="20"/>
          <w:color w:val="auto"/>
        </w:rPr>
      </w:pPr>
      <w:r>
        <w:rPr>
          <w:rFonts w:ascii="Arial" w:cs="Arial" w:eastAsia="Arial" w:hAnsi="Arial"/>
          <w:sz w:val="17"/>
          <w:szCs w:val="17"/>
          <w:color w:val="auto"/>
        </w:rPr>
        <w:t>recorded $396,000 for amortization of deferred compensation expense related to stock-based awards. During the first six months of 2019,</w:t>
      </w:r>
    </w:p>
    <w:p>
      <w:pPr>
        <w:spacing w:after="0" w:line="21" w:lineRule="exact"/>
        <w:rPr>
          <w:sz w:val="20"/>
          <w:szCs w:val="20"/>
          <w:color w:val="auto"/>
        </w:rPr>
      </w:pPr>
    </w:p>
    <w:p>
      <w:pPr>
        <w:ind w:left="820"/>
        <w:spacing w:after="0"/>
        <w:rPr>
          <w:sz w:val="20"/>
          <w:szCs w:val="20"/>
          <w:color w:val="auto"/>
        </w:rPr>
      </w:pPr>
      <w:r>
        <w:rPr>
          <w:rFonts w:ascii="Arial" w:cs="Arial" w:eastAsia="Arial" w:hAnsi="Arial"/>
          <w:sz w:val="17"/>
          <w:szCs w:val="17"/>
          <w:color w:val="auto"/>
        </w:rPr>
        <w:t>accounts receivable decreased $1.4 million from the level at December 31, 2018, primarily reflecting the reduced level of shipments in the</w:t>
      </w:r>
    </w:p>
    <w:p>
      <w:pPr>
        <w:spacing w:after="0" w:line="21" w:lineRule="exact"/>
        <w:rPr>
          <w:sz w:val="20"/>
          <w:szCs w:val="20"/>
          <w:color w:val="auto"/>
        </w:rPr>
      </w:pPr>
    </w:p>
    <w:p>
      <w:pPr>
        <w:ind w:left="820"/>
        <w:spacing w:after="0"/>
        <w:rPr>
          <w:sz w:val="20"/>
          <w:szCs w:val="20"/>
          <w:color w:val="auto"/>
        </w:rPr>
      </w:pPr>
      <w:r>
        <w:rPr>
          <w:rFonts w:ascii="Arial" w:cs="Arial" w:eastAsia="Arial" w:hAnsi="Arial"/>
          <w:sz w:val="16"/>
          <w:szCs w:val="16"/>
          <w:color w:val="auto"/>
        </w:rPr>
        <w:t>second quarter of 2019 compared to the level in the fourth quarter of 2018, while inventories and accounts payable increased $908,000 and</w:t>
      </w:r>
    </w:p>
    <w:p>
      <w:pPr>
        <w:spacing w:after="0" w:line="32" w:lineRule="exact"/>
        <w:rPr>
          <w:sz w:val="20"/>
          <w:szCs w:val="20"/>
          <w:color w:val="auto"/>
        </w:rPr>
      </w:pPr>
    </w:p>
    <w:p>
      <w:pPr>
        <w:ind w:left="820"/>
        <w:spacing w:after="0"/>
        <w:rPr>
          <w:sz w:val="20"/>
          <w:szCs w:val="20"/>
          <w:color w:val="auto"/>
        </w:rPr>
      </w:pPr>
      <w:r>
        <w:rPr>
          <w:rFonts w:ascii="Arial" w:cs="Arial" w:eastAsia="Arial" w:hAnsi="Arial"/>
          <w:sz w:val="16"/>
          <w:szCs w:val="16"/>
          <w:color w:val="auto"/>
        </w:rPr>
        <w:t>$626,000, respectively, reflecting the recent increase in order levels. Accrued wages and benefits declined $941,000 during the first six months</w:t>
      </w:r>
    </w:p>
    <w:p>
      <w:pPr>
        <w:spacing w:after="0" w:line="32" w:lineRule="exact"/>
        <w:rPr>
          <w:sz w:val="20"/>
          <w:szCs w:val="20"/>
          <w:color w:val="auto"/>
        </w:rPr>
      </w:pPr>
    </w:p>
    <w:p>
      <w:pPr>
        <w:ind w:left="820"/>
        <w:spacing w:after="0"/>
        <w:rPr>
          <w:sz w:val="20"/>
          <w:szCs w:val="20"/>
          <w:color w:val="auto"/>
        </w:rPr>
      </w:pPr>
      <w:r>
        <w:rPr>
          <w:rFonts w:ascii="Arial" w:cs="Arial" w:eastAsia="Arial" w:hAnsi="Arial"/>
          <w:sz w:val="17"/>
          <w:szCs w:val="17"/>
          <w:color w:val="auto"/>
        </w:rPr>
        <w:t>of 2019, primarily reflecting the payout of profit-related bonuses that had been accrued at December 31, 2018 on our results for the year.</w:t>
      </w:r>
    </w:p>
    <w:p>
      <w:pPr>
        <w:spacing w:after="0" w:line="21" w:lineRule="exact"/>
        <w:rPr>
          <w:sz w:val="20"/>
          <w:szCs w:val="20"/>
          <w:color w:val="auto"/>
        </w:rPr>
      </w:pPr>
    </w:p>
    <w:p>
      <w:pPr>
        <w:ind w:left="820"/>
        <w:spacing w:after="0"/>
        <w:rPr>
          <w:sz w:val="20"/>
          <w:szCs w:val="20"/>
          <w:color w:val="auto"/>
        </w:rPr>
      </w:pPr>
      <w:r>
        <w:rPr>
          <w:rFonts w:ascii="Arial" w:cs="Arial" w:eastAsia="Arial" w:hAnsi="Arial"/>
          <w:sz w:val="16"/>
          <w:szCs w:val="16"/>
          <w:color w:val="auto"/>
        </w:rPr>
        <w:t>Operating lease liabilities decreased $668,000, reflecting payments made under our various lease agreements. Customer deposits and deferred</w:t>
      </w:r>
    </w:p>
    <w:p>
      <w:pPr>
        <w:spacing w:after="0" w:line="32" w:lineRule="exact"/>
        <w:rPr>
          <w:sz w:val="20"/>
          <w:szCs w:val="20"/>
          <w:color w:val="auto"/>
        </w:rPr>
      </w:pPr>
    </w:p>
    <w:p>
      <w:pPr>
        <w:ind w:left="820"/>
        <w:spacing w:after="0"/>
        <w:rPr>
          <w:sz w:val="20"/>
          <w:szCs w:val="20"/>
          <w:color w:val="auto"/>
        </w:rPr>
      </w:pPr>
      <w:r>
        <w:rPr>
          <w:rFonts w:ascii="Arial" w:cs="Arial" w:eastAsia="Arial" w:hAnsi="Arial"/>
          <w:sz w:val="16"/>
          <w:szCs w:val="16"/>
          <w:color w:val="auto"/>
        </w:rPr>
        <w:t>revenue decreased $542,000 during the first six months of 2019, reflecting changes in the timing of payments received from customers and the</w:t>
      </w:r>
    </w:p>
    <w:p>
      <w:pPr>
        <w:spacing w:after="0" w:line="3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recognition of revenue under our contracts with customers.</w:t>
      </w:r>
    </w:p>
    <w:p>
      <w:pPr>
        <w:spacing w:after="0" w:line="211" w:lineRule="exact"/>
        <w:rPr>
          <w:sz w:val="20"/>
          <w:szCs w:val="20"/>
          <w:color w:val="auto"/>
        </w:rPr>
      </w:pPr>
    </w:p>
    <w:p>
      <w:pPr>
        <w:ind w:left="820" w:right="120"/>
        <w:spacing w:after="0" w:line="286" w:lineRule="auto"/>
        <w:rPr>
          <w:sz w:val="20"/>
          <w:szCs w:val="20"/>
          <w:color w:val="auto"/>
        </w:rPr>
      </w:pPr>
      <w:r>
        <w:rPr>
          <w:rFonts w:ascii="Arial" w:cs="Arial" w:eastAsia="Arial" w:hAnsi="Arial"/>
          <w:sz w:val="17"/>
          <w:szCs w:val="17"/>
          <w:i w:val="1"/>
          <w:iCs w:val="1"/>
          <w:color w:val="auto"/>
        </w:rPr>
        <w:t xml:space="preserve">Investing Activities. </w:t>
      </w:r>
      <w:r>
        <w:rPr>
          <w:rFonts w:ascii="Arial" w:cs="Arial" w:eastAsia="Arial" w:hAnsi="Arial"/>
          <w:sz w:val="17"/>
          <w:szCs w:val="17"/>
          <w:color w:val="auto"/>
        </w:rPr>
        <w:t>During the six months ended June 30, 2019, purchases of property and equipment were $298,000. We have no significant</w:t>
      </w:r>
      <w:r>
        <w:rPr>
          <w:rFonts w:ascii="Arial" w:cs="Arial" w:eastAsia="Arial" w:hAnsi="Arial"/>
          <w:sz w:val="17"/>
          <w:szCs w:val="17"/>
          <w:i w:val="1"/>
          <w:iCs w:val="1"/>
          <w:color w:val="auto"/>
        </w:rPr>
        <w:t xml:space="preserve"> </w:t>
      </w:r>
      <w:r>
        <w:rPr>
          <w:rFonts w:ascii="Arial" w:cs="Arial" w:eastAsia="Arial" w:hAnsi="Arial"/>
          <w:sz w:val="17"/>
          <w:szCs w:val="17"/>
          <w:color w:val="auto"/>
        </w:rPr>
        <w:t>commitments for capital expenditures for the balance of 2019; however, depending upon changes in market demand or manufacturing and sales strategies, we may make such purchases or investments as we deem necessary and appropriate.</w:t>
      </w:r>
    </w:p>
    <w:p>
      <w:pPr>
        <w:spacing w:after="0" w:line="162" w:lineRule="exact"/>
        <w:rPr>
          <w:sz w:val="20"/>
          <w:szCs w:val="20"/>
          <w:color w:val="auto"/>
        </w:rPr>
      </w:pPr>
    </w:p>
    <w:p>
      <w:pPr>
        <w:ind w:left="820"/>
        <w:spacing w:after="0"/>
        <w:rPr>
          <w:sz w:val="20"/>
          <w:szCs w:val="20"/>
          <w:color w:val="auto"/>
        </w:rPr>
      </w:pPr>
      <w:r>
        <w:rPr>
          <w:rFonts w:ascii="Arial" w:cs="Arial" w:eastAsia="Arial" w:hAnsi="Arial"/>
          <w:sz w:val="18"/>
          <w:szCs w:val="18"/>
          <w:b w:val="1"/>
          <w:bCs w:val="1"/>
          <w:u w:val="single" w:color="auto"/>
          <w:color w:val="auto"/>
        </w:rPr>
        <w:t>New or Recently Adopted Accounting Standards</w:t>
      </w:r>
    </w:p>
    <w:p>
      <w:pPr>
        <w:spacing w:after="0" w:line="229" w:lineRule="exact"/>
        <w:rPr>
          <w:sz w:val="20"/>
          <w:szCs w:val="20"/>
          <w:color w:val="auto"/>
        </w:rPr>
      </w:pPr>
    </w:p>
    <w:p>
      <w:pPr>
        <w:ind w:left="820" w:right="320"/>
        <w:spacing w:after="0" w:line="277" w:lineRule="auto"/>
        <w:rPr>
          <w:sz w:val="20"/>
          <w:szCs w:val="20"/>
          <w:color w:val="auto"/>
        </w:rPr>
      </w:pPr>
      <w:r>
        <w:rPr>
          <w:rFonts w:ascii="Arial" w:cs="Arial" w:eastAsia="Arial" w:hAnsi="Arial"/>
          <w:sz w:val="18"/>
          <w:szCs w:val="18"/>
          <w:color w:val="auto"/>
        </w:rPr>
        <w:t>See the Notes to our consolidated financial statements for information concerning the implementation and impact of new or recently adopted accounting standards.</w:t>
      </w:r>
    </w:p>
    <w:p>
      <w:pPr>
        <w:spacing w:after="0" w:line="166" w:lineRule="exact"/>
        <w:rPr>
          <w:sz w:val="20"/>
          <w:szCs w:val="20"/>
          <w:color w:val="auto"/>
        </w:rPr>
      </w:pPr>
    </w:p>
    <w:p>
      <w:pPr>
        <w:ind w:left="820"/>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229" w:lineRule="exact"/>
        <w:rPr>
          <w:sz w:val="20"/>
          <w:szCs w:val="20"/>
          <w:color w:val="auto"/>
        </w:rPr>
      </w:pPr>
    </w:p>
    <w:p>
      <w:pPr>
        <w:ind w:left="820"/>
        <w:spacing w:after="0" w:line="270" w:lineRule="auto"/>
        <w:rPr>
          <w:sz w:val="20"/>
          <w:szCs w:val="20"/>
          <w:color w:val="auto"/>
        </w:rPr>
      </w:pPr>
      <w:r>
        <w:rPr>
          <w:rFonts w:ascii="Arial" w:cs="Arial" w:eastAsia="Arial" w:hAnsi="Arial"/>
          <w:sz w:val="17"/>
          <w:szCs w:val="17"/>
          <w:color w:val="auto"/>
        </w:rPr>
        <w:t>The preparation of consolidated financial statements in conformity with accounting principles generally accepted in the United States of America requires us to make estimates and judgments that affect the reported amounts of assets, liabilities, revenues, expenses and related disclosure of contingent assets and liabilities. On an on-going basis, we evaluate our estimates, including those related to inventories, long-lived assets, goodwill, identifiable intangibles, contingent consideration liabilities and deferred income tax valuation allowances. We base our estimates on historical experience and on appropriate and customary assumptions that we believe to be reasonable under the circumstances, the results of which form the basis for making judgments about the carrying values of assets and liabilities that are not readily apparent from other sources. Some of these accounting estimates and assumptions are particularly sensitive because of their significance to our consolidated financial statements and because of the possibility that future events affecting them may differ markedly from what had been assumed when the financial statements were prepared. As of June 30, 2019, there have been no significant changes to the accounting policies that we have deemed critical. These policies are more fully described in our 2018 Form 10-K.</w:t>
      </w:r>
    </w:p>
    <w:p>
      <w:pPr>
        <w:spacing w:after="0" w:line="174" w:lineRule="exact"/>
        <w:rPr>
          <w:sz w:val="20"/>
          <w:szCs w:val="20"/>
          <w:color w:val="auto"/>
        </w:rPr>
      </w:pPr>
    </w:p>
    <w:p>
      <w:pPr>
        <w:ind w:left="820"/>
        <w:spacing w:after="0"/>
        <w:rPr>
          <w:sz w:val="20"/>
          <w:szCs w:val="20"/>
          <w:color w:val="auto"/>
        </w:rPr>
      </w:pPr>
      <w:r>
        <w:rPr>
          <w:rFonts w:ascii="Arial" w:cs="Arial" w:eastAsia="Arial" w:hAnsi="Arial"/>
          <w:sz w:val="18"/>
          <w:szCs w:val="18"/>
          <w:b w:val="1"/>
          <w:bCs w:val="1"/>
          <w:u w:val="single" w:color="auto"/>
          <w:color w:val="auto"/>
        </w:rPr>
        <w:t>Off -Balance Sheet Arrangements</w:t>
      </w:r>
    </w:p>
    <w:p>
      <w:pPr>
        <w:spacing w:after="0" w:line="229" w:lineRule="exact"/>
        <w:rPr>
          <w:sz w:val="20"/>
          <w:szCs w:val="20"/>
          <w:color w:val="auto"/>
        </w:rPr>
      </w:pPr>
    </w:p>
    <w:p>
      <w:pPr>
        <w:jc w:val="both"/>
        <w:ind w:left="820" w:right="20"/>
        <w:spacing w:after="0" w:line="264" w:lineRule="auto"/>
        <w:rPr>
          <w:sz w:val="20"/>
          <w:szCs w:val="20"/>
          <w:color w:val="auto"/>
        </w:rPr>
      </w:pPr>
      <w:r>
        <w:rPr>
          <w:rFonts w:ascii="Arial" w:cs="Arial" w:eastAsia="Arial" w:hAnsi="Arial"/>
          <w:sz w:val="18"/>
          <w:szCs w:val="18"/>
          <w:color w:val="auto"/>
        </w:rPr>
        <w:t>There were no off-balance sheet arrangements during the six months ended June 30, 2019 that have, or are reasonably likely to have, a current or future effect on our financial condition, changes in financial condition, revenues or expenses, results of operations, liquidity, capital expenditures or capital resources that is material to our interests.</w:t>
      </w:r>
    </w:p>
    <w:p>
      <w:pPr>
        <w:spacing w:after="0" w:line="177" w:lineRule="exact"/>
        <w:rPr>
          <w:sz w:val="20"/>
          <w:szCs w:val="20"/>
          <w:color w:val="auto"/>
        </w:rPr>
      </w:pPr>
    </w:p>
    <w:p>
      <w:pPr>
        <w:ind w:left="400"/>
        <w:spacing w:after="0"/>
        <w:tabs>
          <w:tab w:leader="none" w:pos="110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This disclosure is not required for a smaller reporting company.</w:t>
      </w:r>
    </w:p>
    <w:p>
      <w:pPr>
        <w:spacing w:after="0" w:line="218"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118" w:right="379" w:bottom="1440" w:gutter="0" w:footer="0" w:header="0"/>
        </w:sectPr>
      </w:pPr>
    </w:p>
    <w:bookmarkStart w:id="30" w:name="page31"/>
    <w:bookmarkEnd w:id="3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ind w:left="400"/>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b w:val="1"/>
          <w:bCs w:val="1"/>
          <w:u w:val="single" w:color="auto"/>
          <w:color w:val="auto"/>
        </w:rPr>
        <w:t>Evaluation of Disclosure Controls and Procedures</w:t>
      </w:r>
    </w:p>
    <w:p>
      <w:pPr>
        <w:spacing w:after="0" w:line="229" w:lineRule="exact"/>
        <w:rPr>
          <w:sz w:val="20"/>
          <w:szCs w:val="20"/>
          <w:color w:val="auto"/>
        </w:rPr>
      </w:pPr>
    </w:p>
    <w:p>
      <w:pPr>
        <w:ind w:left="760" w:right="20"/>
        <w:spacing w:after="0" w:line="269" w:lineRule="auto"/>
        <w:rPr>
          <w:sz w:val="20"/>
          <w:szCs w:val="20"/>
          <w:color w:val="auto"/>
        </w:rPr>
      </w:pPr>
      <w:r>
        <w:rPr>
          <w:rFonts w:ascii="Arial" w:cs="Arial" w:eastAsia="Arial" w:hAnsi="Arial"/>
          <w:sz w:val="17"/>
          <w:szCs w:val="17"/>
          <w:color w:val="auto"/>
        </w:rPr>
        <w:t>We maintain disclosure controls and procedures, as such term is defined in Rule 13a-15(e) under the Securities Exchange Act of 1934, as amended (the "Exchange Act"). Because there are inherent limitations in all control systems, a control system, no matter how well conceived and operated, can provide only reasonable, as opposed to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 Further, the design of a control system must reflect the fact that there are resource constraints, and the benefits of controls must be considered relative to their costs. Our management, including our Chief Executive Officer ("CEO") and Chief Financial Officer ("CFO"), does not expect that our disclosure controls and procedures or our internal control over financial reporting will prevent all error and all fraud. Because of the inherent limitations in a cost-effective control system, misstatements due to error or fraud may occur and not be detected. Accordingly, our management has designed the disclosure controls and procedures to provide reasonable assurance that the objectives of the control system were met.</w:t>
      </w:r>
    </w:p>
    <w:p>
      <w:pPr>
        <w:spacing w:after="0" w:line="179" w:lineRule="exact"/>
        <w:rPr>
          <w:sz w:val="20"/>
          <w:szCs w:val="20"/>
          <w:color w:val="auto"/>
        </w:rPr>
      </w:pPr>
    </w:p>
    <w:p>
      <w:pPr>
        <w:ind w:left="760"/>
        <w:spacing w:after="0" w:line="281" w:lineRule="auto"/>
        <w:rPr>
          <w:sz w:val="20"/>
          <w:szCs w:val="20"/>
          <w:color w:val="auto"/>
        </w:rPr>
      </w:pPr>
      <w:r>
        <w:rPr>
          <w:rFonts w:ascii="Arial" w:cs="Arial" w:eastAsia="Arial" w:hAnsi="Arial"/>
          <w:sz w:val="17"/>
          <w:szCs w:val="17"/>
          <w:b w:val="1"/>
          <w:bCs w:val="1"/>
          <w:color w:val="auto"/>
        </w:rPr>
        <w:t>CEO/CFO Conclusions about the Effectiveness of the Disclosure Controls and Procedures</w:t>
      </w:r>
      <w:r>
        <w:rPr>
          <w:rFonts w:ascii="Arial" w:cs="Arial" w:eastAsia="Arial" w:hAnsi="Arial"/>
          <w:sz w:val="17"/>
          <w:szCs w:val="17"/>
          <w:color w:val="auto"/>
        </w:rPr>
        <w:t>. As required by Rule 13a-15(b), management,</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our CEO and CFO, conducted an evaluation as of the end of the period covered by this report, of the effectiveness of our disclosure controls and procedures. Based on that evaluation, our CEO and CFO concluded that, as of the end of the period covered by this report, our disclosure controls and procedures were effective at the reasonable assurance level.</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18"/>
          <w:szCs w:val="18"/>
          <w:b w:val="1"/>
          <w:bCs w:val="1"/>
          <w:u w:val="single" w:color="auto"/>
          <w:color w:val="auto"/>
        </w:rPr>
        <w:t>Changes in Internal Control Over Financial Reporting</w:t>
      </w:r>
    </w:p>
    <w:p>
      <w:pPr>
        <w:spacing w:after="0" w:line="229" w:lineRule="exact"/>
        <w:rPr>
          <w:sz w:val="20"/>
          <w:szCs w:val="20"/>
          <w:color w:val="auto"/>
        </w:rPr>
      </w:pPr>
    </w:p>
    <w:p>
      <w:pPr>
        <w:ind w:left="760" w:right="20"/>
        <w:spacing w:after="0" w:line="264" w:lineRule="auto"/>
        <w:rPr>
          <w:sz w:val="20"/>
          <w:szCs w:val="20"/>
          <w:color w:val="auto"/>
        </w:rPr>
      </w:pPr>
      <w:r>
        <w:rPr>
          <w:rFonts w:ascii="Arial" w:cs="Arial" w:eastAsia="Arial" w:hAnsi="Arial"/>
          <w:sz w:val="18"/>
          <w:szCs w:val="18"/>
          <w:color w:val="auto"/>
        </w:rPr>
        <w:t>There has been no change in our internal control over financial reporting (as defined in Rules 13a-15(f) and 15d-15(f) under the Exchange Act) that occurred during the period covered by this report that has materially affected, or is reasonably likely to materially affect, our internal control over financial reporting.</w:t>
      </w:r>
    </w:p>
    <w:p>
      <w:pPr>
        <w:spacing w:after="0" w:line="177"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241" w:lineRule="exact"/>
        <w:rPr>
          <w:sz w:val="20"/>
          <w:szCs w:val="20"/>
          <w:color w:val="auto"/>
        </w:rPr>
      </w:pPr>
    </w:p>
    <w:p>
      <w:pPr>
        <w:ind w:left="400"/>
        <w:spacing w:after="0"/>
        <w:tabs>
          <w:tab w:leader="none" w:pos="11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left="760" w:right="140"/>
        <w:spacing w:after="0" w:line="277" w:lineRule="auto"/>
        <w:rPr>
          <w:sz w:val="20"/>
          <w:szCs w:val="20"/>
          <w:color w:val="auto"/>
        </w:rPr>
      </w:pPr>
      <w:r>
        <w:rPr>
          <w:rFonts w:ascii="Arial" w:cs="Arial" w:eastAsia="Arial" w:hAnsi="Arial"/>
          <w:sz w:val="18"/>
          <w:szCs w:val="18"/>
          <w:color w:val="auto"/>
        </w:rPr>
        <w:t>From time to time we may be a party to legal proceedings occurring in the ordinary course of business. We are not currently involved in any material legal proceedings.</w:t>
      </w:r>
    </w:p>
    <w:p>
      <w:pPr>
        <w:spacing w:after="0" w:line="383"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760" w:right="180"/>
        <w:spacing w:after="0" w:line="259" w:lineRule="auto"/>
        <w:rPr>
          <w:sz w:val="20"/>
          <w:szCs w:val="20"/>
          <w:color w:val="auto"/>
        </w:rPr>
      </w:pPr>
      <w:r>
        <w:rPr>
          <w:rFonts w:ascii="Arial" w:cs="Arial" w:eastAsia="Arial" w:hAnsi="Arial"/>
          <w:sz w:val="18"/>
          <w:szCs w:val="18"/>
          <w:color w:val="auto"/>
        </w:rPr>
        <w:t>Information regarding the primary risks and uncertainties that could materially and adversely affect our future performance or could cause actual results to differ materially from those expressed or implied in our forward-looking statements, appears in Part I, Item 1A - "Risk Factors" of our 2018 Form 10-K filed with the Securities and Exchange Commission on March 26, 2019. There have been no changes from the risk factors set forth in our 2018 Form 10-K.</w:t>
      </w:r>
    </w:p>
    <w:p>
      <w:pPr>
        <w:spacing w:after="0" w:line="399" w:lineRule="exact"/>
        <w:rPr>
          <w:sz w:val="20"/>
          <w:szCs w:val="20"/>
          <w:color w:val="auto"/>
        </w:rPr>
      </w:pPr>
    </w:p>
    <w:p>
      <w:pPr>
        <w:ind w:left="400"/>
        <w:spacing w:after="0"/>
        <w:tabs>
          <w:tab w:leader="none" w:pos="11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ind w:left="400"/>
        <w:spacing w:after="0"/>
        <w:tabs>
          <w:tab w:leader="none" w:pos="11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218" w:lineRule="exact"/>
        <w:rPr>
          <w:sz w:val="20"/>
          <w:szCs w:val="20"/>
          <w:color w:val="auto"/>
        </w:rPr>
      </w:pPr>
    </w:p>
    <w:p>
      <w:pPr>
        <w:jc w:val="center"/>
        <w:ind w:right="-419"/>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00"/>
          </w:cols>
          <w:pgMar w:left="240" w:top="118" w:right="659" w:bottom="1440" w:gutter="0" w:footer="0" w:header="0"/>
        </w:sectPr>
      </w:pPr>
    </w:p>
    <w:bookmarkStart w:id="31" w:name="page32"/>
    <w:bookmarkEnd w:id="3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ind w:left="400"/>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tbl>
      <w:tblPr>
        <w:tblLayout w:type="fixed"/>
        <w:tblInd w:w="40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Arial" w:cs="Arial" w:eastAsia="Arial" w:hAnsi="Arial"/>
                <w:sz w:val="18"/>
                <w:szCs w:val="18"/>
                <w:b w:val="1"/>
                <w:bCs w:val="1"/>
                <w:color w:val="auto"/>
                <w:w w:val="94"/>
              </w:rPr>
              <w:t>Item 5.</w:t>
            </w:r>
          </w:p>
        </w:tc>
        <w:tc>
          <w:tcPr>
            <w:tcW w:w="9640" w:type="dxa"/>
            <w:vAlign w:val="bottom"/>
            <w:gridSpan w:val="13"/>
          </w:tcPr>
          <w:p>
            <w:pPr>
              <w:ind w:left="160"/>
              <w:spacing w:after="0"/>
              <w:rPr>
                <w:sz w:val="20"/>
                <w:szCs w:val="20"/>
                <w:color w:val="auto"/>
              </w:rPr>
            </w:pPr>
            <w:r>
              <w:rPr>
                <w:rFonts w:ascii="Arial" w:cs="Arial" w:eastAsia="Arial" w:hAnsi="Arial"/>
                <w:sz w:val="18"/>
                <w:szCs w:val="18"/>
                <w:b w:val="1"/>
                <w:bCs w:val="1"/>
                <w:color w:val="auto"/>
              </w:rPr>
              <w:t>Other Information</w:t>
            </w:r>
          </w:p>
        </w:tc>
      </w:tr>
      <w:tr>
        <w:trPr>
          <w:trHeight w:val="432"/>
        </w:trPr>
        <w:tc>
          <w:tcPr>
            <w:tcW w:w="1400" w:type="dxa"/>
            <w:vAlign w:val="bottom"/>
            <w:gridSpan w:val="2"/>
          </w:tcPr>
          <w:p>
            <w:pPr>
              <w:ind w:left="360"/>
              <w:spacing w:after="0"/>
              <w:rPr>
                <w:sz w:val="20"/>
                <w:szCs w:val="20"/>
                <w:color w:val="auto"/>
              </w:rPr>
            </w:pPr>
            <w:r>
              <w:rPr>
                <w:rFonts w:ascii="Arial" w:cs="Arial" w:eastAsia="Arial" w:hAnsi="Arial"/>
                <w:sz w:val="18"/>
                <w:szCs w:val="18"/>
                <w:color w:val="auto"/>
              </w:rPr>
              <w:t>None.</w:t>
            </w:r>
          </w:p>
        </w:tc>
        <w:tc>
          <w:tcPr>
            <w:tcW w:w="2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48"/>
        </w:trPr>
        <w:tc>
          <w:tcPr>
            <w:tcW w:w="560" w:type="dxa"/>
            <w:vAlign w:val="bottom"/>
          </w:tcPr>
          <w:p>
            <w:pPr>
              <w:spacing w:after="0"/>
              <w:rPr>
                <w:sz w:val="20"/>
                <w:szCs w:val="20"/>
                <w:color w:val="auto"/>
              </w:rPr>
            </w:pPr>
            <w:r>
              <w:rPr>
                <w:rFonts w:ascii="Arial" w:cs="Arial" w:eastAsia="Arial" w:hAnsi="Arial"/>
                <w:sz w:val="18"/>
                <w:szCs w:val="18"/>
                <w:b w:val="1"/>
                <w:bCs w:val="1"/>
                <w:color w:val="auto"/>
                <w:w w:val="94"/>
              </w:rPr>
              <w:t>Item 6.</w:t>
            </w:r>
          </w:p>
        </w:tc>
        <w:tc>
          <w:tcPr>
            <w:tcW w:w="9640" w:type="dxa"/>
            <w:vAlign w:val="bottom"/>
            <w:gridSpan w:val="13"/>
          </w:tcPr>
          <w:p>
            <w:pPr>
              <w:ind w:left="220"/>
              <w:spacing w:after="0"/>
              <w:rPr>
                <w:sz w:val="20"/>
                <w:szCs w:val="20"/>
                <w:color w:val="auto"/>
              </w:rPr>
            </w:pPr>
            <w:r>
              <w:rPr>
                <w:rFonts w:ascii="Arial" w:cs="Arial" w:eastAsia="Arial" w:hAnsi="Arial"/>
                <w:sz w:val="18"/>
                <w:szCs w:val="18"/>
                <w:b w:val="1"/>
                <w:bCs w:val="1"/>
                <w:color w:val="auto"/>
              </w:rPr>
              <w:t>Exhibits</w:t>
            </w:r>
          </w:p>
        </w:tc>
      </w:tr>
      <w:tr>
        <w:trPr>
          <w:trHeight w:val="392"/>
        </w:trPr>
        <w:tc>
          <w:tcPr>
            <w:tcW w:w="560" w:type="dxa"/>
            <w:vAlign w:val="bottom"/>
          </w:tcPr>
          <w:p>
            <w:pPr>
              <w:spacing w:after="0"/>
              <w:rPr>
                <w:sz w:val="24"/>
                <w:szCs w:val="24"/>
                <w:color w:val="auto"/>
              </w:rPr>
            </w:pPr>
          </w:p>
        </w:tc>
        <w:tc>
          <w:tcPr>
            <w:tcW w:w="840" w:type="dxa"/>
            <w:vAlign w:val="bottom"/>
          </w:tcPr>
          <w:p>
            <w:pPr>
              <w:ind w:left="20"/>
              <w:spacing w:after="0"/>
              <w:rPr>
                <w:sz w:val="20"/>
                <w:szCs w:val="20"/>
                <w:color w:val="auto"/>
              </w:rPr>
            </w:pPr>
            <w:r>
              <w:rPr>
                <w:rFonts w:ascii="Arial" w:cs="Arial" w:eastAsia="Arial" w:hAnsi="Arial"/>
                <w:sz w:val="18"/>
                <w:szCs w:val="18"/>
                <w:color w:val="auto"/>
              </w:rPr>
              <w:t>10.1*</w:t>
            </w:r>
          </w:p>
        </w:tc>
        <w:tc>
          <w:tcPr>
            <w:tcW w:w="3780" w:type="dxa"/>
            <w:vAlign w:val="bottom"/>
            <w:tcBorders>
              <w:bottom w:val="single" w:sz="8" w:color="0000EE"/>
            </w:tcBorders>
            <w:gridSpan w:val="5"/>
          </w:tcPr>
          <w:p>
            <w:pPr>
              <w:spacing w:after="0"/>
              <w:rPr>
                <w:rFonts w:ascii="Arial" w:cs="Arial" w:eastAsia="Arial" w:hAnsi="Arial"/>
                <w:sz w:val="18"/>
                <w:szCs w:val="18"/>
                <w:color w:val="0000EE"/>
                <w:w w:val="88"/>
              </w:rPr>
            </w:pPr>
            <w:hyperlink r:id="rId43">
              <w:r>
                <w:rPr>
                  <w:rFonts w:ascii="Arial" w:cs="Arial" w:eastAsia="Arial" w:hAnsi="Arial"/>
                  <w:sz w:val="18"/>
                  <w:szCs w:val="18"/>
                  <w:color w:val="0000EE"/>
                  <w:w w:val="88"/>
                </w:rPr>
                <w:t>Second Amended and Restated 2014 Stock Plan. (1)</w:t>
              </w:r>
            </w:hyperlink>
          </w:p>
        </w:tc>
        <w:tc>
          <w:tcPr>
            <w:tcW w:w="5020" w:type="dxa"/>
            <w:vAlign w:val="bottom"/>
            <w:gridSpan w:val="7"/>
          </w:tcPr>
          <w:p>
            <w:pPr>
              <w:spacing w:after="0"/>
              <w:rPr>
                <w:sz w:val="24"/>
                <w:szCs w:val="24"/>
                <w:color w:val="auto"/>
              </w:rPr>
            </w:pPr>
          </w:p>
        </w:tc>
      </w:tr>
      <w:tr>
        <w:trPr>
          <w:trHeight w:val="196"/>
        </w:trPr>
        <w:tc>
          <w:tcPr>
            <w:tcW w:w="560" w:type="dxa"/>
            <w:vAlign w:val="bottom"/>
          </w:tcPr>
          <w:p>
            <w:pPr>
              <w:spacing w:after="0"/>
              <w:rPr>
                <w:sz w:val="17"/>
                <w:szCs w:val="17"/>
                <w:color w:val="auto"/>
              </w:rPr>
            </w:pPr>
          </w:p>
        </w:tc>
        <w:tc>
          <w:tcPr>
            <w:tcW w:w="840" w:type="dxa"/>
            <w:vAlign w:val="bottom"/>
          </w:tcPr>
          <w:p>
            <w:pPr>
              <w:ind w:left="20"/>
              <w:spacing w:after="0" w:line="196" w:lineRule="exact"/>
              <w:rPr>
                <w:sz w:val="20"/>
                <w:szCs w:val="20"/>
                <w:color w:val="auto"/>
              </w:rPr>
            </w:pPr>
            <w:r>
              <w:rPr>
                <w:rFonts w:ascii="Arial" w:cs="Arial" w:eastAsia="Arial" w:hAnsi="Arial"/>
                <w:sz w:val="18"/>
                <w:szCs w:val="18"/>
                <w:color w:val="auto"/>
              </w:rPr>
              <w:t>10.2*</w:t>
            </w:r>
          </w:p>
        </w:tc>
        <w:tc>
          <w:tcPr>
            <w:tcW w:w="8800" w:type="dxa"/>
            <w:vAlign w:val="bottom"/>
            <w:gridSpan w:val="12"/>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Form of Restricted Stock Award Agreement for Employees.</w:t>
              </w:r>
            </w:hyperlink>
          </w:p>
        </w:tc>
      </w:tr>
      <w:tr>
        <w:trPr>
          <w:trHeight w:val="196"/>
        </w:trPr>
        <w:tc>
          <w:tcPr>
            <w:tcW w:w="560" w:type="dxa"/>
            <w:vAlign w:val="bottom"/>
          </w:tcPr>
          <w:p>
            <w:pPr>
              <w:spacing w:after="0"/>
              <w:rPr>
                <w:sz w:val="17"/>
                <w:szCs w:val="17"/>
                <w:color w:val="auto"/>
              </w:rPr>
            </w:pPr>
          </w:p>
        </w:tc>
        <w:tc>
          <w:tcPr>
            <w:tcW w:w="840" w:type="dxa"/>
            <w:vAlign w:val="bottom"/>
          </w:tcPr>
          <w:p>
            <w:pPr>
              <w:ind w:left="20"/>
              <w:spacing w:after="0" w:line="196" w:lineRule="exact"/>
              <w:rPr>
                <w:sz w:val="20"/>
                <w:szCs w:val="20"/>
                <w:color w:val="auto"/>
              </w:rPr>
            </w:pPr>
            <w:r>
              <w:rPr>
                <w:rFonts w:ascii="Arial" w:cs="Arial" w:eastAsia="Arial" w:hAnsi="Arial"/>
                <w:sz w:val="18"/>
                <w:szCs w:val="18"/>
                <w:color w:val="auto"/>
              </w:rPr>
              <w:t>10.3*</w:t>
            </w:r>
          </w:p>
        </w:tc>
        <w:tc>
          <w:tcPr>
            <w:tcW w:w="42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w:anchor="page38">
              <w:r>
                <w:rPr>
                  <w:rFonts w:ascii="Arial" w:cs="Arial" w:eastAsia="Arial" w:hAnsi="Arial"/>
                  <w:sz w:val="18"/>
                  <w:szCs w:val="18"/>
                  <w:color w:val="0000EE"/>
                  <w:w w:val="91"/>
                </w:rPr>
                <w:t>Form of Restricted Stock Award Agreement for Directors.</w:t>
              </w:r>
            </w:hyperlink>
          </w:p>
        </w:tc>
        <w:tc>
          <w:tcPr>
            <w:tcW w:w="120" w:type="dxa"/>
            <w:vAlign w:val="bottom"/>
            <w:tcBorders>
              <w:top w:val="single" w:sz="8" w:color="0000EE"/>
            </w:tcBorders>
          </w:tcPr>
          <w:p>
            <w:pPr>
              <w:spacing w:after="0"/>
              <w:rPr>
                <w:sz w:val="17"/>
                <w:szCs w:val="17"/>
                <w:color w:val="auto"/>
              </w:rPr>
            </w:pPr>
          </w:p>
        </w:tc>
        <w:tc>
          <w:tcPr>
            <w:tcW w:w="4480" w:type="dxa"/>
            <w:vAlign w:val="bottom"/>
            <w:gridSpan w:val="5"/>
          </w:tcPr>
          <w:p>
            <w:pPr>
              <w:spacing w:after="0"/>
              <w:rPr>
                <w:sz w:val="17"/>
                <w:szCs w:val="17"/>
                <w:color w:val="auto"/>
              </w:rPr>
            </w:pPr>
          </w:p>
        </w:tc>
      </w:tr>
      <w:tr>
        <w:trPr>
          <w:trHeight w:val="196"/>
        </w:trPr>
        <w:tc>
          <w:tcPr>
            <w:tcW w:w="560" w:type="dxa"/>
            <w:vAlign w:val="bottom"/>
          </w:tcPr>
          <w:p>
            <w:pPr>
              <w:spacing w:after="0"/>
              <w:rPr>
                <w:sz w:val="17"/>
                <w:szCs w:val="17"/>
                <w:color w:val="auto"/>
              </w:rPr>
            </w:pPr>
          </w:p>
        </w:tc>
        <w:tc>
          <w:tcPr>
            <w:tcW w:w="840" w:type="dxa"/>
            <w:vAlign w:val="bottom"/>
          </w:tcPr>
          <w:p>
            <w:pPr>
              <w:ind w:left="20"/>
              <w:spacing w:after="0" w:line="196" w:lineRule="exact"/>
              <w:rPr>
                <w:sz w:val="20"/>
                <w:szCs w:val="20"/>
                <w:color w:val="auto"/>
              </w:rPr>
            </w:pPr>
            <w:r>
              <w:rPr>
                <w:rFonts w:ascii="Arial" w:cs="Arial" w:eastAsia="Arial" w:hAnsi="Arial"/>
                <w:sz w:val="18"/>
                <w:szCs w:val="18"/>
                <w:color w:val="auto"/>
              </w:rPr>
              <w:t>10.4*</w:t>
            </w:r>
          </w:p>
        </w:tc>
        <w:tc>
          <w:tcPr>
            <w:tcW w:w="320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w:anchor="page41">
              <w:r>
                <w:rPr>
                  <w:rFonts w:ascii="Arial" w:cs="Arial" w:eastAsia="Arial" w:hAnsi="Arial"/>
                  <w:sz w:val="18"/>
                  <w:szCs w:val="18"/>
                  <w:color w:val="0000EE"/>
                  <w:w w:val="92"/>
                </w:rPr>
                <w:t>Form of Incentive Stock Option Agreement.</w:t>
              </w:r>
            </w:hyperlink>
          </w:p>
        </w:tc>
        <w:tc>
          <w:tcPr>
            <w:tcW w:w="5600" w:type="dxa"/>
            <w:vAlign w:val="bottom"/>
            <w:gridSpan w:val="9"/>
          </w:tcPr>
          <w:p>
            <w:pPr>
              <w:spacing w:after="0"/>
              <w:rPr>
                <w:sz w:val="17"/>
                <w:szCs w:val="17"/>
                <w:color w:val="auto"/>
              </w:rPr>
            </w:pPr>
          </w:p>
        </w:tc>
      </w:tr>
      <w:tr>
        <w:trPr>
          <w:trHeight w:val="196"/>
        </w:trPr>
        <w:tc>
          <w:tcPr>
            <w:tcW w:w="560" w:type="dxa"/>
            <w:vAlign w:val="bottom"/>
          </w:tcPr>
          <w:p>
            <w:pPr>
              <w:spacing w:after="0"/>
              <w:rPr>
                <w:sz w:val="17"/>
                <w:szCs w:val="17"/>
                <w:color w:val="auto"/>
              </w:rPr>
            </w:pPr>
          </w:p>
        </w:tc>
        <w:tc>
          <w:tcPr>
            <w:tcW w:w="840" w:type="dxa"/>
            <w:vAlign w:val="bottom"/>
          </w:tcPr>
          <w:p>
            <w:pPr>
              <w:ind w:left="20"/>
              <w:spacing w:after="0" w:line="196" w:lineRule="exact"/>
              <w:rPr>
                <w:sz w:val="20"/>
                <w:szCs w:val="20"/>
                <w:color w:val="auto"/>
              </w:rPr>
            </w:pPr>
            <w:r>
              <w:rPr>
                <w:rFonts w:ascii="Arial" w:cs="Arial" w:eastAsia="Arial" w:hAnsi="Arial"/>
                <w:sz w:val="18"/>
                <w:szCs w:val="18"/>
                <w:color w:val="auto"/>
              </w:rPr>
              <w:t>10.5*</w:t>
            </w:r>
          </w:p>
        </w:tc>
        <w:tc>
          <w:tcPr>
            <w:tcW w:w="358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47">
              <w:r>
                <w:rPr>
                  <w:rFonts w:ascii="Arial" w:cs="Arial" w:eastAsia="Arial" w:hAnsi="Arial"/>
                  <w:sz w:val="18"/>
                  <w:szCs w:val="18"/>
                  <w:color w:val="0000EE"/>
                  <w:w w:val="92"/>
                </w:rPr>
                <w:t>Form of Non-Qualified Stock Option Agreement.</w:t>
              </w:r>
            </w:hyperlink>
          </w:p>
        </w:tc>
        <w:tc>
          <w:tcPr>
            <w:tcW w:w="5220" w:type="dxa"/>
            <w:vAlign w:val="bottom"/>
            <w:gridSpan w:val="8"/>
          </w:tcPr>
          <w:p>
            <w:pPr>
              <w:spacing w:after="0"/>
              <w:rPr>
                <w:sz w:val="17"/>
                <w:szCs w:val="17"/>
                <w:color w:val="auto"/>
              </w:rPr>
            </w:pPr>
          </w:p>
        </w:tc>
      </w:tr>
      <w:tr>
        <w:trPr>
          <w:trHeight w:val="196"/>
        </w:trPr>
        <w:tc>
          <w:tcPr>
            <w:tcW w:w="560" w:type="dxa"/>
            <w:vAlign w:val="bottom"/>
          </w:tcPr>
          <w:p>
            <w:pPr>
              <w:spacing w:after="0"/>
              <w:rPr>
                <w:sz w:val="17"/>
                <w:szCs w:val="17"/>
                <w:color w:val="auto"/>
              </w:rPr>
            </w:pPr>
          </w:p>
        </w:tc>
        <w:tc>
          <w:tcPr>
            <w:tcW w:w="840" w:type="dxa"/>
            <w:vAlign w:val="bottom"/>
          </w:tcPr>
          <w:p>
            <w:pPr>
              <w:ind w:left="20"/>
              <w:spacing w:after="0" w:line="196" w:lineRule="exact"/>
              <w:rPr>
                <w:sz w:val="20"/>
                <w:szCs w:val="20"/>
                <w:color w:val="auto"/>
              </w:rPr>
            </w:pPr>
            <w:r>
              <w:rPr>
                <w:rFonts w:ascii="Arial" w:cs="Arial" w:eastAsia="Arial" w:hAnsi="Arial"/>
                <w:sz w:val="18"/>
                <w:szCs w:val="18"/>
                <w:color w:val="auto"/>
              </w:rPr>
              <w:t>10.6</w:t>
            </w:r>
          </w:p>
        </w:tc>
        <w:tc>
          <w:tcPr>
            <w:tcW w:w="8800" w:type="dxa"/>
            <w:vAlign w:val="bottom"/>
            <w:gridSpan w:val="12"/>
          </w:tcPr>
          <w:p>
            <w:pPr>
              <w:spacing w:after="0" w:line="196" w:lineRule="exact"/>
              <w:rPr>
                <w:rFonts w:ascii="Arial" w:cs="Arial" w:eastAsia="Arial" w:hAnsi="Arial"/>
                <w:sz w:val="18"/>
                <w:szCs w:val="18"/>
                <w:color w:val="0000EE"/>
                <w:w w:val="91"/>
              </w:rPr>
            </w:pPr>
            <w:hyperlink r:id="rId44">
              <w:r>
                <w:rPr>
                  <w:rFonts w:ascii="Arial" w:cs="Arial" w:eastAsia="Arial" w:hAnsi="Arial"/>
                  <w:sz w:val="18"/>
                  <w:szCs w:val="18"/>
                  <w:color w:val="0000EE"/>
                  <w:w w:val="91"/>
                </w:rPr>
                <w:t>Second Amendment to Lease dated April 8, 2019 between Temptronic Corporation and James Campbell Company, LLC</w:t>
              </w:r>
            </w:hyperlink>
          </w:p>
        </w:tc>
      </w:tr>
      <w:tr>
        <w:trPr>
          <w:trHeight w:val="196"/>
        </w:trPr>
        <w:tc>
          <w:tcPr>
            <w:tcW w:w="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r:id="rId44">
              <w:r>
                <w:rPr>
                  <w:rFonts w:ascii="Arial" w:cs="Arial" w:eastAsia="Arial" w:hAnsi="Arial"/>
                  <w:sz w:val="18"/>
                  <w:szCs w:val="18"/>
                  <w:color w:val="0000EE"/>
                  <w:w w:val="90"/>
                </w:rPr>
                <w:t>(2)</w:t>
              </w:r>
            </w:hyperlink>
          </w:p>
        </w:tc>
        <w:tc>
          <w:tcPr>
            <w:tcW w:w="234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80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560" w:type="dxa"/>
            <w:vAlign w:val="bottom"/>
          </w:tcPr>
          <w:p>
            <w:pPr>
              <w:spacing w:after="0"/>
              <w:rPr>
                <w:sz w:val="17"/>
                <w:szCs w:val="17"/>
                <w:color w:val="auto"/>
              </w:rPr>
            </w:pPr>
          </w:p>
        </w:tc>
        <w:tc>
          <w:tcPr>
            <w:tcW w:w="840" w:type="dxa"/>
            <w:vAlign w:val="bottom"/>
          </w:tcPr>
          <w:p>
            <w:pPr>
              <w:ind w:left="20"/>
              <w:spacing w:after="0" w:line="196" w:lineRule="exact"/>
              <w:rPr>
                <w:sz w:val="20"/>
                <w:szCs w:val="20"/>
                <w:color w:val="auto"/>
              </w:rPr>
            </w:pPr>
            <w:r>
              <w:rPr>
                <w:rFonts w:ascii="Arial" w:cs="Arial" w:eastAsia="Arial" w:hAnsi="Arial"/>
                <w:sz w:val="18"/>
                <w:szCs w:val="18"/>
                <w:color w:val="auto"/>
              </w:rPr>
              <w:t>31.1</w:t>
            </w:r>
          </w:p>
        </w:tc>
        <w:tc>
          <w:tcPr>
            <w:tcW w:w="8800" w:type="dxa"/>
            <w:vAlign w:val="bottom"/>
            <w:gridSpan w:val="12"/>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Certification of Chief Executive Officer pursuant to Rule 13a-14(a).</w:t>
              </w:r>
            </w:hyperlink>
          </w:p>
        </w:tc>
      </w:tr>
      <w:tr>
        <w:trPr>
          <w:trHeight w:val="196"/>
        </w:trPr>
        <w:tc>
          <w:tcPr>
            <w:tcW w:w="560" w:type="dxa"/>
            <w:vAlign w:val="bottom"/>
          </w:tcPr>
          <w:p>
            <w:pPr>
              <w:spacing w:after="0"/>
              <w:rPr>
                <w:sz w:val="17"/>
                <w:szCs w:val="17"/>
                <w:color w:val="auto"/>
              </w:rPr>
            </w:pPr>
          </w:p>
        </w:tc>
        <w:tc>
          <w:tcPr>
            <w:tcW w:w="840" w:type="dxa"/>
            <w:vAlign w:val="bottom"/>
          </w:tcPr>
          <w:p>
            <w:pPr>
              <w:ind w:left="20"/>
              <w:spacing w:after="0" w:line="196" w:lineRule="exact"/>
              <w:rPr>
                <w:sz w:val="20"/>
                <w:szCs w:val="20"/>
                <w:color w:val="auto"/>
              </w:rPr>
            </w:pPr>
            <w:r>
              <w:rPr>
                <w:rFonts w:ascii="Arial" w:cs="Arial" w:eastAsia="Arial" w:hAnsi="Arial"/>
                <w:sz w:val="18"/>
                <w:szCs w:val="18"/>
                <w:color w:val="auto"/>
              </w:rPr>
              <w:t>31.2</w:t>
            </w:r>
          </w:p>
        </w:tc>
        <w:tc>
          <w:tcPr>
            <w:tcW w:w="48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2"/>
              </w:rPr>
            </w:pPr>
            <w:hyperlink w:anchor="page54">
              <w:r>
                <w:rPr>
                  <w:rFonts w:ascii="Arial" w:cs="Arial" w:eastAsia="Arial" w:hAnsi="Arial"/>
                  <w:sz w:val="18"/>
                  <w:szCs w:val="18"/>
                  <w:color w:val="0000EE"/>
                  <w:w w:val="92"/>
                </w:rPr>
                <w:t>Certification of Chief Financial Officer pursuant to Rule 13a-14(a).</w:t>
              </w:r>
            </w:hyperlink>
          </w:p>
        </w:tc>
        <w:tc>
          <w:tcPr>
            <w:tcW w:w="40" w:type="dxa"/>
            <w:vAlign w:val="bottom"/>
            <w:tcBorders>
              <w:top w:val="single" w:sz="8" w:color="0000EE"/>
            </w:tcBorders>
          </w:tcPr>
          <w:p>
            <w:pPr>
              <w:spacing w:after="0"/>
              <w:rPr>
                <w:sz w:val="17"/>
                <w:szCs w:val="17"/>
                <w:color w:val="auto"/>
              </w:rPr>
            </w:pPr>
          </w:p>
        </w:tc>
        <w:tc>
          <w:tcPr>
            <w:tcW w:w="3900" w:type="dxa"/>
            <w:vAlign w:val="bottom"/>
            <w:gridSpan w:val="3"/>
          </w:tcPr>
          <w:p>
            <w:pPr>
              <w:spacing w:after="0"/>
              <w:rPr>
                <w:sz w:val="17"/>
                <w:szCs w:val="17"/>
                <w:color w:val="auto"/>
              </w:rPr>
            </w:pPr>
          </w:p>
        </w:tc>
      </w:tr>
      <w:tr>
        <w:trPr>
          <w:trHeight w:val="196"/>
        </w:trPr>
        <w:tc>
          <w:tcPr>
            <w:tcW w:w="560" w:type="dxa"/>
            <w:vAlign w:val="bottom"/>
          </w:tcPr>
          <w:p>
            <w:pPr>
              <w:spacing w:after="0"/>
              <w:rPr>
                <w:sz w:val="17"/>
                <w:szCs w:val="17"/>
                <w:color w:val="auto"/>
              </w:rPr>
            </w:pPr>
          </w:p>
        </w:tc>
        <w:tc>
          <w:tcPr>
            <w:tcW w:w="840" w:type="dxa"/>
            <w:vAlign w:val="bottom"/>
          </w:tcPr>
          <w:p>
            <w:pPr>
              <w:ind w:left="20"/>
              <w:spacing w:after="0" w:line="196" w:lineRule="exact"/>
              <w:rPr>
                <w:sz w:val="20"/>
                <w:szCs w:val="20"/>
                <w:color w:val="auto"/>
              </w:rPr>
            </w:pPr>
            <w:r>
              <w:rPr>
                <w:rFonts w:ascii="Arial" w:cs="Arial" w:eastAsia="Arial" w:hAnsi="Arial"/>
                <w:sz w:val="18"/>
                <w:szCs w:val="18"/>
                <w:color w:val="auto"/>
              </w:rPr>
              <w:t>32.1</w:t>
            </w:r>
          </w:p>
        </w:tc>
        <w:tc>
          <w:tcPr>
            <w:tcW w:w="880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w:anchor="page55">
              <w:r>
                <w:rPr>
                  <w:rFonts w:ascii="Arial" w:cs="Arial" w:eastAsia="Arial" w:hAnsi="Arial"/>
                  <w:sz w:val="18"/>
                  <w:szCs w:val="18"/>
                  <w:color w:val="0000EE"/>
                  <w:w w:val="91"/>
                </w:rPr>
                <w:t>Certification of Chief Executive Officer furnished pursuant to 18 U.S.C. Section 1350, as adopted pursuant to Section 906</w:t>
              </w:r>
            </w:hyperlink>
          </w:p>
        </w:tc>
      </w:tr>
      <w:tr>
        <w:trPr>
          <w:trHeight w:val="196"/>
        </w:trPr>
        <w:tc>
          <w:tcPr>
            <w:tcW w:w="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800" w:type="dxa"/>
            <w:vAlign w:val="bottom"/>
            <w:gridSpan w:val="12"/>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of the Sarbanes-Oxley Act of 2002.</w:t>
              </w:r>
            </w:hyperlink>
          </w:p>
        </w:tc>
      </w:tr>
      <w:tr>
        <w:trPr>
          <w:trHeight w:val="20"/>
        </w:trPr>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620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560" w:type="dxa"/>
            <w:vAlign w:val="bottom"/>
          </w:tcPr>
          <w:p>
            <w:pPr>
              <w:spacing w:after="0"/>
              <w:rPr>
                <w:sz w:val="17"/>
                <w:szCs w:val="17"/>
                <w:color w:val="auto"/>
              </w:rPr>
            </w:pPr>
          </w:p>
        </w:tc>
        <w:tc>
          <w:tcPr>
            <w:tcW w:w="840" w:type="dxa"/>
            <w:vAlign w:val="bottom"/>
          </w:tcPr>
          <w:p>
            <w:pPr>
              <w:ind w:left="20"/>
              <w:spacing w:after="0" w:line="196" w:lineRule="exact"/>
              <w:rPr>
                <w:sz w:val="20"/>
                <w:szCs w:val="20"/>
                <w:color w:val="auto"/>
              </w:rPr>
            </w:pPr>
            <w:r>
              <w:rPr>
                <w:rFonts w:ascii="Arial" w:cs="Arial" w:eastAsia="Arial" w:hAnsi="Arial"/>
                <w:sz w:val="18"/>
                <w:szCs w:val="18"/>
                <w:color w:val="auto"/>
              </w:rPr>
              <w:t>32.2</w:t>
            </w:r>
          </w:p>
        </w:tc>
        <w:tc>
          <w:tcPr>
            <w:tcW w:w="876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w:anchor="page56">
              <w:r>
                <w:rPr>
                  <w:rFonts w:ascii="Arial" w:cs="Arial" w:eastAsia="Arial" w:hAnsi="Arial"/>
                  <w:sz w:val="18"/>
                  <w:szCs w:val="18"/>
                  <w:color w:val="0000EE"/>
                  <w:w w:val="91"/>
                </w:rPr>
                <w:t>Certification of Chief Financial Officer furnished pursuant to 18 U.S.C. Section 1350, as adopted pursuant to Section 906</w:t>
              </w:r>
            </w:hyperlink>
          </w:p>
        </w:tc>
        <w:tc>
          <w:tcPr>
            <w:tcW w:w="40" w:type="dxa"/>
            <w:vAlign w:val="bottom"/>
          </w:tcPr>
          <w:p>
            <w:pPr>
              <w:spacing w:after="0"/>
              <w:rPr>
                <w:sz w:val="17"/>
                <w:szCs w:val="17"/>
                <w:color w:val="auto"/>
              </w:rPr>
            </w:pPr>
          </w:p>
        </w:tc>
      </w:tr>
      <w:tr>
        <w:trPr>
          <w:trHeight w:val="196"/>
        </w:trPr>
        <w:tc>
          <w:tcPr>
            <w:tcW w:w="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800" w:type="dxa"/>
            <w:vAlign w:val="bottom"/>
            <w:gridSpan w:val="12"/>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of the Sarbanes-Oxley Act of 2002.</w:t>
              </w:r>
            </w:hyperlink>
          </w:p>
        </w:tc>
      </w:tr>
      <w:tr>
        <w:trPr>
          <w:trHeight w:val="20"/>
        </w:trPr>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6240" w:type="dxa"/>
            <w:vAlign w:val="bottom"/>
            <w:gridSpan w:val="10"/>
          </w:tcPr>
          <w:p>
            <w:pPr>
              <w:spacing w:after="0" w:line="20" w:lineRule="exact"/>
              <w:rPr>
                <w:sz w:val="1"/>
                <w:szCs w:val="1"/>
                <w:color w:val="auto"/>
              </w:rPr>
            </w:pPr>
          </w:p>
        </w:tc>
      </w:tr>
      <w:tr>
        <w:trPr>
          <w:trHeight w:val="222"/>
        </w:trPr>
        <w:tc>
          <w:tcPr>
            <w:tcW w:w="560" w:type="dxa"/>
            <w:vAlign w:val="bottom"/>
          </w:tcPr>
          <w:p>
            <w:pPr>
              <w:spacing w:after="0"/>
              <w:rPr>
                <w:sz w:val="19"/>
                <w:szCs w:val="19"/>
                <w:color w:val="auto"/>
              </w:rPr>
            </w:pPr>
          </w:p>
        </w:tc>
        <w:tc>
          <w:tcPr>
            <w:tcW w:w="840" w:type="dxa"/>
            <w:vAlign w:val="bottom"/>
          </w:tcPr>
          <w:p>
            <w:pPr>
              <w:ind w:left="20"/>
              <w:spacing w:after="0"/>
              <w:rPr>
                <w:sz w:val="20"/>
                <w:szCs w:val="20"/>
                <w:color w:val="auto"/>
              </w:rPr>
            </w:pPr>
            <w:r>
              <w:rPr>
                <w:rFonts w:ascii="Arial" w:cs="Arial" w:eastAsia="Arial" w:hAnsi="Arial"/>
                <w:sz w:val="18"/>
                <w:szCs w:val="18"/>
                <w:color w:val="auto"/>
              </w:rPr>
              <w:t>101.INS</w:t>
            </w:r>
          </w:p>
        </w:tc>
        <w:tc>
          <w:tcPr>
            <w:tcW w:w="8800" w:type="dxa"/>
            <w:vAlign w:val="bottom"/>
            <w:gridSpan w:val="12"/>
          </w:tcPr>
          <w:p>
            <w:pPr>
              <w:spacing w:after="0"/>
              <w:rPr>
                <w:sz w:val="20"/>
                <w:szCs w:val="20"/>
                <w:color w:val="auto"/>
              </w:rPr>
            </w:pPr>
            <w:r>
              <w:rPr>
                <w:rFonts w:ascii="Arial" w:cs="Arial" w:eastAsia="Arial" w:hAnsi="Arial"/>
                <w:sz w:val="18"/>
                <w:szCs w:val="18"/>
                <w:color w:val="auto"/>
              </w:rPr>
              <w:t>XBRL Taxonomy Instance Document</w:t>
            </w:r>
          </w:p>
        </w:tc>
      </w:tr>
      <w:tr>
        <w:trPr>
          <w:trHeight w:val="216"/>
        </w:trPr>
        <w:tc>
          <w:tcPr>
            <w:tcW w:w="560" w:type="dxa"/>
            <w:vAlign w:val="bottom"/>
          </w:tcPr>
          <w:p>
            <w:pPr>
              <w:spacing w:after="0"/>
              <w:rPr>
                <w:sz w:val="18"/>
                <w:szCs w:val="18"/>
                <w:color w:val="auto"/>
              </w:rPr>
            </w:pPr>
          </w:p>
        </w:tc>
        <w:tc>
          <w:tcPr>
            <w:tcW w:w="840" w:type="dxa"/>
            <w:vAlign w:val="bottom"/>
          </w:tcPr>
          <w:p>
            <w:pPr>
              <w:ind w:left="20"/>
              <w:spacing w:after="0"/>
              <w:rPr>
                <w:sz w:val="20"/>
                <w:szCs w:val="20"/>
                <w:color w:val="auto"/>
              </w:rPr>
            </w:pPr>
            <w:r>
              <w:rPr>
                <w:rFonts w:ascii="Arial" w:cs="Arial" w:eastAsia="Arial" w:hAnsi="Arial"/>
                <w:sz w:val="18"/>
                <w:szCs w:val="18"/>
                <w:color w:val="auto"/>
              </w:rPr>
              <w:t>101.SCH</w:t>
            </w:r>
          </w:p>
        </w:tc>
        <w:tc>
          <w:tcPr>
            <w:tcW w:w="8800" w:type="dxa"/>
            <w:vAlign w:val="bottom"/>
            <w:gridSpan w:val="12"/>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560" w:type="dxa"/>
            <w:vAlign w:val="bottom"/>
          </w:tcPr>
          <w:p>
            <w:pPr>
              <w:spacing w:after="0"/>
              <w:rPr>
                <w:sz w:val="18"/>
                <w:szCs w:val="18"/>
                <w:color w:val="auto"/>
              </w:rPr>
            </w:pPr>
          </w:p>
        </w:tc>
        <w:tc>
          <w:tcPr>
            <w:tcW w:w="840" w:type="dxa"/>
            <w:vAlign w:val="bottom"/>
          </w:tcPr>
          <w:p>
            <w:pPr>
              <w:ind w:left="20"/>
              <w:spacing w:after="0"/>
              <w:rPr>
                <w:sz w:val="20"/>
                <w:szCs w:val="20"/>
                <w:color w:val="auto"/>
              </w:rPr>
            </w:pPr>
            <w:r>
              <w:rPr>
                <w:rFonts w:ascii="Arial" w:cs="Arial" w:eastAsia="Arial" w:hAnsi="Arial"/>
                <w:sz w:val="18"/>
                <w:szCs w:val="18"/>
                <w:color w:val="auto"/>
              </w:rPr>
              <w:t>101.CAL</w:t>
            </w:r>
          </w:p>
        </w:tc>
        <w:tc>
          <w:tcPr>
            <w:tcW w:w="8800" w:type="dxa"/>
            <w:vAlign w:val="bottom"/>
            <w:gridSpan w:val="12"/>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560" w:type="dxa"/>
            <w:vAlign w:val="bottom"/>
          </w:tcPr>
          <w:p>
            <w:pPr>
              <w:spacing w:after="0"/>
              <w:rPr>
                <w:sz w:val="18"/>
                <w:szCs w:val="18"/>
                <w:color w:val="auto"/>
              </w:rPr>
            </w:pPr>
          </w:p>
        </w:tc>
        <w:tc>
          <w:tcPr>
            <w:tcW w:w="840" w:type="dxa"/>
            <w:vAlign w:val="bottom"/>
          </w:tcPr>
          <w:p>
            <w:pPr>
              <w:ind w:left="20"/>
              <w:spacing w:after="0"/>
              <w:rPr>
                <w:sz w:val="20"/>
                <w:szCs w:val="20"/>
                <w:color w:val="auto"/>
              </w:rPr>
            </w:pPr>
            <w:r>
              <w:rPr>
                <w:rFonts w:ascii="Arial" w:cs="Arial" w:eastAsia="Arial" w:hAnsi="Arial"/>
                <w:sz w:val="18"/>
                <w:szCs w:val="18"/>
                <w:color w:val="auto"/>
              </w:rPr>
              <w:t>101.DEF</w:t>
            </w:r>
          </w:p>
        </w:tc>
        <w:tc>
          <w:tcPr>
            <w:tcW w:w="8800" w:type="dxa"/>
            <w:vAlign w:val="bottom"/>
            <w:gridSpan w:val="12"/>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560" w:type="dxa"/>
            <w:vAlign w:val="bottom"/>
          </w:tcPr>
          <w:p>
            <w:pPr>
              <w:spacing w:after="0"/>
              <w:rPr>
                <w:sz w:val="18"/>
                <w:szCs w:val="18"/>
                <w:color w:val="auto"/>
              </w:rPr>
            </w:pPr>
          </w:p>
        </w:tc>
        <w:tc>
          <w:tcPr>
            <w:tcW w:w="840" w:type="dxa"/>
            <w:vAlign w:val="bottom"/>
          </w:tcPr>
          <w:p>
            <w:pPr>
              <w:ind w:left="20"/>
              <w:spacing w:after="0"/>
              <w:rPr>
                <w:sz w:val="20"/>
                <w:szCs w:val="20"/>
                <w:color w:val="auto"/>
              </w:rPr>
            </w:pPr>
            <w:r>
              <w:rPr>
                <w:rFonts w:ascii="Arial" w:cs="Arial" w:eastAsia="Arial" w:hAnsi="Arial"/>
                <w:sz w:val="18"/>
                <w:szCs w:val="18"/>
                <w:color w:val="auto"/>
              </w:rPr>
              <w:t>101.LAB</w:t>
            </w:r>
          </w:p>
        </w:tc>
        <w:tc>
          <w:tcPr>
            <w:tcW w:w="8800" w:type="dxa"/>
            <w:vAlign w:val="bottom"/>
            <w:gridSpan w:val="12"/>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560" w:type="dxa"/>
            <w:vAlign w:val="bottom"/>
          </w:tcPr>
          <w:p>
            <w:pPr>
              <w:spacing w:after="0"/>
              <w:rPr>
                <w:sz w:val="20"/>
                <w:szCs w:val="20"/>
                <w:color w:val="auto"/>
              </w:rPr>
            </w:pPr>
          </w:p>
        </w:tc>
        <w:tc>
          <w:tcPr>
            <w:tcW w:w="840" w:type="dxa"/>
            <w:vAlign w:val="bottom"/>
          </w:tcPr>
          <w:p>
            <w:pPr>
              <w:ind w:left="20"/>
              <w:spacing w:after="0"/>
              <w:rPr>
                <w:sz w:val="20"/>
                <w:szCs w:val="20"/>
                <w:color w:val="auto"/>
              </w:rPr>
            </w:pPr>
            <w:r>
              <w:rPr>
                <w:rFonts w:ascii="Arial" w:cs="Arial" w:eastAsia="Arial" w:hAnsi="Arial"/>
                <w:sz w:val="18"/>
                <w:szCs w:val="18"/>
                <w:color w:val="auto"/>
              </w:rPr>
              <w:t>101.PRE</w:t>
            </w:r>
          </w:p>
        </w:tc>
        <w:tc>
          <w:tcPr>
            <w:tcW w:w="8800" w:type="dxa"/>
            <w:vAlign w:val="bottom"/>
            <w:gridSpan w:val="12"/>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2" w:lineRule="exact"/>
        <w:rPr>
          <w:sz w:val="20"/>
          <w:szCs w:val="20"/>
          <w:color w:val="auto"/>
        </w:rPr>
      </w:pPr>
    </w:p>
    <w:p>
      <w:pPr>
        <w:ind w:left="1800" w:hanging="820"/>
        <w:spacing w:after="0"/>
        <w:tabs>
          <w:tab w:leader="none" w:pos="18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Indicates a management contract or compensatory plan, contract or arrangement in which a director and/or executive</w:t>
      </w:r>
    </w:p>
    <w:p>
      <w:pPr>
        <w:spacing w:after="0" w:line="46"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officer participate.</w:t>
      </w:r>
    </w:p>
    <w:p>
      <w:pPr>
        <w:spacing w:after="0" w:line="9" w:lineRule="exact"/>
        <w:rPr>
          <w:sz w:val="20"/>
          <w:szCs w:val="20"/>
          <w:color w:val="auto"/>
        </w:rPr>
      </w:pPr>
    </w:p>
    <w:p>
      <w:pPr>
        <w:ind w:left="1800" w:right="240" w:hanging="820"/>
        <w:spacing w:after="0" w:line="250" w:lineRule="auto"/>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Previously filed as an exhibit to the Company’s Current Report on Form 8-K dated June 19, 2019, File No. 001-36117, filed July 24, 2019, and incorporated herein by reference.</w:t>
      </w:r>
    </w:p>
    <w:p>
      <w:pPr>
        <w:ind w:left="1800" w:right="300" w:hanging="820"/>
        <w:spacing w:after="0" w:line="261" w:lineRule="auto"/>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Previously filed as an exhibit to the Company's Current Report on Form 8-K dated April 8, 2019, File No. 001-36117, filed April 12, 2019, and incorporated herein by reference.</w:t>
      </w:r>
    </w:p>
    <w:p>
      <w:pPr>
        <w:spacing w:after="0" w:line="18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600"/>
          </w:cols>
          <w:pgMar w:left="240" w:top="118" w:right="1059" w:bottom="1440" w:gutter="0" w:footer="0" w:header="0"/>
        </w:sectPr>
      </w:pPr>
    </w:p>
    <w:bookmarkStart w:id="32" w:name="page33"/>
    <w:bookmarkEnd w:id="3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740" w:type="dxa"/>
            <w:vAlign w:val="bottom"/>
            <w:gridSpan w:val="4"/>
          </w:tcPr>
          <w:p>
            <w:pPr>
              <w:ind w:left="1240"/>
              <w:spacing w:after="0"/>
              <w:rPr>
                <w:sz w:val="20"/>
                <w:szCs w:val="20"/>
                <w:color w:val="auto"/>
              </w:rPr>
            </w:pPr>
            <w:r>
              <w:rPr>
                <w:rFonts w:ascii="Arial" w:cs="Arial" w:eastAsia="Arial" w:hAnsi="Arial"/>
                <w:sz w:val="18"/>
                <w:szCs w:val="18"/>
                <w:b w:val="1"/>
                <w:bCs w:val="1"/>
                <w:color w:val="auto"/>
              </w:rPr>
              <w:t>inTEST Corporation</w:t>
            </w:r>
          </w:p>
        </w:tc>
      </w:tr>
      <w:tr>
        <w:trPr>
          <w:trHeight w:val="824"/>
        </w:trPr>
        <w:tc>
          <w:tcPr>
            <w:tcW w:w="2880" w:type="dxa"/>
            <w:vAlign w:val="bottom"/>
            <w:gridSpan w:val="3"/>
          </w:tcPr>
          <w:p>
            <w:pPr>
              <w:spacing w:after="0"/>
              <w:rPr>
                <w:sz w:val="20"/>
                <w:szCs w:val="20"/>
                <w:color w:val="auto"/>
              </w:rPr>
            </w:pPr>
            <w:r>
              <w:rPr>
                <w:rFonts w:ascii="Arial" w:cs="Arial" w:eastAsia="Arial" w:hAnsi="Arial"/>
                <w:sz w:val="18"/>
                <w:szCs w:val="18"/>
                <w:color w:val="auto"/>
              </w:rPr>
              <w:t>Date: August 13, 2019</w:t>
            </w:r>
          </w:p>
        </w:tc>
        <w:tc>
          <w:tcPr>
            <w:tcW w:w="4740" w:type="dxa"/>
            <w:vAlign w:val="bottom"/>
            <w:gridSpan w:val="4"/>
          </w:tcPr>
          <w:p>
            <w:pPr>
              <w:ind w:left="1240"/>
              <w:spacing w:after="0"/>
              <w:rPr>
                <w:sz w:val="20"/>
                <w:szCs w:val="20"/>
                <w:color w:val="auto"/>
              </w:rPr>
            </w:pPr>
            <w:r>
              <w:rPr>
                <w:rFonts w:ascii="Arial" w:cs="Arial" w:eastAsia="Arial" w:hAnsi="Arial"/>
                <w:sz w:val="18"/>
                <w:szCs w:val="18"/>
                <w:color w:val="auto"/>
              </w:rPr>
              <w:t>/s/ James Pelrin</w:t>
            </w:r>
          </w:p>
        </w:tc>
      </w:tr>
      <w:tr>
        <w:trPr>
          <w:trHeight w:val="20"/>
        </w:trPr>
        <w:tc>
          <w:tcPr>
            <w:tcW w:w="4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740" w:type="dxa"/>
            <w:vAlign w:val="bottom"/>
            <w:gridSpan w:val="4"/>
          </w:tcPr>
          <w:p>
            <w:pPr>
              <w:ind w:left="1240"/>
              <w:spacing w:after="0"/>
              <w:rPr>
                <w:sz w:val="20"/>
                <w:szCs w:val="20"/>
                <w:color w:val="auto"/>
              </w:rPr>
            </w:pPr>
            <w:r>
              <w:rPr>
                <w:rFonts w:ascii="Arial" w:cs="Arial" w:eastAsia="Arial" w:hAnsi="Arial"/>
                <w:sz w:val="18"/>
                <w:szCs w:val="18"/>
                <w:color w:val="auto"/>
              </w:rPr>
              <w:t>James Pelrin</w:t>
            </w:r>
          </w:p>
        </w:tc>
      </w:tr>
      <w:tr>
        <w:trPr>
          <w:trHeight w:val="230"/>
        </w:trPr>
        <w:tc>
          <w:tcPr>
            <w:tcW w:w="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740" w:type="dxa"/>
            <w:vAlign w:val="bottom"/>
            <w:gridSpan w:val="4"/>
          </w:tcPr>
          <w:p>
            <w:pPr>
              <w:ind w:left="1240"/>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824"/>
        </w:trPr>
        <w:tc>
          <w:tcPr>
            <w:tcW w:w="2880" w:type="dxa"/>
            <w:vAlign w:val="bottom"/>
            <w:gridSpan w:val="3"/>
          </w:tcPr>
          <w:p>
            <w:pPr>
              <w:spacing w:after="0"/>
              <w:rPr>
                <w:sz w:val="20"/>
                <w:szCs w:val="20"/>
                <w:color w:val="auto"/>
              </w:rPr>
            </w:pPr>
            <w:r>
              <w:rPr>
                <w:rFonts w:ascii="Arial" w:cs="Arial" w:eastAsia="Arial" w:hAnsi="Arial"/>
                <w:sz w:val="18"/>
                <w:szCs w:val="18"/>
                <w:color w:val="auto"/>
              </w:rPr>
              <w:t>Date: August 13, 2019</w:t>
            </w:r>
          </w:p>
        </w:tc>
        <w:tc>
          <w:tcPr>
            <w:tcW w:w="4740" w:type="dxa"/>
            <w:vAlign w:val="bottom"/>
            <w:gridSpan w:val="4"/>
          </w:tcPr>
          <w:p>
            <w:pPr>
              <w:ind w:left="1240"/>
              <w:spacing w:after="0"/>
              <w:rPr>
                <w:sz w:val="20"/>
                <w:szCs w:val="20"/>
                <w:color w:val="auto"/>
              </w:rPr>
            </w:pPr>
            <w:r>
              <w:rPr>
                <w:rFonts w:ascii="Arial" w:cs="Arial" w:eastAsia="Arial" w:hAnsi="Arial"/>
                <w:sz w:val="18"/>
                <w:szCs w:val="18"/>
                <w:color w:val="auto"/>
              </w:rPr>
              <w:t>/s/ Hugh T. Regan, Jr.</w:t>
            </w:r>
          </w:p>
        </w:tc>
      </w:tr>
      <w:tr>
        <w:trPr>
          <w:trHeight w:val="20"/>
        </w:trPr>
        <w:tc>
          <w:tcPr>
            <w:tcW w:w="4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60" w:type="dxa"/>
            <w:vAlign w:val="bottom"/>
            <w:gridSpan w:val="2"/>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740" w:type="dxa"/>
            <w:vAlign w:val="bottom"/>
            <w:gridSpan w:val="4"/>
          </w:tcPr>
          <w:p>
            <w:pPr>
              <w:ind w:left="1240"/>
              <w:spacing w:after="0"/>
              <w:rPr>
                <w:sz w:val="20"/>
                <w:szCs w:val="20"/>
                <w:color w:val="auto"/>
              </w:rPr>
            </w:pPr>
            <w:r>
              <w:rPr>
                <w:rFonts w:ascii="Arial" w:cs="Arial" w:eastAsia="Arial" w:hAnsi="Arial"/>
                <w:sz w:val="18"/>
                <w:szCs w:val="18"/>
                <w:color w:val="auto"/>
              </w:rPr>
              <w:t>Hugh T. Regan, Jr.</w:t>
            </w:r>
          </w:p>
        </w:tc>
      </w:tr>
      <w:tr>
        <w:trPr>
          <w:trHeight w:val="230"/>
        </w:trPr>
        <w:tc>
          <w:tcPr>
            <w:tcW w:w="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740" w:type="dxa"/>
            <w:vAlign w:val="bottom"/>
            <w:gridSpan w:val="4"/>
          </w:tcPr>
          <w:p>
            <w:pPr>
              <w:ind w:left="1240"/>
              <w:spacing w:after="0"/>
              <w:rPr>
                <w:sz w:val="20"/>
                <w:szCs w:val="20"/>
                <w:color w:val="auto"/>
              </w:rPr>
            </w:pPr>
            <w:r>
              <w:rPr>
                <w:rFonts w:ascii="Arial" w:cs="Arial" w:eastAsia="Arial" w:hAnsi="Arial"/>
                <w:sz w:val="18"/>
                <w:szCs w:val="18"/>
                <w:i w:val="1"/>
                <w:iCs w:val="1"/>
                <w:color w:val="auto"/>
                <w:w w:val="91"/>
              </w:rPr>
              <w:t>Secretary, Treasurer and Chief Financial Officer</w:t>
            </w:r>
          </w:p>
        </w:tc>
      </w:tr>
      <w:tr>
        <w:trPr>
          <w:trHeight w:val="432"/>
        </w:trPr>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0" w:type="dxa"/>
            <w:vAlign w:val="bottom"/>
            <w:gridSpan w:val="3"/>
          </w:tcPr>
          <w:p>
            <w:pPr>
              <w:ind w:left="2220"/>
              <w:spacing w:after="0"/>
              <w:rPr>
                <w:sz w:val="20"/>
                <w:szCs w:val="20"/>
                <w:color w:val="auto"/>
              </w:rPr>
            </w:pPr>
            <w:r>
              <w:rPr>
                <w:rFonts w:ascii="Arial" w:cs="Arial" w:eastAsia="Arial" w:hAnsi="Arial"/>
                <w:sz w:val="18"/>
                <w:szCs w:val="18"/>
                <w:color w:val="auto"/>
              </w:rPr>
              <w:t>-31-</w:t>
            </w:r>
          </w:p>
        </w:tc>
        <w:tc>
          <w:tcPr>
            <w:tcW w:w="1940" w:type="dxa"/>
            <w:vAlign w:val="bottom"/>
          </w:tcPr>
          <w:p>
            <w:pPr>
              <w:spacing w:after="0"/>
              <w:rPr>
                <w:sz w:val="24"/>
                <w:szCs w:val="24"/>
                <w:color w:val="auto"/>
              </w:rPr>
            </w:pPr>
          </w:p>
        </w:tc>
      </w:tr>
    </w:tbl>
    <w:p>
      <w:pPr>
        <w:sectPr>
          <w:pgSz w:w="11900" w:h="16838" w:orient="portrait"/>
          <w:cols w:equalWidth="0" w:num="1">
            <w:col w:w="10780"/>
          </w:cols>
          <w:pgMar w:left="240" w:top="118" w:right="87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u w:val="single" w:color="auto"/>
          <w:color w:val="auto"/>
        </w:rPr>
        <w:t>EXHIBIT 10.2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Form of Restricted Stock Award Agreement for Employees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ESTRICTED</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WARD</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GREEMENT</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FOR</w:t>
      </w:r>
    </w:p>
    <w:p>
      <w:pPr>
        <w:spacing w:after="0" w:line="20"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_____________________________</w:t>
      </w:r>
    </w:p>
    <w:p>
      <w:pPr>
        <w:spacing w:after="0" w:line="229" w:lineRule="exact"/>
        <w:rPr>
          <w:sz w:val="20"/>
          <w:szCs w:val="20"/>
          <w:color w:val="auto"/>
        </w:rPr>
      </w:pPr>
    </w:p>
    <w:p>
      <w:pPr>
        <w:ind w:right="220" w:firstLine="567"/>
        <w:spacing w:after="0" w:line="291" w:lineRule="auto"/>
        <w:rPr>
          <w:sz w:val="20"/>
          <w:szCs w:val="20"/>
          <w:color w:val="auto"/>
        </w:rPr>
      </w:pPr>
      <w:r>
        <w:rPr>
          <w:rFonts w:ascii="Arial" w:cs="Arial" w:eastAsia="Arial" w:hAnsi="Arial"/>
          <w:sz w:val="16"/>
          <w:szCs w:val="16"/>
          <w:color w:val="auto"/>
        </w:rPr>
        <w:t>We are pleased to advise you that inTEST Corporation (the “Company”) hereby grants to you under the inTEST Corporation Second Amended and Restated 2014 Stock Plan (the “Plan”), an award of restricted stock (“Restricted Stock”) with respect to ____________ shares of Common Stock of the</w:t>
      </w:r>
    </w:p>
    <w:p>
      <w:pPr>
        <w:jc w:val="both"/>
        <w:ind w:right="60"/>
        <w:spacing w:after="0" w:line="255" w:lineRule="auto"/>
        <w:rPr>
          <w:sz w:val="20"/>
          <w:szCs w:val="20"/>
          <w:color w:val="auto"/>
        </w:rPr>
      </w:pPr>
      <w:r>
        <w:rPr>
          <w:rFonts w:ascii="Arial" w:cs="Arial" w:eastAsia="Arial" w:hAnsi="Arial"/>
          <w:sz w:val="18"/>
          <w:szCs w:val="18"/>
          <w:color w:val="auto"/>
        </w:rPr>
        <w:t>Company, subject to your signing this Agreement and the provisions hereof. This award incorporates and is subject in all respects to the applicable provisions of the Plan, a complete copy of which has been furnished to you and receipt of which you acknowledge by acceptance of the award. All capitalized terms not defined in this Agreement have the meaning given them in the Plan.</w:t>
      </w:r>
    </w:p>
    <w:p>
      <w:pPr>
        <w:spacing w:after="0" w:line="186" w:lineRule="exact"/>
        <w:rPr>
          <w:sz w:val="20"/>
          <w:szCs w:val="20"/>
          <w:color w:val="auto"/>
        </w:rPr>
      </w:pPr>
    </w:p>
    <w:p>
      <w:pPr>
        <w:ind w:left="740" w:right="260" w:hanging="641"/>
        <w:spacing w:after="0" w:line="277" w:lineRule="auto"/>
        <w:tabs>
          <w:tab w:leader="none" w:pos="740" w:val="left"/>
        </w:tabs>
        <w:numPr>
          <w:ilvl w:val="0"/>
          <w:numId w:val="1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Issuance of Shares. </w:t>
      </w:r>
      <w:r>
        <w:rPr>
          <w:rFonts w:ascii="Arial" w:cs="Arial" w:eastAsia="Arial" w:hAnsi="Arial"/>
          <w:sz w:val="17"/>
          <w:szCs w:val="17"/>
          <w:color w:val="auto"/>
        </w:rPr>
        <w:t>Upon your execution and delivery of this Agreement and one or more instruments of transfer relating to all shares issuable</w:t>
      </w:r>
      <w:r>
        <w:rPr>
          <w:rFonts w:ascii="Arial" w:cs="Arial" w:eastAsia="Arial" w:hAnsi="Arial"/>
          <w:sz w:val="17"/>
          <w:szCs w:val="17"/>
          <w:b w:val="1"/>
          <w:bCs w:val="1"/>
          <w:color w:val="auto"/>
        </w:rPr>
        <w:t xml:space="preserve"> </w:t>
      </w:r>
      <w:r>
        <w:rPr>
          <w:rFonts w:ascii="Arial" w:cs="Arial" w:eastAsia="Arial" w:hAnsi="Arial"/>
          <w:sz w:val="17"/>
          <w:szCs w:val="17"/>
          <w:color w:val="auto"/>
        </w:rPr>
        <w:t>pursuant to this Agreement (the "Shares"), you will be issued _______________ Shares of Common Stock as of _________________ (the "Grant Date"), subject to the terms, conditions and restrictions of this Agreement and the Plan. Such Shares shall be registered in your name, but the Company shall retain custody of any certificates issued for such Shares pending the vesting or forfeiture thereof. Upon the vesting of any such Shares, the Company shall deliver to you the certificates for such Shares.</w:t>
      </w:r>
    </w:p>
    <w:p>
      <w:pPr>
        <w:spacing w:after="0" w:line="168" w:lineRule="exact"/>
        <w:rPr>
          <w:rFonts w:ascii="Arial" w:cs="Arial" w:eastAsia="Arial" w:hAnsi="Arial"/>
          <w:sz w:val="17"/>
          <w:szCs w:val="17"/>
          <w:b w:val="1"/>
          <w:bCs w:val="1"/>
          <w:color w:val="auto"/>
        </w:rPr>
      </w:pPr>
    </w:p>
    <w:p>
      <w:pPr>
        <w:ind w:left="740" w:hanging="641"/>
        <w:spacing w:after="0"/>
        <w:tabs>
          <w:tab w:leader="none" w:pos="7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Vesting.</w:t>
      </w:r>
    </w:p>
    <w:p>
      <w:pPr>
        <w:spacing w:after="0" w:line="229" w:lineRule="exact"/>
        <w:rPr>
          <w:rFonts w:ascii="Arial" w:cs="Arial" w:eastAsia="Arial" w:hAnsi="Arial"/>
          <w:sz w:val="18"/>
          <w:szCs w:val="18"/>
          <w:b w:val="1"/>
          <w:bCs w:val="1"/>
          <w:color w:val="auto"/>
        </w:rPr>
      </w:pPr>
    </w:p>
    <w:p>
      <w:pPr>
        <w:ind w:left="1400" w:hanging="653"/>
        <w:spacing w:after="0"/>
        <w:tabs>
          <w:tab w:leader="none" w:pos="14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Shares of Common Stock issued to you under this Agreement shall vest according to the following schedule:</w:t>
      </w:r>
    </w:p>
    <w:p>
      <w:pPr>
        <w:spacing w:after="0" w:line="225" w:lineRule="exact"/>
        <w:rPr>
          <w:rFonts w:ascii="Arial" w:cs="Arial" w:eastAsia="Arial" w:hAnsi="Arial"/>
          <w:sz w:val="18"/>
          <w:szCs w:val="18"/>
          <w:color w:val="auto"/>
        </w:rPr>
      </w:pPr>
    </w:p>
    <w:p>
      <w:pPr>
        <w:ind w:left="140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w:t>
      </w:r>
    </w:p>
    <w:p>
      <w:pPr>
        <w:spacing w:after="0" w:line="225" w:lineRule="exact"/>
        <w:rPr>
          <w:rFonts w:ascii="Arial" w:cs="Arial" w:eastAsia="Arial" w:hAnsi="Arial"/>
          <w:sz w:val="18"/>
          <w:szCs w:val="18"/>
          <w:color w:val="auto"/>
        </w:rPr>
      </w:pPr>
    </w:p>
    <w:p>
      <w:pPr>
        <w:ind w:left="1400" w:right="320" w:hanging="653"/>
        <w:spacing w:after="0" w:line="277" w:lineRule="auto"/>
        <w:tabs>
          <w:tab w:leader="none" w:pos="14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In the event that you become entitled to a fractional Share, such fractional Share shall not vest unless and until the participant becomes entitled to such number of fractional Shares as shall be equal in sum to a whole Share.</w:t>
      </w:r>
    </w:p>
    <w:p>
      <w:pPr>
        <w:spacing w:after="0" w:line="166" w:lineRule="exact"/>
        <w:rPr>
          <w:rFonts w:ascii="Arial" w:cs="Arial" w:eastAsia="Arial" w:hAnsi="Arial"/>
          <w:sz w:val="18"/>
          <w:szCs w:val="18"/>
          <w:color w:val="auto"/>
        </w:rPr>
      </w:pPr>
    </w:p>
    <w:p>
      <w:pPr>
        <w:ind w:left="740" w:right="400" w:hanging="641"/>
        <w:spacing w:after="0" w:line="282" w:lineRule="auto"/>
        <w:tabs>
          <w:tab w:leader="none" w:pos="7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Conditions to Vesting. </w:t>
      </w:r>
      <w:r>
        <w:rPr>
          <w:rFonts w:ascii="Arial" w:cs="Arial" w:eastAsia="Arial" w:hAnsi="Arial"/>
          <w:sz w:val="18"/>
          <w:szCs w:val="18"/>
          <w:color w:val="auto"/>
        </w:rPr>
        <w:t>As a condition to the vesting of Shares, all of the following conditions must be fully satisfied on the applicable vesting</w:t>
      </w:r>
      <w:r>
        <w:rPr>
          <w:rFonts w:ascii="Arial" w:cs="Arial" w:eastAsia="Arial" w:hAnsi="Arial"/>
          <w:sz w:val="18"/>
          <w:szCs w:val="18"/>
          <w:b w:val="1"/>
          <w:bCs w:val="1"/>
          <w:color w:val="auto"/>
        </w:rPr>
        <w:t xml:space="preserve"> </w:t>
      </w:r>
      <w:r>
        <w:rPr>
          <w:rFonts w:ascii="Arial" w:cs="Arial" w:eastAsia="Arial" w:hAnsi="Arial"/>
          <w:sz w:val="18"/>
          <w:szCs w:val="18"/>
          <w:color w:val="auto"/>
        </w:rPr>
        <w:t>date:</w:t>
      </w:r>
    </w:p>
    <w:p>
      <w:pPr>
        <w:spacing w:after="0" w:line="165" w:lineRule="exact"/>
        <w:rPr>
          <w:rFonts w:ascii="Arial" w:cs="Arial" w:eastAsia="Arial" w:hAnsi="Arial"/>
          <w:sz w:val="18"/>
          <w:szCs w:val="18"/>
          <w:b w:val="1"/>
          <w:bCs w:val="1"/>
          <w:color w:val="auto"/>
        </w:rPr>
      </w:pPr>
    </w:p>
    <w:p>
      <w:pPr>
        <w:ind w:left="1400" w:right="280" w:hanging="653"/>
        <w:spacing w:after="0" w:line="291" w:lineRule="auto"/>
        <w:tabs>
          <w:tab w:leader="none" w:pos="14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You must have been in the continuous employ of the Company or its Affiliates, or continuously engaged to provide services to the Company or its Affiliates, through and including the date of vesting, and no event shall have occurred which, with due notice or lapse of time, or both, would entitle the Company or its Affiliates to terminate your employment or engagement with the Company; provided however, if, upon an employee’s retirement from active employment with the Company or its Affiliates, the employee’s age plus years of service to the Company or its Affiliates are equal to or greater than seventy-five (75) years, and the employee signs and agrees to be bound by the Company’s or an Affiliate’s post-employment non-competition, non-solicitation and non-disclosure agreement, such employee’s award of Restricted Stock granted under this Agreement will continue to vest according to Section 2.</w:t>
      </w:r>
    </w:p>
    <w:p>
      <w:pPr>
        <w:spacing w:after="0" w:line="167" w:lineRule="exact"/>
        <w:rPr>
          <w:rFonts w:ascii="Arial" w:cs="Arial" w:eastAsia="Arial" w:hAnsi="Arial"/>
          <w:sz w:val="16"/>
          <w:szCs w:val="16"/>
          <w:color w:val="auto"/>
        </w:rPr>
      </w:pPr>
    </w:p>
    <w:p>
      <w:pPr>
        <w:ind w:left="1400" w:right="260" w:hanging="653"/>
        <w:spacing w:after="0" w:line="277" w:lineRule="auto"/>
        <w:tabs>
          <w:tab w:leader="none" w:pos="14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You must not be in breach or default of any obligation to the Company or its Affiliates, whether or not contained in any agreement with the Company or its Affiliates, or imposed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 w:name="page35"/>
    <w:bookmarkEnd w:id="34"/>
    <w:p>
      <w:pPr>
        <w:ind w:left="541" w:hanging="541"/>
        <w:spacing w:after="0" w:line="290" w:lineRule="auto"/>
        <w:tabs>
          <w:tab w:leader="none" w:pos="541" w:val="left"/>
        </w:tabs>
        <w:numPr>
          <w:ilvl w:val="0"/>
          <w:numId w:val="1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Death, Disability or Change of Control. </w:t>
      </w:r>
      <w:r>
        <w:rPr>
          <w:rFonts w:ascii="Arial" w:cs="Arial" w:eastAsia="Arial" w:hAnsi="Arial"/>
          <w:sz w:val="16"/>
          <w:szCs w:val="16"/>
          <w:color w:val="auto"/>
        </w:rPr>
        <w:t>Shares of Common Stock issued under this Agreement shall become immediately and fully vested 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event: (i) you die; (ii) you incur a Disability; or (iii) a Change of Control occurs and (A) the Unrelated Person involved in such Change of Control does not assume or substitute your Award; (B) your employment is terminated by the Company without Cause within two years following the Change of Control; or (C) you terminate your employment for Good Reason following a Change of Control; </w:t>
      </w:r>
      <w:r>
        <w:rPr>
          <w:rFonts w:ascii="Arial" w:cs="Arial" w:eastAsia="Arial" w:hAnsi="Arial"/>
          <w:sz w:val="16"/>
          <w:szCs w:val="16"/>
          <w:i w:val="1"/>
          <w:iCs w:val="1"/>
          <w:color w:val="auto"/>
        </w:rPr>
        <w:t>provided, however</w:t>
      </w:r>
      <w:r>
        <w:rPr>
          <w:rFonts w:ascii="Arial" w:cs="Arial" w:eastAsia="Arial" w:hAnsi="Arial"/>
          <w:sz w:val="16"/>
          <w:szCs w:val="16"/>
          <w:color w:val="auto"/>
        </w:rPr>
        <w:t>, that you satisfy the requirements of Section 3 of this Agreement. An employee who has retired from active employment according to Section 3(i) of this Agreement and whose Award is not assumed or substituted by an Unrelated Person following a Change of Control is considered to be terminated without Cause. For purposes of this Agreement, the term “Disability” shall mean a condition of total mental or physical incapacity for further performance of a person’s duty with the Company that the Committee determines, on the basis of competent medical evidence, is likely to be permanent and constitutes a “disability” within the meaning of section 22(e)(3) of the Internal Revenue Code.</w:t>
      </w:r>
    </w:p>
    <w:p>
      <w:pPr>
        <w:spacing w:after="0" w:line="159" w:lineRule="exact"/>
        <w:rPr>
          <w:rFonts w:ascii="Arial" w:cs="Arial" w:eastAsia="Arial" w:hAnsi="Arial"/>
          <w:sz w:val="16"/>
          <w:szCs w:val="16"/>
          <w:b w:val="1"/>
          <w:bCs w:val="1"/>
          <w:color w:val="auto"/>
        </w:rPr>
      </w:pPr>
    </w:p>
    <w:p>
      <w:pPr>
        <w:ind w:left="541" w:right="120" w:hanging="541"/>
        <w:spacing w:after="0" w:line="282" w:lineRule="auto"/>
        <w:tabs>
          <w:tab w:leader="none" w:pos="541"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Transferability</w:t>
      </w:r>
      <w:r>
        <w:rPr>
          <w:rFonts w:ascii="Arial" w:cs="Arial" w:eastAsia="Arial" w:hAnsi="Arial"/>
          <w:sz w:val="18"/>
          <w:szCs w:val="18"/>
          <w:color w:val="auto"/>
        </w:rPr>
        <w:t>. The Shares of Common Stock issued to you under this Agreement shall not be transferable by you prior to the date such Shares</w:t>
      </w:r>
      <w:r>
        <w:rPr>
          <w:rFonts w:ascii="Arial" w:cs="Arial" w:eastAsia="Arial" w:hAnsi="Arial"/>
          <w:sz w:val="18"/>
          <w:szCs w:val="18"/>
          <w:b w:val="1"/>
          <w:bCs w:val="1"/>
          <w:color w:val="auto"/>
        </w:rPr>
        <w:t xml:space="preserve"> </w:t>
      </w:r>
      <w:r>
        <w:rPr>
          <w:rFonts w:ascii="Arial" w:cs="Arial" w:eastAsia="Arial" w:hAnsi="Arial"/>
          <w:sz w:val="18"/>
          <w:szCs w:val="18"/>
          <w:color w:val="auto"/>
        </w:rPr>
        <w:t>become vested under the terms of this Agreement and the Plan.</w:t>
      </w:r>
    </w:p>
    <w:p>
      <w:pPr>
        <w:spacing w:after="0" w:line="161" w:lineRule="exact"/>
        <w:rPr>
          <w:rFonts w:ascii="Arial" w:cs="Arial" w:eastAsia="Arial" w:hAnsi="Arial"/>
          <w:sz w:val="18"/>
          <w:szCs w:val="18"/>
          <w:b w:val="1"/>
          <w:bCs w:val="1"/>
          <w:color w:val="auto"/>
        </w:rPr>
      </w:pPr>
    </w:p>
    <w:p>
      <w:pPr>
        <w:ind w:left="541" w:right="440" w:hanging="541"/>
        <w:spacing w:after="0" w:line="282" w:lineRule="auto"/>
        <w:tabs>
          <w:tab w:leader="none" w:pos="541"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Restrictive Legend. </w:t>
      </w:r>
      <w:r>
        <w:rPr>
          <w:rFonts w:ascii="Arial" w:cs="Arial" w:eastAsia="Arial" w:hAnsi="Arial"/>
          <w:sz w:val="18"/>
          <w:szCs w:val="18"/>
          <w:color w:val="auto"/>
        </w:rPr>
        <w:t>Certificates for the Shares with respect to which the vesting requirements have not been met shall be inscribed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legend:</w:t>
      </w:r>
    </w:p>
    <w:p>
      <w:pPr>
        <w:spacing w:after="0" w:line="166" w:lineRule="exact"/>
        <w:rPr>
          <w:sz w:val="20"/>
          <w:szCs w:val="20"/>
          <w:color w:val="auto"/>
        </w:rPr>
      </w:pPr>
    </w:p>
    <w:p>
      <w:pPr>
        <w:ind w:left="1341" w:right="1680"/>
        <w:spacing w:after="0" w:line="279" w:lineRule="auto"/>
        <w:rPr>
          <w:sz w:val="20"/>
          <w:szCs w:val="20"/>
          <w:color w:val="auto"/>
        </w:rPr>
      </w:pPr>
      <w:r>
        <w:rPr>
          <w:rFonts w:ascii="Arial" w:cs="Arial" w:eastAsia="Arial" w:hAnsi="Arial"/>
          <w:sz w:val="17"/>
          <w:szCs w:val="17"/>
          <w:color w:val="auto"/>
        </w:rPr>
        <w:t>"The shares of stock evidenced by this certificate are subject to the terms and restrictions of a Restricted Stock Award Agreement. They are subject to forfeiture under the terms of that Agreement if they are transferred, sold, pledged, given, hypothecated, or otherwise disposed of, other than through death or disability. A copy of that Agreement is available from the Secretary of inTEST Corporation upon request."</w:t>
      </w:r>
    </w:p>
    <w:p>
      <w:pPr>
        <w:spacing w:after="0" w:line="167" w:lineRule="exact"/>
        <w:rPr>
          <w:sz w:val="20"/>
          <w:szCs w:val="20"/>
          <w:color w:val="auto"/>
        </w:rPr>
      </w:pPr>
    </w:p>
    <w:p>
      <w:pPr>
        <w:ind w:left="541" w:right="340" w:hanging="541"/>
        <w:spacing w:after="0" w:line="347" w:lineRule="auto"/>
        <w:tabs>
          <w:tab w:leader="none" w:pos="541" w:val="left"/>
        </w:tabs>
        <w:numPr>
          <w:ilvl w:val="0"/>
          <w:numId w:val="1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Removal of Restrictive Legend. </w:t>
      </w:r>
      <w:r>
        <w:rPr>
          <w:rFonts w:ascii="Arial" w:cs="Arial" w:eastAsia="Arial" w:hAnsi="Arial"/>
          <w:sz w:val="16"/>
          <w:szCs w:val="16"/>
          <w:color w:val="auto"/>
        </w:rPr>
        <w:t>When the vesting requirements on any Shares have been met, the Company shall cause a replacement stock</w:t>
      </w:r>
      <w:r>
        <w:rPr>
          <w:rFonts w:ascii="Arial" w:cs="Arial" w:eastAsia="Arial" w:hAnsi="Arial"/>
          <w:sz w:val="16"/>
          <w:szCs w:val="16"/>
          <w:b w:val="1"/>
          <w:bCs w:val="1"/>
          <w:color w:val="auto"/>
        </w:rPr>
        <w:t xml:space="preserve"> </w:t>
      </w:r>
      <w:r>
        <w:rPr>
          <w:rFonts w:ascii="Arial" w:cs="Arial" w:eastAsia="Arial" w:hAnsi="Arial"/>
          <w:sz w:val="16"/>
          <w:szCs w:val="16"/>
          <w:color w:val="auto"/>
        </w:rPr>
        <w:t>certificate for those Shares, without the legend referred to in Section 6, to be issued and delivered to you, as soon as practicable.</w:t>
      </w:r>
    </w:p>
    <w:p>
      <w:pPr>
        <w:spacing w:after="0" w:line="116" w:lineRule="exact"/>
        <w:rPr>
          <w:rFonts w:ascii="Arial" w:cs="Arial" w:eastAsia="Arial" w:hAnsi="Arial"/>
          <w:sz w:val="16"/>
          <w:szCs w:val="16"/>
          <w:b w:val="1"/>
          <w:bCs w:val="1"/>
          <w:color w:val="auto"/>
        </w:rPr>
      </w:pPr>
    </w:p>
    <w:p>
      <w:pPr>
        <w:ind w:left="541" w:hanging="541"/>
        <w:spacing w:after="0" w:line="266" w:lineRule="auto"/>
        <w:tabs>
          <w:tab w:leader="none" w:pos="541"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Right to Employment. </w:t>
      </w:r>
      <w:r>
        <w:rPr>
          <w:rFonts w:ascii="Arial" w:cs="Arial" w:eastAsia="Arial" w:hAnsi="Arial"/>
          <w:sz w:val="18"/>
          <w:szCs w:val="18"/>
          <w:color w:val="auto"/>
        </w:rPr>
        <w:t>Neither the award of Shares pursuant to this Agreement nor any provision of this Agreement shall be construed (i) to</w:t>
      </w:r>
      <w:r>
        <w:rPr>
          <w:rFonts w:ascii="Arial" w:cs="Arial" w:eastAsia="Arial" w:hAnsi="Arial"/>
          <w:sz w:val="18"/>
          <w:szCs w:val="18"/>
          <w:b w:val="1"/>
          <w:bCs w:val="1"/>
          <w:color w:val="auto"/>
        </w:rPr>
        <w:t xml:space="preserve"> </w:t>
      </w:r>
      <w:r>
        <w:rPr>
          <w:rFonts w:ascii="Arial" w:cs="Arial" w:eastAsia="Arial" w:hAnsi="Arial"/>
          <w:sz w:val="18"/>
          <w:szCs w:val="18"/>
          <w:color w:val="auto"/>
        </w:rPr>
        <w:t>give you any right to continued employment with the Company or (ii) as an amendment to your employment agreement, if any, with the Company or its Affiliates.</w:t>
      </w:r>
    </w:p>
    <w:p>
      <w:pPr>
        <w:spacing w:after="0" w:line="176" w:lineRule="exact"/>
        <w:rPr>
          <w:rFonts w:ascii="Arial" w:cs="Arial" w:eastAsia="Arial" w:hAnsi="Arial"/>
          <w:sz w:val="18"/>
          <w:szCs w:val="18"/>
          <w:b w:val="1"/>
          <w:bCs w:val="1"/>
          <w:color w:val="auto"/>
        </w:rPr>
      </w:pPr>
    </w:p>
    <w:p>
      <w:pPr>
        <w:jc w:val="both"/>
        <w:ind w:left="541" w:right="240" w:hanging="541"/>
        <w:spacing w:after="0" w:line="266" w:lineRule="auto"/>
        <w:tabs>
          <w:tab w:leader="none" w:pos="541"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Forfeiture</w:t>
      </w:r>
      <w:r>
        <w:rPr>
          <w:rFonts w:ascii="Arial" w:cs="Arial" w:eastAsia="Arial" w:hAnsi="Arial"/>
          <w:sz w:val="18"/>
          <w:szCs w:val="18"/>
          <w:color w:val="auto"/>
        </w:rPr>
        <w:t>. Shares of Common Stock issued to you under this Agreement not previously vested hereunder shall be forfeited as of the date your</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by, or engagement to provide services to, the Company and all affiliates thereof terminates. Following such a forfeiture, you shall have no rights whatsoever with respect to the Shares of Common Stock 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363855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81"/>
          </w:cols>
          <w:pgMar w:left="339" w:top="580" w:right="479" w:bottom="1440" w:gutter="0" w:footer="0" w:header="0"/>
        </w:sectPr>
      </w:pPr>
    </w:p>
    <w:bookmarkStart w:id="35" w:name="page36"/>
    <w:bookmarkEnd w:id="35"/>
    <w:p>
      <w:pPr>
        <w:ind w:left="561" w:hanging="561"/>
        <w:spacing w:after="0" w:line="261" w:lineRule="auto"/>
        <w:tabs>
          <w:tab w:leader="none" w:pos="561"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Voting, Dividend and Tender Offer Rights</w:t>
      </w:r>
      <w:r>
        <w:rPr>
          <w:rFonts w:ascii="Arial" w:cs="Arial" w:eastAsia="Arial" w:hAnsi="Arial"/>
          <w:sz w:val="18"/>
          <w:szCs w:val="18"/>
          <w:color w:val="auto"/>
        </w:rPr>
        <w:t>. You shall have voting and tender offer rights with respect to Shares of Common Stock issued to you</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this Agreement whether or not such Shares are vested or unvested. Cash dividends, however, shall accrue and be paid when the Shares underlying the award of Restricted Stock vest. Stock dividends shall be issued to you and shall become vested under the same terms and conditions as the Shares under the award of Restricted Stock to which they pertain.</w:t>
      </w:r>
    </w:p>
    <w:p>
      <w:pPr>
        <w:spacing w:after="0" w:line="180" w:lineRule="exact"/>
        <w:rPr>
          <w:rFonts w:ascii="Arial" w:cs="Arial" w:eastAsia="Arial" w:hAnsi="Arial"/>
          <w:sz w:val="18"/>
          <w:szCs w:val="18"/>
          <w:b w:val="1"/>
          <w:bCs w:val="1"/>
          <w:color w:val="auto"/>
        </w:rPr>
      </w:pPr>
    </w:p>
    <w:p>
      <w:pPr>
        <w:ind w:left="561" w:right="180" w:hanging="561"/>
        <w:spacing w:after="0" w:line="261" w:lineRule="auto"/>
        <w:tabs>
          <w:tab w:leader="none" w:pos="561"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Withholding of Applicable Taxes. </w:t>
      </w:r>
      <w:r>
        <w:rPr>
          <w:rFonts w:ascii="Arial" w:cs="Arial" w:eastAsia="Arial" w:hAnsi="Arial"/>
          <w:sz w:val="18"/>
          <w:szCs w:val="18"/>
          <w:color w:val="auto"/>
        </w:rPr>
        <w:t>It shall be a condition to the Company’s obligation to deliver Common Stock to you pursuant to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that you pay, or make provision satisfactory to the Company for the payment of, any taxes (other than stock transfer taxes) the Company is obligated to collect with respect to the delivery of Common Stock under this Agreement, including any applicable federal, state, or local withholding or employment taxes.</w:t>
      </w:r>
    </w:p>
    <w:p>
      <w:pPr>
        <w:spacing w:after="0" w:line="180" w:lineRule="exact"/>
        <w:rPr>
          <w:rFonts w:ascii="Arial" w:cs="Arial" w:eastAsia="Arial" w:hAnsi="Arial"/>
          <w:sz w:val="18"/>
          <w:szCs w:val="18"/>
          <w:b w:val="1"/>
          <w:bCs w:val="1"/>
          <w:color w:val="auto"/>
        </w:rPr>
      </w:pPr>
    </w:p>
    <w:p>
      <w:pPr>
        <w:ind w:left="561" w:right="300" w:hanging="561"/>
        <w:spacing w:after="0" w:line="282" w:lineRule="auto"/>
        <w:tabs>
          <w:tab w:leader="none" w:pos="561"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Amendment</w:t>
      </w:r>
      <w:r>
        <w:rPr>
          <w:rFonts w:ascii="Arial" w:cs="Arial" w:eastAsia="Arial" w:hAnsi="Arial"/>
          <w:sz w:val="18"/>
          <w:szCs w:val="18"/>
          <w:color w:val="auto"/>
        </w:rPr>
        <w:t>. This Agreement may be amended, in whole or in part and in any manner not inconsistent with the provisions of the Plan, at any</w:t>
      </w:r>
      <w:r>
        <w:rPr>
          <w:rFonts w:ascii="Arial" w:cs="Arial" w:eastAsia="Arial" w:hAnsi="Arial"/>
          <w:sz w:val="18"/>
          <w:szCs w:val="18"/>
          <w:b w:val="1"/>
          <w:bCs w:val="1"/>
          <w:color w:val="auto"/>
        </w:rPr>
        <w:t xml:space="preserve"> </w:t>
      </w:r>
      <w:r>
        <w:rPr>
          <w:rFonts w:ascii="Arial" w:cs="Arial" w:eastAsia="Arial" w:hAnsi="Arial"/>
          <w:sz w:val="18"/>
          <w:szCs w:val="18"/>
          <w:color w:val="auto"/>
        </w:rPr>
        <w:t>time and from time to time, by written agreement between the Company and you.</w:t>
      </w:r>
    </w:p>
    <w:p>
      <w:pPr>
        <w:spacing w:after="0" w:line="161" w:lineRule="exact"/>
        <w:rPr>
          <w:rFonts w:ascii="Arial" w:cs="Arial" w:eastAsia="Arial" w:hAnsi="Arial"/>
          <w:sz w:val="18"/>
          <w:szCs w:val="18"/>
          <w:b w:val="1"/>
          <w:bCs w:val="1"/>
          <w:color w:val="auto"/>
        </w:rPr>
      </w:pPr>
    </w:p>
    <w:p>
      <w:pPr>
        <w:ind w:left="561" w:hanging="561"/>
        <w:spacing w:after="0"/>
        <w:tabs>
          <w:tab w:leader="none" w:pos="561"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Agreement shall be construed in accordance with the laws of the State of Delaware.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377825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81"/>
          </w:cols>
          <w:pgMar w:left="339" w:top="580" w:right="47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The undersigned hereby acknowledges this award of restricted stock on behalf of the Company.</w:t>
      </w:r>
    </w:p>
    <w:p>
      <w:pPr>
        <w:spacing w:after="0" w:line="200" w:lineRule="exact"/>
        <w:rPr>
          <w:sz w:val="20"/>
          <w:szCs w:val="20"/>
          <w:color w:val="auto"/>
        </w:rPr>
      </w:pPr>
    </w:p>
    <w:p>
      <w:pPr>
        <w:spacing w:after="0" w:line="237"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By: ______________________________</w:t>
      </w:r>
    </w:p>
    <w:p>
      <w:pPr>
        <w:spacing w:after="0" w:line="23"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Hugh T. Regan, Jr.</w:t>
      </w:r>
    </w:p>
    <w:p>
      <w:pPr>
        <w:spacing w:after="0" w:line="9"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Secretary, Treasurer and Chief Financial Officer</w:t>
      </w:r>
    </w:p>
    <w:p>
      <w:pPr>
        <w:spacing w:after="0" w:line="200" w:lineRule="exact"/>
        <w:rPr>
          <w:sz w:val="20"/>
          <w:szCs w:val="20"/>
          <w:color w:val="auto"/>
        </w:rPr>
      </w:pPr>
    </w:p>
    <w:p>
      <w:pPr>
        <w:spacing w:after="0" w:line="227"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Date: ____________________</w:t>
      </w:r>
    </w:p>
    <w:p>
      <w:pPr>
        <w:spacing w:after="0" w:line="200" w:lineRule="exact"/>
        <w:rPr>
          <w:sz w:val="20"/>
          <w:szCs w:val="20"/>
          <w:color w:val="auto"/>
        </w:rPr>
      </w:pPr>
    </w:p>
    <w:p>
      <w:pPr>
        <w:spacing w:after="0" w:line="24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 indicate your acceptance and agreement to this Restricted Stock Award, please execute and immediately return to the Company the enclosed duplicate original of this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ACCEPTED AND AGREED TO</w:t>
      </w:r>
      <w:r>
        <w:rPr>
          <w:rFonts w:ascii="Arial" w:cs="Arial" w:eastAsia="Arial" w:hAnsi="Arial"/>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spacing w:after="0"/>
        <w:tabs>
          <w:tab w:leader="none" w:pos="6840" w:val="left"/>
        </w:tabs>
        <w:rPr>
          <w:sz w:val="20"/>
          <w:szCs w:val="20"/>
          <w:color w:val="auto"/>
        </w:rPr>
      </w:pPr>
      <w:r>
        <w:rPr>
          <w:rFonts w:ascii="Arial" w:cs="Arial" w:eastAsia="Arial" w:hAnsi="Arial"/>
          <w:sz w:val="18"/>
          <w:szCs w:val="18"/>
          <w:color w:val="auto"/>
        </w:rPr>
        <w:t>_______________________________________</w:t>
      </w:r>
      <w:r>
        <w:rPr>
          <w:sz w:val="20"/>
          <w:szCs w:val="20"/>
          <w:color w:val="auto"/>
        </w:rPr>
        <w:tab/>
      </w:r>
      <w:r>
        <w:rPr>
          <w:rFonts w:ascii="Arial" w:cs="Arial" w:eastAsia="Arial" w:hAnsi="Arial"/>
          <w:sz w:val="18"/>
          <w:szCs w:val="18"/>
          <w:color w:val="auto"/>
        </w:rPr>
        <w:t>Date:  ________________</w:t>
      </w:r>
    </w:p>
    <w:p>
      <w:pPr>
        <w:sectPr>
          <w:pgSz w:w="11900" w:h="16838" w:orient="portrait"/>
          <w:cols w:equalWidth="0" w:num="1">
            <w:col w:w="11420"/>
          </w:cols>
          <w:pgMar w:left="240" w:top="584"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u w:val="single" w:color="auto"/>
          <w:color w:val="auto"/>
        </w:rPr>
        <w:t>EXHIBIT 10.3</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Form of Restricted Stock Award Agreement for Directors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ESTRICTED</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WARD</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GREEMENT</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FOR</w:t>
      </w:r>
    </w:p>
    <w:p>
      <w:pPr>
        <w:spacing w:after="0" w:line="20"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_____________________________</w:t>
      </w:r>
    </w:p>
    <w:p>
      <w:pPr>
        <w:spacing w:after="0" w:line="229" w:lineRule="exact"/>
        <w:rPr>
          <w:sz w:val="20"/>
          <w:szCs w:val="20"/>
          <w:color w:val="auto"/>
        </w:rPr>
      </w:pPr>
    </w:p>
    <w:p>
      <w:pPr>
        <w:ind w:right="220" w:firstLine="567"/>
        <w:spacing w:after="0" w:line="291" w:lineRule="auto"/>
        <w:rPr>
          <w:sz w:val="20"/>
          <w:szCs w:val="20"/>
          <w:color w:val="auto"/>
        </w:rPr>
      </w:pPr>
      <w:r>
        <w:rPr>
          <w:rFonts w:ascii="Arial" w:cs="Arial" w:eastAsia="Arial" w:hAnsi="Arial"/>
          <w:sz w:val="16"/>
          <w:szCs w:val="16"/>
          <w:color w:val="auto"/>
        </w:rPr>
        <w:t>We are pleased to advise you that inTEST Corporation (the “Company”) hereby grants to you under the inTEST Corporation Second Amended and Restated 2014 Stock Plan (the “Plan”), an award of restricted stock (“Restricted Stock”) with respect to ____________ shares of Common Stock of the</w:t>
      </w:r>
    </w:p>
    <w:p>
      <w:pPr>
        <w:jc w:val="both"/>
        <w:ind w:right="60"/>
        <w:spacing w:after="0" w:line="255" w:lineRule="auto"/>
        <w:rPr>
          <w:sz w:val="20"/>
          <w:szCs w:val="20"/>
          <w:color w:val="auto"/>
        </w:rPr>
      </w:pPr>
      <w:r>
        <w:rPr>
          <w:rFonts w:ascii="Arial" w:cs="Arial" w:eastAsia="Arial" w:hAnsi="Arial"/>
          <w:sz w:val="18"/>
          <w:szCs w:val="18"/>
          <w:color w:val="auto"/>
        </w:rPr>
        <w:t>Company, subject to your signing this Agreement and the provisions hereof. This award incorporates and is subject in all respects to the applicable provisions of the Plan, a complete copy of which has been furnished to you and receipt of which you acknowledge by acceptance of the award. All capitalized terms not defined in this Agreement have the meaning given them in the Plan.</w:t>
      </w:r>
    </w:p>
    <w:p>
      <w:pPr>
        <w:spacing w:after="0" w:line="186" w:lineRule="exact"/>
        <w:rPr>
          <w:sz w:val="20"/>
          <w:szCs w:val="20"/>
          <w:color w:val="auto"/>
        </w:rPr>
      </w:pPr>
    </w:p>
    <w:p>
      <w:pPr>
        <w:ind w:left="660" w:right="360" w:hanging="561"/>
        <w:spacing w:after="0" w:line="277" w:lineRule="auto"/>
        <w:tabs>
          <w:tab w:leader="none" w:pos="660" w:val="left"/>
        </w:tabs>
        <w:numPr>
          <w:ilvl w:val="0"/>
          <w:numId w:val="1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Issuance of Shares. </w:t>
      </w:r>
      <w:r>
        <w:rPr>
          <w:rFonts w:ascii="Arial" w:cs="Arial" w:eastAsia="Arial" w:hAnsi="Arial"/>
          <w:sz w:val="17"/>
          <w:szCs w:val="17"/>
          <w:color w:val="auto"/>
        </w:rPr>
        <w:t>Upon your execution and delivery of this Agreement and one or more instruments of transfer relating to all shares issuable</w:t>
      </w:r>
      <w:r>
        <w:rPr>
          <w:rFonts w:ascii="Arial" w:cs="Arial" w:eastAsia="Arial" w:hAnsi="Arial"/>
          <w:sz w:val="17"/>
          <w:szCs w:val="17"/>
          <w:b w:val="1"/>
          <w:bCs w:val="1"/>
          <w:color w:val="auto"/>
        </w:rPr>
        <w:t xml:space="preserve"> </w:t>
      </w:r>
      <w:r>
        <w:rPr>
          <w:rFonts w:ascii="Arial" w:cs="Arial" w:eastAsia="Arial" w:hAnsi="Arial"/>
          <w:sz w:val="17"/>
          <w:szCs w:val="17"/>
          <w:color w:val="auto"/>
        </w:rPr>
        <w:t>pursuant to this Agreement (the "Shares"), you will be issued _______________ Shares of Common Stock as of _________________ (the "Grant Date"), subject to the terms, conditions and restrictions of this Agreement and the Plan. Such Shares shall be registered in your name, but the Company shall retain custody of any certificates issued for such Shares pending the vesting or forfeiture thereof. Upon the vesting of any such Shares, the Company shall deliver to you the certificates for such Shares.</w:t>
      </w:r>
    </w:p>
    <w:p>
      <w:pPr>
        <w:spacing w:after="0" w:line="168" w:lineRule="exact"/>
        <w:rPr>
          <w:rFonts w:ascii="Arial" w:cs="Arial" w:eastAsia="Arial" w:hAnsi="Arial"/>
          <w:sz w:val="17"/>
          <w:szCs w:val="17"/>
          <w:b w:val="1"/>
          <w:bCs w:val="1"/>
          <w:color w:val="auto"/>
        </w:rPr>
      </w:pPr>
    </w:p>
    <w:p>
      <w:pPr>
        <w:ind w:left="660" w:hanging="561"/>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Vesting.</w:t>
      </w:r>
    </w:p>
    <w:p>
      <w:pPr>
        <w:spacing w:after="0" w:line="229" w:lineRule="exact"/>
        <w:rPr>
          <w:rFonts w:ascii="Arial" w:cs="Arial" w:eastAsia="Arial" w:hAnsi="Arial"/>
          <w:sz w:val="18"/>
          <w:szCs w:val="18"/>
          <w:b w:val="1"/>
          <w:bCs w:val="1"/>
          <w:color w:val="auto"/>
        </w:rPr>
      </w:pPr>
    </w:p>
    <w:p>
      <w:pPr>
        <w:ind w:left="1200" w:hanging="547"/>
        <w:spacing w:after="0"/>
        <w:tabs>
          <w:tab w:leader="none" w:pos="12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Shares of Common Stock issued to you under this Agreement shall vest according to the following schedule:</w:t>
      </w:r>
    </w:p>
    <w:p>
      <w:pPr>
        <w:spacing w:after="0" w:line="225"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w:t>
      </w:r>
    </w:p>
    <w:p>
      <w:pPr>
        <w:spacing w:after="0" w:line="225" w:lineRule="exact"/>
        <w:rPr>
          <w:rFonts w:ascii="Arial" w:cs="Arial" w:eastAsia="Arial" w:hAnsi="Arial"/>
          <w:sz w:val="18"/>
          <w:szCs w:val="18"/>
          <w:color w:val="auto"/>
        </w:rPr>
      </w:pPr>
    </w:p>
    <w:p>
      <w:pPr>
        <w:ind w:left="1200" w:right="520" w:hanging="547"/>
        <w:spacing w:after="0" w:line="277" w:lineRule="auto"/>
        <w:tabs>
          <w:tab w:leader="none" w:pos="12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In the event that you become entitled to a fractional Share, such fractional Share shall not vest unless and until the participant becomes entitled to such number of fractional Shares as shall be equal in sum to a whole Share.</w:t>
      </w:r>
    </w:p>
    <w:p>
      <w:pPr>
        <w:spacing w:after="0" w:line="166" w:lineRule="exact"/>
        <w:rPr>
          <w:rFonts w:ascii="Arial" w:cs="Arial" w:eastAsia="Arial" w:hAnsi="Arial"/>
          <w:sz w:val="18"/>
          <w:szCs w:val="18"/>
          <w:color w:val="auto"/>
        </w:rPr>
      </w:pPr>
    </w:p>
    <w:p>
      <w:pPr>
        <w:ind w:left="660" w:right="500" w:hanging="561"/>
        <w:spacing w:after="0" w:line="282" w:lineRule="auto"/>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Conditions to Vesting. </w:t>
      </w:r>
      <w:r>
        <w:rPr>
          <w:rFonts w:ascii="Arial" w:cs="Arial" w:eastAsia="Arial" w:hAnsi="Arial"/>
          <w:sz w:val="18"/>
          <w:szCs w:val="18"/>
          <w:color w:val="auto"/>
        </w:rPr>
        <w:t>As a condition to the vesting of Shares, all of the following conditions must be fully satisfied on the applicable vesting</w:t>
      </w:r>
      <w:r>
        <w:rPr>
          <w:rFonts w:ascii="Arial" w:cs="Arial" w:eastAsia="Arial" w:hAnsi="Arial"/>
          <w:sz w:val="18"/>
          <w:szCs w:val="18"/>
          <w:b w:val="1"/>
          <w:bCs w:val="1"/>
          <w:color w:val="auto"/>
        </w:rPr>
        <w:t xml:space="preserve"> </w:t>
      </w:r>
      <w:r>
        <w:rPr>
          <w:rFonts w:ascii="Arial" w:cs="Arial" w:eastAsia="Arial" w:hAnsi="Arial"/>
          <w:sz w:val="18"/>
          <w:szCs w:val="18"/>
          <w:color w:val="auto"/>
        </w:rPr>
        <w:t>date:</w:t>
      </w:r>
    </w:p>
    <w:p>
      <w:pPr>
        <w:spacing w:after="0" w:line="165" w:lineRule="exact"/>
        <w:rPr>
          <w:rFonts w:ascii="Arial" w:cs="Arial" w:eastAsia="Arial" w:hAnsi="Arial"/>
          <w:sz w:val="18"/>
          <w:szCs w:val="18"/>
          <w:b w:val="1"/>
          <w:bCs w:val="1"/>
          <w:color w:val="auto"/>
        </w:rPr>
      </w:pPr>
    </w:p>
    <w:p>
      <w:pPr>
        <w:jc w:val="both"/>
        <w:ind w:left="1200" w:right="300" w:hanging="547"/>
        <w:spacing w:after="0" w:line="264" w:lineRule="auto"/>
        <w:tabs>
          <w:tab w:leader="none" w:pos="12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You must have been continuously engaged to provide services to the Company or its Affiliates, through and including the date of vesting, and no event shall have occurred which, with due notice or lapse of time, or both, would entitle the Company or its Affiliates to terminate your engagement with the Company or its Affiliates.</w:t>
      </w:r>
    </w:p>
    <w:p>
      <w:pPr>
        <w:spacing w:after="0" w:line="181" w:lineRule="exact"/>
        <w:rPr>
          <w:rFonts w:ascii="Arial" w:cs="Arial" w:eastAsia="Arial" w:hAnsi="Arial"/>
          <w:sz w:val="18"/>
          <w:szCs w:val="18"/>
          <w:color w:val="auto"/>
        </w:rPr>
      </w:pPr>
    </w:p>
    <w:p>
      <w:pPr>
        <w:ind w:left="1200" w:right="460" w:hanging="547"/>
        <w:spacing w:after="0" w:line="277" w:lineRule="auto"/>
        <w:tabs>
          <w:tab w:leader="none" w:pos="12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You must not be in breach or default of any obligation to the Company or its Affiliates, whether or not contained in any agreement with the Company or its Affiliates, or imposed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8" w:name="page39"/>
    <w:bookmarkEnd w:id="38"/>
    <w:p>
      <w:pPr>
        <w:ind w:left="561" w:right="80" w:hanging="561"/>
        <w:spacing w:after="0" w:line="277" w:lineRule="auto"/>
        <w:tabs>
          <w:tab w:leader="none" w:pos="561" w:val="left"/>
        </w:tabs>
        <w:numPr>
          <w:ilvl w:val="0"/>
          <w:numId w:val="2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Death, Disability or Change of Control. </w:t>
      </w:r>
      <w:r>
        <w:rPr>
          <w:rFonts w:ascii="Arial" w:cs="Arial" w:eastAsia="Arial" w:hAnsi="Arial"/>
          <w:sz w:val="17"/>
          <w:szCs w:val="17"/>
          <w:color w:val="auto"/>
        </w:rPr>
        <w:t>Shares issued under this Agreement shall become immediately and fully vested in the event: (i) you</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die; (ii) you incur a Disability; or (iii) a Change of Control occurs; </w:t>
      </w:r>
      <w:r>
        <w:rPr>
          <w:rFonts w:ascii="Arial" w:cs="Arial" w:eastAsia="Arial" w:hAnsi="Arial"/>
          <w:sz w:val="17"/>
          <w:szCs w:val="17"/>
          <w:i w:val="1"/>
          <w:iCs w:val="1"/>
          <w:color w:val="auto"/>
        </w:rPr>
        <w:t>provided, however</w:t>
      </w:r>
      <w:r>
        <w:rPr>
          <w:rFonts w:ascii="Arial" w:cs="Arial" w:eastAsia="Arial" w:hAnsi="Arial"/>
          <w:sz w:val="17"/>
          <w:szCs w:val="17"/>
          <w:color w:val="auto"/>
        </w:rPr>
        <w:t>, that you satisfy the requirements of Section 3 of this Agreement. For purposes of this Agreement, the term “Disability” shall mean a condition of total mental or physical incapacity for further performance of a person’s duty with the Company that the Committee determines, on the basis of competent medical evidence, is likely to be permanent and constitutes a “disability” within the meaning of section 22(e)(3) of the Internal Revenue Code.</w:t>
      </w:r>
    </w:p>
    <w:p>
      <w:pPr>
        <w:spacing w:after="0" w:line="168" w:lineRule="exact"/>
        <w:rPr>
          <w:rFonts w:ascii="Arial" w:cs="Arial" w:eastAsia="Arial" w:hAnsi="Arial"/>
          <w:sz w:val="17"/>
          <w:szCs w:val="17"/>
          <w:b w:val="1"/>
          <w:bCs w:val="1"/>
          <w:color w:val="auto"/>
        </w:rPr>
      </w:pPr>
    </w:p>
    <w:p>
      <w:pPr>
        <w:ind w:left="561" w:right="160" w:hanging="561"/>
        <w:spacing w:after="0" w:line="282" w:lineRule="auto"/>
        <w:tabs>
          <w:tab w:leader="none" w:pos="561"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Transferability</w:t>
      </w:r>
      <w:r>
        <w:rPr>
          <w:rFonts w:ascii="Arial" w:cs="Arial" w:eastAsia="Arial" w:hAnsi="Arial"/>
          <w:sz w:val="18"/>
          <w:szCs w:val="18"/>
          <w:color w:val="auto"/>
        </w:rPr>
        <w:t>. The Shares issued to you under this Agreement shall not be transferable by you prior to the date such Shares become vested</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terms of this Agreement and the Plan.</w:t>
      </w:r>
    </w:p>
    <w:p>
      <w:pPr>
        <w:spacing w:after="0" w:line="161" w:lineRule="exact"/>
        <w:rPr>
          <w:rFonts w:ascii="Arial" w:cs="Arial" w:eastAsia="Arial" w:hAnsi="Arial"/>
          <w:sz w:val="18"/>
          <w:szCs w:val="18"/>
          <w:b w:val="1"/>
          <w:bCs w:val="1"/>
          <w:color w:val="auto"/>
        </w:rPr>
      </w:pPr>
    </w:p>
    <w:p>
      <w:pPr>
        <w:ind w:left="561" w:right="220" w:hanging="561"/>
        <w:spacing w:after="0" w:line="282" w:lineRule="auto"/>
        <w:tabs>
          <w:tab w:leader="none" w:pos="561"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Restrictive Legend. </w:t>
      </w:r>
      <w:r>
        <w:rPr>
          <w:rFonts w:ascii="Arial" w:cs="Arial" w:eastAsia="Arial" w:hAnsi="Arial"/>
          <w:sz w:val="18"/>
          <w:szCs w:val="18"/>
          <w:color w:val="auto"/>
        </w:rPr>
        <w:t>Certificates for the Shares with respect to which the vesting requirements have not been met shall be inscribed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legend:</w:t>
      </w:r>
    </w:p>
    <w:p>
      <w:pPr>
        <w:spacing w:after="0" w:line="166" w:lineRule="exact"/>
        <w:rPr>
          <w:sz w:val="20"/>
          <w:szCs w:val="20"/>
          <w:color w:val="auto"/>
        </w:rPr>
      </w:pPr>
    </w:p>
    <w:p>
      <w:pPr>
        <w:ind w:left="1361" w:right="1040"/>
        <w:spacing w:after="0" w:line="259" w:lineRule="auto"/>
        <w:rPr>
          <w:sz w:val="20"/>
          <w:szCs w:val="20"/>
          <w:color w:val="auto"/>
        </w:rPr>
      </w:pPr>
      <w:r>
        <w:rPr>
          <w:rFonts w:ascii="Arial" w:cs="Arial" w:eastAsia="Arial" w:hAnsi="Arial"/>
          <w:sz w:val="18"/>
          <w:szCs w:val="18"/>
          <w:color w:val="auto"/>
        </w:rPr>
        <w:t>"The shares of stock evidenced by this certificate are subject to the terms and restrictions of a Restricted Stock Award Agreement. They are subject to forfeiture under the terms of that Agreement if they are transferred, sold, pledged, given, hypothecated, or otherwise disposed of, other than through death or disability. A copy of that Agreement is available from the Secretary of inTEST Corporation upon request."</w:t>
      </w:r>
    </w:p>
    <w:p>
      <w:pPr>
        <w:spacing w:after="0" w:line="183" w:lineRule="exact"/>
        <w:rPr>
          <w:sz w:val="20"/>
          <w:szCs w:val="20"/>
          <w:color w:val="auto"/>
        </w:rPr>
      </w:pPr>
    </w:p>
    <w:p>
      <w:pPr>
        <w:ind w:left="561" w:right="140" w:hanging="561"/>
        <w:spacing w:after="0" w:line="347" w:lineRule="auto"/>
        <w:tabs>
          <w:tab w:leader="none" w:pos="561" w:val="left"/>
        </w:tabs>
        <w:numPr>
          <w:ilvl w:val="0"/>
          <w:numId w:val="2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Removal of Restrictive Legend. </w:t>
      </w:r>
      <w:r>
        <w:rPr>
          <w:rFonts w:ascii="Arial" w:cs="Arial" w:eastAsia="Arial" w:hAnsi="Arial"/>
          <w:sz w:val="16"/>
          <w:szCs w:val="16"/>
          <w:color w:val="auto"/>
        </w:rPr>
        <w:t>When the vesting requirements on any Shares have been met, the Company shall cause a replacement stock</w:t>
      </w:r>
      <w:r>
        <w:rPr>
          <w:rFonts w:ascii="Arial" w:cs="Arial" w:eastAsia="Arial" w:hAnsi="Arial"/>
          <w:sz w:val="16"/>
          <w:szCs w:val="16"/>
          <w:b w:val="1"/>
          <w:bCs w:val="1"/>
          <w:color w:val="auto"/>
        </w:rPr>
        <w:t xml:space="preserve"> </w:t>
      </w:r>
      <w:r>
        <w:rPr>
          <w:rFonts w:ascii="Arial" w:cs="Arial" w:eastAsia="Arial" w:hAnsi="Arial"/>
          <w:sz w:val="16"/>
          <w:szCs w:val="16"/>
          <w:color w:val="auto"/>
        </w:rPr>
        <w:t>certificate for those Shares, without the legend referred to in Section 6, to be issued and delivered to you, as soon as practicable.</w:t>
      </w:r>
    </w:p>
    <w:p>
      <w:pPr>
        <w:spacing w:after="0" w:line="116" w:lineRule="exact"/>
        <w:rPr>
          <w:rFonts w:ascii="Arial" w:cs="Arial" w:eastAsia="Arial" w:hAnsi="Arial"/>
          <w:sz w:val="16"/>
          <w:szCs w:val="16"/>
          <w:b w:val="1"/>
          <w:bCs w:val="1"/>
          <w:color w:val="auto"/>
        </w:rPr>
      </w:pPr>
    </w:p>
    <w:p>
      <w:pPr>
        <w:ind w:left="561" w:right="60" w:hanging="561"/>
        <w:spacing w:after="0" w:line="282" w:lineRule="auto"/>
        <w:tabs>
          <w:tab w:leader="none" w:pos="561"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Right to Continued Service on the Board of Directors. </w:t>
      </w:r>
      <w:r>
        <w:rPr>
          <w:rFonts w:ascii="Arial" w:cs="Arial" w:eastAsia="Arial" w:hAnsi="Arial"/>
          <w:sz w:val="18"/>
          <w:szCs w:val="18"/>
          <w:color w:val="auto"/>
        </w:rPr>
        <w:t>Neither the award of Shares pursuant to this Agreement nor any provision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shall be construed to give you any right to continued service as a member of the Board of Directors.</w:t>
      </w:r>
    </w:p>
    <w:p>
      <w:pPr>
        <w:spacing w:after="0" w:line="161" w:lineRule="exact"/>
        <w:rPr>
          <w:rFonts w:ascii="Arial" w:cs="Arial" w:eastAsia="Arial" w:hAnsi="Arial"/>
          <w:sz w:val="18"/>
          <w:szCs w:val="18"/>
          <w:b w:val="1"/>
          <w:bCs w:val="1"/>
          <w:color w:val="auto"/>
        </w:rPr>
      </w:pPr>
    </w:p>
    <w:p>
      <w:pPr>
        <w:jc w:val="both"/>
        <w:ind w:left="561" w:right="260" w:hanging="561"/>
        <w:spacing w:after="0" w:line="266" w:lineRule="auto"/>
        <w:tabs>
          <w:tab w:leader="none" w:pos="561"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Forfeiture</w:t>
      </w:r>
      <w:r>
        <w:rPr>
          <w:rFonts w:ascii="Arial" w:cs="Arial" w:eastAsia="Arial" w:hAnsi="Arial"/>
          <w:sz w:val="18"/>
          <w:szCs w:val="18"/>
          <w:color w:val="auto"/>
        </w:rPr>
        <w:t>. Shares issued to you under this Agreement not previously vested hereunder shall be forfeited as of the date your engagement to</w:t>
      </w:r>
      <w:r>
        <w:rPr>
          <w:rFonts w:ascii="Arial" w:cs="Arial" w:eastAsia="Arial" w:hAnsi="Arial"/>
          <w:sz w:val="18"/>
          <w:szCs w:val="18"/>
          <w:b w:val="1"/>
          <w:bCs w:val="1"/>
          <w:color w:val="auto"/>
        </w:rPr>
        <w:t xml:space="preserve"> </w:t>
      </w:r>
      <w:r>
        <w:rPr>
          <w:rFonts w:ascii="Arial" w:cs="Arial" w:eastAsia="Arial" w:hAnsi="Arial"/>
          <w:sz w:val="18"/>
          <w:szCs w:val="18"/>
          <w:color w:val="auto"/>
        </w:rPr>
        <w:t>provide services to the Company and all Affiliates thereof terminates. Following such a forfeiture, you shall have no rights whatsoever with respect to the Shares forfeited.</w:t>
      </w:r>
    </w:p>
    <w:p>
      <w:pPr>
        <w:spacing w:after="0" w:line="176" w:lineRule="exact"/>
        <w:rPr>
          <w:rFonts w:ascii="Arial" w:cs="Arial" w:eastAsia="Arial" w:hAnsi="Arial"/>
          <w:sz w:val="18"/>
          <w:szCs w:val="18"/>
          <w:b w:val="1"/>
          <w:bCs w:val="1"/>
          <w:color w:val="auto"/>
        </w:rPr>
      </w:pPr>
    </w:p>
    <w:p>
      <w:pPr>
        <w:ind w:left="561" w:right="420" w:hanging="561"/>
        <w:spacing w:after="0" w:line="281" w:lineRule="auto"/>
        <w:tabs>
          <w:tab w:leader="none" w:pos="561" w:val="left"/>
        </w:tabs>
        <w:numPr>
          <w:ilvl w:val="0"/>
          <w:numId w:val="21"/>
        </w:numPr>
        <w:rPr>
          <w:rFonts w:ascii="Arial" w:cs="Arial" w:eastAsia="Arial" w:hAnsi="Arial"/>
          <w:sz w:val="17"/>
          <w:szCs w:val="17"/>
          <w:b w:val="1"/>
          <w:bCs w:val="1"/>
          <w:color w:val="auto"/>
        </w:rPr>
      </w:pPr>
      <w:r>
        <w:rPr>
          <w:rFonts w:ascii="Arial" w:cs="Arial" w:eastAsia="Arial" w:hAnsi="Arial"/>
          <w:sz w:val="17"/>
          <w:szCs w:val="17"/>
          <w:b w:val="1"/>
          <w:bCs w:val="1"/>
          <w:color w:val="auto"/>
        </w:rPr>
        <w:t>Voting, Dividend and Tender Offer Rights</w:t>
      </w:r>
      <w:r>
        <w:rPr>
          <w:rFonts w:ascii="Arial" w:cs="Arial" w:eastAsia="Arial" w:hAnsi="Arial"/>
          <w:sz w:val="17"/>
          <w:szCs w:val="17"/>
          <w:color w:val="auto"/>
        </w:rPr>
        <w:t>. You shall have voting and tender offer rights with respect to Shares issued to you under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whether or not such Shares are vested or unvested. Any cash dividends, however, shall accrue and be paid when the Shares underlying the award of Restricted Stock vest. Stock dividends shall be issued to you and shall become vested under the same terms and conditions as the Shares under the award of Restricted Stock to which they pertain.</w:t>
      </w:r>
    </w:p>
    <w:p>
      <w:pPr>
        <w:spacing w:after="0" w:line="164" w:lineRule="exact"/>
        <w:rPr>
          <w:rFonts w:ascii="Arial" w:cs="Arial" w:eastAsia="Arial" w:hAnsi="Arial"/>
          <w:sz w:val="17"/>
          <w:szCs w:val="17"/>
          <w:b w:val="1"/>
          <w:bCs w:val="1"/>
          <w:color w:val="auto"/>
        </w:rPr>
      </w:pPr>
    </w:p>
    <w:p>
      <w:pPr>
        <w:ind w:left="561" w:hanging="561"/>
        <w:spacing w:after="0" w:line="261" w:lineRule="auto"/>
        <w:tabs>
          <w:tab w:leader="none" w:pos="561"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Withholding of Applicable Taxes. </w:t>
      </w:r>
      <w:r>
        <w:rPr>
          <w:rFonts w:ascii="Arial" w:cs="Arial" w:eastAsia="Arial" w:hAnsi="Arial"/>
          <w:sz w:val="18"/>
          <w:szCs w:val="18"/>
          <w:color w:val="auto"/>
        </w:rPr>
        <w:t>It shall be a condition to the Company’s obligation to deliver Common Stock to you pursuant to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that you pay, or make provision satisfactory to the Company for the payment of, any taxes (other than stock transfer taxes) the Company is obligated to collect with respect to the delivery of Common Stock under this Agreement, including any applicable federal, state, or local withholding or employment taxes.</w:t>
      </w:r>
    </w:p>
    <w:p>
      <w:pPr>
        <w:spacing w:after="0" w:line="180" w:lineRule="exact"/>
        <w:rPr>
          <w:rFonts w:ascii="Arial" w:cs="Arial" w:eastAsia="Arial" w:hAnsi="Arial"/>
          <w:sz w:val="18"/>
          <w:szCs w:val="18"/>
          <w:b w:val="1"/>
          <w:bCs w:val="1"/>
          <w:color w:val="auto"/>
        </w:rPr>
      </w:pPr>
    </w:p>
    <w:p>
      <w:pPr>
        <w:ind w:left="561" w:right="100" w:hanging="561"/>
        <w:spacing w:after="0" w:line="282" w:lineRule="auto"/>
        <w:tabs>
          <w:tab w:leader="none" w:pos="561"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Amendment</w:t>
      </w:r>
      <w:r>
        <w:rPr>
          <w:rFonts w:ascii="Arial" w:cs="Arial" w:eastAsia="Arial" w:hAnsi="Arial"/>
          <w:sz w:val="18"/>
          <w:szCs w:val="18"/>
          <w:color w:val="auto"/>
        </w:rPr>
        <w:t>. This Agreement may be amended, in whole or in part and in any manner not inconsistent with the provisions of the Plan, at any</w:t>
      </w:r>
      <w:r>
        <w:rPr>
          <w:rFonts w:ascii="Arial" w:cs="Arial" w:eastAsia="Arial" w:hAnsi="Arial"/>
          <w:sz w:val="18"/>
          <w:szCs w:val="18"/>
          <w:b w:val="1"/>
          <w:bCs w:val="1"/>
          <w:color w:val="auto"/>
        </w:rPr>
        <w:t xml:space="preserve"> </w:t>
      </w:r>
      <w:r>
        <w:rPr>
          <w:rFonts w:ascii="Arial" w:cs="Arial" w:eastAsia="Arial" w:hAnsi="Arial"/>
          <w:sz w:val="18"/>
          <w:szCs w:val="18"/>
          <w:color w:val="auto"/>
        </w:rPr>
        <w:t>time and from time to time, by written agreement between the Company and you.</w:t>
      </w:r>
    </w:p>
    <w:p>
      <w:pPr>
        <w:spacing w:after="0" w:line="188" w:lineRule="exact"/>
        <w:rPr>
          <w:rFonts w:ascii="Arial" w:cs="Arial" w:eastAsia="Arial" w:hAnsi="Arial"/>
          <w:sz w:val="18"/>
          <w:szCs w:val="18"/>
          <w:b w:val="1"/>
          <w:bCs w:val="1"/>
          <w:color w:val="auto"/>
        </w:rPr>
      </w:pPr>
    </w:p>
    <w:p>
      <w:pPr>
        <w:ind w:left="561" w:hanging="561"/>
        <w:spacing w:after="0"/>
        <w:tabs>
          <w:tab w:leader="none" w:pos="561"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Agreement shall be construed in accordance with the laws of the State of Delaware.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377825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881"/>
          </w:cols>
          <w:pgMar w:left="339" w:top="580" w:right="67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The undersigned hereby acknowledges this award of restricted stock on behalf of the Company.</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By: ______________________________</w:t>
      </w:r>
    </w:p>
    <w:p>
      <w:pPr>
        <w:spacing w:after="0" w:line="23"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Hugh T. Regan, Jr.</w:t>
      </w:r>
    </w:p>
    <w:p>
      <w:pPr>
        <w:spacing w:after="0" w:line="9"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Secretary, Treasurer and Chief Financial Officer</w:t>
      </w:r>
    </w:p>
    <w:p>
      <w:pPr>
        <w:spacing w:after="0" w:line="200" w:lineRule="exact"/>
        <w:rPr>
          <w:sz w:val="20"/>
          <w:szCs w:val="20"/>
          <w:color w:val="auto"/>
        </w:rPr>
      </w:pPr>
    </w:p>
    <w:p>
      <w:pPr>
        <w:spacing w:after="0" w:line="227"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Date: ____________________</w:t>
      </w:r>
    </w:p>
    <w:p>
      <w:pPr>
        <w:spacing w:after="0" w:line="200" w:lineRule="exact"/>
        <w:rPr>
          <w:sz w:val="20"/>
          <w:szCs w:val="20"/>
          <w:color w:val="auto"/>
        </w:rPr>
      </w:pPr>
    </w:p>
    <w:p>
      <w:pPr>
        <w:spacing w:after="0" w:line="24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 indicate your acceptance and agreement to this Restricted Stock Award, please execute and immediately return to the Company the enclosed duplicate original of this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ACCEPTED AND AGREED TO</w:t>
      </w:r>
      <w:r>
        <w:rPr>
          <w:rFonts w:ascii="Arial" w:cs="Arial" w:eastAsia="Arial" w:hAnsi="Arial"/>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spacing w:after="0"/>
        <w:tabs>
          <w:tab w:leader="none" w:pos="6840" w:val="left"/>
        </w:tabs>
        <w:rPr>
          <w:sz w:val="20"/>
          <w:szCs w:val="20"/>
          <w:color w:val="auto"/>
        </w:rPr>
      </w:pPr>
      <w:r>
        <w:rPr>
          <w:rFonts w:ascii="Arial" w:cs="Arial" w:eastAsia="Arial" w:hAnsi="Arial"/>
          <w:sz w:val="18"/>
          <w:szCs w:val="18"/>
          <w:color w:val="auto"/>
        </w:rPr>
        <w:t>_______________________________________</w:t>
      </w:r>
      <w:r>
        <w:rPr>
          <w:sz w:val="20"/>
          <w:szCs w:val="20"/>
          <w:color w:val="auto"/>
        </w:rPr>
        <w:tab/>
      </w:r>
      <w:r>
        <w:rPr>
          <w:rFonts w:ascii="Arial" w:cs="Arial" w:eastAsia="Arial" w:hAnsi="Arial"/>
          <w:sz w:val="18"/>
          <w:szCs w:val="18"/>
          <w:color w:val="auto"/>
        </w:rPr>
        <w:t>Date:  ________________</w:t>
      </w:r>
    </w:p>
    <w:p>
      <w:pPr>
        <w:sectPr>
          <w:pgSz w:w="11900" w:h="16838" w:orient="portrait"/>
          <w:cols w:equalWidth="0" w:num="1">
            <w:col w:w="11420"/>
          </w:cols>
          <w:pgMar w:left="240" w:top="584"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u w:val="single" w:color="auto"/>
          <w:color w:val="auto"/>
        </w:rPr>
        <w:t>EXHIBIT 10.4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____________________</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Incentive Stock Option Agreement</w:t>
      </w:r>
    </w:p>
    <w:p>
      <w:pPr>
        <w:spacing w:after="0" w:line="27"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_____________________</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inTEST Corporation, a Delaware corporation (“inTEST” or the “Company”), hereby grants to _________________ (the “Optionee”) an option to purchase 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total of __________________ (_________) shares of the Common Stock (the “Option Shares”) of inTEST, at the price and on the terms and conditions set</w:t>
      </w:r>
    </w:p>
    <w:p>
      <w:pPr>
        <w:spacing w:after="0" w:line="3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forth herein and in all respects subject to the terms, conditions and provisions of the inTEST Corporation Second Amended and Restated 2014 Stock Plan (the “Plan”) applicable to incentive options, which terms, conditions and provisions are hereby incorporated herein by reference. Unless the context herein otherwise requires, the capitalized terms not defined herein shall have the meaning provided in the Plan.</w:t>
      </w:r>
    </w:p>
    <w:p>
      <w:pPr>
        <w:spacing w:after="0" w:line="186"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Option</w:t>
      </w:r>
    </w:p>
    <w:p>
      <w:pPr>
        <w:spacing w:after="0" w:line="229" w:lineRule="exact"/>
        <w:rPr>
          <w:rFonts w:ascii="Arial" w:cs="Arial" w:eastAsia="Arial" w:hAnsi="Arial"/>
          <w:sz w:val="18"/>
          <w:szCs w:val="18"/>
          <w:b w:val="1"/>
          <w:bCs w:val="1"/>
          <w:color w:val="auto"/>
        </w:rPr>
      </w:pPr>
    </w:p>
    <w:p>
      <w:pPr>
        <w:ind w:left="460" w:right="4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This Option is intended to be an incentive stock option within the meaning of Section 422 of the Internal Revenue Code of 1986, as amended (the “Code”).</w:t>
      </w:r>
    </w:p>
    <w:p>
      <w:pPr>
        <w:spacing w:after="0" w:line="166" w:lineRule="exact"/>
        <w:rPr>
          <w:rFonts w:ascii="Arial" w:cs="Arial" w:eastAsia="Arial" w:hAnsi="Arial"/>
          <w:sz w:val="18"/>
          <w:szCs w:val="18"/>
          <w:b w:val="1"/>
          <w:bCs w:val="1"/>
          <w:color w:val="auto"/>
        </w:rPr>
      </w:pPr>
    </w:p>
    <w:p>
      <w:pPr>
        <w:ind w:left="460" w:hanging="452"/>
        <w:spacing w:after="0"/>
        <w:tabs>
          <w:tab w:leader="none" w:pos="4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Term of Option</w:t>
      </w:r>
    </w:p>
    <w:p>
      <w:pPr>
        <w:spacing w:after="0" w:line="22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This Option is granted as of ______________ (the “Date of Grant”) and it may not be exercised later than the close of business on ________________</w:t>
      </w:r>
    </w:p>
    <w:p>
      <w:pPr>
        <w:spacing w:after="0" w:line="4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“Expiration Date”); however, this Option is subject to earlier termination as set forth in this Option Agreement and in the Plan.</w:t>
      </w:r>
    </w:p>
    <w:p>
      <w:pPr>
        <w:spacing w:after="0" w:line="206" w:lineRule="exact"/>
        <w:rPr>
          <w:rFonts w:ascii="Arial" w:cs="Arial" w:eastAsia="Arial" w:hAnsi="Arial"/>
          <w:sz w:val="18"/>
          <w:szCs w:val="18"/>
          <w:b w:val="1"/>
          <w:bCs w:val="1"/>
          <w:color w:val="auto"/>
        </w:rPr>
      </w:pPr>
    </w:p>
    <w:p>
      <w:pPr>
        <w:ind w:left="460" w:hanging="452"/>
        <w:spacing w:after="0"/>
        <w:tabs>
          <w:tab w:leader="none" w:pos="4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Option Exercise Price</w:t>
      </w:r>
    </w:p>
    <w:p>
      <w:pPr>
        <w:spacing w:after="0" w:line="22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Option exercise price (“Option Price”) is ___________________________ ($____) per Option Share.</w:t>
      </w:r>
    </w:p>
    <w:p>
      <w:pPr>
        <w:spacing w:after="0" w:line="221" w:lineRule="exact"/>
        <w:rPr>
          <w:rFonts w:ascii="Arial" w:cs="Arial" w:eastAsia="Arial" w:hAnsi="Arial"/>
          <w:sz w:val="18"/>
          <w:szCs w:val="18"/>
          <w:b w:val="1"/>
          <w:bCs w:val="1"/>
          <w:color w:val="auto"/>
        </w:rPr>
      </w:pPr>
    </w:p>
    <w:p>
      <w:pPr>
        <w:ind w:left="460" w:hanging="452"/>
        <w:spacing w:after="0"/>
        <w:tabs>
          <w:tab w:leader="none" w:pos="4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Exercise of Option</w:t>
      </w:r>
    </w:p>
    <w:p>
      <w:pPr>
        <w:spacing w:after="0" w:line="229" w:lineRule="exact"/>
        <w:rPr>
          <w:rFonts w:ascii="Arial" w:cs="Arial" w:eastAsia="Arial" w:hAnsi="Arial"/>
          <w:sz w:val="18"/>
          <w:szCs w:val="18"/>
          <w:b w:val="1"/>
          <w:bCs w:val="1"/>
          <w:color w:val="auto"/>
        </w:rPr>
      </w:pPr>
    </w:p>
    <w:p>
      <w:pPr>
        <w:ind w:left="460" w:right="5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This Option is exercisable during its term only in accordance with the terms, conditions and provisions of the Plan and this Option Agreement as follows:</w:t>
      </w:r>
    </w:p>
    <w:p>
      <w:pPr>
        <w:spacing w:after="0" w:line="170" w:lineRule="exact"/>
        <w:rPr>
          <w:rFonts w:ascii="Arial" w:cs="Arial" w:eastAsia="Arial" w:hAnsi="Arial"/>
          <w:sz w:val="18"/>
          <w:szCs w:val="18"/>
          <w:b w:val="1"/>
          <w:bCs w:val="1"/>
          <w:color w:val="auto"/>
        </w:rPr>
      </w:pPr>
    </w:p>
    <w:p>
      <w:pPr>
        <w:ind w:left="920" w:right="120" w:hanging="453"/>
        <w:spacing w:after="0" w:line="255" w:lineRule="auto"/>
        <w:tabs>
          <w:tab w:leader="none" w:pos="920" w:val="left"/>
        </w:tabs>
        <w:numPr>
          <w:ilvl w:val="1"/>
          <w:numId w:val="22"/>
        </w:numPr>
        <w:rPr>
          <w:rFonts w:ascii="Arial" w:cs="Arial" w:eastAsia="Arial" w:hAnsi="Arial"/>
          <w:sz w:val="18"/>
          <w:szCs w:val="18"/>
          <w:color w:val="auto"/>
        </w:rPr>
      </w:pPr>
      <w:r>
        <w:rPr>
          <w:rFonts w:ascii="Arial" w:cs="Arial" w:eastAsia="Arial" w:hAnsi="Arial"/>
          <w:sz w:val="18"/>
          <w:szCs w:val="18"/>
          <w:i w:val="1"/>
          <w:iCs w:val="1"/>
          <w:u w:val="single" w:color="auto"/>
          <w:color w:val="auto"/>
        </w:rPr>
        <w:t>Right to Exercise</w:t>
      </w:r>
      <w:r>
        <w:rPr>
          <w:rFonts w:ascii="Arial" w:cs="Arial" w:eastAsia="Arial" w:hAnsi="Arial"/>
          <w:sz w:val="18"/>
          <w:szCs w:val="18"/>
          <w:color w:val="auto"/>
        </w:rPr>
        <w:t>. This Option shall vest _________________________________. The Optionee must be in the employ of inTEST or any of its</w:t>
      </w:r>
      <w:r>
        <w:rPr>
          <w:rFonts w:ascii="Arial" w:cs="Arial" w:eastAsia="Arial" w:hAnsi="Arial"/>
          <w:sz w:val="18"/>
          <w:szCs w:val="18"/>
          <w:i w:val="1"/>
          <w:iCs w:val="1"/>
          <w:color w:val="auto"/>
        </w:rPr>
        <w:t xml:space="preserve"> </w:t>
      </w:r>
      <w:r>
        <w:rPr>
          <w:rFonts w:ascii="Arial" w:cs="Arial" w:eastAsia="Arial" w:hAnsi="Arial"/>
          <w:sz w:val="18"/>
          <w:szCs w:val="18"/>
          <w:color w:val="auto"/>
        </w:rPr>
        <w:t>Affiliates on such anniversary date in order for the Option to vest; provided, however, if, upon retirement of active employment with the Company or its Affiliates, the Optionee’s age plus years of service are equal to or greater than seventy-five years, and the Optionee signs and agrees to be bound by the Company’s or an Affiliate’s post-employment non-competition, non-solicitation and non-disclosure agreement, the Option shall continue to vest according to this Section 4. This Option may be exercised, in whole or in part, up to the amount vested through the date of exercise to the extent not earlier exercised and otherwise in accordance with the terms, conditions and provisions of the Plan and this Option Agreement.</w:t>
      </w:r>
    </w:p>
    <w:p>
      <w:pPr>
        <w:spacing w:after="0" w:line="189" w:lineRule="exact"/>
        <w:rPr>
          <w:rFonts w:ascii="Arial" w:cs="Arial" w:eastAsia="Arial" w:hAnsi="Arial"/>
          <w:sz w:val="18"/>
          <w:szCs w:val="18"/>
          <w:color w:val="auto"/>
        </w:rPr>
      </w:pPr>
    </w:p>
    <w:p>
      <w:pPr>
        <w:ind w:left="920" w:right="20" w:hanging="453"/>
        <w:spacing w:after="0" w:line="293" w:lineRule="auto"/>
        <w:tabs>
          <w:tab w:leader="none" w:pos="920" w:val="left"/>
        </w:tabs>
        <w:numPr>
          <w:ilvl w:val="1"/>
          <w:numId w:val="22"/>
        </w:numPr>
        <w:rPr>
          <w:rFonts w:ascii="Arial" w:cs="Arial" w:eastAsia="Arial" w:hAnsi="Arial"/>
          <w:sz w:val="16"/>
          <w:szCs w:val="16"/>
          <w:color w:val="auto"/>
        </w:rPr>
      </w:pPr>
      <w:r>
        <w:rPr>
          <w:rFonts w:ascii="Arial" w:cs="Arial" w:eastAsia="Arial" w:hAnsi="Arial"/>
          <w:sz w:val="16"/>
          <w:szCs w:val="16"/>
          <w:i w:val="1"/>
          <w:iCs w:val="1"/>
          <w:u w:val="single" w:color="auto"/>
          <w:color w:val="auto"/>
        </w:rPr>
        <w:t>Method of Exercise</w:t>
      </w:r>
      <w:r>
        <w:rPr>
          <w:rFonts w:ascii="Arial" w:cs="Arial" w:eastAsia="Arial" w:hAnsi="Arial"/>
          <w:sz w:val="16"/>
          <w:szCs w:val="16"/>
          <w:u w:val="single" w:color="auto"/>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When exercisable, this Option shall be exercised only upon receipt by inTEST, in form and substance acceptable to inTEST,</w:t>
      </w:r>
      <w:r>
        <w:rPr>
          <w:rFonts w:ascii="Arial" w:cs="Arial" w:eastAsia="Arial" w:hAnsi="Arial"/>
          <w:sz w:val="16"/>
          <w:szCs w:val="16"/>
          <w:i w:val="1"/>
          <w:iCs w:val="1"/>
          <w:color w:val="auto"/>
        </w:rPr>
        <w:t xml:space="preserve"> </w:t>
      </w:r>
      <w:r>
        <w:rPr>
          <w:rFonts w:ascii="Arial" w:cs="Arial" w:eastAsia="Arial" w:hAnsi="Arial"/>
          <w:sz w:val="16"/>
          <w:szCs w:val="16"/>
          <w:color w:val="auto"/>
        </w:rPr>
        <w:t>of (A) written notice of such exercise and (B) payment in full of the Option Price for the Option Shares to be purchased and any additional amount described in Section 13 below. Each such notice shall (A) specify the number of Option Shares to be purchased; (B) satisfy the securities law requirements set forth in the Plan; and (C) contain a statement by the Optionee acknowledging that the Option will not be treated as an incentive stock option for federal income tax purposes if the Option is exercised more than three (3) months after the termination of employment, or if the Option Shares are sold or otherwise disposed of within one (1) year of exercise or two (2) years from the 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1" w:name="page42"/>
    <w:bookmarkEnd w:id="41"/>
    <w:p>
      <w:pPr>
        <w:ind w:left="912" w:hanging="453"/>
        <w:spacing w:after="0" w:line="259" w:lineRule="auto"/>
        <w:tabs>
          <w:tab w:leader="none" w:pos="912" w:val="left"/>
        </w:tabs>
        <w:numPr>
          <w:ilvl w:val="1"/>
          <w:numId w:val="23"/>
        </w:numPr>
        <w:rPr>
          <w:rFonts w:ascii="Arial" w:cs="Arial" w:eastAsia="Arial" w:hAnsi="Arial"/>
          <w:sz w:val="18"/>
          <w:szCs w:val="18"/>
          <w:color w:val="auto"/>
        </w:rPr>
      </w:pPr>
      <w:r>
        <w:rPr>
          <w:rFonts w:ascii="Arial" w:cs="Arial" w:eastAsia="Arial" w:hAnsi="Arial"/>
          <w:sz w:val="18"/>
          <w:szCs w:val="18"/>
          <w:i w:val="1"/>
          <w:iCs w:val="1"/>
          <w:u w:val="single" w:color="auto"/>
          <w:color w:val="auto"/>
        </w:rPr>
        <w:t>Restrictions on Exercise</w:t>
      </w:r>
      <w:r>
        <w:rPr>
          <w:rFonts w:ascii="Arial" w:cs="Arial" w:eastAsia="Arial" w:hAnsi="Arial"/>
          <w:sz w:val="18"/>
          <w:szCs w:val="18"/>
          <w:color w:val="auto"/>
        </w:rPr>
        <w:t>. This Option may not be exercised if the issuance of the option Shares upon such exercise would constitute a violation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any applicable federal or state securities laws or regulations or other laws or regulations. As a condition to the exercise of this Option, inTEST may require the Optionee to make any representations and warranties to inTEST as inTEST deems necessary or appropriate under any applicable law or regulation.</w:t>
      </w:r>
    </w:p>
    <w:p>
      <w:pPr>
        <w:spacing w:after="0" w:line="186" w:lineRule="exact"/>
        <w:rPr>
          <w:rFonts w:ascii="Arial" w:cs="Arial" w:eastAsia="Arial" w:hAnsi="Arial"/>
          <w:sz w:val="18"/>
          <w:szCs w:val="18"/>
          <w:color w:val="auto"/>
        </w:rPr>
      </w:pPr>
    </w:p>
    <w:p>
      <w:pPr>
        <w:ind w:left="912" w:right="20" w:hanging="453"/>
        <w:spacing w:after="0" w:line="270" w:lineRule="auto"/>
        <w:tabs>
          <w:tab w:leader="none" w:pos="912" w:val="left"/>
        </w:tabs>
        <w:numPr>
          <w:ilvl w:val="1"/>
          <w:numId w:val="23"/>
        </w:numPr>
        <w:rPr>
          <w:rFonts w:ascii="Arial" w:cs="Arial" w:eastAsia="Arial" w:hAnsi="Arial"/>
          <w:sz w:val="17"/>
          <w:szCs w:val="17"/>
          <w:color w:val="auto"/>
        </w:rPr>
      </w:pPr>
      <w:r>
        <w:rPr>
          <w:rFonts w:ascii="Arial" w:cs="Arial" w:eastAsia="Arial" w:hAnsi="Arial"/>
          <w:sz w:val="17"/>
          <w:szCs w:val="17"/>
          <w:i w:val="1"/>
          <w:iCs w:val="1"/>
          <w:u w:val="single" w:color="auto"/>
          <w:color w:val="auto"/>
        </w:rPr>
        <w:t>Acceleration of Option Vesting</w:t>
      </w:r>
      <w:r>
        <w:rPr>
          <w:rFonts w:ascii="Arial" w:cs="Arial" w:eastAsia="Arial" w:hAnsi="Arial"/>
          <w:sz w:val="17"/>
          <w:szCs w:val="17"/>
          <w:i w:val="1"/>
          <w:iCs w:val="1"/>
          <w:color w:val="auto"/>
        </w:rPr>
        <w:t xml:space="preserve">. </w:t>
      </w:r>
      <w:r>
        <w:rPr>
          <w:rFonts w:ascii="Arial" w:cs="Arial" w:eastAsia="Arial" w:hAnsi="Arial"/>
          <w:sz w:val="17"/>
          <w:szCs w:val="17"/>
          <w:color w:val="auto"/>
        </w:rPr>
        <w:t>This Option shall immediately vest and be exercisable in the event: (A) the Optionee dies; (B) the Optionee</w:t>
      </w:r>
      <w:r>
        <w:rPr>
          <w:rFonts w:ascii="Arial" w:cs="Arial" w:eastAsia="Arial" w:hAnsi="Arial"/>
          <w:sz w:val="17"/>
          <w:szCs w:val="17"/>
          <w:i w:val="1"/>
          <w:iCs w:val="1"/>
          <w:color w:val="auto"/>
        </w:rPr>
        <w:t xml:space="preserve"> </w:t>
      </w:r>
      <w:r>
        <w:rPr>
          <w:rFonts w:ascii="Arial" w:cs="Arial" w:eastAsia="Arial" w:hAnsi="Arial"/>
          <w:sz w:val="17"/>
          <w:szCs w:val="17"/>
          <w:color w:val="auto"/>
        </w:rPr>
        <w:t>incurs a Disability; or (C) a Change of Control occurs; and (1) the Unrelated Person involved in such Change of Control does not assume or substitute Awards granted under the Plan; (2) the Optionee’s employment is terminated by the Unrelated Person within two years following the Change of Control other than for Cause; or (3) the Optionee resigns for Good Reason following a Change of Control. An employee who has retired from active employment according to Section 4(i) of this Option Agreement and whose Award is not assumed or substituted by an Unrelated Person following a Change of Control is considered to be terminated without Cause. For purposes of this Option Agreement, the term “Disability” shall mean a condition of total mental or physical incapacity for further performance of a person’s duty with the Company that the Committee determines, on the basis of competent medical evidence, is likely to be permanent and constitutes a “disability” within the meaning of section 22(e)(3) of the Internal Revenue Code.</w:t>
      </w:r>
    </w:p>
    <w:p>
      <w:pPr>
        <w:spacing w:after="0" w:line="177" w:lineRule="exact"/>
        <w:rPr>
          <w:rFonts w:ascii="Arial" w:cs="Arial" w:eastAsia="Arial" w:hAnsi="Arial"/>
          <w:sz w:val="17"/>
          <w:szCs w:val="17"/>
          <w:color w:val="auto"/>
        </w:rPr>
      </w:pPr>
    </w:p>
    <w:p>
      <w:pPr>
        <w:ind w:left="452" w:hanging="452"/>
        <w:spacing w:after="0"/>
        <w:tabs>
          <w:tab w:leader="none" w:pos="452"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Payment for Option Shares</w:t>
      </w:r>
    </w:p>
    <w:p>
      <w:pPr>
        <w:spacing w:after="0" w:line="229" w:lineRule="exact"/>
        <w:rPr>
          <w:rFonts w:ascii="Arial" w:cs="Arial" w:eastAsia="Arial" w:hAnsi="Arial"/>
          <w:sz w:val="18"/>
          <w:szCs w:val="18"/>
          <w:b w:val="1"/>
          <w:bCs w:val="1"/>
          <w:color w:val="auto"/>
        </w:rPr>
      </w:pPr>
    </w:p>
    <w:p>
      <w:pPr>
        <w:ind w:left="452" w:right="1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Optionee shall pay for the shares (i) in cash, (ii) by bank check payable to the order of inTEST or (iii) by such other mode of payment as inTEST may approve.</w:t>
      </w:r>
    </w:p>
    <w:p>
      <w:pPr>
        <w:spacing w:after="0" w:line="166" w:lineRule="exact"/>
        <w:rPr>
          <w:rFonts w:ascii="Arial" w:cs="Arial" w:eastAsia="Arial" w:hAnsi="Arial"/>
          <w:sz w:val="18"/>
          <w:szCs w:val="18"/>
          <w:b w:val="1"/>
          <w:bCs w:val="1"/>
          <w:color w:val="auto"/>
        </w:rPr>
      </w:pPr>
    </w:p>
    <w:p>
      <w:pPr>
        <w:ind w:left="452" w:hanging="452"/>
        <w:spacing w:after="0"/>
        <w:tabs>
          <w:tab w:leader="none" w:pos="452"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Transfer of Option Shares</w:t>
      </w:r>
    </w:p>
    <w:p>
      <w:pPr>
        <w:spacing w:after="0" w:line="229" w:lineRule="exact"/>
        <w:rPr>
          <w:rFonts w:ascii="Arial" w:cs="Arial" w:eastAsia="Arial" w:hAnsi="Arial"/>
          <w:sz w:val="18"/>
          <w:szCs w:val="18"/>
          <w:b w:val="1"/>
          <w:bCs w:val="1"/>
          <w:color w:val="auto"/>
        </w:rPr>
      </w:pPr>
    </w:p>
    <w:p>
      <w:pPr>
        <w:ind w:left="452" w:right="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Option Shares may not be sold, pledged, assigned, hypothecated, gifted, transferred or disposed of in any manner without compliance with all applicable federal and state securities laws and regulations, and an appropriate legend referring to any restrictions on transfer and any other restrictions imposed herein or under the Plan may be endorsed on the certificates representing Option Shares.</w:t>
      </w:r>
    </w:p>
    <w:p>
      <w:pPr>
        <w:spacing w:after="0" w:line="177" w:lineRule="exact"/>
        <w:rPr>
          <w:rFonts w:ascii="Arial" w:cs="Arial" w:eastAsia="Arial" w:hAnsi="Arial"/>
          <w:sz w:val="18"/>
          <w:szCs w:val="18"/>
          <w:b w:val="1"/>
          <w:bCs w:val="1"/>
          <w:color w:val="auto"/>
        </w:rPr>
      </w:pPr>
    </w:p>
    <w:p>
      <w:pPr>
        <w:ind w:left="452" w:hanging="452"/>
        <w:spacing w:after="0"/>
        <w:tabs>
          <w:tab w:leader="none" w:pos="452"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Disqualifying Disposition</w:t>
      </w:r>
    </w:p>
    <w:p>
      <w:pPr>
        <w:spacing w:after="0" w:line="229" w:lineRule="exact"/>
        <w:rPr>
          <w:rFonts w:ascii="Arial" w:cs="Arial" w:eastAsia="Arial" w:hAnsi="Arial"/>
          <w:sz w:val="18"/>
          <w:szCs w:val="18"/>
          <w:b w:val="1"/>
          <w:bCs w:val="1"/>
          <w:color w:val="auto"/>
        </w:rPr>
      </w:pPr>
    </w:p>
    <w:p>
      <w:pPr>
        <w:ind w:left="452" w:right="2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The Optionee shall notify inTEST if any Option Shares received upon exercise of this Option are sold, assigned, gifted, transferred or disposed of in any manner within one (1) year of exercise or two (2) years from the Date of Grant (a “Disqualifying Disposition”). In the event of a Disqualifying Disposition, the Optionee shall, upon request of inTEST, provide inTEST with the amount of any federal, state or local taxes that inTEST is required to withhold with respect to such Disqualifying Disposition. If inTEST does not withhold income taxes from the Optionee with respect to a Disqualifying Disposition, the Optionee shall timely pay all income taxes resulting from such Disqualifying Disposition, shall provide inTEST with such information as requested by inTEST to substantiate the payment of such taxes, and shall indemnify inTEST against penalties or other damages imposed upon inTEST for failure to withhold taxes, to the extent such penalties or damages could have been reduced or offset had the Optionee paid his or her income taxes attributable to the Disqualifying Disposition or are otherwise attributable to the Optionee's failure to pay his or her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354965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584" w:right="239" w:bottom="1440" w:gutter="0" w:footer="0" w:header="0"/>
        </w:sectPr>
      </w:pPr>
    </w:p>
    <w:bookmarkStart w:id="42" w:name="page43"/>
    <w:bookmarkEnd w:id="42"/>
    <w:p>
      <w:pPr>
        <w:ind w:left="452" w:hanging="452"/>
        <w:spacing w:after="0"/>
        <w:tabs>
          <w:tab w:leader="none" w:pos="452"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Transfer of Option</w:t>
      </w:r>
    </w:p>
    <w:p>
      <w:pPr>
        <w:spacing w:after="0" w:line="229" w:lineRule="exact"/>
        <w:rPr>
          <w:rFonts w:ascii="Arial" w:cs="Arial" w:eastAsia="Arial" w:hAnsi="Arial"/>
          <w:sz w:val="18"/>
          <w:szCs w:val="18"/>
          <w:b w:val="1"/>
          <w:bCs w:val="1"/>
          <w:color w:val="auto"/>
        </w:rPr>
      </w:pPr>
    </w:p>
    <w:p>
      <w:pPr>
        <w:ind w:left="452" w:right="2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This Option may not be sold, pledged, assigned, hypothecated, gifted, transferred or disposed of in any manner, either voluntarily or involuntarily by operation of law, other than by will or by the laws of descent or distribution, and may be exercised during the lifetime of the Optionee only by the Optionee. Subject to the foregoing, the terms of the Plan and the terms of this Option Agreement shall be binding upon the executors, administrators, heirs, successors and assigns of the Optionee.</w:t>
      </w:r>
    </w:p>
    <w:p>
      <w:pPr>
        <w:spacing w:after="0" w:line="182" w:lineRule="exact"/>
        <w:rPr>
          <w:rFonts w:ascii="Arial" w:cs="Arial" w:eastAsia="Arial" w:hAnsi="Arial"/>
          <w:sz w:val="18"/>
          <w:szCs w:val="18"/>
          <w:b w:val="1"/>
          <w:bCs w:val="1"/>
          <w:color w:val="auto"/>
        </w:rPr>
      </w:pPr>
    </w:p>
    <w:p>
      <w:pPr>
        <w:ind w:left="452" w:hanging="452"/>
        <w:spacing w:after="0"/>
        <w:tabs>
          <w:tab w:leader="none" w:pos="452"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Options</w:t>
      </w:r>
    </w:p>
    <w:p>
      <w:pPr>
        <w:spacing w:after="0" w:line="229" w:lineRule="exact"/>
        <w:rPr>
          <w:rFonts w:ascii="Arial" w:cs="Arial" w:eastAsia="Arial" w:hAnsi="Arial"/>
          <w:sz w:val="18"/>
          <w:szCs w:val="18"/>
          <w:b w:val="1"/>
          <w:bCs w:val="1"/>
          <w:color w:val="auto"/>
        </w:rPr>
      </w:pPr>
    </w:p>
    <w:p>
      <w:pPr>
        <w:ind w:left="452"/>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This Option shall expire as set forth above and may not be exercised later than the Expiration Date. Notwithstanding the foregoing, this Option may not be exercised after the first to occur of the following:</w:t>
      </w:r>
    </w:p>
    <w:p>
      <w:pPr>
        <w:spacing w:after="0" w:line="170" w:lineRule="exact"/>
        <w:rPr>
          <w:rFonts w:ascii="Arial" w:cs="Arial" w:eastAsia="Arial" w:hAnsi="Arial"/>
          <w:sz w:val="18"/>
          <w:szCs w:val="18"/>
          <w:b w:val="1"/>
          <w:bCs w:val="1"/>
          <w:color w:val="auto"/>
        </w:rPr>
      </w:pPr>
    </w:p>
    <w:p>
      <w:pPr>
        <w:ind w:left="912" w:right="200" w:hanging="453"/>
        <w:spacing w:after="0" w:line="277" w:lineRule="auto"/>
        <w:tabs>
          <w:tab w:leader="none" w:pos="912" w:val="left"/>
        </w:tabs>
        <w:numPr>
          <w:ilvl w:val="1"/>
          <w:numId w:val="25"/>
        </w:numPr>
        <w:rPr>
          <w:rFonts w:ascii="Arial" w:cs="Arial" w:eastAsia="Arial" w:hAnsi="Arial"/>
          <w:sz w:val="18"/>
          <w:szCs w:val="18"/>
          <w:color w:val="auto"/>
        </w:rPr>
      </w:pPr>
      <w:r>
        <w:rPr>
          <w:rFonts w:ascii="Arial" w:cs="Arial" w:eastAsia="Arial" w:hAnsi="Arial"/>
          <w:sz w:val="18"/>
          <w:szCs w:val="18"/>
          <w:color w:val="auto"/>
        </w:rPr>
        <w:t>five years from the Date of Grant, if on such date the Optionee owns directly or by attribution under the Code, shares possessing more than ten percent (10%) of the total combined voting power of all classes of stock of inTEST;</w:t>
      </w:r>
    </w:p>
    <w:p>
      <w:pPr>
        <w:spacing w:after="0" w:line="170" w:lineRule="exact"/>
        <w:rPr>
          <w:rFonts w:ascii="Arial" w:cs="Arial" w:eastAsia="Arial" w:hAnsi="Arial"/>
          <w:sz w:val="18"/>
          <w:szCs w:val="18"/>
          <w:color w:val="auto"/>
        </w:rPr>
      </w:pPr>
    </w:p>
    <w:p>
      <w:pPr>
        <w:ind w:left="912" w:right="40" w:hanging="453"/>
        <w:spacing w:after="0" w:line="257" w:lineRule="auto"/>
        <w:tabs>
          <w:tab w:leader="none" w:pos="912"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date set by the Board of Directors of inTEST (the “Board of Directors”) to be an accelerated expiration date after a finding by the Board of Directors that a change in the financial accounting treatment for options from that in effect on the date the Plan was adopted materially adversely affects inTEST or, in the determination of the Board of Directors, may materially adversely affect inTEST in the foreseeable future, provided the Board of Directors may take whatever action, including acceleration of any exercise provisions, it deems necessary should it make the determination referred to above;</w:t>
      </w:r>
    </w:p>
    <w:p>
      <w:pPr>
        <w:spacing w:after="0" w:line="188" w:lineRule="exact"/>
        <w:rPr>
          <w:rFonts w:ascii="Arial" w:cs="Arial" w:eastAsia="Arial" w:hAnsi="Arial"/>
          <w:sz w:val="18"/>
          <w:szCs w:val="18"/>
          <w:color w:val="auto"/>
        </w:rPr>
      </w:pPr>
    </w:p>
    <w:p>
      <w:pPr>
        <w:ind w:left="912" w:right="40" w:hanging="453"/>
        <w:spacing w:after="0" w:line="342" w:lineRule="auto"/>
        <w:tabs>
          <w:tab w:leader="none" w:pos="912" w:val="left"/>
        </w:tabs>
        <w:numPr>
          <w:ilvl w:val="1"/>
          <w:numId w:val="25"/>
        </w:numPr>
        <w:rPr>
          <w:rFonts w:ascii="Arial" w:cs="Arial" w:eastAsia="Arial" w:hAnsi="Arial"/>
          <w:sz w:val="16"/>
          <w:szCs w:val="16"/>
          <w:color w:val="auto"/>
        </w:rPr>
      </w:pPr>
      <w:r>
        <w:rPr>
          <w:rFonts w:ascii="Arial" w:cs="Arial" w:eastAsia="Arial" w:hAnsi="Arial"/>
          <w:sz w:val="16"/>
          <w:szCs w:val="16"/>
          <w:color w:val="auto"/>
        </w:rPr>
        <w:t>expiration of one (1) year from the date the Optionee's employment or service with inTEST (or any of its Affiliates) terminates for any reason other than if the Optionee has been discharged from employment with inTEST for Cause, in which case, this Option shall expire immediately; or</w:t>
      </w:r>
    </w:p>
    <w:p>
      <w:pPr>
        <w:spacing w:after="0" w:line="123" w:lineRule="exact"/>
        <w:rPr>
          <w:rFonts w:ascii="Arial" w:cs="Arial" w:eastAsia="Arial" w:hAnsi="Arial"/>
          <w:sz w:val="16"/>
          <w:szCs w:val="16"/>
          <w:color w:val="auto"/>
        </w:rPr>
      </w:pPr>
    </w:p>
    <w:p>
      <w:pPr>
        <w:ind w:left="912" w:right="120" w:hanging="453"/>
        <w:spacing w:after="0" w:line="308" w:lineRule="auto"/>
        <w:tabs>
          <w:tab w:leader="none" w:pos="912" w:val="left"/>
        </w:tabs>
        <w:numPr>
          <w:ilvl w:val="1"/>
          <w:numId w:val="25"/>
        </w:numPr>
        <w:rPr>
          <w:rFonts w:ascii="Arial" w:cs="Arial" w:eastAsia="Arial" w:hAnsi="Arial"/>
          <w:sz w:val="17"/>
          <w:szCs w:val="17"/>
          <w:color w:val="auto"/>
        </w:rPr>
      </w:pPr>
      <w:r>
        <w:rPr>
          <w:rFonts w:ascii="Arial" w:cs="Arial" w:eastAsia="Arial" w:hAnsi="Arial"/>
          <w:sz w:val="17"/>
          <w:szCs w:val="17"/>
          <w:color w:val="auto"/>
        </w:rPr>
        <w:t>in the event of a Change of Control, the Expiration Date of any Option which has vested may be accelerated to a date not earlier than thirty (30) days after notice of such acceleration is given to the Optionee, and any Option which has not vested may be terminated.</w:t>
      </w:r>
    </w:p>
    <w:p>
      <w:pPr>
        <w:spacing w:after="0" w:line="142" w:lineRule="exact"/>
        <w:rPr>
          <w:rFonts w:ascii="Arial" w:cs="Arial" w:eastAsia="Arial" w:hAnsi="Arial"/>
          <w:sz w:val="17"/>
          <w:szCs w:val="17"/>
          <w:color w:val="auto"/>
        </w:rPr>
      </w:pPr>
    </w:p>
    <w:p>
      <w:pPr>
        <w:ind w:left="452" w:hanging="452"/>
        <w:spacing w:after="0"/>
        <w:tabs>
          <w:tab w:leader="none" w:pos="452"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of Option</w:t>
      </w:r>
    </w:p>
    <w:p>
      <w:pPr>
        <w:spacing w:after="0" w:line="229" w:lineRule="exact"/>
        <w:rPr>
          <w:rFonts w:ascii="Arial" w:cs="Arial" w:eastAsia="Arial" w:hAnsi="Arial"/>
          <w:sz w:val="18"/>
          <w:szCs w:val="18"/>
          <w:b w:val="1"/>
          <w:bCs w:val="1"/>
          <w:color w:val="auto"/>
        </w:rPr>
      </w:pPr>
    </w:p>
    <w:p>
      <w:pPr>
        <w:ind w:left="452" w:right="5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inTEST has the right to amend this Option, subject to the Optionee's consent if such amendment is not favorable to the Optionee, except that the consent of the Optionee shall not be required for any amendment made pursuant to the Plan.</w:t>
      </w:r>
    </w:p>
    <w:p>
      <w:pPr>
        <w:spacing w:after="0" w:line="166" w:lineRule="exact"/>
        <w:rPr>
          <w:rFonts w:ascii="Arial" w:cs="Arial" w:eastAsia="Arial" w:hAnsi="Arial"/>
          <w:sz w:val="18"/>
          <w:szCs w:val="18"/>
          <w:b w:val="1"/>
          <w:bCs w:val="1"/>
          <w:color w:val="auto"/>
        </w:rPr>
      </w:pPr>
    </w:p>
    <w:p>
      <w:pPr>
        <w:ind w:left="452" w:hanging="452"/>
        <w:spacing w:after="0"/>
        <w:tabs>
          <w:tab w:leader="none" w:pos="452"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of the Plan</w:t>
      </w:r>
    </w:p>
    <w:p>
      <w:pPr>
        <w:spacing w:after="0" w:line="229" w:lineRule="exact"/>
        <w:rPr>
          <w:rFonts w:ascii="Arial" w:cs="Arial" w:eastAsia="Arial" w:hAnsi="Arial"/>
          <w:sz w:val="18"/>
          <w:szCs w:val="18"/>
          <w:b w:val="1"/>
          <w:bCs w:val="1"/>
          <w:color w:val="auto"/>
        </w:rPr>
      </w:pPr>
    </w:p>
    <w:p>
      <w:pPr>
        <w:ind w:left="452" w:right="1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Subject to certain restrictions contained in the Plan, the Board of Directors of inTEST may amend the Plan from time to time in such manner as it may deem advisable.</w:t>
      </w:r>
    </w:p>
    <w:p>
      <w:pPr>
        <w:spacing w:after="0" w:line="166" w:lineRule="exact"/>
        <w:rPr>
          <w:rFonts w:ascii="Arial" w:cs="Arial" w:eastAsia="Arial" w:hAnsi="Arial"/>
          <w:sz w:val="18"/>
          <w:szCs w:val="18"/>
          <w:b w:val="1"/>
          <w:bCs w:val="1"/>
          <w:color w:val="auto"/>
        </w:rPr>
      </w:pPr>
    </w:p>
    <w:p>
      <w:pPr>
        <w:ind w:left="452" w:hanging="452"/>
        <w:spacing w:after="0"/>
        <w:tabs>
          <w:tab w:leader="none" w:pos="452"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Continued Employment</w:t>
      </w:r>
    </w:p>
    <w:p>
      <w:pPr>
        <w:spacing w:after="0" w:line="229" w:lineRule="exact"/>
        <w:rPr>
          <w:rFonts w:ascii="Arial" w:cs="Arial" w:eastAsia="Arial" w:hAnsi="Arial"/>
          <w:sz w:val="18"/>
          <w:szCs w:val="18"/>
          <w:b w:val="1"/>
          <w:bCs w:val="1"/>
          <w:color w:val="auto"/>
        </w:rPr>
      </w:pPr>
    </w:p>
    <w:p>
      <w:pPr>
        <w:ind w:left="452" w:right="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grant of this Option shall not be construed to imply or constitute evidence of any agreement, express or implied, on the part of inTEST to continue the employment of the Optionee with inTEST or any of its Affiliates.</w:t>
      </w:r>
    </w:p>
    <w:p>
      <w:pPr>
        <w:spacing w:after="0" w:line="166" w:lineRule="exact"/>
        <w:rPr>
          <w:rFonts w:ascii="Arial" w:cs="Arial" w:eastAsia="Arial" w:hAnsi="Arial"/>
          <w:sz w:val="18"/>
          <w:szCs w:val="18"/>
          <w:b w:val="1"/>
          <w:bCs w:val="1"/>
          <w:color w:val="auto"/>
        </w:rPr>
      </w:pPr>
    </w:p>
    <w:p>
      <w:pPr>
        <w:ind w:left="452" w:hanging="452"/>
        <w:spacing w:after="0"/>
        <w:tabs>
          <w:tab w:leader="none" w:pos="452"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Withholding of Taxes</w:t>
      </w:r>
    </w:p>
    <w:p>
      <w:pPr>
        <w:spacing w:after="0" w:line="229" w:lineRule="exact"/>
        <w:rPr>
          <w:rFonts w:ascii="Arial" w:cs="Arial" w:eastAsia="Arial" w:hAnsi="Arial"/>
          <w:sz w:val="18"/>
          <w:szCs w:val="18"/>
          <w:b w:val="1"/>
          <w:bCs w:val="1"/>
          <w:color w:val="auto"/>
        </w:rPr>
      </w:pPr>
    </w:p>
    <w:p>
      <w:pPr>
        <w:ind w:left="452" w:right="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If required by inTEST, the Optionee shall, as a condition to the exercise of the Option and the issuance of Option Shares or the transfer of the Option Shares, remit to inTEST the amount of any federal, state or local taxes, including FICA taxes and other employment taxes, required to be withheld or paid under applicable law. To the extent that such taxes are not collected upon the exercise of the Option, inTEST may withhold a portion of the Option Shares or take whatever other action it deems necessary to collect all required taxes due upon the exercise of the Option or transfer of the Option Shares.</w:t>
      </w:r>
    </w:p>
    <w:p>
      <w:pPr>
        <w:spacing w:after="0" w:line="211" w:lineRule="exact"/>
        <w:rPr>
          <w:rFonts w:ascii="Arial" w:cs="Arial" w:eastAsia="Arial" w:hAnsi="Arial"/>
          <w:sz w:val="18"/>
          <w:szCs w:val="18"/>
          <w:b w:val="1"/>
          <w:bCs w:val="1"/>
          <w:color w:val="auto"/>
        </w:rPr>
      </w:pPr>
    </w:p>
    <w:p>
      <w:pPr>
        <w:ind w:left="452" w:hanging="452"/>
        <w:spacing w:after="0"/>
        <w:tabs>
          <w:tab w:leader="none" w:pos="452"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Entire Agreement</w:t>
      </w:r>
    </w:p>
    <w:p>
      <w:pPr>
        <w:spacing w:after="0" w:line="229"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This Option Agreement, together with the Plan, represents the entire agreement between the parties.</w:t>
      </w:r>
    </w:p>
    <w:p>
      <w:pPr>
        <w:spacing w:after="0" w:line="221" w:lineRule="exact"/>
        <w:rPr>
          <w:rFonts w:ascii="Arial" w:cs="Arial" w:eastAsia="Arial" w:hAnsi="Arial"/>
          <w:sz w:val="18"/>
          <w:szCs w:val="18"/>
          <w:b w:val="1"/>
          <w:bCs w:val="1"/>
          <w:color w:val="auto"/>
        </w:rPr>
      </w:pPr>
    </w:p>
    <w:p>
      <w:pPr>
        <w:ind w:left="452" w:hanging="452"/>
        <w:spacing w:after="0"/>
        <w:tabs>
          <w:tab w:leader="none" w:pos="452"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229"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This Option Agreement shall be construed in accordance with the laws of the State of Delaware.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377825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92"/>
          </w:cols>
          <w:pgMar w:left="248" w:top="580" w:right="25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IN WITNESS WHEREOF, inTEST executes this Option Agreement as of the day and year set forth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540"/>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4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By: _______________________________</w:t>
      </w:r>
    </w:p>
    <w:p>
      <w:pPr>
        <w:spacing w:after="0" w:line="2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Hugh T. Regan, Jr.</w:t>
      </w:r>
    </w:p>
    <w:p>
      <w:pPr>
        <w:spacing w:after="0" w:line="9" w:lineRule="exact"/>
        <w:rPr>
          <w:sz w:val="20"/>
          <w:szCs w:val="20"/>
          <w:color w:val="auto"/>
        </w:rPr>
      </w:pPr>
    </w:p>
    <w:p>
      <w:pPr>
        <w:ind w:left="5920"/>
        <w:spacing w:after="0"/>
        <w:rPr>
          <w:sz w:val="20"/>
          <w:szCs w:val="20"/>
          <w:color w:val="auto"/>
        </w:rPr>
      </w:pPr>
      <w:r>
        <w:rPr>
          <w:rFonts w:ascii="Arial" w:cs="Arial" w:eastAsia="Arial" w:hAnsi="Arial"/>
          <w:sz w:val="16"/>
          <w:szCs w:val="16"/>
          <w:color w:val="auto"/>
        </w:rPr>
        <w:t>Secretary, Treasurer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380365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18"/>
          <w:szCs w:val="18"/>
          <w:b w:val="1"/>
          <w:bCs w:val="1"/>
          <w:u w:val="single" w:color="auto"/>
          <w:color w:val="auto"/>
        </w:rPr>
        <w:t>ACKNOWLEDGMENT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Optionee acknowledges receipt of a copy of the Plan and a copy of the Prospectus covering the Option Shares to be issued pursuant to the Plan, copies of which are attached hereto, and Optionee represents that he or she has read and is familiar with the terms, conditions and provisions thereof and hereby accepts the Option granted ______________ subject to all the terms, conditions and provisions thereof. The Optionee hereby agrees to accept as binding, conclusive and final, all decisions or interpretations of the Board of Directors or the Committee upon any questions arising under the Plan.</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3"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-130810</wp:posOffset>
            </wp:positionV>
            <wp:extent cx="659511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6595110" cy="8890"/>
                    </a:xfrm>
                    <a:prstGeom prst="rect">
                      <a:avLst/>
                    </a:prstGeom>
                    <a:noFill/>
                  </pic:spPr>
                </pic:pic>
              </a:graphicData>
            </a:graphic>
          </wp:anchor>
        </w:drawing>
      </w:r>
    </w:p>
    <w:p>
      <w:pPr>
        <w:spacing w:after="0" w:line="204"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45" w:name="page46"/>
    <w:bookmarkEnd w:id="45"/>
    <w:tbl>
      <w:tblPr>
        <w:tblLayout w:type="fixed"/>
        <w:tblInd w:w="112" w:type="dxa"/>
        <w:tblCellMar>
          <w:top w:w="0" w:type="dxa"/>
          <w:left w:w="0" w:type="dxa"/>
          <w:bottom w:w="0" w:type="dxa"/>
          <w:right w:w="0" w:type="dxa"/>
        </w:tblCellMar>
      </w:tblPr>
      <w:tr>
        <w:trPr>
          <w:trHeight w:val="207"/>
        </w:trPr>
        <w:tc>
          <w:tcPr>
            <w:tcW w:w="56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NOTICE OF EXERCISE OF STOCK OPTION</w:t>
            </w:r>
          </w:p>
        </w:tc>
      </w:tr>
      <w:tr>
        <w:trPr>
          <w:trHeight w:val="438"/>
        </w:trPr>
        <w:tc>
          <w:tcPr>
            <w:tcW w:w="560" w:type="dxa"/>
            <w:vAlign w:val="bottom"/>
          </w:tcPr>
          <w:p>
            <w:pPr>
              <w:spacing w:after="0"/>
              <w:rPr>
                <w:sz w:val="20"/>
                <w:szCs w:val="20"/>
                <w:color w:val="auto"/>
              </w:rPr>
            </w:pPr>
            <w:r>
              <w:rPr>
                <w:rFonts w:ascii="Arial" w:cs="Arial" w:eastAsia="Arial" w:hAnsi="Arial"/>
                <w:sz w:val="18"/>
                <w:szCs w:val="18"/>
                <w:color w:val="auto"/>
              </w:rPr>
              <w:t>To:</w:t>
            </w:r>
          </w:p>
        </w:tc>
        <w:tc>
          <w:tcPr>
            <w:tcW w:w="6880" w:type="dxa"/>
            <w:vAlign w:val="bottom"/>
            <w:gridSpan w:val="2"/>
          </w:tcPr>
          <w:p>
            <w:pPr>
              <w:ind w:left="340"/>
              <w:spacing w:after="0"/>
              <w:rPr>
                <w:sz w:val="20"/>
                <w:szCs w:val="20"/>
                <w:color w:val="auto"/>
              </w:rPr>
            </w:pPr>
            <w:r>
              <w:rPr>
                <w:rFonts w:ascii="Arial" w:cs="Arial" w:eastAsia="Arial" w:hAnsi="Arial"/>
                <w:sz w:val="18"/>
                <w:szCs w:val="18"/>
                <w:color w:val="auto"/>
              </w:rPr>
              <w:t>inTEST Corporation</w:t>
            </w:r>
          </w:p>
        </w:tc>
      </w:tr>
      <w:tr>
        <w:trPr>
          <w:trHeight w:val="216"/>
        </w:trPr>
        <w:tc>
          <w:tcPr>
            <w:tcW w:w="560" w:type="dxa"/>
            <w:vAlign w:val="bottom"/>
          </w:tcPr>
          <w:p>
            <w:pPr>
              <w:spacing w:after="0"/>
              <w:rPr>
                <w:sz w:val="18"/>
                <w:szCs w:val="18"/>
                <w:color w:val="auto"/>
              </w:rPr>
            </w:pPr>
          </w:p>
        </w:tc>
        <w:tc>
          <w:tcPr>
            <w:tcW w:w="6880" w:type="dxa"/>
            <w:vAlign w:val="bottom"/>
            <w:gridSpan w:val="2"/>
          </w:tcPr>
          <w:p>
            <w:pPr>
              <w:ind w:left="340"/>
              <w:spacing w:after="0"/>
              <w:rPr>
                <w:sz w:val="20"/>
                <w:szCs w:val="20"/>
                <w:color w:val="auto"/>
              </w:rPr>
            </w:pPr>
            <w:r>
              <w:rPr>
                <w:rFonts w:ascii="Arial" w:cs="Arial" w:eastAsia="Arial" w:hAnsi="Arial"/>
                <w:sz w:val="18"/>
                <w:szCs w:val="18"/>
                <w:color w:val="auto"/>
              </w:rPr>
              <w:t>804 East Gate Drive, Suite 200</w:t>
            </w:r>
          </w:p>
        </w:tc>
      </w:tr>
      <w:tr>
        <w:trPr>
          <w:trHeight w:val="216"/>
        </w:trPr>
        <w:tc>
          <w:tcPr>
            <w:tcW w:w="560" w:type="dxa"/>
            <w:vAlign w:val="bottom"/>
          </w:tcPr>
          <w:p>
            <w:pPr>
              <w:spacing w:after="0"/>
              <w:rPr>
                <w:sz w:val="18"/>
                <w:szCs w:val="18"/>
                <w:color w:val="auto"/>
              </w:rPr>
            </w:pPr>
          </w:p>
        </w:tc>
        <w:tc>
          <w:tcPr>
            <w:tcW w:w="6880" w:type="dxa"/>
            <w:vAlign w:val="bottom"/>
            <w:gridSpan w:val="2"/>
          </w:tcPr>
          <w:p>
            <w:pPr>
              <w:ind w:left="340"/>
              <w:spacing w:after="0"/>
              <w:rPr>
                <w:sz w:val="20"/>
                <w:szCs w:val="20"/>
                <w:color w:val="auto"/>
              </w:rPr>
            </w:pPr>
            <w:r>
              <w:rPr>
                <w:rFonts w:ascii="Arial" w:cs="Arial" w:eastAsia="Arial" w:hAnsi="Arial"/>
                <w:sz w:val="18"/>
                <w:szCs w:val="18"/>
                <w:color w:val="auto"/>
              </w:rPr>
              <w:t>Mt. Laurel, NJ 08054</w:t>
            </w:r>
          </w:p>
        </w:tc>
      </w:tr>
      <w:tr>
        <w:trPr>
          <w:trHeight w:val="230"/>
        </w:trPr>
        <w:tc>
          <w:tcPr>
            <w:tcW w:w="560" w:type="dxa"/>
            <w:vAlign w:val="bottom"/>
          </w:tcPr>
          <w:p>
            <w:pPr>
              <w:spacing w:after="0"/>
              <w:rPr>
                <w:sz w:val="20"/>
                <w:szCs w:val="20"/>
                <w:color w:val="auto"/>
              </w:rPr>
            </w:pPr>
          </w:p>
        </w:tc>
        <w:tc>
          <w:tcPr>
            <w:tcW w:w="6880" w:type="dxa"/>
            <w:vAlign w:val="bottom"/>
            <w:gridSpan w:val="2"/>
          </w:tcPr>
          <w:p>
            <w:pPr>
              <w:ind w:left="340"/>
              <w:spacing w:after="0"/>
              <w:rPr>
                <w:sz w:val="20"/>
                <w:szCs w:val="20"/>
                <w:color w:val="auto"/>
              </w:rPr>
            </w:pPr>
            <w:r>
              <w:rPr>
                <w:rFonts w:ascii="Arial" w:cs="Arial" w:eastAsia="Arial" w:hAnsi="Arial"/>
                <w:sz w:val="18"/>
                <w:szCs w:val="18"/>
                <w:color w:val="auto"/>
              </w:rPr>
              <w:t>Attn: Chief Financial Officer</w:t>
            </w:r>
          </w:p>
        </w:tc>
      </w:tr>
    </w:tbl>
    <w:p>
      <w:pPr>
        <w:spacing w:after="0" w:line="202" w:lineRule="exact"/>
        <w:rPr>
          <w:sz w:val="20"/>
          <w:szCs w:val="20"/>
          <w:color w:val="auto"/>
        </w:rPr>
      </w:pPr>
    </w:p>
    <w:p>
      <w:pPr>
        <w:ind w:left="9232"/>
        <w:spacing w:after="0"/>
        <w:rPr>
          <w:sz w:val="20"/>
          <w:szCs w:val="20"/>
          <w:color w:val="auto"/>
        </w:rPr>
      </w:pPr>
      <w:r>
        <w:rPr>
          <w:rFonts w:ascii="Arial" w:cs="Arial" w:eastAsia="Arial" w:hAnsi="Arial"/>
          <w:sz w:val="18"/>
          <w:szCs w:val="18"/>
          <w:color w:val="auto"/>
        </w:rPr>
        <w:t>_____________, 20___</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72"/>
        <w:spacing w:after="0"/>
        <w:rPr>
          <w:sz w:val="20"/>
          <w:szCs w:val="20"/>
          <w:color w:val="auto"/>
        </w:rPr>
      </w:pPr>
      <w:r>
        <w:rPr>
          <w:rFonts w:ascii="Arial" w:cs="Arial" w:eastAsia="Arial" w:hAnsi="Arial"/>
          <w:sz w:val="16"/>
          <w:szCs w:val="16"/>
          <w:color w:val="auto"/>
        </w:rPr>
        <w:t>In accordance with Section 4 of the Incentive Stock Option Agreement granted as of ______________ (the “Option”), I hereby irrevocably elect to exercise</w:t>
      </w:r>
    </w:p>
    <w:p>
      <w:pPr>
        <w:spacing w:after="0" w:line="46" w:lineRule="exact"/>
        <w:rPr>
          <w:sz w:val="20"/>
          <w:szCs w:val="20"/>
          <w:color w:val="auto"/>
        </w:rPr>
      </w:pPr>
    </w:p>
    <w:p>
      <w:pPr>
        <w:ind w:left="72"/>
        <w:spacing w:after="0"/>
        <w:rPr>
          <w:sz w:val="20"/>
          <w:szCs w:val="20"/>
          <w:color w:val="auto"/>
        </w:rPr>
      </w:pPr>
      <w:r>
        <w:rPr>
          <w:rFonts w:ascii="Arial" w:cs="Arial" w:eastAsia="Arial" w:hAnsi="Arial"/>
          <w:sz w:val="16"/>
          <w:szCs w:val="16"/>
          <w:color w:val="auto"/>
        </w:rPr>
        <w:t>the Option to purchase ____________________ Option Shares of the Common Stock of inTEST Corporation (the “Corporation”) at the exercise price of</w:t>
      </w:r>
    </w:p>
    <w:p>
      <w:pPr>
        <w:spacing w:after="0" w:line="32" w:lineRule="exact"/>
        <w:rPr>
          <w:sz w:val="20"/>
          <w:szCs w:val="20"/>
          <w:color w:val="auto"/>
        </w:rPr>
      </w:pPr>
    </w:p>
    <w:p>
      <w:pPr>
        <w:ind w:left="72"/>
        <w:spacing w:after="0"/>
        <w:rPr>
          <w:sz w:val="20"/>
          <w:szCs w:val="20"/>
          <w:color w:val="auto"/>
        </w:rPr>
      </w:pPr>
      <w:r>
        <w:rPr>
          <w:rFonts w:ascii="Arial" w:cs="Arial" w:eastAsia="Arial" w:hAnsi="Arial"/>
          <w:sz w:val="16"/>
          <w:szCs w:val="16"/>
          <w:color w:val="auto"/>
        </w:rPr>
        <w:t>__________________ ________________ ($____) per Option Share and deliver herewith a bank check payable to the order of the Corporation for the</w:t>
      </w:r>
    </w:p>
    <w:p>
      <w:pPr>
        <w:spacing w:after="0" w:line="32" w:lineRule="exact"/>
        <w:rPr>
          <w:sz w:val="20"/>
          <w:szCs w:val="20"/>
          <w:color w:val="auto"/>
        </w:rPr>
      </w:pPr>
    </w:p>
    <w:p>
      <w:pPr>
        <w:ind w:left="72"/>
        <w:spacing w:after="0"/>
        <w:rPr>
          <w:sz w:val="20"/>
          <w:szCs w:val="20"/>
          <w:color w:val="auto"/>
        </w:rPr>
      </w:pPr>
      <w:r>
        <w:rPr>
          <w:rFonts w:ascii="Arial" w:cs="Arial" w:eastAsia="Arial" w:hAnsi="Arial"/>
          <w:sz w:val="18"/>
          <w:szCs w:val="18"/>
          <w:color w:val="auto"/>
        </w:rPr>
        <w:t>aggregate exercise price of $__________________.</w:t>
      </w:r>
    </w:p>
    <w:p>
      <w:pPr>
        <w:spacing w:after="0" w:line="211" w:lineRule="exact"/>
        <w:rPr>
          <w:sz w:val="20"/>
          <w:szCs w:val="20"/>
          <w:color w:val="auto"/>
        </w:rPr>
      </w:pPr>
    </w:p>
    <w:p>
      <w:pPr>
        <w:ind w:left="72" w:right="120"/>
        <w:spacing w:after="0" w:line="264" w:lineRule="auto"/>
        <w:rPr>
          <w:sz w:val="20"/>
          <w:szCs w:val="20"/>
          <w:color w:val="auto"/>
        </w:rPr>
      </w:pPr>
      <w:r>
        <w:rPr>
          <w:rFonts w:ascii="Arial" w:cs="Arial" w:eastAsia="Arial" w:hAnsi="Arial"/>
          <w:sz w:val="18"/>
          <w:szCs w:val="18"/>
          <w:color w:val="auto"/>
        </w:rPr>
        <w:t>I agree to notify the Chief Financial Officer of the Corporation at the address set forth above, or at such other address as the Corporation may designate in the future, in the event I sell, assign, gift, transfer or otherwise dispose of any of the Option Shares within one (1) year of exercise or two (2) years from the Date of Grant (a “Disqualifying Disposition”).</w:t>
      </w:r>
    </w:p>
    <w:p>
      <w:pPr>
        <w:spacing w:after="0" w:line="181" w:lineRule="exact"/>
        <w:rPr>
          <w:sz w:val="20"/>
          <w:szCs w:val="20"/>
          <w:color w:val="auto"/>
        </w:rPr>
      </w:pPr>
    </w:p>
    <w:p>
      <w:pPr>
        <w:ind w:left="72"/>
        <w:spacing w:after="0" w:line="279" w:lineRule="auto"/>
        <w:rPr>
          <w:sz w:val="20"/>
          <w:szCs w:val="20"/>
          <w:color w:val="auto"/>
        </w:rPr>
      </w:pPr>
      <w:r>
        <w:rPr>
          <w:rFonts w:ascii="Arial" w:cs="Arial" w:eastAsia="Arial" w:hAnsi="Arial"/>
          <w:sz w:val="17"/>
          <w:szCs w:val="17"/>
          <w:color w:val="auto"/>
        </w:rPr>
        <w:t>I understand that any Disqualifying Disposition of the Option Shares will result in the Option not qualifying as an incentive stock option with respect to such Option Shares. If requested by the Corporation, I will provide the Corporation the amount of any taxes the Corporation is required to withhold as a result of a Disqualifying Disposition of Option Shares. Furthermore, the Option must be exercised within three (3) months following the termination of my employment with the Corporation in order to maintain the incentive stock option status with respect to Option Shares issuable upon such exercise.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152"/>
        <w:spacing w:after="0"/>
        <w:rPr>
          <w:sz w:val="20"/>
          <w:szCs w:val="20"/>
          <w:color w:val="auto"/>
        </w:rPr>
      </w:pPr>
      <w:r>
        <w:rPr>
          <w:rFonts w:ascii="Arial" w:cs="Arial" w:eastAsia="Arial" w:hAnsi="Arial"/>
          <w:sz w:val="18"/>
          <w:szCs w:val="18"/>
          <w:color w:val="auto"/>
        </w:rPr>
        <w:t>Signature*:</w:t>
      </w:r>
    </w:p>
    <w:p>
      <w:pPr>
        <w:spacing w:after="0" w:line="23" w:lineRule="exact"/>
        <w:rPr>
          <w:sz w:val="20"/>
          <w:szCs w:val="20"/>
          <w:color w:val="auto"/>
        </w:rPr>
      </w:pPr>
    </w:p>
    <w:p>
      <w:pPr>
        <w:ind w:left="5152"/>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3996055</wp:posOffset>
            </wp:positionH>
            <wp:positionV relativeFrom="paragraph">
              <wp:posOffset>-130810</wp:posOffset>
            </wp:positionV>
            <wp:extent cx="252984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5152"/>
        <w:spacing w:after="0"/>
        <w:rPr>
          <w:sz w:val="20"/>
          <w:szCs w:val="20"/>
          <w:color w:val="auto"/>
        </w:rPr>
      </w:pPr>
      <w:r>
        <w:rPr>
          <w:rFonts w:ascii="Arial" w:cs="Arial" w:eastAsia="Arial" w:hAnsi="Arial"/>
          <w:sz w:val="18"/>
          <w:szCs w:val="18"/>
          <w:color w:val="auto"/>
        </w:rPr>
        <w:t>Address:</w:t>
      </w:r>
    </w:p>
    <w:p>
      <w:pPr>
        <w:spacing w:after="0" w:line="211" w:lineRule="exact"/>
        <w:rPr>
          <w:sz w:val="20"/>
          <w:szCs w:val="20"/>
          <w:color w:val="auto"/>
        </w:rPr>
      </w:pPr>
    </w:p>
    <w:p>
      <w:pPr>
        <w:ind w:left="5152"/>
        <w:spacing w:after="0"/>
        <w:rPr>
          <w:sz w:val="20"/>
          <w:szCs w:val="20"/>
          <w:color w:val="auto"/>
        </w:rPr>
      </w:pPr>
      <w:r>
        <w:rPr>
          <w:rFonts w:ascii="Arial" w:cs="Arial" w:eastAsia="Arial" w:hAnsi="Arial"/>
          <w:sz w:val="18"/>
          <w:szCs w:val="18"/>
          <w:color w:val="auto"/>
        </w:rPr>
        <w:t>Phone:</w:t>
      </w:r>
    </w:p>
    <w:p>
      <w:pPr>
        <w:spacing w:after="0" w:line="200" w:lineRule="exact"/>
        <w:rPr>
          <w:sz w:val="20"/>
          <w:szCs w:val="20"/>
          <w:color w:val="auto"/>
        </w:rPr>
      </w:pPr>
    </w:p>
    <w:p>
      <w:pPr>
        <w:spacing w:after="0" w:line="241" w:lineRule="exact"/>
        <w:rPr>
          <w:sz w:val="20"/>
          <w:szCs w:val="20"/>
          <w:color w:val="auto"/>
        </w:rPr>
      </w:pPr>
    </w:p>
    <w:p>
      <w:pPr>
        <w:ind w:left="312" w:hanging="312"/>
        <w:spacing w:after="0"/>
        <w:tabs>
          <w:tab w:leader="none" w:pos="312"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signature and name should correspond exactly with the name on the first page of the Option.</w:t>
      </w:r>
    </w:p>
    <w:p>
      <w:pPr>
        <w:sectPr>
          <w:pgSz w:w="11900" w:h="16838" w:orient="portrait"/>
          <w:cols w:equalWidth="0" w:num="1">
            <w:col w:w="11392"/>
          </w:cols>
          <w:pgMar w:left="248" w:top="567" w:right="25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u w:val="single" w:color="auto"/>
          <w:color w:val="auto"/>
        </w:rPr>
        <w:t>EXHIBIT 10.5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_______________</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Stock Option Agreement</w:t>
      </w:r>
    </w:p>
    <w:p>
      <w:pPr>
        <w:spacing w:after="0" w:line="27"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_______________</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inTEST Corporation, a Delaware corporation (“inTEST” or the “Company”), hereby grants to ___________________ (the “Optionee”) an option to</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purchase a total of _____________________ (_____________) shares of the Common Stock (the “Option Shares”) of inTEST, at the price and on the</w:t>
      </w:r>
    </w:p>
    <w:p>
      <w:pPr>
        <w:spacing w:after="0" w:line="21"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terms and conditions set forth herein and in all respects subject to the terms, conditions and provisions of the inTEST Corporation Second Amended and Restated 2014 Stock Plan applicable to options granted pursuant to the Non-Qualified Plan (the “Plan”), which terms, conditions and provisions are hereby incorporated herein by reference. Unless the context herein otherwise requires, capitalized terms not defined herein shall have the meaning provided in the Plan.</w:t>
      </w:r>
    </w:p>
    <w:p>
      <w:pPr>
        <w:spacing w:after="0" w:line="186"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Term of Option</w:t>
      </w:r>
    </w:p>
    <w:p>
      <w:pPr>
        <w:spacing w:after="0" w:line="22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This Option is granted as of __________________ (the “Date of Grant”) and it may not be exercised later than the close of business on</w:t>
      </w:r>
    </w:p>
    <w:p>
      <w:pPr>
        <w:spacing w:after="0" w:line="2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________________ (the “Expiration Date”); however, this Option is subject to earlier termination as set forth in this Option Agreement and in the Plan.</w:t>
      </w:r>
    </w:p>
    <w:p>
      <w:pPr>
        <w:spacing w:after="0" w:line="229" w:lineRule="exact"/>
        <w:rPr>
          <w:rFonts w:ascii="Arial" w:cs="Arial" w:eastAsia="Arial" w:hAnsi="Arial"/>
          <w:sz w:val="18"/>
          <w:szCs w:val="18"/>
          <w:b w:val="1"/>
          <w:bCs w:val="1"/>
          <w:color w:val="auto"/>
        </w:rPr>
      </w:pPr>
    </w:p>
    <w:p>
      <w:pPr>
        <w:ind w:left="460" w:hanging="452"/>
        <w:spacing w:after="0"/>
        <w:tabs>
          <w:tab w:leader="none" w:pos="4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Option Exercise Price</w:t>
      </w:r>
    </w:p>
    <w:p>
      <w:pPr>
        <w:spacing w:after="0" w:line="22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Option exercise price (“Option Price”) is __________________________________ ($____) per Option Share.</w:t>
      </w:r>
    </w:p>
    <w:p>
      <w:pPr>
        <w:spacing w:after="0" w:line="221" w:lineRule="exact"/>
        <w:rPr>
          <w:rFonts w:ascii="Arial" w:cs="Arial" w:eastAsia="Arial" w:hAnsi="Arial"/>
          <w:sz w:val="18"/>
          <w:szCs w:val="18"/>
          <w:b w:val="1"/>
          <w:bCs w:val="1"/>
          <w:color w:val="auto"/>
        </w:rPr>
      </w:pPr>
    </w:p>
    <w:p>
      <w:pPr>
        <w:ind w:left="460" w:hanging="452"/>
        <w:spacing w:after="0"/>
        <w:tabs>
          <w:tab w:leader="none" w:pos="4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Exercise of Option</w:t>
      </w:r>
    </w:p>
    <w:p>
      <w:pPr>
        <w:spacing w:after="0" w:line="229" w:lineRule="exact"/>
        <w:rPr>
          <w:rFonts w:ascii="Arial" w:cs="Arial" w:eastAsia="Arial" w:hAnsi="Arial"/>
          <w:sz w:val="18"/>
          <w:szCs w:val="18"/>
          <w:b w:val="1"/>
          <w:bCs w:val="1"/>
          <w:color w:val="auto"/>
        </w:rPr>
      </w:pPr>
    </w:p>
    <w:p>
      <w:pPr>
        <w:ind w:left="460" w:right="5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This Option is exercisable during its term only in accordance with the terms, conditions and provisions of the Plan and this Option Agreement as follows:</w:t>
      </w:r>
    </w:p>
    <w:p>
      <w:pPr>
        <w:spacing w:after="0" w:line="170" w:lineRule="exact"/>
        <w:rPr>
          <w:rFonts w:ascii="Arial" w:cs="Arial" w:eastAsia="Arial" w:hAnsi="Arial"/>
          <w:sz w:val="18"/>
          <w:szCs w:val="18"/>
          <w:b w:val="1"/>
          <w:bCs w:val="1"/>
          <w:color w:val="auto"/>
        </w:rPr>
      </w:pPr>
    </w:p>
    <w:p>
      <w:pPr>
        <w:ind w:left="920" w:right="40" w:hanging="453"/>
        <w:spacing w:after="0" w:line="272" w:lineRule="auto"/>
        <w:tabs>
          <w:tab w:leader="none" w:pos="920" w:val="left"/>
        </w:tabs>
        <w:numPr>
          <w:ilvl w:val="1"/>
          <w:numId w:val="27"/>
        </w:numPr>
        <w:rPr>
          <w:rFonts w:ascii="Arial" w:cs="Arial" w:eastAsia="Arial" w:hAnsi="Arial"/>
          <w:sz w:val="17"/>
          <w:szCs w:val="17"/>
          <w:color w:val="auto"/>
        </w:rPr>
      </w:pPr>
      <w:r>
        <w:rPr>
          <w:rFonts w:ascii="Arial" w:cs="Arial" w:eastAsia="Arial" w:hAnsi="Arial"/>
          <w:sz w:val="17"/>
          <w:szCs w:val="17"/>
          <w:i w:val="1"/>
          <w:iCs w:val="1"/>
          <w:u w:val="single" w:color="auto"/>
          <w:color w:val="auto"/>
        </w:rPr>
        <w:t>Right to Exercise</w:t>
      </w:r>
      <w:r>
        <w:rPr>
          <w:rFonts w:ascii="Arial" w:cs="Arial" w:eastAsia="Arial" w:hAnsi="Arial"/>
          <w:sz w:val="17"/>
          <w:szCs w:val="17"/>
          <w:color w:val="auto"/>
        </w:rPr>
        <w:t>. This Option shall vest ___________________________. The Optionee must be in the service of inTEST or any of its</w:t>
      </w:r>
      <w:r>
        <w:rPr>
          <w:rFonts w:ascii="Arial" w:cs="Arial" w:eastAsia="Arial" w:hAnsi="Arial"/>
          <w:sz w:val="17"/>
          <w:szCs w:val="17"/>
          <w:i w:val="1"/>
          <w:iCs w:val="1"/>
          <w:color w:val="auto"/>
        </w:rPr>
        <w:t xml:space="preserve"> </w:t>
      </w:r>
      <w:r>
        <w:rPr>
          <w:rFonts w:ascii="Arial" w:cs="Arial" w:eastAsia="Arial" w:hAnsi="Arial"/>
          <w:sz w:val="17"/>
          <w:szCs w:val="17"/>
          <w:color w:val="auto"/>
        </w:rPr>
        <w:t>Affiliates on the date of such vesting in order for the Option to vest; provided, however, if the Optionee is an employee, and upon such Optionee’s retirement from active employment with the Company or its Affiliates, the Optionee’s age plus years of service are equal to or greater than seventy-five (75) years, and the Optionee signs and agrees to be bound by the Company’s or an Affiliate’s post-employment non-competition, non-solicitation and non-disclosure agreement, the Option shall continue to vest according to this Paragraph 3(i). This Option may be exercised, in whole or in part, up to the amount vested through the date of exercise to the extent not earlier exercised and otherwise in accordance with the terms, conditions and provisions of the Plan and this Option Agreement.</w:t>
      </w:r>
    </w:p>
    <w:p>
      <w:pPr>
        <w:spacing w:after="0" w:line="177" w:lineRule="exact"/>
        <w:rPr>
          <w:rFonts w:ascii="Arial" w:cs="Arial" w:eastAsia="Arial" w:hAnsi="Arial"/>
          <w:sz w:val="17"/>
          <w:szCs w:val="17"/>
          <w:color w:val="auto"/>
        </w:rPr>
      </w:pPr>
    </w:p>
    <w:p>
      <w:pPr>
        <w:ind w:left="920" w:right="60" w:hanging="453"/>
        <w:spacing w:after="0" w:line="291" w:lineRule="auto"/>
        <w:tabs>
          <w:tab w:leader="none" w:pos="920" w:val="left"/>
        </w:tabs>
        <w:numPr>
          <w:ilvl w:val="1"/>
          <w:numId w:val="27"/>
        </w:numPr>
        <w:rPr>
          <w:rFonts w:ascii="Arial" w:cs="Arial" w:eastAsia="Arial" w:hAnsi="Arial"/>
          <w:sz w:val="16"/>
          <w:szCs w:val="16"/>
          <w:color w:val="auto"/>
        </w:rPr>
      </w:pPr>
      <w:r>
        <w:rPr>
          <w:rFonts w:ascii="Arial" w:cs="Arial" w:eastAsia="Arial" w:hAnsi="Arial"/>
          <w:sz w:val="16"/>
          <w:szCs w:val="16"/>
          <w:i w:val="1"/>
          <w:iCs w:val="1"/>
          <w:u w:val="single" w:color="auto"/>
          <w:color w:val="auto"/>
        </w:rPr>
        <w:t>Method of Exercise</w:t>
      </w:r>
      <w:r>
        <w:rPr>
          <w:rFonts w:ascii="Arial" w:cs="Arial" w:eastAsia="Arial" w:hAnsi="Arial"/>
          <w:sz w:val="16"/>
          <w:szCs w:val="16"/>
          <w:color w:val="auto"/>
        </w:rPr>
        <w:t>. When exercisable, this Option shall be exercised only upon receipt by inTEST, in form and substance acceptable to inTEST,</w:t>
      </w:r>
      <w:r>
        <w:rPr>
          <w:rFonts w:ascii="Arial" w:cs="Arial" w:eastAsia="Arial" w:hAnsi="Arial"/>
          <w:sz w:val="16"/>
          <w:szCs w:val="16"/>
          <w:i w:val="1"/>
          <w:iCs w:val="1"/>
          <w:color w:val="auto"/>
        </w:rPr>
        <w:t xml:space="preserve"> </w:t>
      </w:r>
      <w:r>
        <w:rPr>
          <w:rFonts w:ascii="Arial" w:cs="Arial" w:eastAsia="Arial" w:hAnsi="Arial"/>
          <w:sz w:val="16"/>
          <w:szCs w:val="16"/>
          <w:color w:val="auto"/>
        </w:rPr>
        <w:t>of (A) written notice of such exercise and (B) payment in full of the Option Price for the Option Shares to be purchased. Each such notice shall</w:t>
      </w:r>
    </w:p>
    <w:p>
      <w:pPr>
        <w:ind w:left="920"/>
        <w:spacing w:after="0"/>
        <w:rPr>
          <w:rFonts w:ascii="Arial" w:cs="Arial" w:eastAsia="Arial" w:hAnsi="Arial"/>
          <w:sz w:val="16"/>
          <w:szCs w:val="16"/>
          <w:color w:val="auto"/>
        </w:rPr>
      </w:pPr>
      <w:r>
        <w:rPr>
          <w:rFonts w:ascii="Arial" w:cs="Arial" w:eastAsia="Arial" w:hAnsi="Arial"/>
          <w:sz w:val="18"/>
          <w:szCs w:val="18"/>
          <w:color w:val="auto"/>
        </w:rPr>
        <w:t>(A) specify the number of Option Shares to be purchased, and (B) satisfy the securities law requirements set forth in the Plan.</w:t>
      </w:r>
    </w:p>
    <w:p>
      <w:pPr>
        <w:spacing w:after="0" w:line="210" w:lineRule="exact"/>
        <w:rPr>
          <w:rFonts w:ascii="Arial" w:cs="Arial" w:eastAsia="Arial" w:hAnsi="Arial"/>
          <w:sz w:val="16"/>
          <w:szCs w:val="16"/>
          <w:color w:val="auto"/>
        </w:rPr>
      </w:pPr>
    </w:p>
    <w:p>
      <w:pPr>
        <w:ind w:left="920" w:right="40" w:hanging="453"/>
        <w:spacing w:after="0" w:line="259" w:lineRule="auto"/>
        <w:tabs>
          <w:tab w:leader="none" w:pos="920" w:val="left"/>
        </w:tabs>
        <w:numPr>
          <w:ilvl w:val="1"/>
          <w:numId w:val="27"/>
        </w:numPr>
        <w:rPr>
          <w:rFonts w:ascii="Arial" w:cs="Arial" w:eastAsia="Arial" w:hAnsi="Arial"/>
          <w:sz w:val="18"/>
          <w:szCs w:val="18"/>
          <w:color w:val="auto"/>
        </w:rPr>
      </w:pPr>
      <w:r>
        <w:rPr>
          <w:rFonts w:ascii="Arial" w:cs="Arial" w:eastAsia="Arial" w:hAnsi="Arial"/>
          <w:sz w:val="18"/>
          <w:szCs w:val="18"/>
          <w:i w:val="1"/>
          <w:iCs w:val="1"/>
          <w:u w:val="single" w:color="auto"/>
          <w:color w:val="auto"/>
        </w:rPr>
        <w:t>Restrictions on Exercise</w:t>
      </w:r>
      <w:r>
        <w:rPr>
          <w:rFonts w:ascii="Arial" w:cs="Arial" w:eastAsia="Arial" w:hAnsi="Arial"/>
          <w:sz w:val="18"/>
          <w:szCs w:val="18"/>
          <w:color w:val="auto"/>
        </w:rPr>
        <w:t>. This Option may not be exercised if the issuance of the Option Shares upon such exercise would constitute a violation</w:t>
      </w:r>
      <w:r>
        <w:rPr>
          <w:rFonts w:ascii="Arial" w:cs="Arial" w:eastAsia="Arial" w:hAnsi="Arial"/>
          <w:sz w:val="18"/>
          <w:szCs w:val="18"/>
          <w:i w:val="1"/>
          <w:iCs w:val="1"/>
          <w:color w:val="auto"/>
        </w:rPr>
        <w:t xml:space="preserve"> </w:t>
      </w:r>
      <w:r>
        <w:rPr>
          <w:rFonts w:ascii="Arial" w:cs="Arial" w:eastAsia="Arial" w:hAnsi="Arial"/>
          <w:sz w:val="18"/>
          <w:szCs w:val="18"/>
          <w:color w:val="auto"/>
        </w:rPr>
        <w:t>of any applicable federal or state securities laws or regulations or other laws or regulations. As a condition to the exercise of this Option, inTEST may require the Optionee to make any representations and warranties to inTEST as inTEST deems necessary or appropriate under any applicable law or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367665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7" w:name="page48"/>
    <w:bookmarkEnd w:id="47"/>
    <w:p>
      <w:pPr>
        <w:ind w:left="452" w:hanging="452"/>
        <w:spacing w:after="0"/>
        <w:tabs>
          <w:tab w:leader="none" w:pos="452"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Payment for Option Shares</w:t>
      </w:r>
    </w:p>
    <w:p>
      <w:pPr>
        <w:spacing w:after="0" w:line="229" w:lineRule="exact"/>
        <w:rPr>
          <w:rFonts w:ascii="Arial" w:cs="Arial" w:eastAsia="Arial" w:hAnsi="Arial"/>
          <w:sz w:val="18"/>
          <w:szCs w:val="18"/>
          <w:b w:val="1"/>
          <w:bCs w:val="1"/>
          <w:color w:val="auto"/>
        </w:rPr>
      </w:pPr>
    </w:p>
    <w:p>
      <w:pPr>
        <w:ind w:left="452" w:right="1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Optionee shall pay for the shares (i) in cash; (ii) by bank check payable to the order of inTEST; or (iii) by such other mode of payment as inTEST may approve.</w:t>
      </w:r>
    </w:p>
    <w:p>
      <w:pPr>
        <w:spacing w:after="0" w:line="166" w:lineRule="exact"/>
        <w:rPr>
          <w:rFonts w:ascii="Arial" w:cs="Arial" w:eastAsia="Arial" w:hAnsi="Arial"/>
          <w:sz w:val="18"/>
          <w:szCs w:val="18"/>
          <w:b w:val="1"/>
          <w:bCs w:val="1"/>
          <w:color w:val="auto"/>
        </w:rPr>
      </w:pPr>
    </w:p>
    <w:p>
      <w:pPr>
        <w:ind w:left="452" w:hanging="452"/>
        <w:spacing w:after="0"/>
        <w:tabs>
          <w:tab w:leader="none" w:pos="452"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Transfer of Option Shares</w:t>
      </w:r>
    </w:p>
    <w:p>
      <w:pPr>
        <w:spacing w:after="0" w:line="229" w:lineRule="exact"/>
        <w:rPr>
          <w:rFonts w:ascii="Arial" w:cs="Arial" w:eastAsia="Arial" w:hAnsi="Arial"/>
          <w:sz w:val="18"/>
          <w:szCs w:val="18"/>
          <w:b w:val="1"/>
          <w:bCs w:val="1"/>
          <w:color w:val="auto"/>
        </w:rPr>
      </w:pPr>
    </w:p>
    <w:p>
      <w:pPr>
        <w:ind w:left="452" w:right="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Option Shares may not be sold, pledged, assigned, hypothecated, gifted, transferred or disposed of in any manner without compliance with all applicable federal and state securities laws and regulations, and an appropriate legend referring to any restrictions on transfer and any other restrictions imposed herein or under the Plan may be endorsed on the certificates representing Option Shares.</w:t>
      </w:r>
    </w:p>
    <w:p>
      <w:pPr>
        <w:spacing w:after="0" w:line="177" w:lineRule="exact"/>
        <w:rPr>
          <w:rFonts w:ascii="Arial" w:cs="Arial" w:eastAsia="Arial" w:hAnsi="Arial"/>
          <w:sz w:val="18"/>
          <w:szCs w:val="18"/>
          <w:b w:val="1"/>
          <w:bCs w:val="1"/>
          <w:color w:val="auto"/>
        </w:rPr>
      </w:pPr>
    </w:p>
    <w:p>
      <w:pPr>
        <w:ind w:left="452" w:hanging="452"/>
        <w:spacing w:after="0"/>
        <w:tabs>
          <w:tab w:leader="none" w:pos="452"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Transfer of Option</w:t>
      </w:r>
    </w:p>
    <w:p>
      <w:pPr>
        <w:spacing w:after="0" w:line="229" w:lineRule="exact"/>
        <w:rPr>
          <w:rFonts w:ascii="Arial" w:cs="Arial" w:eastAsia="Arial" w:hAnsi="Arial"/>
          <w:sz w:val="18"/>
          <w:szCs w:val="18"/>
          <w:b w:val="1"/>
          <w:bCs w:val="1"/>
          <w:color w:val="auto"/>
        </w:rPr>
      </w:pPr>
    </w:p>
    <w:p>
      <w:pPr>
        <w:ind w:left="452" w:right="2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This Option may not be sold, pledged, assigned, hypothecated, gifted, transferred or disposed of in any manner, either voluntarily or involuntarily by operation of law, other than by will or by the laws of dissent or distribution, and may be exercised during the lifetime of the Optionee only by the Optionee. Subject to the foregoing, the terms of the Plan and the terms of this Option Agreement shall be binding upon the executors, administrators, heirs, successors and assigns of the Optionee.</w:t>
      </w:r>
    </w:p>
    <w:p>
      <w:pPr>
        <w:spacing w:after="0" w:line="182" w:lineRule="exact"/>
        <w:rPr>
          <w:rFonts w:ascii="Arial" w:cs="Arial" w:eastAsia="Arial" w:hAnsi="Arial"/>
          <w:sz w:val="18"/>
          <w:szCs w:val="18"/>
          <w:b w:val="1"/>
          <w:bCs w:val="1"/>
          <w:color w:val="auto"/>
        </w:rPr>
      </w:pPr>
    </w:p>
    <w:p>
      <w:pPr>
        <w:ind w:left="452" w:hanging="452"/>
        <w:spacing w:after="0"/>
        <w:tabs>
          <w:tab w:leader="none" w:pos="452"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Options</w:t>
      </w:r>
    </w:p>
    <w:p>
      <w:pPr>
        <w:spacing w:after="0" w:line="229" w:lineRule="exact"/>
        <w:rPr>
          <w:rFonts w:ascii="Arial" w:cs="Arial" w:eastAsia="Arial" w:hAnsi="Arial"/>
          <w:sz w:val="18"/>
          <w:szCs w:val="18"/>
          <w:b w:val="1"/>
          <w:bCs w:val="1"/>
          <w:color w:val="auto"/>
        </w:rPr>
      </w:pPr>
    </w:p>
    <w:p>
      <w:pPr>
        <w:ind w:left="452"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This Option shall expire as set forth above and may not be exercised later than the Expiration Date. Notwithstanding the foregoing, this Option may not be exercised after the first to occur of the following:</w:t>
      </w:r>
    </w:p>
    <w:p>
      <w:pPr>
        <w:spacing w:after="0" w:line="170" w:lineRule="exact"/>
        <w:rPr>
          <w:rFonts w:ascii="Arial" w:cs="Arial" w:eastAsia="Arial" w:hAnsi="Arial"/>
          <w:sz w:val="18"/>
          <w:szCs w:val="18"/>
          <w:b w:val="1"/>
          <w:bCs w:val="1"/>
          <w:color w:val="auto"/>
        </w:rPr>
      </w:pPr>
    </w:p>
    <w:p>
      <w:pPr>
        <w:ind w:left="912" w:right="60" w:hanging="453"/>
        <w:spacing w:after="0" w:line="257" w:lineRule="auto"/>
        <w:tabs>
          <w:tab w:leader="none" w:pos="912"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date set by the Board of Directors of inTEST (the “Board of Directors”) to be an accelerated expiration date after a finding by the Board of Directors that a change in the financial accounting treatment for options from that in effect on the date the Plan was adopted materially adversely affects inTEST or, in the determination of the Board of Directors, may materially adversely affect inTEST in the foreseeable future, provided the Board of Directors may take whatever action, including acceleration of any exercise provisions, it deems necessary should it make the determination referred to above;</w:t>
      </w:r>
    </w:p>
    <w:p>
      <w:pPr>
        <w:spacing w:after="0" w:line="188" w:lineRule="exact"/>
        <w:rPr>
          <w:rFonts w:ascii="Arial" w:cs="Arial" w:eastAsia="Arial" w:hAnsi="Arial"/>
          <w:sz w:val="18"/>
          <w:szCs w:val="18"/>
          <w:color w:val="auto"/>
        </w:rPr>
      </w:pPr>
    </w:p>
    <w:p>
      <w:pPr>
        <w:ind w:left="912" w:right="340" w:hanging="453"/>
        <w:spacing w:after="0" w:line="277" w:lineRule="auto"/>
        <w:tabs>
          <w:tab w:leader="none" w:pos="912" w:val="left"/>
        </w:tabs>
        <w:numPr>
          <w:ilvl w:val="1"/>
          <w:numId w:val="28"/>
        </w:numPr>
        <w:rPr>
          <w:rFonts w:ascii="Arial" w:cs="Arial" w:eastAsia="Arial" w:hAnsi="Arial"/>
          <w:sz w:val="18"/>
          <w:szCs w:val="18"/>
          <w:color w:val="auto"/>
        </w:rPr>
      </w:pPr>
      <w:r>
        <w:rPr>
          <w:rFonts w:ascii="Arial" w:cs="Arial" w:eastAsia="Arial" w:hAnsi="Arial"/>
          <w:sz w:val="18"/>
          <w:szCs w:val="18"/>
          <w:color w:val="auto"/>
        </w:rPr>
        <w:t>expiration of one (1) year from the date the Optionee’s service with inTEST (or any of its Affiliates) terminates for any reason, other than for Cause, in which case this Option shall expire immediately; or</w:t>
      </w:r>
    </w:p>
    <w:p>
      <w:pPr>
        <w:spacing w:after="0" w:line="170" w:lineRule="exact"/>
        <w:rPr>
          <w:rFonts w:ascii="Arial" w:cs="Arial" w:eastAsia="Arial" w:hAnsi="Arial"/>
          <w:sz w:val="18"/>
          <w:szCs w:val="18"/>
          <w:color w:val="auto"/>
        </w:rPr>
      </w:pPr>
    </w:p>
    <w:p>
      <w:pPr>
        <w:ind w:left="912" w:right="140" w:hanging="453"/>
        <w:spacing w:after="0" w:line="308" w:lineRule="auto"/>
        <w:tabs>
          <w:tab w:leader="none" w:pos="912" w:val="left"/>
        </w:tabs>
        <w:numPr>
          <w:ilvl w:val="1"/>
          <w:numId w:val="28"/>
        </w:numPr>
        <w:rPr>
          <w:rFonts w:ascii="Arial" w:cs="Arial" w:eastAsia="Arial" w:hAnsi="Arial"/>
          <w:sz w:val="17"/>
          <w:szCs w:val="17"/>
          <w:color w:val="auto"/>
        </w:rPr>
      </w:pPr>
      <w:r>
        <w:rPr>
          <w:rFonts w:ascii="Arial" w:cs="Arial" w:eastAsia="Arial" w:hAnsi="Arial"/>
          <w:sz w:val="17"/>
          <w:szCs w:val="17"/>
          <w:color w:val="auto"/>
        </w:rPr>
        <w:t>in the event of a Change of Control, the Expiration Date of any Option which has vested may be accelerated to a date not earlier than thirty (30) days after notice of such acceleration is given to the Optionee, and any Option which has not vested may be terminated.</w:t>
      </w:r>
    </w:p>
    <w:p>
      <w:pPr>
        <w:spacing w:after="0" w:line="142" w:lineRule="exact"/>
        <w:rPr>
          <w:rFonts w:ascii="Arial" w:cs="Arial" w:eastAsia="Arial" w:hAnsi="Arial"/>
          <w:sz w:val="17"/>
          <w:szCs w:val="17"/>
          <w:color w:val="auto"/>
        </w:rPr>
      </w:pPr>
    </w:p>
    <w:p>
      <w:pPr>
        <w:ind w:left="452" w:hanging="452"/>
        <w:spacing w:after="0"/>
        <w:tabs>
          <w:tab w:leader="none" w:pos="452"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Acceleration of Option</w:t>
      </w:r>
    </w:p>
    <w:p>
      <w:pPr>
        <w:spacing w:after="0" w:line="229" w:lineRule="exact"/>
        <w:rPr>
          <w:rFonts w:ascii="Arial" w:cs="Arial" w:eastAsia="Arial" w:hAnsi="Arial"/>
          <w:sz w:val="18"/>
          <w:szCs w:val="18"/>
          <w:b w:val="1"/>
          <w:bCs w:val="1"/>
          <w:color w:val="auto"/>
        </w:rPr>
      </w:pPr>
    </w:p>
    <w:p>
      <w:pPr>
        <w:ind w:left="452"/>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This Option shall immediately vest and be exercisable in the event (i) the Optionee dies, (ii) the Optionee incurs a Disability, or (iii) a Change of Control occurs and (A) the Unrelated Person involved in such Change of Control does not assume or substitute the Option; (B) the Optionee’s service with the Company is terminated by the Unrelated Person within two years following the Change of Control other than for Cause; or (C) the Optionee resigns for Good Reason. An employee who has retired from active employment according to Section 3(i) of this Option Agreement and whose Option is not assumed or substituted by an Unrelated Person following a Change of Control is considered to be terminated without Cause. For purposes of this Option Agreement, the term “Disability” shall mean a condition of total mental or physical incapacity for further performance of a person’s duty with the Company that the Committee determines, on the basis of competent medical evidence, is likely to be permanent and constitutes a “disability” within the meaning of section 22(e)(3) of the Internal Revenue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362585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580" w:right="239" w:bottom="1440" w:gutter="0" w:footer="0" w:header="0"/>
        </w:sectPr>
      </w:pPr>
    </w:p>
    <w:bookmarkStart w:id="48" w:name="page49"/>
    <w:bookmarkEnd w:id="48"/>
    <w:p>
      <w:pPr>
        <w:ind w:left="452" w:hanging="452"/>
        <w:spacing w:after="0"/>
        <w:tabs>
          <w:tab w:leader="none" w:pos="452"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of Option</w:t>
      </w:r>
    </w:p>
    <w:p>
      <w:pPr>
        <w:spacing w:after="0" w:line="229" w:lineRule="exact"/>
        <w:rPr>
          <w:rFonts w:ascii="Arial" w:cs="Arial" w:eastAsia="Arial" w:hAnsi="Arial"/>
          <w:sz w:val="18"/>
          <w:szCs w:val="18"/>
          <w:b w:val="1"/>
          <w:bCs w:val="1"/>
          <w:color w:val="auto"/>
        </w:rPr>
      </w:pPr>
    </w:p>
    <w:p>
      <w:pPr>
        <w:ind w:left="452" w:right="5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inTEST has the right to amend this Option, subject to the Optionee’s consent if such amendment is not favorable to the Optionee, except that the consent of the Optionee shall not be required for any amendment made pursuant to the Plan.</w:t>
      </w:r>
    </w:p>
    <w:p>
      <w:pPr>
        <w:spacing w:after="0" w:line="166" w:lineRule="exact"/>
        <w:rPr>
          <w:rFonts w:ascii="Arial" w:cs="Arial" w:eastAsia="Arial" w:hAnsi="Arial"/>
          <w:sz w:val="18"/>
          <w:szCs w:val="18"/>
          <w:b w:val="1"/>
          <w:bCs w:val="1"/>
          <w:color w:val="auto"/>
        </w:rPr>
      </w:pPr>
    </w:p>
    <w:p>
      <w:pPr>
        <w:ind w:left="452" w:hanging="452"/>
        <w:spacing w:after="0"/>
        <w:tabs>
          <w:tab w:leader="none" w:pos="452"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of the Plan</w:t>
      </w:r>
    </w:p>
    <w:p>
      <w:pPr>
        <w:spacing w:after="0" w:line="229" w:lineRule="exact"/>
        <w:rPr>
          <w:rFonts w:ascii="Arial" w:cs="Arial" w:eastAsia="Arial" w:hAnsi="Arial"/>
          <w:sz w:val="18"/>
          <w:szCs w:val="18"/>
          <w:b w:val="1"/>
          <w:bCs w:val="1"/>
          <w:color w:val="auto"/>
        </w:rPr>
      </w:pPr>
    </w:p>
    <w:p>
      <w:pPr>
        <w:ind w:left="452"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Subject to certain restrictions contained in the Plan, the Board of Directors of inTEST may amend the Plan from time to time in such manner as it may deem advisable.</w:t>
      </w:r>
    </w:p>
    <w:p>
      <w:pPr>
        <w:spacing w:after="0" w:line="166" w:lineRule="exact"/>
        <w:rPr>
          <w:rFonts w:ascii="Arial" w:cs="Arial" w:eastAsia="Arial" w:hAnsi="Arial"/>
          <w:sz w:val="18"/>
          <w:szCs w:val="18"/>
          <w:b w:val="1"/>
          <w:bCs w:val="1"/>
          <w:color w:val="auto"/>
        </w:rPr>
      </w:pPr>
    </w:p>
    <w:p>
      <w:pPr>
        <w:ind w:left="452" w:hanging="452"/>
        <w:spacing w:after="0"/>
        <w:tabs>
          <w:tab w:leader="none" w:pos="452"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Continued Service</w:t>
      </w:r>
    </w:p>
    <w:p>
      <w:pPr>
        <w:spacing w:after="0" w:line="229" w:lineRule="exact"/>
        <w:rPr>
          <w:rFonts w:ascii="Arial" w:cs="Arial" w:eastAsia="Arial" w:hAnsi="Arial"/>
          <w:sz w:val="18"/>
          <w:szCs w:val="18"/>
          <w:b w:val="1"/>
          <w:bCs w:val="1"/>
          <w:color w:val="auto"/>
        </w:rPr>
      </w:pPr>
    </w:p>
    <w:p>
      <w:pPr>
        <w:ind w:left="452" w:right="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grant of this Option shall not be construed to imply or constitute evidence of any agreement, express or implied, on the part of inTEST to continue the service of the Optionee with inTEST or any of its Affiliates.</w:t>
      </w:r>
    </w:p>
    <w:p>
      <w:pPr>
        <w:spacing w:after="0" w:line="166" w:lineRule="exact"/>
        <w:rPr>
          <w:rFonts w:ascii="Arial" w:cs="Arial" w:eastAsia="Arial" w:hAnsi="Arial"/>
          <w:sz w:val="18"/>
          <w:szCs w:val="18"/>
          <w:b w:val="1"/>
          <w:bCs w:val="1"/>
          <w:color w:val="auto"/>
        </w:rPr>
      </w:pPr>
    </w:p>
    <w:p>
      <w:pPr>
        <w:ind w:left="452" w:hanging="452"/>
        <w:spacing w:after="0"/>
        <w:tabs>
          <w:tab w:leader="none" w:pos="452"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Withholding of Taxes</w:t>
      </w:r>
    </w:p>
    <w:p>
      <w:pPr>
        <w:spacing w:after="0" w:line="229" w:lineRule="exact"/>
        <w:rPr>
          <w:rFonts w:ascii="Arial" w:cs="Arial" w:eastAsia="Arial" w:hAnsi="Arial"/>
          <w:sz w:val="18"/>
          <w:szCs w:val="18"/>
          <w:b w:val="1"/>
          <w:bCs w:val="1"/>
          <w:color w:val="auto"/>
        </w:rPr>
      </w:pPr>
    </w:p>
    <w:p>
      <w:pPr>
        <w:ind w:left="452"/>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If required by inTEST, the Optionee shall, as a condition to the exercise of the Option and the issuance of Option Shares or the transfer of the Option Shares, remit to inTEST the amount of any federal, state or local taxes, including FICA taxes and other employment taxes, required to be withheld or paid under applicable law. To the extent that such taxes are not collected upon the exercise of the Option, inTEST may withhold a portion of the Option Shares or take whatever other action it deems necessary to collect all required taxes due upon the exercise of the Option or transfer of the Option Shares.</w:t>
      </w:r>
    </w:p>
    <w:p>
      <w:pPr>
        <w:spacing w:after="0" w:line="184" w:lineRule="exact"/>
        <w:rPr>
          <w:rFonts w:ascii="Arial" w:cs="Arial" w:eastAsia="Arial" w:hAnsi="Arial"/>
          <w:sz w:val="18"/>
          <w:szCs w:val="18"/>
          <w:b w:val="1"/>
          <w:bCs w:val="1"/>
          <w:color w:val="auto"/>
        </w:rPr>
      </w:pPr>
    </w:p>
    <w:p>
      <w:pPr>
        <w:ind w:left="452" w:hanging="452"/>
        <w:spacing w:after="0"/>
        <w:tabs>
          <w:tab w:leader="none" w:pos="452"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Entire Agreement</w:t>
      </w:r>
    </w:p>
    <w:p>
      <w:pPr>
        <w:spacing w:after="0" w:line="229"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This Option Agreement, together with the Plan, represents the entire agreement between the parties.</w:t>
      </w:r>
    </w:p>
    <w:p>
      <w:pPr>
        <w:spacing w:after="0" w:line="221" w:lineRule="exact"/>
        <w:rPr>
          <w:rFonts w:ascii="Arial" w:cs="Arial" w:eastAsia="Arial" w:hAnsi="Arial"/>
          <w:sz w:val="18"/>
          <w:szCs w:val="18"/>
          <w:b w:val="1"/>
          <w:bCs w:val="1"/>
          <w:color w:val="auto"/>
        </w:rPr>
      </w:pPr>
    </w:p>
    <w:p>
      <w:pPr>
        <w:ind w:left="452" w:hanging="452"/>
        <w:spacing w:after="0"/>
        <w:tabs>
          <w:tab w:leader="none" w:pos="452"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229"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This Option Agreement shall be construed in accordance with the laws of the State of Delaware.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377825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72"/>
          </w:cols>
          <w:pgMar w:left="248" w:top="580" w:right="27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IN WITNESS WHEREOF, inTEST executes this Option Agreement as of the day and year set forth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inTEST Corporation</w:t>
      </w:r>
    </w:p>
    <w:p>
      <w:pPr>
        <w:spacing w:after="0" w:line="229"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Hugh T. Regan,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-130810</wp:posOffset>
            </wp:positionV>
            <wp:extent cx="252984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Secretary, Treasurer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380365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18"/>
          <w:szCs w:val="18"/>
          <w:b w:val="1"/>
          <w:bCs w:val="1"/>
          <w:u w:val="single" w:color="auto"/>
          <w:color w:val="auto"/>
        </w:rPr>
        <w:t>ACKNOWLEDGMENT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Optionee acknowledges receipt of a copy of the Plan and a copy of the Prospectus covering the Option Shares to be issued pursuant to the Plan, copies of which are attached hereto, and Optionee represents that he or she has read and is familiar with the terms, conditions and provisions thereof and hereby accepts the Option granted ______________ subject to all the terms, conditions and provisions thereof. The Optionee hereby agrees to accept as binding, conclusive and final, all decisions or interpretations of the Board of Directors or the Committee upon any questions arising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Date:</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-130810</wp:posOffset>
            </wp:positionV>
            <wp:extent cx="659511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6595110" cy="8890"/>
                    </a:xfrm>
                    <a:prstGeom prst="rect">
                      <a:avLst/>
                    </a:prstGeom>
                    <a:noFill/>
                  </pic:spPr>
                </pic:pic>
              </a:graphicData>
            </a:graphic>
          </wp:anchor>
        </w:drawing>
      </w:r>
    </w:p>
    <w:p>
      <w:pPr>
        <w:spacing w:after="0" w:line="20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51" w:name="page52"/>
    <w:bookmarkEnd w:id="51"/>
    <w:p>
      <w:pPr>
        <w:jc w:val="center"/>
        <w:ind w:right="-319"/>
        <w:spacing w:after="0"/>
        <w:rPr>
          <w:sz w:val="20"/>
          <w:szCs w:val="20"/>
          <w:color w:val="auto"/>
        </w:rPr>
      </w:pPr>
      <w:r>
        <w:rPr>
          <w:rFonts w:ascii="Arial" w:cs="Arial" w:eastAsia="Arial" w:hAnsi="Arial"/>
          <w:sz w:val="18"/>
          <w:szCs w:val="18"/>
          <w:b w:val="1"/>
          <w:bCs w:val="1"/>
          <w:u w:val="single" w:color="auto"/>
          <w:color w:val="auto"/>
        </w:rPr>
        <w:t>NOTICE OF EXERCISE OF STOCK OPTION</w:t>
      </w:r>
    </w:p>
    <w:p>
      <w:pPr>
        <w:sectPr>
          <w:pgSz w:w="11900" w:h="16838" w:orient="portrait"/>
          <w:cols w:equalWidth="0" w:num="1">
            <w:col w:w="11100"/>
          </w:cols>
          <w:pgMar w:left="240" w:top="580"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inTEST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804 East Gate Drive, Suite 200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Mt. Laurel, NJ 08054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Chief Financial Officer</w:t>
      </w:r>
    </w:p>
    <w:p>
      <w:pPr>
        <w:spacing w:after="0" w:line="200" w:lineRule="exact"/>
        <w:rPr>
          <w:sz w:val="20"/>
          <w:szCs w:val="20"/>
          <w:color w:val="auto"/>
        </w:rPr>
      </w:pPr>
    </w:p>
    <w:p>
      <w:pPr>
        <w:sectPr>
          <w:pgSz w:w="11900" w:h="16838" w:orient="portrait"/>
          <w:cols w:equalWidth="0" w:num="2">
            <w:col w:w="440" w:space="720"/>
            <w:col w:w="9940"/>
          </w:cols>
          <w:pgMar w:left="240" w:top="580" w:right="559" w:bottom="1440" w:gutter="0" w:footer="0" w:header="0"/>
          <w:type w:val="continuous"/>
        </w:sectPr>
      </w:pPr>
    </w:p>
    <w:p>
      <w:pPr>
        <w:spacing w:after="0" w:line="227" w:lineRule="exact"/>
        <w:rPr>
          <w:sz w:val="20"/>
          <w:szCs w:val="20"/>
          <w:color w:val="auto"/>
        </w:rPr>
      </w:pPr>
    </w:p>
    <w:p>
      <w:pPr>
        <w:ind w:left="9380"/>
        <w:spacing w:after="0"/>
        <w:rPr>
          <w:sz w:val="20"/>
          <w:szCs w:val="20"/>
          <w:color w:val="auto"/>
        </w:rPr>
      </w:pPr>
      <w:r>
        <w:rPr>
          <w:rFonts w:ascii="Arial" w:cs="Arial" w:eastAsia="Arial" w:hAnsi="Arial"/>
          <w:sz w:val="16"/>
          <w:szCs w:val="16"/>
          <w:color w:val="auto"/>
        </w:rPr>
        <w:t>_____________, 20___</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In accordance with Section 3 of the Non-Qualified Stock Option Agreement dated as of _____________________ (the “Option”), I hereby irrevocably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elect to exercise the Option to purchase _____________ Option Shares of the Common Stock of inTEST Corporation (the “Corporation”) at the exercise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price of _____________________________ ($____) per Option Share and deliver herewith a bank check payable to the order of the Corporation for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aggregate exercise price of $________________.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Signature*:</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-130810</wp:posOffset>
            </wp:positionV>
            <wp:extent cx="252984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Address:</w:t>
      </w:r>
    </w:p>
    <w:p>
      <w:pPr>
        <w:spacing w:after="0" w:line="211"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Phone:</w:t>
      </w:r>
    </w:p>
    <w:p>
      <w:pPr>
        <w:spacing w:after="0" w:line="23" w:lineRule="exact"/>
        <w:rPr>
          <w:sz w:val="20"/>
          <w:szCs w:val="20"/>
          <w:color w:val="auto"/>
        </w:rPr>
      </w:pPr>
    </w:p>
    <w:p>
      <w:pPr>
        <w:ind w:left="5400" w:hanging="246"/>
        <w:spacing w:after="0"/>
        <w:tabs>
          <w:tab w:leader="none" w:pos="54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w:t>
      </w:r>
    </w:p>
    <w:p>
      <w:pPr>
        <w:spacing w:after="0" w:line="21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The signature and name should correspond exactly with the name on the first page of the Option.</w:t>
      </w:r>
    </w:p>
    <w:p>
      <w:pPr>
        <w:sectPr>
          <w:pgSz w:w="11900" w:h="16838" w:orient="portrait"/>
          <w:cols w:equalWidth="0" w:num="1">
            <w:col w:w="11100"/>
          </w:cols>
          <w:pgMar w:left="240" w:top="580" w:right="559" w:bottom="1440" w:gutter="0" w:footer="0" w:header="0"/>
          <w:type w:val="continuous"/>
        </w:sectPr>
      </w:pPr>
    </w:p>
    <w:bookmarkStart w:id="52" w:name="page53"/>
    <w:bookmarkEnd w:id="52"/>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00" w:lineRule="exact"/>
        <w:rPr>
          <w:sz w:val="20"/>
          <w:szCs w:val="20"/>
          <w:color w:val="auto"/>
        </w:rPr>
      </w:pPr>
    </w:p>
    <w:p>
      <w:pPr>
        <w:spacing w:after="0" w:line="24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James Pelrin, certify that:</w:t>
      </w:r>
    </w:p>
    <w:p>
      <w:pPr>
        <w:spacing w:after="0" w:line="225" w:lineRule="exact"/>
        <w:rPr>
          <w:sz w:val="20"/>
          <w:szCs w:val="20"/>
          <w:color w:val="auto"/>
        </w:rPr>
      </w:pPr>
    </w:p>
    <w:p>
      <w:pPr>
        <w:ind w:left="780" w:hanging="322"/>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inTEST Corporation;</w:t>
      </w:r>
    </w:p>
    <w:p>
      <w:pPr>
        <w:spacing w:after="0" w:line="225" w:lineRule="exact"/>
        <w:rPr>
          <w:rFonts w:ascii="Arial" w:cs="Arial" w:eastAsia="Arial" w:hAnsi="Arial"/>
          <w:sz w:val="18"/>
          <w:szCs w:val="18"/>
          <w:color w:val="auto"/>
        </w:rPr>
      </w:pPr>
    </w:p>
    <w:p>
      <w:pPr>
        <w:ind w:right="180" w:firstLine="458"/>
        <w:spacing w:after="0" w:line="342" w:lineRule="auto"/>
        <w:tabs>
          <w:tab w:leader="none" w:pos="765"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140" w:firstLine="458"/>
        <w:spacing w:after="0" w:line="277" w:lineRule="auto"/>
        <w:tabs>
          <w:tab w:leader="none" w:pos="765"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458"/>
        <w:spacing w:after="0" w:line="264" w:lineRule="auto"/>
        <w:tabs>
          <w:tab w:leader="none" w:pos="762"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340" w:right="220" w:firstLine="352"/>
        <w:spacing w:after="0" w:line="264" w:lineRule="auto"/>
        <w:tabs>
          <w:tab w:leader="none" w:pos="99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340" w:right="560" w:firstLine="352"/>
        <w:spacing w:after="0" w:line="264" w:lineRule="auto"/>
        <w:tabs>
          <w:tab w:leader="none" w:pos="10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40" w:right="760" w:firstLine="352"/>
        <w:spacing w:after="0" w:line="342" w:lineRule="auto"/>
        <w:tabs>
          <w:tab w:leader="none" w:pos="990"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340" w:right="100" w:firstLine="352"/>
        <w:spacing w:after="0" w:line="264" w:lineRule="auto"/>
        <w:tabs>
          <w:tab w:leader="none" w:pos="10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80" w:firstLine="458"/>
        <w:spacing w:after="0" w:line="308" w:lineRule="auto"/>
        <w:tabs>
          <w:tab w:leader="none" w:pos="762"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40" w:right="140" w:firstLine="352"/>
        <w:spacing w:after="0" w:line="277" w:lineRule="auto"/>
        <w:tabs>
          <w:tab w:leader="none" w:pos="9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right="100" w:firstLine="352"/>
        <w:spacing w:after="0" w:line="277" w:lineRule="auto"/>
        <w:tabs>
          <w:tab w:leader="none" w:pos="99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August 13, 2019</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760"/>
        <w:spacing w:after="0"/>
        <w:rPr>
          <w:sz w:val="20"/>
          <w:szCs w:val="20"/>
          <w:color w:val="auto"/>
        </w:rPr>
      </w:pPr>
      <w:r>
        <w:rPr>
          <w:rFonts w:ascii="Arial" w:cs="Arial" w:eastAsia="Arial" w:hAnsi="Arial"/>
          <w:sz w:val="18"/>
          <w:szCs w:val="18"/>
          <w:u w:val="single" w:color="auto"/>
          <w:color w:val="auto"/>
        </w:rPr>
        <w:t>/s/ James Pelrin</w:t>
      </w:r>
    </w:p>
    <w:p>
      <w:pPr>
        <w:spacing w:after="0" w:line="23"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James Pelrin</w:t>
      </w:r>
    </w:p>
    <w:p>
      <w:pPr>
        <w:spacing w:after="0" w:line="9"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1"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Hugh T. Regan, Jr., certify that:</w:t>
      </w:r>
    </w:p>
    <w:p>
      <w:pPr>
        <w:spacing w:after="0" w:line="225" w:lineRule="exact"/>
        <w:rPr>
          <w:sz w:val="20"/>
          <w:szCs w:val="20"/>
          <w:color w:val="auto"/>
        </w:rPr>
      </w:pPr>
    </w:p>
    <w:p>
      <w:pPr>
        <w:ind w:left="780" w:hanging="322"/>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inTEST Corporation;</w:t>
      </w:r>
    </w:p>
    <w:p>
      <w:pPr>
        <w:spacing w:after="0" w:line="225" w:lineRule="exact"/>
        <w:rPr>
          <w:rFonts w:ascii="Arial" w:cs="Arial" w:eastAsia="Arial" w:hAnsi="Arial"/>
          <w:sz w:val="18"/>
          <w:szCs w:val="18"/>
          <w:color w:val="auto"/>
        </w:rPr>
      </w:pPr>
    </w:p>
    <w:p>
      <w:pPr>
        <w:ind w:right="180" w:firstLine="458"/>
        <w:spacing w:after="0" w:line="342" w:lineRule="auto"/>
        <w:tabs>
          <w:tab w:leader="none" w:pos="765"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140" w:firstLine="458"/>
        <w:spacing w:after="0" w:line="277" w:lineRule="auto"/>
        <w:tabs>
          <w:tab w:leader="none" w:pos="765"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458"/>
        <w:spacing w:after="0" w:line="264" w:lineRule="auto"/>
        <w:tabs>
          <w:tab w:leader="none" w:pos="762"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340" w:right="220" w:firstLine="352"/>
        <w:spacing w:after="0" w:line="264" w:lineRule="auto"/>
        <w:tabs>
          <w:tab w:leader="none" w:pos="99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340" w:right="560" w:firstLine="352"/>
        <w:spacing w:after="0" w:line="264" w:lineRule="auto"/>
        <w:tabs>
          <w:tab w:leader="none" w:pos="10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40" w:right="760" w:firstLine="352"/>
        <w:spacing w:after="0" w:line="342" w:lineRule="auto"/>
        <w:tabs>
          <w:tab w:leader="none" w:pos="990"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340" w:right="100" w:firstLine="352"/>
        <w:spacing w:after="0" w:line="264" w:lineRule="auto"/>
        <w:tabs>
          <w:tab w:leader="none" w:pos="10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80" w:firstLine="458"/>
        <w:spacing w:after="0" w:line="308" w:lineRule="auto"/>
        <w:tabs>
          <w:tab w:leader="none" w:pos="762"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40" w:right="140" w:firstLine="352"/>
        <w:spacing w:after="0" w:line="277" w:lineRule="auto"/>
        <w:tabs>
          <w:tab w:leader="none" w:pos="9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right="100" w:firstLine="352"/>
        <w:spacing w:after="0" w:line="277" w:lineRule="auto"/>
        <w:tabs>
          <w:tab w:leader="none" w:pos="99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August 13, 2019</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760"/>
        <w:spacing w:after="0"/>
        <w:rPr>
          <w:sz w:val="20"/>
          <w:szCs w:val="20"/>
          <w:color w:val="auto"/>
        </w:rPr>
      </w:pPr>
      <w:r>
        <w:rPr>
          <w:rFonts w:ascii="Arial" w:cs="Arial" w:eastAsia="Arial" w:hAnsi="Arial"/>
          <w:sz w:val="18"/>
          <w:szCs w:val="18"/>
          <w:u w:val="single" w:color="auto"/>
          <w:color w:val="auto"/>
        </w:rPr>
        <w:t>/s/ Hugh T. Regan, Jr.</w:t>
      </w:r>
    </w:p>
    <w:p>
      <w:pPr>
        <w:spacing w:after="0" w:line="23"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Hugh T. Regan, Jr.</w:t>
      </w:r>
    </w:p>
    <w:p>
      <w:pPr>
        <w:spacing w:after="0" w:line="9"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Secretary, Treasurer and Chief Financial Officer</w:t>
      </w:r>
    </w:p>
    <w:p>
      <w:pPr>
        <w:sectPr>
          <w:pgSz w:w="11900" w:h="16838" w:orient="portrait"/>
          <w:cols w:equalWidth="0" w:num="1">
            <w:col w:w="11420"/>
          </w:cols>
          <w:pgMar w:left="240" w:top="121"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500"/>
        <w:spacing w:after="0" w:line="286" w:lineRule="auto"/>
        <w:rPr>
          <w:sz w:val="20"/>
          <w:szCs w:val="20"/>
          <w:color w:val="auto"/>
        </w:rPr>
      </w:pPr>
      <w:r>
        <w:rPr>
          <w:rFonts w:ascii="Arial" w:cs="Arial" w:eastAsia="Arial" w:hAnsi="Arial"/>
          <w:sz w:val="17"/>
          <w:szCs w:val="17"/>
          <w:color w:val="auto"/>
        </w:rPr>
        <w:t>In connection with the Quarterly Report of inTEST Corporation (the "Company") on Form 10-Q for the period ended June 30, 2019 as filed with the Securities and Exchange Commission on the date hereof (the "Report"), I, James Pelrin, President and Chief Executive Officer of the Company, certify, pursuant to 18 U.S.C. Section 1350, as adopted pursuant to Section 906 of the Sarbanes-Oxley Act of 2002, that:</w:t>
      </w:r>
    </w:p>
    <w:p>
      <w:pPr>
        <w:spacing w:after="0" w:line="166" w:lineRule="exact"/>
        <w:rPr>
          <w:sz w:val="20"/>
          <w:szCs w:val="20"/>
          <w:color w:val="auto"/>
        </w:rPr>
      </w:pPr>
    </w:p>
    <w:p>
      <w:pPr>
        <w:ind w:left="440" w:hanging="432"/>
        <w:spacing w:after="0"/>
        <w:tabs>
          <w:tab w:leader="none" w:pos="4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440" w:hanging="432"/>
        <w:spacing w:after="0"/>
        <w:tabs>
          <w:tab w:leader="none" w:pos="4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Date:</w:t>
        <w:tab/>
        <w:t>August 13, 2019</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240"/>
        <w:spacing w:after="0"/>
        <w:rPr>
          <w:sz w:val="20"/>
          <w:szCs w:val="20"/>
          <w:color w:val="auto"/>
        </w:rPr>
      </w:pPr>
      <w:r>
        <w:rPr>
          <w:rFonts w:ascii="Arial" w:cs="Arial" w:eastAsia="Arial" w:hAnsi="Arial"/>
          <w:sz w:val="18"/>
          <w:szCs w:val="18"/>
          <w:u w:val="single" w:color="auto"/>
          <w:color w:val="auto"/>
        </w:rPr>
        <w:t>/s/ James Pelrin</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James Pelrin</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1"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right="680"/>
        <w:spacing w:after="0" w:line="312" w:lineRule="auto"/>
        <w:rPr>
          <w:sz w:val="20"/>
          <w:szCs w:val="20"/>
          <w:color w:val="auto"/>
        </w:rPr>
      </w:pPr>
      <w:r>
        <w:rPr>
          <w:rFonts w:ascii="Arial" w:cs="Arial" w:eastAsia="Arial" w:hAnsi="Arial"/>
          <w:sz w:val="16"/>
          <w:szCs w:val="16"/>
          <w:color w:val="auto"/>
        </w:rPr>
        <w:t>In connection with the Quarterly Report of inTEST Corporation (the "Company") on Form 10-Q for the period ended June 30, 2019 as filed with the Securities and Exchange Commission on the date hereof (the "Report"), I, Hugh T. Regan, Jr., Secretary, Treasurer and Chief Financial Officer of the Company, certify, pursuant to 18 U.S.C. Section 1350, as adopted pursuant to Section 906 of the Sarbanes-Oxley Act of 2002, that:</w:t>
      </w:r>
    </w:p>
    <w:p>
      <w:pPr>
        <w:spacing w:after="0" w:line="147" w:lineRule="exact"/>
        <w:rPr>
          <w:sz w:val="20"/>
          <w:szCs w:val="20"/>
          <w:color w:val="auto"/>
        </w:rPr>
      </w:pPr>
    </w:p>
    <w:p>
      <w:pPr>
        <w:ind w:left="260" w:hanging="252"/>
        <w:spacing w:after="0"/>
        <w:tabs>
          <w:tab w:leader="none" w:pos="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Date: August 13, 2019</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240"/>
        <w:spacing w:after="0"/>
        <w:rPr>
          <w:sz w:val="20"/>
          <w:szCs w:val="20"/>
          <w:color w:val="auto"/>
        </w:rPr>
      </w:pPr>
      <w:r>
        <w:rPr>
          <w:rFonts w:ascii="Arial" w:cs="Arial" w:eastAsia="Arial" w:hAnsi="Arial"/>
          <w:sz w:val="18"/>
          <w:szCs w:val="18"/>
          <w:u w:val="single" w:color="auto"/>
          <w:color w:val="auto"/>
        </w:rPr>
        <w:t>/s/ Hugh T. Regan, Jr.</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Hugh T. Regan, Jr.</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Secretary, Treasurer and Chief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1)"/>
      <w:numFmt w:val="decimal"/>
      <w:start w:val="1"/>
    </w:lvl>
  </w:abstractNum>
  <w:abstractNum w:abstractNumId="3">
    <w:nsid w:val="7C83E458"/>
    <w:multiLevelType w:val="hybridMultilevel"/>
    <w:lvl w:ilvl="0">
      <w:lvlJc w:val="left"/>
      <w:lvlText w:val="(%1)"/>
      <w:numFmt w:val="decimal"/>
      <w:start w:val="2"/>
    </w:lvl>
  </w:abstractNum>
  <w:abstractNum w:abstractNumId="4">
    <w:nsid w:val="257130A3"/>
    <w:multiLevelType w:val="hybridMultilevel"/>
    <w:lvl w:ilvl="0">
      <w:lvlJc w:val="left"/>
      <w:lvlText w:val="(%1)"/>
      <w:numFmt w:val="decimal"/>
      <w:start w:val="3"/>
    </w:lvl>
  </w:abstractNum>
  <w:abstractNum w:abstractNumId="5">
    <w:nsid w:val="62BBD95A"/>
    <w:multiLevelType w:val="hybridMultilevel"/>
    <w:lvl w:ilvl="0">
      <w:lvlJc w:val="left"/>
      <w:lvlText w:val="(%1)"/>
      <w:numFmt w:val="decimal"/>
      <w:start w:val="4"/>
    </w:lvl>
  </w:abstractNum>
  <w:abstractNum w:abstractNumId="6">
    <w:nsid w:val="436C6125"/>
    <w:multiLevelType w:val="hybridMultilevel"/>
    <w:lvl w:ilvl="0">
      <w:lvlJc w:val="left"/>
      <w:lvlText w:val="(%1)"/>
      <w:numFmt w:val="decimal"/>
      <w:start w:val="5"/>
    </w:lvl>
  </w:abstractNum>
  <w:abstractNum w:abstractNumId="7">
    <w:nsid w:val="628C895D"/>
    <w:multiLevelType w:val="hybridMultilevel"/>
    <w:lvl w:ilvl="0">
      <w:lvlJc w:val="left"/>
      <w:lvlText w:val="(%1)"/>
      <w:numFmt w:val="decimal"/>
      <w:start w:val="7"/>
    </w:lvl>
  </w:abstractNum>
  <w:abstractNum w:abstractNumId="8">
    <w:nsid w:val="333AB105"/>
    <w:multiLevelType w:val="hybridMultilevel"/>
    <w:lvl w:ilvl="0">
      <w:lvlJc w:val="left"/>
      <w:lvlText w:val="(%1)"/>
      <w:numFmt w:val="decimal"/>
      <w:start w:val="8"/>
    </w:lvl>
  </w:abstractNum>
  <w:abstractNum w:abstractNumId="9">
    <w:nsid w:val="721DA317"/>
    <w:multiLevelType w:val="hybridMultilevel"/>
    <w:lvl w:ilvl="0">
      <w:lvlJc w:val="left"/>
      <w:lvlText w:val="(%1)"/>
      <w:numFmt w:val="decimal"/>
      <w:start w:val="9"/>
    </w:lvl>
  </w:abstractNum>
  <w:abstractNum w:abstractNumId="10">
    <w:nsid w:val="2443A858"/>
    <w:multiLevelType w:val="hybridMultilevel"/>
    <w:lvl w:ilvl="0">
      <w:lvlJc w:val="left"/>
      <w:lvlText w:val="(%1)"/>
      <w:numFmt w:val="decimal"/>
      <w:start w:val="10"/>
    </w:lvl>
  </w:abstractNum>
  <w:abstractNum w:abstractNumId="11">
    <w:nsid w:val="2D1D5AE9"/>
    <w:multiLevelType w:val="hybridMultilevel"/>
    <w:lvl w:ilvl="0">
      <w:lvlJc w:val="left"/>
      <w:lvlText w:val="(%1)"/>
      <w:numFmt w:val="decimal"/>
      <w:start w:val="12"/>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1)"/>
      <w:numFmt w:val="decimal"/>
      <w:start w:val="1"/>
    </w:lvl>
  </w:abstractNum>
  <w:abstractNum w:abstractNumId="14">
    <w:nsid w:val="8EDBDAB"/>
    <w:multiLevelType w:val="hybridMultilevel"/>
    <w:lvl w:ilvl="0">
      <w:lvlJc w:val="left"/>
      <w:lvlText w:val="%1."/>
      <w:numFmt w:val="decimal"/>
      <w:start w:val="1"/>
    </w:lvl>
    <w:lvl w:ilvl="1">
      <w:lvlJc w:val="left"/>
      <w:lvlText w:val="(%2)"/>
      <w:numFmt w:val="lowerRoman"/>
      <w:start w:val="1"/>
    </w:lvl>
  </w:abstractNum>
  <w:abstractNum w:abstractNumId="15">
    <w:nsid w:val="79838CB2"/>
    <w:multiLevelType w:val="hybridMultilevel"/>
    <w:lvl w:ilvl="0">
      <w:lvlJc w:val="left"/>
      <w:lvlText w:val="%1."/>
      <w:numFmt w:val="decimal"/>
      <w:start w:val="4"/>
    </w:lvl>
  </w:abstractNum>
  <w:abstractNum w:abstractNumId="16">
    <w:nsid w:val="4353D0CD"/>
    <w:multiLevelType w:val="hybridMultilevel"/>
    <w:lvl w:ilvl="0">
      <w:lvlJc w:val="left"/>
      <w:lvlText w:val="%1."/>
      <w:numFmt w:val="decimal"/>
      <w:start w:val="7"/>
    </w:lvl>
  </w:abstractNum>
  <w:abstractNum w:abstractNumId="17">
    <w:nsid w:val="B03E0C6"/>
    <w:multiLevelType w:val="hybridMultilevel"/>
    <w:lvl w:ilvl="0">
      <w:lvlJc w:val="left"/>
      <w:lvlText w:val="%1."/>
      <w:numFmt w:val="decimal"/>
      <w:start w:val="10"/>
    </w:lvl>
  </w:abstractNum>
  <w:abstractNum w:abstractNumId="18">
    <w:nsid w:val="189A769B"/>
    <w:multiLevelType w:val="hybridMultilevel"/>
    <w:lvl w:ilvl="0">
      <w:lvlJc w:val="left"/>
      <w:lvlText w:val="%1."/>
      <w:numFmt w:val="decimal"/>
      <w:start w:val="1"/>
    </w:lvl>
    <w:lvl w:ilvl="1">
      <w:lvlJc w:val="left"/>
      <w:lvlText w:val="(%2)"/>
      <w:numFmt w:val="lowerRoman"/>
      <w:start w:val="1"/>
    </w:lvl>
  </w:abstractNum>
  <w:abstractNum w:abstractNumId="19">
    <w:nsid w:val="54E49EB4"/>
    <w:multiLevelType w:val="hybridMultilevel"/>
    <w:lvl w:ilvl="0">
      <w:lvlJc w:val="left"/>
      <w:lvlText w:val="%1."/>
      <w:numFmt w:val="decimal"/>
      <w:start w:val="4"/>
    </w:lvl>
  </w:abstractNum>
  <w:abstractNum w:abstractNumId="20">
    <w:nsid w:val="71F32454"/>
    <w:multiLevelType w:val="hybridMultilevel"/>
    <w:lvl w:ilvl="0">
      <w:lvlJc w:val="left"/>
      <w:lvlText w:val="%1."/>
      <w:numFmt w:val="decimal"/>
      <w:start w:val="7"/>
    </w:lvl>
  </w:abstractNum>
  <w:abstractNum w:abstractNumId="21">
    <w:nsid w:val="2CA88611"/>
    <w:multiLevelType w:val="hybridMultilevel"/>
    <w:lvl w:ilvl="0">
      <w:lvlJc w:val="left"/>
      <w:lvlText w:val="%1."/>
      <w:numFmt w:val="decimal"/>
      <w:start w:val="1"/>
    </w:lvl>
    <w:lvl w:ilvl="1">
      <w:lvlJc w:val="left"/>
      <w:lvlText w:val="(%2)"/>
      <w:numFmt w:val="lowerRoman"/>
      <w:start w:val="1"/>
    </w:lvl>
  </w:abstractNum>
  <w:abstractNum w:abstractNumId="22">
    <w:nsid w:val="836C40E"/>
    <w:multiLevelType w:val="hybridMultilevel"/>
    <w:lvl w:ilvl="0">
      <w:lvlJc w:val="left"/>
      <w:lvlText w:val="%1"/>
      <w:numFmt w:val="decimal"/>
      <w:start w:val="1"/>
    </w:lvl>
    <w:lvl w:ilvl="1">
      <w:lvlJc w:val="left"/>
      <w:lvlText w:val="(%2)"/>
      <w:numFmt w:val="lowerRoman"/>
      <w:start w:val="3"/>
    </w:lvl>
  </w:abstractNum>
  <w:abstractNum w:abstractNumId="23">
    <w:nsid w:val="2901D82"/>
    <w:multiLevelType w:val="hybridMultilevel"/>
    <w:lvl w:ilvl="0">
      <w:lvlJc w:val="left"/>
      <w:lvlText w:val="%1."/>
      <w:numFmt w:val="decimal"/>
      <w:start w:val="5"/>
    </w:lvl>
    <w:lvl w:ilvl="1">
      <w:lvlJc w:val="left"/>
      <w:lvlText w:val="%2"/>
      <w:numFmt w:val="lowerRoman"/>
      <w:start w:val="1"/>
    </w:lvl>
  </w:abstractNum>
  <w:abstractNum w:abstractNumId="24">
    <w:nsid w:val="3A95F874"/>
    <w:multiLevelType w:val="hybridMultilevel"/>
    <w:lvl w:ilvl="0">
      <w:lvlJc w:val="left"/>
      <w:lvlText w:val="%1."/>
      <w:numFmt w:val="decimal"/>
      <w:start w:val="8"/>
    </w:lvl>
    <w:lvl w:ilvl="1">
      <w:lvlJc w:val="left"/>
      <w:lvlText w:val="(%2)"/>
      <w:numFmt w:val="lowerRoman"/>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1."/>
      <w:numFmt w:val="decimal"/>
      <w:start w:val="1"/>
    </w:lvl>
    <w:lvl w:ilvl="1">
      <w:lvlJc w:val="left"/>
      <w:lvlText w:val="(%2)"/>
      <w:numFmt w:val="lowerRoman"/>
      <w:start w:val="1"/>
    </w:lvl>
  </w:abstractNum>
  <w:abstractNum w:abstractNumId="27">
    <w:nsid w:val="7C3DBD3D"/>
    <w:multiLevelType w:val="hybridMultilevel"/>
    <w:lvl w:ilvl="0">
      <w:lvlJc w:val="left"/>
      <w:lvlText w:val="%1."/>
      <w:numFmt w:val="decimal"/>
      <w:start w:val="4"/>
    </w:lvl>
    <w:lvl w:ilvl="1">
      <w:lvlJc w:val="left"/>
      <w:lvlText w:val="(%2)"/>
      <w:numFmt w:val="lowerRoman"/>
      <w:start w:val="1"/>
    </w:lvl>
  </w:abstractNum>
  <w:abstractNum w:abstractNumId="28">
    <w:nsid w:val="737B8DDC"/>
    <w:multiLevelType w:val="hybridMultilevel"/>
    <w:lvl w:ilvl="0">
      <w:lvlJc w:val="left"/>
      <w:lvlText w:val="%1."/>
      <w:numFmt w:val="decimal"/>
      <w:start w:val="9"/>
    </w:lvl>
  </w:abstractNum>
  <w:abstractNum w:abstractNumId="29">
    <w:nsid w:val="6CEAF087"/>
    <w:multiLevelType w:val="hybridMultilevel"/>
    <w:lvl w:ilvl="0">
      <w:lvlJc w:val="left"/>
      <w:lvlText w:val="*"/>
      <w:numFmt w:val="bullet"/>
      <w:start w:val="1"/>
    </w:lvl>
    <w:lvl w:ilvl="1">
      <w:lvlJc w:val="left"/>
      <w:lvlText w:val="%2"/>
      <w:numFmt w:val="upperLetter"/>
      <w:start w:val="45"/>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43" Type="http://schemas.openxmlformats.org/officeDocument/2006/relationships/hyperlink" Target="http://www.sec.gov/Archives/edgar/data/1036262/000143774919012528/ex_148378.htm" TargetMode="External"/><Relationship Id="rId44" Type="http://schemas.openxmlformats.org/officeDocument/2006/relationships/hyperlink" Target="http://www.sec.gov/Archives/edgar/data/1036262/000143774919007093/ex_14055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2019-12-28T06:57:33Z</dcterms:created>
  <dcterms:modified xsi:type="dcterms:W3CDTF">2019-12-28T06:57:33Z</dcterms:modified>
</cp:coreProperties>
</file>