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24" w:lineRule="exact"/>
        <w:rPr>
          <w:sz w:val="24"/>
          <w:szCs w:val="24"/>
          <w:color w:val="auto"/>
        </w:rPr>
      </w:pPr>
    </w:p>
    <w:p>
      <w:pPr>
        <w:ind w:left="3900" w:right="1640" w:hanging="3892"/>
        <w:spacing w:after="0" w:line="46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30, 2024</w:t>
      </w:r>
      <w:r>
        <w:rPr>
          <w:rFonts w:ascii="Times New Roman" w:cs="Times New Roman" w:eastAsia="Times New Roman" w:hAnsi="Times New Roman"/>
          <w:sz w:val="18"/>
          <w:szCs w:val="18"/>
          <w:color w:val="auto"/>
        </w:rPr>
        <w:t xml:space="preserve"> or</w:t>
      </w:r>
    </w:p>
    <w:p>
      <w:pPr>
        <w:spacing w:after="0" w:line="3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56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3649345</wp:posOffset>
            </wp:positionH>
            <wp:positionV relativeFrom="paragraph">
              <wp:posOffset>-7620</wp:posOffset>
            </wp:positionV>
            <wp:extent cx="1229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1-36117</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inTEST Corporation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22-2370659</w:t>
            </w:r>
          </w:p>
        </w:tc>
      </w:tr>
      <w:tr>
        <w:trPr>
          <w:trHeight w:val="20"/>
        </w:trPr>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804 East Gate Drive, Suite 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Mt. Laurel, New Jersey 08054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(856) 505-8800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80" w:type="dxa"/>
            <w:vAlign w:val="bottom"/>
          </w:tcPr>
          <w:p>
            <w:pPr>
              <w:spacing w:after="0"/>
              <w:rPr>
                <w:sz w:val="18"/>
                <w:szCs w:val="18"/>
                <w:color w:val="auto"/>
              </w:rPr>
            </w:pPr>
          </w:p>
        </w:tc>
        <w:tc>
          <w:tcPr>
            <w:tcW w:w="402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42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INTT</w:t>
            </w:r>
          </w:p>
        </w:tc>
        <w:tc>
          <w:tcPr>
            <w:tcW w:w="5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472" w:right="45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8" w:lineRule="exact"/>
        <w:rPr>
          <w:sz w:val="24"/>
          <w:szCs w:val="24"/>
          <w:color w:val="auto"/>
        </w:rPr>
      </w:pPr>
    </w:p>
    <w:p>
      <w:pPr>
        <w:sectPr>
          <w:pgSz w:w="11900" w:h="16838" w:orient="portrait"/>
          <w:cols w:equalWidth="0" w:num="2">
            <w:col w:w="5480" w:space="720"/>
            <w:col w:w="4920"/>
          </w:cols>
          <w:pgMar w:left="320" w:top="47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6" w:lineRule="exact"/>
        <w:rPr>
          <w:sz w:val="24"/>
          <w:szCs w:val="24"/>
          <w:color w:val="auto"/>
        </w:rPr>
      </w:pPr>
    </w:p>
    <w:p>
      <w:pPr>
        <w:sectPr>
          <w:pgSz w:w="11900" w:h="16838" w:orient="portrait"/>
          <w:cols w:equalWidth="0" w:num="2">
            <w:col w:w="1980" w:space="80"/>
            <w:col w:w="9060"/>
          </w:cols>
          <w:pgMar w:left="320" w:top="472" w:right="459" w:bottom="1440" w:gutter="0" w:footer="0" w:header="0"/>
          <w:type w:val="continuous"/>
        </w:sectPr>
      </w:pPr>
    </w:p>
    <w:p>
      <w:pPr>
        <w:spacing w:after="0" w:line="7"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outstanding as of the close of business on July 31, 2024:  12,516,280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inTEST CORPORATION</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98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Balance Sheets as of June 30, 2024 (Unaudited) and December 31, 2023</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months and six months ended June 30, 2024 and 2023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shd w:val="clear" w:color="auto" w:fill="CCEEFF"/>
          </w:tcPr>
          <w:p>
            <w:pPr>
              <w:spacing w:after="0"/>
              <w:rPr>
                <w:sz w:val="17"/>
                <w:szCs w:val="17"/>
                <w:color w:val="auto"/>
              </w:rPr>
            </w:pPr>
          </w:p>
        </w:tc>
        <w:tc>
          <w:tcPr>
            <w:tcW w:w="98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Unaudited Consolidated Statements of Comprehensive Earnings (Loss) for the three months and six months ended June 30, 2024 and</w:t>
            </w:r>
          </w:p>
        </w:tc>
        <w:tc>
          <w:tcPr>
            <w:tcW w:w="600" w:type="dxa"/>
            <w:vAlign w:val="bottom"/>
            <w:gridSpan w:val="3"/>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shd w:val="clear" w:color="auto" w:fill="CCEEFF"/>
          </w:tcPr>
          <w:p>
            <w:pPr>
              <w:spacing w:after="0"/>
              <w:rPr>
                <w:sz w:val="20"/>
                <w:szCs w:val="20"/>
                <w:color w:val="auto"/>
              </w:rPr>
            </w:pPr>
          </w:p>
        </w:tc>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 for the three months and six months ended June 30, 2024 and 2023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six months ended June 30, 2024 and 2023</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1A.</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Defaults Upon Senior Securities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5.</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8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20,370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$416 and $474, respectively</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85,778</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(7,529)</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160,554</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134,829</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Term Note and other long-term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Note and other long-term debt, net of current portion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38,548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 shares authorized; 12,591,662 and 12,241,925 shares issued,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79,382 and 75,758 shares, respectively</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160,554</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134,829</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33,991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64,477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20,194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36,942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34,395</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26,873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30,082</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7,138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13,150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10,217</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26,045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23,220</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12,234,599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11,241,183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12,130,480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10,998,456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and common share equivalents outstanding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12,330,280</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11,696,569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12,244,289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11,392,617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6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5,610</w:t>
            </w:r>
          </w:p>
        </w:tc>
      </w:tr>
      <w:tr>
        <w:trPr>
          <w:trHeight w:val="216"/>
        </w:trPr>
        <w:tc>
          <w:tcPr>
            <w:tcW w:w="59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interest rate swap agreement</w:t>
            </w: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(697)</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09"/>
        </w:trPr>
        <w:tc>
          <w:tcPr>
            <w:tcW w:w="31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6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(511)</w:t>
            </w:r>
          </w:p>
        </w:tc>
        <w:tc>
          <w:tcPr>
            <w:tcW w:w="70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2,974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5,862</w:t>
            </w:r>
          </w:p>
        </w:tc>
      </w:tr>
      <w:tr>
        <w:trPr>
          <w:trHeight w:val="20"/>
        </w:trPr>
        <w:tc>
          <w:tcPr>
            <w:tcW w:w="3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49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2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19"/>
                <w:szCs w:val="19"/>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12,241,925</w:t>
            </w:r>
          </w:p>
        </w:tc>
        <w:tc>
          <w:tcPr>
            <w:tcW w:w="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96,281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in connection with</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Alfamation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187,432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138,838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surrendered to satisfy tax liability at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12,566,024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99,317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surrendered to satisfy tax liability at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12,591,662</w:t>
            </w:r>
          </w:p>
        </w:tc>
        <w:tc>
          <w:tcPr>
            <w:tcW w:w="5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99,502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11,063,271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64,956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90,588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Forfeitures of unvested shares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surrendered to satisfy tax liability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vesting of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11,168,080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35,671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68,498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surrendered to satisfy tax liability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vesting of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921,797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12,185,220</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92,064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892</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compensation related to stock-based awards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Discount on shares sold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5,342</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(18,727)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(19,383)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public offering of common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shares sold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employee tax liabilities in connection with treasury stock transaction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18,103</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all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(24,890)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20,370</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37,435</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and foreign income taxes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w:t>
            </w:r>
          </w:p>
        </w:tc>
        <w:tc>
          <w:tcPr>
            <w:tcW w:w="1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Details of acquisition: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assets acquired, net of cash</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32,189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(24,929)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issued</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resulting from acquisition</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18,727</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582"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r>
    </w:p>
    <w:p>
      <w:pPr>
        <w:spacing w:after="0" w:line="175" w:lineRule="exact"/>
        <w:rPr>
          <w:rFonts w:ascii="Times New Roman" w:cs="Times New Roman" w:eastAsia="Times New Roman" w:hAnsi="Times New Roman"/>
          <w:sz w:val="18"/>
          <w:szCs w:val="18"/>
          <w:b w:val="1"/>
          <w:bCs w:val="1"/>
          <w:color w:val="auto"/>
        </w:rPr>
      </w:pPr>
    </w:p>
    <w:p>
      <w:pPr>
        <w:ind w:left="6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March 12, 2024 we completed the acquisition of Alfamation S.p.A., an Italian joint-stock company (“Alfamation”), for an aggregate base purchase price of approximately EUR 20,000 comprised of: (i) EUR 18,000, or $19,674, in cash; and (ii) 187,432 shares of our common stock, valued at $2,086 based on the closing price of our stock on the date of acquisition. The cash portion of the purchase price was subject to customary working capital adjustments. These adjustments were finalized in June 2024 and resulted in recording an additional EUR 129, or $141, in purchase price for assets delivered at closing in excess of agreed upon thresholds. The liabilities assumed in connection with the acquisition included debt of approximately EUR 10,294, or $11,252. The acquisition is discussed further in Note 3. The debt assumed is discussed further in Note 10.</w:t>
      </w:r>
    </w:p>
    <w:p>
      <w:pPr>
        <w:spacing w:after="0" w:line="172" w:lineRule="exact"/>
        <w:rPr>
          <w:rFonts w:ascii="Times New Roman" w:cs="Times New Roman" w:eastAsia="Times New Roman" w:hAnsi="Times New Roman"/>
          <w:sz w:val="18"/>
          <w:szCs w:val="18"/>
          <w:b w:val="1"/>
          <w:bCs w:val="1"/>
          <w:color w:val="auto"/>
        </w:rPr>
      </w:pPr>
    </w:p>
    <w:p>
      <w:pPr>
        <w:ind w:left="660" w:right="1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consolidated entity is comprised of inTEST Corporation and our wholly-owned subsidiaries. We manufacture our products in the U.S., Italy, Canada and the Netherlands. Marketing and support activities are conducted worldwide from our facilities in the U.S., Italy, Canada, Germany, Singapore, the Netherlands, China and the U.K. We operate our business worldwide and sell our products both domestically and internationally.</w:t>
      </w:r>
    </w:p>
    <w:p>
      <w:pPr>
        <w:spacing w:after="0" w:line="157" w:lineRule="exact"/>
        <w:rPr>
          <w:rFonts w:ascii="Times New Roman" w:cs="Times New Roman" w:eastAsia="Times New Roman" w:hAnsi="Times New Roman"/>
          <w:sz w:val="18"/>
          <w:szCs w:val="18"/>
          <w:b w:val="1"/>
          <w:bCs w:val="1"/>
          <w:color w:val="auto"/>
        </w:rPr>
      </w:pPr>
    </w:p>
    <w:p>
      <w:pPr>
        <w:ind w:left="6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83"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88" w:lineRule="exact"/>
        <w:rPr>
          <w:rFonts w:ascii="Times New Roman" w:cs="Times New Roman" w:eastAsia="Times New Roman" w:hAnsi="Times New Roman"/>
          <w:sz w:val="18"/>
          <w:szCs w:val="18"/>
          <w:b w:val="1"/>
          <w:bCs w:val="1"/>
          <w:color w:val="auto"/>
        </w:rPr>
      </w:pPr>
    </w:p>
    <w:p>
      <w:pPr>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Electronic Test segment sells many of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Inc. and its affiliates (“Acculogic”) in December 2021, and Alfamation in March 2024, our Electronic Test segment also sells its products to customers in markets outside the semi market including the automotive, defense/aerospace, industrial and life sciences and specialty consumer electronics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94" w:lineRule="exact"/>
        <w:rPr>
          <w:rFonts w:ascii="Times New Roman" w:cs="Times New Roman" w:eastAsia="Times New Roman" w:hAnsi="Times New Roman"/>
          <w:sz w:val="18"/>
          <w:szCs w:val="18"/>
          <w:b w:val="1"/>
          <w:bCs w:val="1"/>
          <w:color w:val="auto"/>
        </w:rPr>
      </w:pPr>
    </w:p>
    <w:p>
      <w:pPr>
        <w:ind w:left="660" w:right="1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88" w:lineRule="exact"/>
        <w:rPr>
          <w:rFonts w:ascii="Times New Roman" w:cs="Times New Roman" w:eastAsia="Times New Roman" w:hAnsi="Times New Roman"/>
          <w:sz w:val="18"/>
          <w:szCs w:val="18"/>
          <w:b w:val="1"/>
          <w:bCs w:val="1"/>
          <w:color w:val="auto"/>
        </w:rPr>
      </w:pPr>
    </w:p>
    <w:p>
      <w:pPr>
        <w:ind w:left="5600" w:hanging="103"/>
        <w:spacing w:after="0"/>
        <w:tabs>
          <w:tab w:leader="none" w:pos="5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652" w:right="60"/>
        <w:spacing w:after="0" w:line="261" w:lineRule="auto"/>
        <w:rPr>
          <w:sz w:val="20"/>
          <w:szCs w:val="20"/>
          <w:color w:val="auto"/>
        </w:rPr>
      </w:pPr>
      <w:r>
        <w:rPr>
          <w:rFonts w:ascii="Times New Roman" w:cs="Times New Roman" w:eastAsia="Times New Roman" w:hAnsi="Times New Roman"/>
          <w:sz w:val="18"/>
          <w:szCs w:val="18"/>
          <w:color w:val="auto"/>
        </w:rPr>
        <w:t>On May 11, 2023, we entered into an At-the-Market Issuance Sales Agreement (the "Sales Agreement") pursuant to which we issued and sold 921,797 shares of our common stock having an aggregate offering price of $20,000 between May 11, 2023 and May 31, 2023. We received net proceeds from the sale of these shares of $19,244 after payment of commissions of 3.0% of the gross proceeds and other fees related to the sale of these shares.</w:t>
      </w:r>
    </w:p>
    <w:p>
      <w:pPr>
        <w:spacing w:after="0" w:line="203" w:lineRule="exact"/>
        <w:rPr>
          <w:sz w:val="20"/>
          <w:szCs w:val="20"/>
          <w:color w:val="auto"/>
        </w:rPr>
      </w:pPr>
    </w:p>
    <w:p>
      <w:pPr>
        <w:ind w:left="652" w:right="5880" w:hanging="652"/>
        <w:spacing w:after="0" w:line="503" w:lineRule="auto"/>
        <w:tabs>
          <w:tab w:leader="none" w:pos="6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u w:val="single" w:color="auto"/>
          <w:color w:val="auto"/>
        </w:rPr>
        <w:t>Basis of Presentation and Use of Estimates</w:t>
      </w:r>
    </w:p>
    <w:p>
      <w:pPr>
        <w:ind w:left="65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spacing w:after="0" w:line="188" w:lineRule="exact"/>
        <w:rPr>
          <w:rFonts w:ascii="Times New Roman" w:cs="Times New Roman" w:eastAsia="Times New Roman" w:hAnsi="Times New Roman"/>
          <w:sz w:val="18"/>
          <w:szCs w:val="18"/>
          <w:b w:val="1"/>
          <w:bCs w:val="1"/>
          <w:color w:val="auto"/>
        </w:rPr>
      </w:pPr>
    </w:p>
    <w:p>
      <w:pPr>
        <w:ind w:left="6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2023 (the “2023 Form 10-K”) filed on March 27, 2024 with the Securities and Exchange Commission.</w:t>
      </w:r>
    </w:p>
    <w:p>
      <w:pPr>
        <w:spacing w:after="0" w:line="183"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Reclassification</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prior period amounts have been reclassified to be comparable with the current period's presentation.</w:t>
      </w:r>
    </w:p>
    <w:p>
      <w:pPr>
        <w:spacing w:after="0" w:line="22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52" w:right="7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made an assessment of our operations and determined that there were no material subsequent events requiring adjustment to, or disclosure in, our consolidated financial statements for the six months ended June 30, 2024.</w:t>
      </w:r>
    </w:p>
    <w:p>
      <w:pPr>
        <w:spacing w:after="0" w:line="15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ind w:left="65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4"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Cash, Cash Equivalents and Restricted Cash</w:t>
      </w:r>
    </w:p>
    <w:p>
      <w:pPr>
        <w:spacing w:after="0" w:line="229" w:lineRule="exact"/>
        <w:rPr>
          <w:rFonts w:ascii="Times New Roman" w:cs="Times New Roman" w:eastAsia="Times New Roman" w:hAnsi="Times New Roman"/>
          <w:sz w:val="18"/>
          <w:szCs w:val="18"/>
          <w:b w:val="1"/>
          <w:bCs w:val="1"/>
          <w:color w:val="auto"/>
        </w:rPr>
      </w:pPr>
    </w:p>
    <w:p>
      <w:pPr>
        <w:ind w:left="652"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75" w:lineRule="exact"/>
        <w:rPr>
          <w:rFonts w:ascii="Times New Roman" w:cs="Times New Roman" w:eastAsia="Times New Roman" w:hAnsi="Times New Roman"/>
          <w:sz w:val="18"/>
          <w:szCs w:val="18"/>
          <w:b w:val="1"/>
          <w:bCs w:val="1"/>
          <w:color w:val="auto"/>
        </w:rPr>
      </w:pPr>
    </w:p>
    <w:p>
      <w:pPr>
        <w:jc w:val="both"/>
        <w:ind w:left="65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At June 30, 2024 and December 31, 2023, we had no amounts classified as restricted cash.</w:t>
      </w:r>
    </w:p>
    <w:p>
      <w:pPr>
        <w:spacing w:after="0" w:line="175" w:lineRule="exact"/>
        <w:rPr>
          <w:rFonts w:ascii="Times New Roman" w:cs="Times New Roman" w:eastAsia="Times New Roman" w:hAnsi="Times New Roman"/>
          <w:sz w:val="18"/>
          <w:szCs w:val="18"/>
          <w:b w:val="1"/>
          <w:bCs w:val="1"/>
          <w:color w:val="auto"/>
        </w:rPr>
      </w:pPr>
    </w:p>
    <w:p>
      <w:pPr>
        <w:ind w:left="5592" w:hanging="103"/>
        <w:spacing w:after="0"/>
        <w:tabs>
          <w:tab w:leader="none" w:pos="55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0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Trade Accounts Receivable and Allowance for Credit Losses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As discussed below under “Effect of Recently Adopted Amendments to Authoritative Accounting Guidance”, effective January 1, 2023, we follow the guidance in Accounting Standards Codification (“ASC”) Topic 326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spacing w:after="0" w:line="188"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pacing w:after="0" w:line="17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For the six months ended June 30, 2024, we utilized $48 of the allowance for credit losses to offset the write-off of a receivable in our Electronic Test segment. There were no other significant changes in the amount of the allowance for credit losses during this time period. There was no bad debt expense recorded for the six months ended June 30, 2024. During the six months ended June 30, 2023, we recorded a bad debt recovery of $79. This amount had been fully written off prior to our acquisition of Acculogic and was no longer in our accounts receivable balance.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restricted cash,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Notes 4 and 10. Our liabilities for contingent consideration are accounted for in accordance with the guidance in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liabilities for contingent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Intangible and Long-Lived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reportable segments which are also our reporting units: Electronic Test, Environmental Technologies and Process Technologies.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03" w:right="33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Periodically, certain customers may request bill-and-hold arrangements. In such cases, revenue is not recognized until after control has transferred which is generally when the customer has requested such transaction and has been notified that the product (i) has been completed according to customer specifications, (ii) has passed our quality control inspections, (iii) has been separated from our inventory and is ready for physical transfer to the customer, and (iv) we cannot use the product or redirect the product to another customer.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 global supplier of innovative test and process technology solutions for use in manufacturing and testing in targeted markets including automotive, defense/aerospace, industrial, life sciences, security and semiconductor. Our Environmental Technologies segment sells thermal management products including ThermoStreams, ThermoChambers, process chillers, refrigerators and freezers, which we sell under our Temptronic, Sigma, Thermonics and North Sciences product lines. Our Process Technologies segment sells precision induction heating systems through our subsidiary, Ambrell Corporation (“Ambrell”), including EKOHEAT® and EASYHEAT™ products. This segment also sells industrial-grade circuit board mounted video digital cameras and related devices, systems and software through our Videology Imaging Corporation (“Videology”), subsidiary. Our Electronic Test segment sells semiconductor ATE interface solutions through our inTEST EMS (“EMS”) subsidiary, including manipulators, docking hardware and electrical interface products. This segment also sells robotics-based electronic production test equipment under the Acculogic tradename and, as a result of the acquisition of Alfamation on March 12, 2024, which is discussed further in Note 3, this segment now sells test and measurement solutions for the automotive, life sciences and specialty consumer electronics markets. We provide post-warranty service and support for the equipment we sell. We sell our products to various markets including the automotive, defense/aerospace, industrial, life sciences, security and semiconductor markets.</w:t>
      </w:r>
    </w:p>
    <w:p>
      <w:pPr>
        <w:spacing w:after="0" w:line="1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lease certain of our equipment under short-term leasing agreements with original lease terms of six months or less. Our lease agreements do not contain purchase options.</w:t>
      </w:r>
    </w:p>
    <w:p>
      <w:pPr>
        <w:spacing w:after="0" w:line="16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60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Occasionally we procure and sell materials/components on behalf of and to our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Contracts with Customers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discussed above, we follow the guidance in ASC Topic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6 and 14 for further information about our revenue from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$306 and $266 for the six months ended June 30, 2024 and 2023, respectively.</w:t>
      </w:r>
    </w:p>
    <w:p>
      <w:pPr>
        <w:spacing w:after="0" w:line="1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further disclosures regarding our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w:t>
      </w:r>
    </w:p>
    <w:p>
      <w:pPr>
        <w:spacing w:after="0" w:line="22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We are exposed to interest rate risk on our floating-rate debt. We have entered into an interest rate swap agreement to effectively convert our floating-rate debt to a fixed-rate basis for a portion of our floating rate debt, as discussed further in Notes 4 and 10.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earnings (loss) within stockholders’ equity and are amortized to interest expense over the term of the related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Contingent Liability for Repayment of State and Local Grant Funds Received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At June 30, 2024, $123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$280 at June 30, 2024. At June 30, 2024, we were in compliance with the employment targets as specified in the grant agreement with the city of Rochester.</w:t>
      </w:r>
    </w:p>
    <w:p>
      <w:pPr>
        <w:spacing w:after="0" w:line="1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60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(Loss) Per Common Share</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sectPr>
          <w:pgSz w:w="11900" w:h="16838" w:orient="portrait"/>
          <w:cols w:equalWidth="0" w:num="1">
            <w:col w:w="10580"/>
          </w:cols>
          <w:pgMar w:left="98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w:t>
      </w:r>
    </w:p>
    <w:p>
      <w:pPr>
        <w:spacing w:after="0" w:line="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Unvested shares of restricted stock and employee stock options Weighted average common shares and common share equivalents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outstanding - diluted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70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22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12,234,599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11,241,183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12,130,480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10,998,456</w:t>
            </w:r>
          </w:p>
        </w:tc>
        <w:tc>
          <w:tcPr>
            <w:tcW w:w="20" w:type="dxa"/>
            <w:vAlign w:val="bottom"/>
          </w:tcPr>
          <w:p>
            <w:pPr>
              <w:spacing w:after="0"/>
              <w:rPr>
                <w:sz w:val="19"/>
                <w:szCs w:val="19"/>
                <w:color w:val="auto"/>
              </w:rPr>
            </w:pPr>
          </w:p>
        </w:tc>
      </w:tr>
      <w:tr>
        <w:trPr>
          <w:trHeight w:val="414"/>
        </w:trPr>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95,681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455,386</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113,809</w:t>
            </w:r>
          </w:p>
        </w:tc>
        <w:tc>
          <w:tcPr>
            <w:tcW w:w="3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394,161</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12,330,280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11,696,569</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12,244,289</w:t>
            </w:r>
          </w:p>
        </w:tc>
        <w:tc>
          <w:tcPr>
            <w:tcW w:w="3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11,392,617</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-693420</wp:posOffset>
            </wp:positionV>
            <wp:extent cx="67722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-419735</wp:posOffset>
            </wp:positionV>
            <wp:extent cx="67722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0</wp:posOffset>
            </wp:positionV>
            <wp:extent cx="67722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20" w:space="520"/>
            <w:col w:w="5340"/>
          </w:cols>
          <w:pgMar w:left="980" w:top="60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potentially dilutive securities excluded from</w:t>
            </w:r>
          </w:p>
        </w:tc>
        <w:tc>
          <w:tcPr>
            <w:tcW w:w="15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599,276</w:t>
            </w:r>
          </w:p>
        </w:tc>
        <w:tc>
          <w:tcPr>
            <w:tcW w:w="13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96,661</w:t>
            </w:r>
          </w:p>
        </w:tc>
        <w:tc>
          <w:tcPr>
            <w:tcW w:w="13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516,930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125,545</w:t>
            </w:r>
          </w:p>
        </w:tc>
        <w:tc>
          <w:tcPr>
            <w:tcW w:w="0" w:type="dxa"/>
            <w:vAlign w:val="bottom"/>
          </w:tcPr>
          <w:p>
            <w:pPr>
              <w:spacing w:after="0"/>
              <w:rPr>
                <w:sz w:val="1"/>
                <w:szCs w:val="1"/>
                <w:color w:val="auto"/>
              </w:rPr>
            </w:pPr>
          </w:p>
        </w:tc>
      </w:tr>
      <w:tr>
        <w:trPr>
          <w:trHeight w:val="234"/>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 because their effect was anti-dilutive during the period</w:t>
            </w:r>
          </w:p>
        </w:tc>
        <w:tc>
          <w:tcPr>
            <w:tcW w:w="150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-24765</wp:posOffset>
            </wp:positionV>
            <wp:extent cx="33864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86455" cy="2540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Recently Issued Amendments to Authoritative Accounting Guidance</w:t>
      </w:r>
    </w:p>
    <w:p>
      <w:pPr>
        <w:spacing w:after="0" w:line="22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7"/>
          <w:szCs w:val="17"/>
          <w:color w:val="auto"/>
        </w:rPr>
        <w:t>In November 2023, the FASB issued amendments to the guidance for disclosures about reportable segments which require disclosures of significant expenses by segment and interim disclosure of items that were previously required on an annual basis. The amendments are to be applied on a retrospective basis and are effective for fiscal years beginning after December 15, 2023 and interim periods within fiscal years beginning after December 15, 2024. We are evaluating the impact of the amendments on disclosures in our consolidated financial statements.</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amendments to the guidance for disclosures about income tax which provide for additional disclosures primarily related to the income tax rate reconciliations and income taxes paid.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are evaluating the impact of the amendments on disclosures in our consolidated financial statements.</w:t>
      </w:r>
    </w:p>
    <w:p>
      <w:pPr>
        <w:spacing w:after="0" w:line="1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03" w:right="339" w:bottom="1440" w:gutter="0" w:footer="0" w:header="0"/>
          <w:type w:val="continuous"/>
        </w:sectPr>
      </w:pPr>
    </w:p>
    <w:bookmarkStart w:id="15" w:name="page16"/>
    <w:bookmarkEnd w:id="15"/>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12, 2024 we completed the acquisition of Alfamation S.p.A., an Italian joint-stock company (“Alfamation”). Alfamation is a leading global provider of state-of-the-art test and measurement solutions for the automotive, life sciences and specialty consumer electronics markets. Alfamation is included in our Electronic Test operating segment. The acquisition of Alfamation deepens our presence in the automotive/EV and life science markets, expands our exposure in consumer electronics, extends our geographic reach with a sizable footprint in Europe, and widens our portfolio of products and solutions. Additionally, we believe Alfamation brings engineering talent and a management team that culturally aligns with our mission to provide innovative, engineered solutions that address the high-value challenges of our customers. The aggregate purchase price was approximately EUR 20,000 comprised of: (i) EUR 18,000, or $19,674, in cash; and (ii) 187,432 shares of our common stock, valued at $2,086 based on the closing price of our stock on the date of acquisition. The cash portion of the purchase price was subject to customary working capital adjustments. These adjustments were finalized in June 2024 and resulted in recording an additional EUR 129, or $141, in purchase price for assets delivered at closing in excess of agreed upon thresholds. The liabilities assumed in connection with the acquisition included debt of approximately EUR 10,294, or $11,252. The debt assumed is discussed further in Note 10. Total acquisition costs incurred to complete this transaction were $1,139. Acquisition costs were expensed as incurred and included in general and administrative expense.</w:t>
      </w:r>
    </w:p>
    <w:p>
      <w:pPr>
        <w:spacing w:after="0" w:line="189" w:lineRule="exact"/>
        <w:rPr>
          <w:rFonts w:ascii="Times New Roman" w:cs="Times New Roman" w:eastAsia="Times New Roman" w:hAnsi="Times New Roman"/>
          <w:sz w:val="18"/>
          <w:szCs w:val="18"/>
          <w:b w:val="1"/>
          <w:bCs w:val="1"/>
          <w:color w:val="auto"/>
        </w:rPr>
      </w:pPr>
    </w:p>
    <w:p>
      <w:pPr>
        <w:ind w:left="6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acquisition, we have entered into a lease agreement (the “Lease Agreement”) with the former owner of Alfamation who will continue to serve as the managing director of Alfamation under our ownership. The Lease Agreement commenced on March 12, 2024 and will last for six years. It will be automatically renewed for the same period of time unless terminated by either party. Under the terms of the Lease Agreement, Alfamation will lease warehouse and office space totaling about 51,817 square feet. Alfamation will pay a yearly lease payment of EUR 260 broken up into two equal payments. At the date of the signing of the Lease Agreement, the yearly lease payment equated to approximately $284.</w:t>
      </w:r>
    </w:p>
    <w:p>
      <w:pPr>
        <w:spacing w:after="0" w:line="187" w:lineRule="exact"/>
        <w:rPr>
          <w:rFonts w:ascii="Times New Roman" w:cs="Times New Roman" w:eastAsia="Times New Roman" w:hAnsi="Times New Roman"/>
          <w:sz w:val="18"/>
          <w:szCs w:val="18"/>
          <w:b w:val="1"/>
          <w:bCs w:val="1"/>
          <w:color w:val="auto"/>
        </w:rPr>
      </w:pPr>
    </w:p>
    <w:p>
      <w:pPr>
        <w:ind w:left="660" w:right="2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Alfamation has been accounted for as a business combination using purchase accounting, and, accordingly, the results of Alfamation have been included in our consolidated results of operations from the date of acquisition. The allocation of the purchase price for Alfamation is not yet complete. The preliminary allocation of the Alfamation purchase price was based on estimated fair values as of March 12, 2024. We are currently working with third-party valuation specialists to assist us with our purchase accounting. The information that needs to be gathered from multiple sources, including the records and personnel at Alfamation, is not yet fully assembled. As a result, the values reflected below are preliminary and we expect that they may change. Adjustments to these preliminary amounts will be included in the final allocation of the purchase price for Alfamation, which we expect to finalize in the third quarter of 2024. These adjustments could be material.</w:t>
      </w:r>
    </w:p>
    <w:p>
      <w:pPr>
        <w:spacing w:after="0" w:line="189"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purchase price of $21,901 has been allocated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acquired and liabilities assumed:</w:t>
            </w:r>
          </w:p>
        </w:tc>
        <w:tc>
          <w:tcPr>
            <w:tcW w:w="4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4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4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4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(current and long-term)</w:t>
            </w:r>
          </w:p>
        </w:tc>
        <w:tc>
          <w:tcPr>
            <w:tcW w:w="4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5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21,901</w:t>
            </w:r>
          </w:p>
        </w:tc>
        <w:tc>
          <w:tcPr>
            <w:tcW w:w="16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4520" w:type="dxa"/>
            <w:vAlign w:val="bottom"/>
            <w:tcBorders>
              <w:top w:val="single" w:sz="8" w:color="CCEEFF"/>
            </w:tcBorders>
          </w:tcPr>
          <w:p>
            <w:pPr>
              <w:jc w:val="right"/>
              <w:ind w:right="3590"/>
              <w:spacing w:after="0"/>
              <w:rPr>
                <w:sz w:val="20"/>
                <w:szCs w:val="20"/>
                <w:color w:val="auto"/>
              </w:rPr>
            </w:pPr>
            <w:r>
              <w:rPr>
                <w:rFonts w:ascii="Times New Roman" w:cs="Times New Roman" w:eastAsia="Times New Roman" w:hAnsi="Times New Roman"/>
                <w:sz w:val="18"/>
                <w:szCs w:val="18"/>
                <w:color w:val="auto"/>
              </w:rPr>
              <w:t>- 14-</w:t>
            </w:r>
          </w:p>
        </w:tc>
        <w:tc>
          <w:tcPr>
            <w:tcW w:w="5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6" w:name="page17"/>
    <w:bookmarkEnd w:id="16"/>
    <w:p>
      <w:pPr>
        <w:jc w:val="both"/>
        <w:ind w:left="652" w:right="140"/>
        <w:spacing w:after="0" w:line="266" w:lineRule="auto"/>
        <w:rPr>
          <w:sz w:val="20"/>
          <w:szCs w:val="20"/>
          <w:color w:val="auto"/>
        </w:rPr>
      </w:pPr>
      <w:r>
        <w:rPr>
          <w:rFonts w:ascii="Times New Roman" w:cs="Times New Roman" w:eastAsia="Times New Roman" w:hAnsi="Times New Roman"/>
          <w:sz w:val="18"/>
          <w:szCs w:val="18"/>
          <w:color w:val="auto"/>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spacing w:after="0" w:line="176" w:lineRule="exact"/>
        <w:rPr>
          <w:sz w:val="20"/>
          <w:szCs w:val="20"/>
          <w:color w:val="auto"/>
        </w:rPr>
      </w:pPr>
    </w:p>
    <w:p>
      <w:pPr>
        <w:jc w:val="both"/>
        <w:ind w:left="652"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Alfamation’s identifiable intangible assets and their estimated useful lives as of the acquisition date:</w:t>
      </w:r>
    </w:p>
    <w:p>
      <w:pPr>
        <w:spacing w:after="0" w:line="158"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6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09"/>
        </w:trPr>
        <w:tc>
          <w:tcPr>
            <w:tcW w:w="67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backlog</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10,384</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67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1,967</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12,351</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the period from March 13, 2024 to June 30, 2024, Alfamation contributed $11,098 of revenue and net earnings of $482.</w:t>
      </w:r>
    </w:p>
    <w:p>
      <w:pPr>
        <w:spacing w:after="0" w:line="225" w:lineRule="exact"/>
        <w:rPr>
          <w:sz w:val="20"/>
          <w:szCs w:val="20"/>
          <w:color w:val="auto"/>
        </w:rPr>
      </w:pPr>
    </w:p>
    <w:p>
      <w:pPr>
        <w:ind w:left="652" w:right="18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information gives effect to the acquisition of Alfamation as if the acquisition occurred on January 1, 2023.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76" w:lineRule="exact"/>
        <w:rPr>
          <w:sz w:val="20"/>
          <w:szCs w:val="20"/>
          <w:color w:val="auto"/>
        </w:rPr>
      </w:pPr>
    </w:p>
    <w:tbl>
      <w:tblPr>
        <w:tblLayout w:type="fixed"/>
        <w:tblInd w:w="972"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33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10"/>
        </w:trPr>
        <w:tc>
          <w:tcPr>
            <w:tcW w:w="56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33,991</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41,756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0.39</w:t>
            </w:r>
          </w:p>
        </w:tc>
      </w:tr>
      <w:tr>
        <w:trPr>
          <w:trHeight w:val="432"/>
        </w:trPr>
        <w:tc>
          <w:tcPr>
            <w:tcW w:w="5660" w:type="dxa"/>
            <w:vAlign w:val="bottom"/>
          </w:tcPr>
          <w:p>
            <w:pPr>
              <w:spacing w:after="0"/>
              <w:rPr>
                <w:sz w:val="24"/>
                <w:szCs w:val="2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68,743</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80,230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7,917</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98" w:lineRule="exact"/>
        <w:rPr>
          <w:sz w:val="20"/>
          <w:szCs w:val="20"/>
          <w:color w:val="auto"/>
        </w:rPr>
      </w:pPr>
    </w:p>
    <w:p>
      <w:pPr>
        <w:ind w:left="652" w:right="20"/>
        <w:spacing w:after="0" w:line="282" w:lineRule="auto"/>
        <w:rPr>
          <w:sz w:val="20"/>
          <w:szCs w:val="20"/>
          <w:color w:val="auto"/>
        </w:rPr>
      </w:pPr>
      <w:r>
        <w:rPr>
          <w:rFonts w:ascii="Times New Roman" w:cs="Times New Roman" w:eastAsia="Times New Roman" w:hAnsi="Times New Roman"/>
          <w:sz w:val="18"/>
          <w:szCs w:val="18"/>
          <w:color w:val="auto"/>
        </w:rPr>
        <w:t>The pro forma results shown above do not reflect the impact on general and administrative expense of investment advisory costs, legal costs and other costs of $1,139 incurred by us as a direct result of the transaction.</w:t>
      </w:r>
    </w:p>
    <w:p>
      <w:pPr>
        <w:spacing w:after="0" w:line="185" w:lineRule="exact"/>
        <w:rPr>
          <w:sz w:val="20"/>
          <w:szCs w:val="20"/>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6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3" w:lineRule="exact"/>
        <w:rPr>
          <w:rFonts w:ascii="Times New Roman" w:cs="Times New Roman" w:eastAsia="Times New Roman" w:hAnsi="Times New Roman"/>
          <w:sz w:val="18"/>
          <w:szCs w:val="18"/>
          <w:b w:val="1"/>
          <w:bCs w:val="1"/>
          <w:color w:val="auto"/>
        </w:rPr>
      </w:pPr>
    </w:p>
    <w:p>
      <w:pPr>
        <w:ind w:left="5552" w:hanging="108"/>
        <w:spacing w:after="0"/>
        <w:tabs>
          <w:tab w:leader="none" w:pos="55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2"/>
          </w:cols>
          <w:pgMar w:left="328" w:top="607" w:right="499" w:bottom="1440" w:gutter="0" w:footer="0" w:header="0"/>
        </w:sectPr>
      </w:pPr>
    </w:p>
    <w:bookmarkStart w:id="17" w:name="page18"/>
    <w:bookmarkEnd w:id="17"/>
    <w:p>
      <w:pPr>
        <w:ind w:left="66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Valuations based on unadjusted quoted prices in active markets for identical assets or liabilities that we have the ability to access.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Recurring Fair Value Measurements</w:t>
      </w:r>
    </w:p>
    <w:p>
      <w:pPr>
        <w:spacing w:after="0" w:line="22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interest rate swap agreement we entered into in connection with our Term Note, as discussed further in Notes 2 and 10, is measured at fair value on a recurring basis using Level 2 inputs. The contingent consideration liability on our balance sheet is measured at fair value on a recurring basis using Level 3 inputs.</w:t>
      </w:r>
    </w:p>
    <w:p>
      <w:pPr>
        <w:spacing w:after="0" w:line="176" w:lineRule="exact"/>
        <w:rPr>
          <w:sz w:val="20"/>
          <w:szCs w:val="20"/>
          <w:color w:val="auto"/>
        </w:rPr>
      </w:pPr>
    </w:p>
    <w:p>
      <w:pPr>
        <w:jc w:val="both"/>
        <w:ind w:left="660" w:right="120"/>
        <w:spacing w:after="0" w:line="270" w:lineRule="auto"/>
        <w:rPr>
          <w:sz w:val="20"/>
          <w:szCs w:val="20"/>
          <w:color w:val="auto"/>
        </w:rPr>
      </w:pPr>
      <w:r>
        <w:rPr>
          <w:rFonts w:ascii="Times New Roman" w:cs="Times New Roman" w:eastAsia="Times New Roman" w:hAnsi="Times New Roman"/>
          <w:sz w:val="17"/>
          <w:szCs w:val="17"/>
          <w:color w:val="auto"/>
        </w:rPr>
        <w:t>Our contingent consideration liability is a result of our acquisition of Acculogic on December 21, 2021, and represents the estimated fair value of the additional cash consideration payable that is contingent upon sales to Electric Vehicle (“EV”) or battery customers. We may pay the seller up to an additional CAD $5,000 in the five-year period from 2022 through 2026. The additional payments will be based on a percent of net invoices for which payments have been received on systems sold to EV or battery customers in excess of CAD $2,500 per year in each of the five years.</w:t>
      </w:r>
    </w:p>
    <w:p>
      <w:pPr>
        <w:spacing w:after="0" w:line="3" w:lineRule="exact"/>
        <w:rPr>
          <w:sz w:val="20"/>
          <w:szCs w:val="20"/>
          <w:color w:val="auto"/>
        </w:rPr>
      </w:pPr>
    </w:p>
    <w:p>
      <w:pPr>
        <w:ind w:left="660" w:right="40"/>
        <w:spacing w:after="0" w:line="251" w:lineRule="auto"/>
        <w:rPr>
          <w:sz w:val="20"/>
          <w:szCs w:val="20"/>
          <w:color w:val="auto"/>
        </w:rPr>
      </w:pPr>
      <w:r>
        <w:rPr>
          <w:rFonts w:ascii="Times New Roman" w:cs="Times New Roman" w:eastAsia="Times New Roman" w:hAnsi="Times New Roman"/>
          <w:sz w:val="18"/>
          <w:szCs w:val="18"/>
          <w:color w:val="auto"/>
        </w:rPr>
        <w:t>The maximum payment is capped at CAD $5,000, which equates to approximately $3,655 at June 30, 2024. There were no payments due to the seller for the years ended December 31, 2022 or 2023. To estimate the fair value of the contingent consideration at the acquisition date, an option-based income approach using a Monte Carlo simulation model was utilized due to the non-linear payout structure. As of the acquisition date, this resulted in an estimated fair value of $1,430.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Changes in the amount of the estimated fair value of the earnouts since the acquisition date are recorded as operating expenses in our consolidated statement of operations in the quarter in which they occur. During the quarter ended June 30, 2024 we further reduced the contingent consideration liability by $50. At June 30, 2024, the contingent consideration had an estimated fair value of $1,008. The current portion of our contingent consideration liability was $194 and $0 at June 30, 2024 and December 31, 2023, respectively, and was included in Other Current Liabilities on our consolidated balance sheets. Ther non-current portion of the liability is included in Other Liabilities on our consolidated balance sheets.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assets and (liabilities) measured at fair value on a recurring basis: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Amounts at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r>
      <w:tr>
        <w:trPr>
          <w:trHeight w:val="210"/>
        </w:trPr>
        <w:tc>
          <w:tcPr>
            <w:tcW w:w="4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 – Acculogic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Amounts at</w:t>
            </w:r>
          </w:p>
        </w:tc>
        <w:tc>
          <w:tcPr>
            <w:tcW w:w="200" w:type="dxa"/>
            <w:vAlign w:val="bottom"/>
          </w:tcPr>
          <w:p>
            <w:pPr>
              <w:spacing w:after="0"/>
              <w:rPr>
                <w:sz w:val="20"/>
                <w:szCs w:val="20"/>
                <w:color w:val="auto"/>
              </w:rPr>
            </w:pPr>
          </w:p>
        </w:tc>
        <w:tc>
          <w:tcPr>
            <w:tcW w:w="388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 – Acculogic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- 16-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7"/>
          <w:szCs w:val="17"/>
          <w:color w:val="auto"/>
        </w:rPr>
        <w:t>Changes in the fair value of our Level 3 contingent consideration liabilities for the six months ended June 30, 2024 were as follows: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Reduction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41223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7"/>
          <w:szCs w:val="17"/>
          <w:color w:val="auto"/>
        </w:rPr>
        <w:t>Impact of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158750</wp:posOffset>
            </wp:positionV>
            <wp:extent cx="641223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Six</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1120" w:hanging="1113"/>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1,093</w:t>
      </w:r>
    </w:p>
    <w:p>
      <w:pPr>
        <w:spacing w:after="0" w:line="22"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9"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20" w:lineRule="exact"/>
        <w:rPr>
          <w:sz w:val="20"/>
          <w:szCs w:val="20"/>
          <w:color w:val="auto"/>
        </w:rPr>
      </w:pPr>
    </w:p>
    <w:p>
      <w:pPr>
        <w:ind w:left="1120" w:hanging="1113"/>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1,008</w:t>
      </w:r>
    </w:p>
    <w:p>
      <w:pPr>
        <w:spacing w:after="0" w:line="240" w:lineRule="exact"/>
        <w:rPr>
          <w:sz w:val="20"/>
          <w:szCs w:val="20"/>
          <w:color w:val="auto"/>
        </w:rPr>
      </w:pPr>
    </w:p>
    <w:p>
      <w:pPr>
        <w:sectPr>
          <w:pgSz w:w="11900" w:h="16838" w:orient="portrait"/>
          <w:cols w:equalWidth="0" w:num="2">
            <w:col w:w="8420" w:space="720"/>
            <w:col w:w="2100"/>
          </w:cols>
          <w:pgMar w:left="320" w:top="607" w:right="339" w:bottom="1440" w:gutter="0" w:footer="0" w:header="0"/>
          <w:type w:val="continuous"/>
        </w:sectPr>
      </w:pPr>
    </w:p>
    <w:p>
      <w:pPr>
        <w:spacing w:after="0" w:line="26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three operating segments which are also our reporting units: Electronic Test, Environmental Technologies and Process Technologies. Goodwill and intangible assets on our balance sheets are the result of our acquisitions.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amount of the carrying value of goodwill for the six months ended June 30, 2024 are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21,728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Alfamation</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13,553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34,868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 was comprised of the following at June 30, 2024 and December 31, 2023:</w:t>
            </w: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21,728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amount of the carrying value of indefinite-lived intangible assets for the six months ended June 30, 2024 are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Alfamation</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7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amount of the carrying value of finite-lived intangible assets for the six months ended June 30, 2024 are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7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Alfamation</w:t>
            </w:r>
          </w:p>
        </w:tc>
        <w:tc>
          <w:tcPr>
            <w:tcW w:w="2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10,384</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2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w:t>
            </w:r>
          </w:p>
        </w:tc>
      </w:tr>
      <w:tr>
        <w:trPr>
          <w:trHeight w:val="20"/>
        </w:trPr>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2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16,767</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were allocated to our reporting segments at June 30, 2024 and December 31, 2023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7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8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- 17-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The following tables provide further detail about our intangible assets as of June 30, 2024 and December 31, 2023:</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3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12,036</w:t>
            </w:r>
          </w:p>
        </w:tc>
      </w:tr>
      <w:tr>
        <w:trPr>
          <w:trHeight w:val="21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5,737</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4,056</w:t>
            </w: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30,805</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14,038</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10,291</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10,291</w:t>
            </w:r>
          </w:p>
        </w:tc>
      </w:tr>
      <w:tr>
        <w:trPr>
          <w:trHeight w:val="20"/>
        </w:trPr>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27,058</w:t>
            </w:r>
          </w:p>
        </w:tc>
      </w:tr>
      <w:tr>
        <w:trPr>
          <w:trHeight w:val="413"/>
        </w:trPr>
        <w:tc>
          <w:tcPr>
            <w:tcW w:w="374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87"/>
        </w:trPr>
        <w:tc>
          <w:tcPr>
            <w:tcW w:w="3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3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w:t>
            </w:r>
          </w:p>
        </w:tc>
      </w:tr>
      <w:tr>
        <w:trPr>
          <w:trHeight w:val="21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2,895</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20,801</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12,603</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8,398</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8,398</w:t>
            </w:r>
          </w:p>
        </w:tc>
      </w:tr>
      <w:tr>
        <w:trPr>
          <w:trHeight w:val="20"/>
        </w:trPr>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16,596</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estimated annual amortization expense for each of the next five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51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1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1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140" w:type="dxa"/>
            <w:vAlign w:val="bottom"/>
          </w:tcPr>
          <w:p>
            <w:pPr>
              <w:spacing w:after="0"/>
              <w:rPr>
                <w:sz w:val="18"/>
                <w:szCs w:val="18"/>
                <w:color w:val="auto"/>
              </w:rPr>
            </w:pPr>
          </w:p>
        </w:tc>
      </w:tr>
      <w:tr>
        <w:trPr>
          <w:trHeight w:val="432"/>
        </w:trPr>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1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- 18-</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20" w:name="page21"/>
    <w:bookmarkEnd w:id="20"/>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additional information about our revenue from contracts with customers, including revenue by customer and product type and revenue by market. See also Note 14 for information about revenue by operating segment and geographic region.</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customer type: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End user</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27,496</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48,926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43,581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OEM/Integrator</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14,889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20,896</w:t>
            </w:r>
          </w:p>
        </w:tc>
      </w:tr>
      <w:tr>
        <w:trPr>
          <w:trHeight w:val="20"/>
        </w:trPr>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63,815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64,477</w:t>
            </w: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type:</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test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7,927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Thermal process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20,798</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test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10,296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Video imaging</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3,804</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Flying probe and in-circuit testers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Alfamation products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11,098</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Service/other</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6,273</w:t>
            </w:r>
          </w:p>
        </w:tc>
      </w:tr>
      <w:tr>
        <w:trPr>
          <w:trHeight w:val="20"/>
        </w:trPr>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63,815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64,477</w:t>
            </w: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market: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25,091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(including Electric Vehicles)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14,693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2,847</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6,921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1,333</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6,600</w:t>
            </w:r>
          </w:p>
        </w:tc>
      </w:tr>
      <w:tr>
        <w:trPr>
          <w:trHeight w:val="20"/>
        </w:trPr>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63,815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64,477</w:t>
            </w: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we recognized $1,385 of revenue for systems sold to one of our customers which remained at our location as of June 30, 2024 under the terms of a bill-and-hold arrangement with this customer. The customer informed us that they did not have space for these systems and requested that we invoice them on the originally agreed upon delivery date but hold them at our location until they have sufficient space to accept delivery. Under our agreement with this customer they will provide a shipment date that is not more than 90 days from the date of invoicing. As of the date we invoiced our customer, the systems were packaged and ready for physical transfer to our customer as soon as we receive direction from our customer to do so. These systems cannot be used to fulfill any other customer’s order. Control of the systems transferred to our customer on the date we invoiced them. We have no remaining performance obligations other than the obligation to store these systems until shipment, which we have determined to be a de-minimis performance obligation.</w:t>
      </w:r>
    </w:p>
    <w:p>
      <w:pPr>
        <w:spacing w:after="0" w:line="21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six months ended June 30, 2024, one customer accounted for 11% of our consolidated revenue. This revenue was primarily generated by our Electronic Test segment. No other customers accounted for 10% or more of our consolidated revenue during the six months ended June 30, 2024. During the six months ended June 30, 2023, one customer accounted for 14% of our consolidated revenue. This revenue was primarily generated by our Electronic Test segment. No other customers accounted for 10% or more of our consolidated revenue during the six months ended June 30, 2023.</w:t>
      </w:r>
    </w:p>
    <w:p>
      <w:pPr>
        <w:spacing w:after="0" w:line="20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held at June 30, 2024 and December 31, 2023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15,948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consigned to others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20,089</w:t>
            </w:r>
          </w:p>
        </w:tc>
        <w:tc>
          <w:tcPr>
            <w:tcW w:w="1120" w:type="dxa"/>
            <w:vAlign w:val="bottom"/>
          </w:tcPr>
          <w:p>
            <w:pPr>
              <w:spacing w:after="0"/>
              <w:rPr>
                <w:sz w:val="21"/>
                <w:szCs w:val="21"/>
                <w:color w:val="auto"/>
              </w:rPr>
            </w:pPr>
          </w:p>
        </w:tc>
      </w:tr>
      <w:tr>
        <w:trPr>
          <w:trHeight w:val="412"/>
        </w:trPr>
        <w:tc>
          <w:tcPr>
            <w:tcW w:w="114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930"/>
              <w:spacing w:after="0"/>
              <w:rPr>
                <w:sz w:val="20"/>
                <w:szCs w:val="20"/>
                <w:color w:val="auto"/>
              </w:rPr>
            </w:pPr>
            <w:r>
              <w:rPr>
                <w:rFonts w:ascii="Times New Roman" w:cs="Times New Roman" w:eastAsia="Times New Roman" w:hAnsi="Times New Roman"/>
                <w:sz w:val="18"/>
                <w:szCs w:val="18"/>
                <w:color w:val="auto"/>
              </w:rPr>
              <w:t>- 19-</w:t>
            </w: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1" w:name="page22"/>
    <w:bookmarkEnd w:id="21"/>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previously discussed in Note 2, we account for our leases in accordance with the guidance in ASC Topic 842. We lease our offices, warehouse facilities and certain equipment under non-cancellable operating leases that expire at various dates through 2032. Total operating lease and short-term lease costs for the three and six months ended June 30, 2024 and 2023, respectively, were as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8"/>
                <w:szCs w:val="18"/>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r>
      <w:tr>
        <w:trPr>
          <w:trHeight w:val="414"/>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additional information about our leases as of June 30, 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remaining lease terms (in years)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7"/>
              </w:rPr>
              <w:t>7.7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5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June 30, 2024 were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14,298</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Pr>
          <w:p>
            <w:pPr>
              <w:spacing w:after="0"/>
              <w:rPr>
                <w:sz w:val="18"/>
                <w:szCs w:val="18"/>
                <w:color w:val="auto"/>
              </w:rPr>
            </w:pPr>
          </w:p>
        </w:tc>
      </w:tr>
      <w:tr>
        <w:trPr>
          <w:trHeight w:val="249"/>
        </w:trPr>
        <w:tc>
          <w:tcPr>
            <w:tcW w:w="48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Information</w:t>
      </w:r>
    </w:p>
    <w:p>
      <w:pPr>
        <w:spacing w:after="0" w:line="22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Total amortization of ROU assets was $282 and $685 for the three months and six months ended June 30, 2024, respectively, and $391 and $782 for the three months and six months ended June 30, 2023, respectively.</w:t>
      </w:r>
    </w:p>
    <w:p>
      <w:pPr>
        <w:spacing w:after="0" w:line="16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we acquired several auto leases in connection with our acquisition of Alfamation. The acquisition is discussed further in Note 3. We also entered into the Lease Agreement, described in Note 3, for the facility where Alfamation has its principal operations. This facility is owned by the seller. The leased premises include warehouse and office space totaling approximately 51,817 square feet. The yearly lease payment is EUR 260. The impact of the acquisition of these leases was a non-cash increase in our ROU assets and operating lease liabilities of approximately $1,758 at the date of the acquisition.</w:t>
      </w:r>
    </w:p>
    <w:p>
      <w:pPr>
        <w:spacing w:after="0" w:line="183"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also extended several building leases for certain of our facilities located in the U.S., the Netherlands and Singapore. At the effective dates of these extensions, we recorded non-cash increases in our ROU assets and operating lease liabilities totaling approximately $5,568.</w:t>
      </w:r>
    </w:p>
    <w:p>
      <w:pPr>
        <w:spacing w:after="0" w:line="176" w:lineRule="exact"/>
        <w:rPr>
          <w:sz w:val="20"/>
          <w:szCs w:val="20"/>
          <w:color w:val="auto"/>
        </w:rPr>
      </w:pPr>
    </w:p>
    <w:p>
      <w:pPr>
        <w:ind w:left="660" w:right="26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2023, 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two auto leases, one with a 36-month term and one with a 48-month term, for employees of our Process Technologies segment both of whom are based in Europe. At the effective date of these leases, we recorded non-cash increases in our ROU assets and operating lease liabilities totaling approximately $71.</w:t>
      </w:r>
    </w:p>
    <w:p>
      <w:pPr>
        <w:spacing w:after="0" w:line="20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9"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June 30, 2024 and December 31, 2023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56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L/C</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30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 Outstanding</w:t>
            </w:r>
          </w:p>
        </w:tc>
        <w:tc>
          <w:tcPr>
            <w:tcW w:w="560" w:type="dxa"/>
            <w:vAlign w:val="bottom"/>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Original L/C</w:t>
            </w:r>
          </w:p>
        </w:tc>
        <w:tc>
          <w:tcPr>
            <w:tcW w:w="14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4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3/29/2010</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4/30/2025</w:t>
            </w:r>
          </w:p>
        </w:tc>
        <w:tc>
          <w:tcPr>
            <w:tcW w:w="1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4/30/2031 $</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10/27/2010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12/31/2024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2/9/2032</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21"/>
                <w:szCs w:val="21"/>
                <w:color w:val="auto"/>
              </w:rPr>
            </w:pPr>
          </w:p>
        </w:tc>
      </w:tr>
      <w:tr>
        <w:trPr>
          <w:trHeight w:val="412"/>
        </w:trPr>
        <w:tc>
          <w:tcPr>
            <w:tcW w:w="1140" w:type="dxa"/>
            <w:vAlign w:val="bottom"/>
          </w:tcPr>
          <w:p>
            <w:pPr>
              <w:spacing w:after="0"/>
              <w:rPr>
                <w:sz w:val="24"/>
                <w:szCs w:val="24"/>
                <w:color w:val="auto"/>
              </w:rPr>
            </w:pPr>
          </w:p>
        </w:tc>
        <w:tc>
          <w:tcPr>
            <w:tcW w:w="18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0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15, 2021 (the “Closing Date”), we entered into an Amended and Restated Loan and Security Agreement with M&amp;T Bank (“M&amp;T”)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on October 28, 2021, was amended by the Joinder and Amendment to Amended and Restated Loan and Security Agreement and which,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2021, was further amended by the Joinder and Second Amendment to Amended and Restated Loan and Security Agreement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“Loan Agreement”). The Loan Agreement included a $25,000 non-revolving delayed draw term note (the “Term Note”)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revolving credit facility (the “Revolving Facility” and together with the Term Note, the “Credit Facility”). The Credit Facility had a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contract period that began on the Closing Date and expired on October 15, 2026, and draws under the Term Note were permissible for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Since December 30, 2021, we have further amended the Loan Agreement on several occasions. The latest amendment occurred on May 2, 2024, when we entered into a Fourth Amendment to the Amended and Restated Loan and Security Agreement (the “Amended Loan Agreement”). Under the Amended Loan Agreement, the maximum loan amount that we may borrow under the Term Note was raised to $50,500. The available funding at June 30, 2024 under the Term Note was $30,000. In addition, the period during which we may request advances under the Term Note was extended until May 2, 2026, and the Term Note and revolving credit facility maturity date was extended from September 19, 2027 to May 2, 2031.</w:t>
      </w:r>
    </w:p>
    <w:p>
      <w:pPr>
        <w:spacing w:after="0" w:line="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At June 30, 2024, we had not borrowed any amounts under the $10 million Revolving Facility. Our borrowings under the Term Note are discussed below and occurred prior to entering into the Amended Loan Agreement.</w:t>
      </w:r>
    </w:p>
    <w:p>
      <w:pPr>
        <w:spacing w:after="0" w:line="1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that are owned as of the Closing Date or acquired thereafter. At June 30, 2024, we were in compliance with all of the covenants included in the Credit Facility, except for the fixed charge coverage ratio financial covenant which was 1.16 to 1.0 for the quarter ended June 30, 2024, for which we have received a one-time waiver from M&amp;T.</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June 30, 2024, it was approximately 7.4% based on current leverage. Effective August 1, 2024, this rate was 7.5%.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annual maturities for the balance of the Term Note:</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Alfamation Debt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June 30, 2024, the total debt assumed in connection with the acquisition of Alfamation was valued at $11,106. The acquisition is discussed further in Note 3. This debt is comprised of both fixed and variable rate bank issued term loans as well as $4,788 of short-term variable rate financing backed by Alfamation’s accounts receivable. This debt is spread across a number of different institutions with monthly, quarterly or half-yearly repayment schedules. The average interest rate being paid at June 30, 2024 was 2.8% for fixed rate debt and 5.0% for variable rate debt. The average rate for total debt at June 30, 2024 was 4.2%.</w:t>
      </w:r>
    </w:p>
    <w:p>
      <w:pPr>
        <w:spacing w:after="0" w:line="1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03" w:right="339" w:bottom="1440" w:gutter="0" w:footer="0" w:header="0"/>
        </w:sectPr>
      </w:pPr>
    </w:p>
    <w:bookmarkStart w:id="23" w:name="page24"/>
    <w:bookmarkEnd w:id="23"/>
    <w:tbl>
      <w:tblPr>
        <w:tblLayout w:type="fixed"/>
        <w:tblInd w:w="652" w:type="dxa"/>
        <w:tblCellMar>
          <w:top w:w="0" w:type="dxa"/>
          <w:left w:w="0" w:type="dxa"/>
          <w:bottom w:w="0" w:type="dxa"/>
          <w:right w:w="0" w:type="dxa"/>
        </w:tblCellMar>
      </w:tblPr>
      <w:tr>
        <w:trPr>
          <w:trHeight w:val="23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maturities of this debt for each of the next five years: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4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r>
      <w:tr>
        <w:trPr>
          <w:trHeight w:val="210"/>
        </w:trPr>
        <w:tc>
          <w:tcPr>
            <w:tcW w:w="480" w:type="dxa"/>
            <w:vAlign w:val="bottom"/>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80" w:type="dxa"/>
            <w:vAlign w:val="bottom"/>
            <w:tcBorders>
              <w:top w:val="single" w:sz="8" w:color="CCEEFF"/>
            </w:tcBorders>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Total interest expense for the six months ended June 30, 2024 and 2023 related to our various debt arrangements was $393 and $358, respectively.</w:t>
      </w:r>
    </w:p>
    <w:p>
      <w:pPr>
        <w:spacing w:after="0" w:line="260"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w:t>
      </w:r>
    </w:p>
    <w:p>
      <w:pPr>
        <w:spacing w:after="0" w:line="229" w:lineRule="exact"/>
        <w:rPr>
          <w:rFonts w:ascii="Times New Roman" w:cs="Times New Roman" w:eastAsia="Times New Roman" w:hAnsi="Times New Roman"/>
          <w:sz w:val="18"/>
          <w:szCs w:val="18"/>
          <w:b w:val="1"/>
          <w:bCs w:val="1"/>
          <w:color w:val="auto"/>
        </w:rPr>
      </w:pPr>
    </w:p>
    <w:p>
      <w:pPr>
        <w:ind w:left="652"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we had unvested restricted stock awards and stock options granted under stock-based compensation plans that are described more fully in Note 13 to the consolidated financial statements in our 2023 Form 10-K.</w:t>
      </w:r>
    </w:p>
    <w:p>
      <w:pPr>
        <w:spacing w:after="0" w:line="161" w:lineRule="exact"/>
        <w:rPr>
          <w:rFonts w:ascii="Times New Roman" w:cs="Times New Roman" w:eastAsia="Times New Roman" w:hAnsi="Times New Roman"/>
          <w:sz w:val="18"/>
          <w:szCs w:val="18"/>
          <w:b w:val="1"/>
          <w:bCs w:val="1"/>
          <w:color w:val="auto"/>
        </w:rPr>
      </w:pPr>
    </w:p>
    <w:p>
      <w:pPr>
        <w:ind w:left="652"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unvested restricted stock awards and stock options are accounted for based on their grant date fair value. As of June 30, 2024, total compensation expense to be recognized in future periods was $4,249. The weighted average period over which this expense is expected to be recognized was 2.5 years.</w:t>
      </w:r>
    </w:p>
    <w:p>
      <w:pPr>
        <w:spacing w:after="0" w:line="175" w:lineRule="exact"/>
        <w:rPr>
          <w:rFonts w:ascii="Times New Roman" w:cs="Times New Roman" w:eastAsia="Times New Roman" w:hAnsi="Times New Roman"/>
          <w:sz w:val="18"/>
          <w:szCs w:val="18"/>
          <w:b w:val="1"/>
          <w:bCs w:val="1"/>
          <w:color w:val="auto"/>
        </w:rPr>
      </w:pPr>
    </w:p>
    <w:p>
      <w:pPr>
        <w:ind w:left="652"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compensation expense we recorded during the three and six months ended June 30, 2024 and 2023 related to unvested shares of restricted stock and stock options:</w:t>
      </w:r>
    </w:p>
    <w:p>
      <w:pPr>
        <w:spacing w:after="0" w:line="158"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3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8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w:t>
            </w:r>
          </w:p>
        </w:tc>
        <w:tc>
          <w:tcPr>
            <w:tcW w:w="7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0"/>
        </w:trPr>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9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9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913</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1,079</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There was no compensation expense capitalized in three and six months ended June 30, 2024 or 2023.</w:t>
      </w:r>
    </w:p>
    <w:p>
      <w:pPr>
        <w:spacing w:after="0" w:line="2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jc w:val="both"/>
        <w:ind w:left="652" w:right="20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fair value for stock options granted during the six months ended June 30, 2024 and 2023 was estimated at the date of grant using the Black-</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Scholes option pricing model with the following weighted average assumptions:</w:t>
      </w:r>
    </w:p>
    <w:p>
      <w:pPr>
        <w:spacing w:after="0" w:line="203" w:lineRule="exact"/>
        <w:rPr>
          <w:sz w:val="20"/>
          <w:szCs w:val="20"/>
          <w:color w:val="auto"/>
        </w:rPr>
      </w:pPr>
    </w:p>
    <w:tbl>
      <w:tblPr>
        <w:tblLayout w:type="fixed"/>
        <w:tblInd w:w="1132"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09"/>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ind w:left="652" w:right="400"/>
        <w:spacing w:after="0" w:line="282"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issued during the six months ended June 30, 2024 and 2023 was $6.55 and $9.43, respectively.</w:t>
      </w:r>
    </w:p>
    <w:p>
      <w:pPr>
        <w:spacing w:after="0" w:line="1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60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for the six months ended June 30, 2024:</w:t>
      </w:r>
    </w:p>
    <w:p>
      <w:pPr>
        <w:sectPr>
          <w:pgSz w:w="11900" w:h="16838" w:orient="portrait"/>
          <w:cols w:equalWidth="0" w:num="1">
            <w:col w:w="10580"/>
          </w:cols>
          <w:pgMar w:left="98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Options outstanding, January 1, 2024 (171,735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-119380</wp:posOffset>
            </wp:positionV>
            <wp:extent cx="60604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60604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606044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Options outstanding, June 30, 2024 (266,310 exercisable)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505,006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(26,080)</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r>
      <w:tr>
        <w:trPr>
          <w:trHeight w:val="234"/>
        </w:trPr>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(23,401)</w:t>
            </w: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r>
      <w:tr>
        <w:trPr>
          <w:trHeight w:val="209"/>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5980" w:space="720"/>
            <w:col w:w="3880"/>
          </w:cols>
          <w:pgMar w:left="980" w:top="607" w:right="339" w:bottom="1440" w:gutter="0" w:footer="0" w:header="0"/>
          <w:type w:val="continuous"/>
        </w:sectPr>
      </w:pPr>
    </w:p>
    <w:p>
      <w:pPr>
        <w:spacing w:after="0" w:line="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March 10, 2021, we issued restricted stock awards totaling 18,000 shares to members of senior management within our operating segments. During the first quarter of 2023, 6,000 of these shares were forfeited when the individual to whom they had been granted resigned from his position with us. The remaining 12,000 shares vested on the third anniversary of the grant date at vesting percentages of 75% for 6,000 of the shares and 100% for the remaining 6,000 shares. The final vesting percentages were based on the achievement of certain performance metrics related to the operating results of the business units for which these members of management are responsible.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1, 2021, we issued restricted stock awards totaling 5,000 shares to a member of senior management. These shares will vest on January 1, 2025 at a vesting percentage that could range from 0% to 150% of the number of shares awarded on October 1, 2021. The final vesting percentage will be based on the achievement of certain performance metrics related to our consolidated operating results. At December 31, 2023, we reduced the estimate of the final vesting percentage to 50%. At June 30, 2024, this estimate has been further reduced to 0% based on our current assessment of the probable achievement against the relevant performance metrics.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March 9, 2022, our CEO and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2023, we reduced the estimate of the final vesting percentage to 50%. At June 30, 2024, this estimate has been further reduced to 0% based on our current assessment of the probable achievement against the relevant performance metrics.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March 8, 2023, our CEO, CFO and the Division Presidents of two of our operating segments received restricted stock awards totaling 18,888 shares valued at $303 as of the date of grant. These shares vest on the third anniversary of the grant date at a vesting percentage that could range from 0% to 150% of the number of shares awarded on March 8, 2023. The final vesting percentage will be based on the achievement of certain performance metrics related to revenue for the year ending December 31, 2025 as determined by the Compensation Committee of our Board of Directors. At June 30, 2024, we have estimated that these shares will vest at 100% of the original amount based on our assessment of the probable achievement against the relevant performance metrics.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8, 2023 the newly appointed president of our Environmental Technologies segment received performance-based restricted stock awards totaling 5,081 shares valued at $108 as of the date of grant. These shares vest on the third anniversary of the grant date at a vesting percentage that could range from 0% to 150% of the number of shares of restricted stock awarded on May 8, 2023. The final vesting percentage will be based on the achievement of certain performance metrics including revenue and income from operations for specified time periods. As of June 30, 2024, we have estimated that these shares will vest at 100% of the original amount.</w:t>
      </w:r>
    </w:p>
    <w:p>
      <w:pPr>
        <w:spacing w:after="0" w:line="1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07" w:right="339" w:bottom="1440" w:gutter="0" w:footer="0" w:header="0"/>
          <w:type w:val="continuous"/>
        </w:sectPr>
      </w:pPr>
    </w:p>
    <w:bookmarkStart w:id="25" w:name="page26"/>
    <w:bookmarkEnd w:id="25"/>
    <w:p>
      <w:pPr>
        <w:ind w:left="652" w:right="20"/>
        <w:spacing w:after="0" w:line="258" w:lineRule="auto"/>
        <w:rPr>
          <w:sz w:val="20"/>
          <w:szCs w:val="20"/>
          <w:color w:val="auto"/>
        </w:rPr>
      </w:pPr>
      <w:r>
        <w:rPr>
          <w:rFonts w:ascii="Times New Roman" w:cs="Times New Roman" w:eastAsia="Times New Roman" w:hAnsi="Times New Roman"/>
          <w:sz w:val="18"/>
          <w:szCs w:val="18"/>
          <w:color w:val="auto"/>
        </w:rPr>
        <w:t>On January 16, 2024 the newly appointed president of our Process Technologies segment received performance-based restricted stock awards totaling 8,231 shares valued at $100 as of the date of grant. These shares vest on the third 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As of June 30, 2024, we have estimated that these shares will vest at 100% of the original amount.</w:t>
      </w:r>
    </w:p>
    <w:p>
      <w:pPr>
        <w:spacing w:after="0" w:line="183" w:lineRule="exact"/>
        <w:rPr>
          <w:sz w:val="20"/>
          <w:szCs w:val="20"/>
          <w:color w:val="auto"/>
        </w:rPr>
      </w:pPr>
    </w:p>
    <w:p>
      <w:pPr>
        <w:ind w:left="652" w:right="40"/>
        <w:spacing w:after="0" w:line="256" w:lineRule="auto"/>
        <w:rPr>
          <w:sz w:val="20"/>
          <w:szCs w:val="20"/>
          <w:color w:val="auto"/>
        </w:rPr>
      </w:pPr>
      <w:r>
        <w:rPr>
          <w:rFonts w:ascii="Times New Roman" w:cs="Times New Roman" w:eastAsia="Times New Roman" w:hAnsi="Times New Roman"/>
          <w:sz w:val="18"/>
          <w:szCs w:val="18"/>
          <w:color w:val="auto"/>
        </w:rPr>
        <w:t>On March 6, 2024, our CEO, CFO and the Division Presidents of our three operating segments received restricted stock awards totaling 33,539 shares valued at $380 as of the date of grant.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June 30, 2024, we have estimated that these shares will vest at 100% of the original amount based on our assessment of the probable achievement against the relevant performance metrics.</w:t>
      </w:r>
    </w:p>
    <w:p>
      <w:pPr>
        <w:spacing w:after="0" w:line="18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unvested restricted stock awards for the six months ended June 30, 2024:</w:t>
      </w:r>
    </w:p>
    <w:p>
      <w:pPr>
        <w:sectPr>
          <w:pgSz w:w="11900" w:h="16838" w:orient="portrait"/>
          <w:cols w:equalWidth="0" w:num="1">
            <w:col w:w="11212"/>
          </w:cols>
          <w:pgMar w:left="328"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Unvested shares outstanding, January 1, 2024</w:t>
      </w:r>
    </w:p>
    <w:p>
      <w:pPr>
        <w:spacing w:after="0" w:line="27"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Unvested shares outstanding, June 30,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189,784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(66,804)</w:t>
            </w: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r>
      <w:tr>
        <w:trPr>
          <w:trHeight w:val="234"/>
        </w:trPr>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(11,200)</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w:t>
            </w:r>
          </w:p>
        </w:tc>
      </w:tr>
      <w:tr>
        <w:trPr>
          <w:trHeight w:val="210"/>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-719455</wp:posOffset>
            </wp:positionV>
            <wp:extent cx="60604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-445135</wp:posOffset>
            </wp:positionV>
            <wp:extent cx="60604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-161925</wp:posOffset>
            </wp:positionV>
            <wp:extent cx="606044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32" w:space="720"/>
            <w:col w:w="3860"/>
          </w:cols>
          <w:pgMar w:left="328" w:top="607" w:right="359" w:bottom="1440" w:gutter="0" w:footer="0" w:header="0"/>
          <w:type w:val="continuous"/>
        </w:sectPr>
      </w:pPr>
    </w:p>
    <w:p>
      <w:pPr>
        <w:ind w:left="652" w:right="760"/>
        <w:spacing w:after="0" w:line="282" w:lineRule="auto"/>
        <w:rPr>
          <w:sz w:val="20"/>
          <w:szCs w:val="20"/>
          <w:color w:val="auto"/>
        </w:rPr>
      </w:pPr>
      <w:r>
        <w:rPr>
          <w:rFonts w:ascii="Times New Roman" w:cs="Times New Roman" w:eastAsia="Times New Roman" w:hAnsi="Times New Roman"/>
          <w:sz w:val="18"/>
          <w:szCs w:val="18"/>
          <w:color w:val="auto"/>
        </w:rPr>
        <w:t>The total fair value of the restricted stock awards that vested during the six months ended June 30, 2024 and 2023 was $552 and $1,153, respectively, as of the vesting dates of these awards.</w:t>
      </w:r>
    </w:p>
    <w:p>
      <w:pPr>
        <w:spacing w:after="0" w:line="185" w:lineRule="exact"/>
        <w:rPr>
          <w:sz w:val="20"/>
          <w:szCs w:val="20"/>
          <w:color w:val="auto"/>
        </w:rPr>
      </w:pPr>
    </w:p>
    <w:p>
      <w:pPr>
        <w:ind w:left="652" w:hanging="652"/>
        <w:spacing w:after="0"/>
        <w:tabs>
          <w:tab w:leader="none" w:pos="6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rFonts w:ascii="Times New Roman" w:cs="Times New Roman" w:eastAsia="Times New Roman" w:hAnsi="Times New Roman"/>
          <w:sz w:val="18"/>
          <w:szCs w:val="18"/>
          <w:b w:val="1"/>
          <w:bCs w:val="1"/>
          <w:color w:val="auto"/>
        </w:rPr>
      </w:pPr>
    </w:p>
    <w:p>
      <w:pPr>
        <w:ind w:left="652"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79" w:lineRule="exact"/>
        <w:rPr>
          <w:rFonts w:ascii="Times New Roman" w:cs="Times New Roman" w:eastAsia="Times New Roman" w:hAnsi="Times New Roman"/>
          <w:sz w:val="18"/>
          <w:szCs w:val="18"/>
          <w:b w:val="1"/>
          <w:bCs w:val="1"/>
          <w:color w:val="auto"/>
        </w:rPr>
      </w:pPr>
    </w:p>
    <w:p>
      <w:pPr>
        <w:ind w:left="65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175" w:lineRule="exact"/>
        <w:rPr>
          <w:rFonts w:ascii="Times New Roman" w:cs="Times New Roman" w:eastAsia="Times New Roman" w:hAnsi="Times New Roman"/>
          <w:sz w:val="18"/>
          <w:szCs w:val="18"/>
          <w:b w:val="1"/>
          <w:bCs w:val="1"/>
          <w:color w:val="auto"/>
        </w:rPr>
      </w:pPr>
    </w:p>
    <w:p>
      <w:pPr>
        <w:ind w:left="65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six months ended June 30, 2024, employees purchased 8,587 shares of our common stock through the ESPP at a cost of $84. The closing market price of our common stock on the dates of purchase were $13.25 and $9.88, respectively. The prices paid by employees were $11.26 and $8.40, respectively, which represented a 15% discount. The total amount of the discount of $15 was recorded as compensation expense in our consolidated statements of operations. During the six months ended June 30, 2023, employees purchased 4,162 shares of our common stock through the ESPP at a cost of $82. The closing market price of our common stock on the dates of purchase were $20.74 and $26.26, respectively. The prices paid by employees were $17.63 and $22.32, respectively, which represented a 15% discount. The total amount of the discount of $15 was recorded as compensation expense in our consolidated statements of operations. From the effective date of the ESPP through June 30, 2024, a total of 51,519 shares of stock have been purchased by employees through the ESPP at a cost of $498. We have recorded a total of $88 of compensation expense in our consolidated statements of operations related to these shares.</w:t>
      </w:r>
    </w:p>
    <w:p>
      <w:pPr>
        <w:spacing w:after="0" w:line="21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rFonts w:ascii="Times New Roman" w:cs="Times New Roman" w:eastAsia="Times New Roman" w:hAnsi="Times New Roman"/>
          <w:sz w:val="18"/>
          <w:szCs w:val="18"/>
          <w:b w:val="1"/>
          <w:bCs w:val="1"/>
          <w:color w:val="auto"/>
        </w:rPr>
      </w:pPr>
    </w:p>
    <w:p>
      <w:pPr>
        <w:ind w:left="652"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defined contribution 401(k) plans for our employees who work in the U.S. These plans include the inTEST Corporation Incentive Savings Plan (the “inTEST Plan”) and the Ambrell Corporation Savings &amp; Profit Sharing Plan (the "Ambrell Plan"). During the quarter ended September 30, 2023, the Ambrell Plan, which is discussed further below, was merged into the inTEST Plan.</w:t>
      </w:r>
    </w:p>
    <w:p>
      <w:pPr>
        <w:spacing w:after="0" w:line="175" w:lineRule="exact"/>
        <w:rPr>
          <w:rFonts w:ascii="Times New Roman" w:cs="Times New Roman" w:eastAsia="Times New Roman" w:hAnsi="Times New Roman"/>
          <w:sz w:val="18"/>
          <w:szCs w:val="18"/>
          <w:b w:val="1"/>
          <w:bCs w:val="1"/>
          <w:color w:val="auto"/>
        </w:rPr>
      </w:pPr>
    </w:p>
    <w:p>
      <w:pPr>
        <w:ind w:left="5552" w:hanging="108"/>
        <w:spacing w:after="0"/>
        <w:tabs>
          <w:tab w:leader="none" w:pos="55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07" w:right="359" w:bottom="1440" w:gutter="0" w:footer="0" w:header="0"/>
          <w:type w:val="continuous"/>
        </w:sectPr>
      </w:pPr>
    </w:p>
    <w:bookmarkStart w:id="26" w:name="page27"/>
    <w:bookmarkEnd w:id="26"/>
    <w:p>
      <w:pPr>
        <w:ind w:left="660" w:right="40"/>
        <w:spacing w:after="0" w:line="254" w:lineRule="auto"/>
        <w:rPr>
          <w:sz w:val="20"/>
          <w:szCs w:val="20"/>
          <w:color w:val="auto"/>
        </w:rPr>
      </w:pPr>
      <w:r>
        <w:rPr>
          <w:rFonts w:ascii="Times New Roman" w:cs="Times New Roman" w:eastAsia="Times New Roman" w:hAnsi="Times New Roman"/>
          <w:sz w:val="18"/>
          <w:szCs w:val="18"/>
          <w:color w:val="auto"/>
        </w:rPr>
        <w:t>As of June 30, 2024, all permanent employees of Acculogic Ltd, Ambrell, inTEST Corporation, inTEST EMS LLC, Temptronic Corporation and Videology, who are at least 18 years of age, are eligible to participate in the inTEST Plan. We match employee contributions dollar for dollar up to 10% of the employee's annual compensation, with a maximum limit of $5. Employer contributions vest ratably over four years. Matching contributions are discretionary. Prior to the merger with the inTEST Plan, all permanent employees of Ambrell were immediately eligible to participate in the Ambrell Plan upon employment and were eligible for employer matching contributions after completing six months of service, as defined in the Ambrell Plan. The Ambrell Plan allowed eligible employees to make voluntary contributions up to 100% of compensation, up to the federal government contribution limits. We made a matching contribution of 50% of each employee's contributions up to a maximum of 10% of the employee's deferral with a maximum limit of $5.</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2024, we recorded expense for matching contributions to both plans of $219 and $608, respectively.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2023, we recorded expense for matching contributions to both plans of $199 and $571, respectively.</w:t>
      </w:r>
    </w:p>
    <w:p>
      <w:pPr>
        <w:spacing w:after="0" w:line="207"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Employees of Alfamation in Italy are entitled to Trattamento di Fine Rapporto (“TFR”),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in personnel costs in our consolidated statements of operations and the required accrual is included in Other Liabilities on our consolidated balance sheets. At June 30, 2024, the amount recorded in Other Liabilities for TFR was $1,435.</w:t>
      </w:r>
    </w:p>
    <w:p>
      <w:pPr>
        <w:spacing w:after="0" w:line="20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ind w:left="660" w:right="10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have three operating segments which are also our reportable segments and reporting units: Electronic Test (which includes our semiconductor test equipment, flying probe and in-circuit testers and the operations of Alfamation which we acquired on March 12, 2024 as discussed further in Note 3),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automotive, defense/aerospace, industrial, life sciences, security and other markets.</w:t>
      </w:r>
    </w:p>
    <w:p>
      <w:pPr>
        <w:spacing w:after="0" w:line="172"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16,159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10,993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27,275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33,991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63,815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64,477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divisional operations: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3,556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from divisional operations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amortization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160,554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134,829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- 25-</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7" w:name="page28"/>
    <w:bookmarkEnd w:id="27"/>
    <w:p>
      <w:pPr>
        <w:ind w:left="660"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Revenue is based on the location to which the goods are shipped.</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38,915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43,475</w:t>
            </w:r>
          </w:p>
        </w:tc>
      </w:tr>
      <w:tr>
        <w:trPr>
          <w:trHeight w:val="20"/>
        </w:trPr>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63,815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64,477</w:t>
            </w: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34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5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2,438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5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4,529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6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- 26-</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and Forward-Looking Statements</w:t>
      </w:r>
    </w:p>
    <w:p>
      <w:pPr>
        <w:spacing w:after="0" w:line="229"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for the period ended June 30, 2024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“expect,” “may,” “could,” “will,” “plans,” “depending,” “seeking,”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These statements involve risks and uncertainties and are based upon various assumptions. Such risks and uncertainties include, but are not limited to:</w:t>
      </w:r>
    </w:p>
    <w:p>
      <w:pPr>
        <w:spacing w:after="0" w:line="19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5-Point Strategy;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presence in the automotive/electric vehicle (“EV”), life sciences, security, industrial and international markets;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future acquisitions or dispositions and the successful integration of any acquired operations;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strategy to diversify our business by entering markets outside the semiconductor automated test equipment (“ATE”) market;</w:t>
      </w:r>
    </w:p>
    <w:p>
      <w:pPr>
        <w:spacing w:after="0" w:line="47"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indications of a change in the market cycles in the semiconductor (“semi”) market, or other markets we serve;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trends in the semi market, including changes in the demand for semiconductors;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backlog to sales and to ship product in a timely manner;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one or more of our largest customers, or a reduction in orders by a major customer;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materials used to manufacture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interruptions in our supply chain caused by external factors;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cash balances, lines of credit and net cash from operations;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fluctuations;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borrow funds or raise capital to finance potential acquisitions or for working capital;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and timing of, capital expenditures by our customers;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exchange rate fluctuations;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product development programs;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market for our products;</w:t>
      </w:r>
    </w:p>
    <w:p>
      <w:pPr>
        <w:spacing w:after="0" w:line="36"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effectively remediate the material weakness in our internal control over financial reporting that we have identified or our failure to develop and maintain a proper and effective system of disclosure controls and internal control over financial reporting;</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retention of key personnel or our ability to hire personnel at anticipated costs;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globally; and</w:t>
      </w:r>
    </w:p>
    <w:p>
      <w:pPr>
        <w:spacing w:after="0" w:line="3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included in Part II, Item 1A – “Risk Factors” in this Report and in Part I, Item 1A - "Risk Factors" in our Annual Report on Form 10-K for the year ended December 31, 2023 (the “2023 Form 10-K”).</w:t>
      </w:r>
    </w:p>
    <w:p>
      <w:pPr>
        <w:spacing w:after="0" w:line="162"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This MD&amp;A should be read in conjunction with the accompanying consolidated financial statements. In addition, please refer to the discussion of our business and markets contained in Part 1, Item 1 of our 2023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ind w:right="100"/>
        <w:spacing w:after="0" w:line="256" w:lineRule="auto"/>
        <w:rPr>
          <w:sz w:val="20"/>
          <w:szCs w:val="20"/>
          <w:color w:val="auto"/>
        </w:rPr>
      </w:pPr>
      <w:r>
        <w:rPr>
          <w:rFonts w:ascii="Times New Roman" w:cs="Times New Roman" w:eastAsia="Times New Roman" w:hAnsi="Times New Roman"/>
          <w:sz w:val="18"/>
          <w:szCs w:val="18"/>
          <w:color w:val="auto"/>
        </w:rPr>
        <w:t>We are a global supplier of innovative test and process technology solutions for use in manufacturing and testing across a wide range of markets including automotive, defense/aerospace, industrial, life sciences, security and semiconductor. We have three reportable segments which are also our reporting units: Electronic Test (which includes our semiconductor test equipment, flying probe and in-circuit testers and the operations of Alfamation S.p.A., (“Alfamation”) which we acquired on March 12, 2024 as discussed further below and in Note 3 to our consolidated financial statements in this Report), Environmental Technologies (which includes our thermal test, process and storage products) and Process Technologies (which includes our induction heating and video imaging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discussed further in Part 1, Item 1 “Markets” of our 2023 Form 10-K, we are focused on specific target markets which include automotive, defense/aerospace, industrial, life sciences, 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0" w:name="page31"/>
    <w:bookmarkEnd w:id="30"/>
    <w:p>
      <w:pPr>
        <w:ind w:left="660" w:right="80"/>
        <w:spacing w:after="0" w:line="255" w:lineRule="auto"/>
        <w:rPr>
          <w:sz w:val="20"/>
          <w:szCs w:val="20"/>
          <w:color w:val="auto"/>
        </w:rPr>
      </w:pPr>
      <w:r>
        <w:rPr>
          <w:rFonts w:ascii="Times New Roman" w:cs="Times New Roman" w:eastAsia="Times New Roman" w:hAnsi="Times New Roman"/>
          <w:sz w:val="18"/>
          <w:szCs w:val="18"/>
          <w:color w:val="auto"/>
        </w:rPr>
        <w:t>As discussed further in Part I, Item 1 “Overview and Strategy” of our 2023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89"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w:t>
      </w:r>
    </w:p>
    <w:p>
      <w:pPr>
        <w:spacing w:after="0" w:line="227" w:lineRule="exact"/>
        <w:rPr>
          <w:sz w:val="20"/>
          <w:szCs w:val="20"/>
          <w:color w:val="auto"/>
        </w:rPr>
      </w:pPr>
    </w:p>
    <w:p>
      <w:pPr>
        <w:ind w:left="660" w:right="120"/>
        <w:spacing w:after="0" w:line="253" w:lineRule="auto"/>
        <w:rPr>
          <w:sz w:val="20"/>
          <w:szCs w:val="20"/>
          <w:color w:val="auto"/>
        </w:rPr>
      </w:pPr>
      <w:r>
        <w:rPr>
          <w:rFonts w:ascii="Times New Roman" w:cs="Times New Roman" w:eastAsia="Times New Roman" w:hAnsi="Times New Roman"/>
          <w:sz w:val="18"/>
          <w:szCs w:val="18"/>
          <w:color w:val="auto"/>
        </w:rPr>
        <w:t>As discussed further in Note 3 to our consolidated financial statements in this Report, on March 12, 2024 we entered into a stock purchase agreement to acquire all of the outstanding capital shares of Alfamation,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is included in our Electronic Test operating segment. The aggregate purchase price was approximately EUR 20 million comprised of EUR 18 million in cash, or $19.0 million, and 187,432 shares of our common stock valued at $2.1 million based on the closing price of our stock on the date of acquisition. The cash portion of the purchase price is subject to customary working capital adjustments. This resulted in an additional payment of EUR 129,000, or $141,000 for assets delivered at closing in excess of agreed upon thresholds. This equates to a total purchase price of approximately $21.9 million. The liabilities assumed in connection with the acquisition included debt of approximately EUR 10.3 million, or $11.3 million. The debt assumed is discussed further in Note 10 to our consolidated financial statements in this Report.</w:t>
      </w:r>
    </w:p>
    <w:p>
      <w:pPr>
        <w:spacing w:after="0" w:line="194"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on March 12, 2024 we entered into a lease agreement (the “Lease Agreement”) with the former owner of Alfamation who will continue to serve as the managing director of Alfamation under our ownership. The Lease Agreement will last for six years and will be automatically renewed for the same period of time unless terminated by either party. Under the terms of the Lease Agreement, Alfamation will lease warehouse and office space totaling about 51,817 square feet. Alfamation will pay a yearly lease payment of EUR 260,000 broken up into two equal payments. At the date of the signing of the Lease Agreement, the yearly lease payment equated to approximately $284,000.</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revenue by market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00" w:type="dxa"/>
            <w:vAlign w:val="bottom"/>
            <w:tcBorders>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6/30/2024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6/30/2023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6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10,124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18,833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(8,709)</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14,967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(4,843)</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3,415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2,806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4,187</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1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10,735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1,542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9,193</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3,958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6,777</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6"/>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2,194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1,135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653</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Defense/Aero</w:t>
            </w:r>
          </w:p>
        </w:tc>
        <w:tc>
          <w:tcPr>
            <w:tcW w:w="1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3,682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3,890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3,239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792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936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541</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3,049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3,416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2,279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33,991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100.0%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32,558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29,824</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4,167</w:t>
            </w: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6/30/2024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6/30/2023</w:t>
            </w: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25,091</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36,516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(11,425)</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7,602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5,943</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14,693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4,139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10,554</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2,847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2,648</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Defense/Aero</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6,921</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6,729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1,333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1,902</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5,328</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6,600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20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63,815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64,477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1" w:name="page32"/>
    <w:bookmarkEnd w:id="31"/>
    <w:p>
      <w:pPr>
        <w:ind w:left="660" w:right="20"/>
        <w:spacing w:after="0" w:line="253" w:lineRule="auto"/>
        <w:rPr>
          <w:sz w:val="20"/>
          <w:szCs w:val="20"/>
          <w:color w:val="auto"/>
        </w:rPr>
      </w:pPr>
      <w:r>
        <w:rPr>
          <w:rFonts w:ascii="Times New Roman" w:cs="Times New Roman" w:eastAsia="Times New Roman" w:hAnsi="Times New Roman"/>
          <w:sz w:val="18"/>
          <w:szCs w:val="18"/>
          <w:color w:val="auto"/>
        </w:rPr>
        <w:t>Total consolidated revenue for the three months ended June 30, 2024 was $34.0 million compared to $32.6 million for the same period in 2023 and $29.8 million for the three months ended March 31, 2024. Alfamation, which we acquired on March 12, 2024 as discussed under Acquisition above, contributed $9.7 million of revenue in the second quarter of 2024 and $1.4 million of revenue in the first quarter of 2024. This revenue is primarily from the auto/EV market, and, to a lesser extent, the life sciences market. The balance of our business had relatively flat or reduced revenue levels in the second quarter of 2024 as compared to the same period in 2023 primarily reflecting weak demand from both front-end and back-end semi customers. As discussed in the Overview, the semi market is highly cyclical resulting in significant swings in demand when period to period comparisons are to different points in a given cycle. The semi market is currently in a period of weakened demand which began to impact us in the second half of 2023 resulting in significantly reduced revenue levels from our customers in this market. There are indications from certain of our back-end semi customers that demand seems to be stabilizing in that market. We have not yet seen any similar indications from our front-end semi customers.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7"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17"/>
          <w:szCs w:val="17"/>
          <w:color w:val="auto"/>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Securities and Exchange Commission (the “SEC”), a quantitative reconciliation for each is not required or provided.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by market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00" w:type="dxa"/>
            <w:vAlign w:val="bottom"/>
            <w:tcBorders>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6/30/2024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6/30/2023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6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11,026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14,721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10,253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3,485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5,756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3,093</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1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4,721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3,276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4,041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1,025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609</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698</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Defense/Aero</w:t>
            </w:r>
          </w:p>
        </w:tc>
        <w:tc>
          <w:tcPr>
            <w:tcW w:w="1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2.665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3,216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2,684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1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3,179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3,397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1,990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26,182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100.0%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31,431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(5,249)</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22,799</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3,383</w:t>
            </w: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6/30/2024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6/30/2023</w:t>
            </w: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21,279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33,067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(11,788)</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6,578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9,898</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8,762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5,320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3,442</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1,723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2,545</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Defense/Aero</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5,349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5,193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668</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5,169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5,564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48,981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62,255</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(13,274)</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2" w:name="page33"/>
    <w:bookmarkEnd w:id="32"/>
    <w:p>
      <w:pPr>
        <w:ind w:right="40"/>
        <w:spacing w:after="0" w:line="255" w:lineRule="auto"/>
        <w:rPr>
          <w:sz w:val="20"/>
          <w:szCs w:val="20"/>
          <w:color w:val="auto"/>
        </w:rPr>
      </w:pPr>
      <w:r>
        <w:rPr>
          <w:rFonts w:ascii="Times New Roman" w:cs="Times New Roman" w:eastAsia="Times New Roman" w:hAnsi="Times New Roman"/>
          <w:sz w:val="18"/>
          <w:szCs w:val="18"/>
          <w:color w:val="auto"/>
        </w:rPr>
        <w:t>Total consolidated orders for the three months ended June 30, 2024 were $26.2 million compared to $31.4 million for the same period in 2023 and $22.8 million for the three months ended March 31, 2024. Alfamation contributed $3.2 million of orders in the second quarter of 2024 and $1.8 million of orders in the first quarter of 2024. The decrease in total orders compared to the same period in 2023 primarily represents the aforementioned decline in demand from semi. In addition, we experienced declines in several of the other markets we serve during this period, which we believe primarily reflects the timing of receipt of orders. Orders are often placed by our customers in large blocks with the associated delivery schedules allocated in smaller amounts over several quarters which can result in significant variation in total order levels from quarter to quarter.</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June 30, 2024, our backlog of unfilled orders for all products was approximately $47.7 million compared with approximately $44.6 million at June 30, 2023 and $55.5 million at March 31, 2024. Our backlog at June 30, 2024 and March 31, 2024 included $16.3 million and $22.8 million, respectively, of backlog for Alfamation.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Israel-Hamas War, War in Ukraine and Global Supply Chain Constraints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early October 2023, Hamas attacked Israel and Israel formally declared war in response to the attack. The conflict is ongoing, and it is unclear when it might end. Ambrell 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Acculogic purchases certain material from a key sole-source supplier in Belarus, which is bordered by Russia to the east and northeast and Ukraine to the south. At present, we are still receiving shipments from this supplier, and we estimate that we have a six-to-nine-month supply of these parts that we are maintaining. We are currently in the process of qualifying an alternate supplier for these parts. We received prototype sample parts from the alternate supplier which we are now evaluating. We expect to complete this evaluation by the fourth quarter of 2024.</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refer to Part 1, Item 1A of our 2023 Form 10-K for further discussion of the risks associated with our business operations, including risks associated with foreign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spacing w:after="0" w:line="1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2024 Compared to Three Months Ended June 30, 2023</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$34.0 million for the three months ended June 30, 2024 compared to $32.6 million for the same period in 2023,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$1.4 million, or 4%. Revenue for the second quarter of June 2024 included $9.7 million attributable to Alfamation which we acquired on March 12, 2024, as previously discussed. The revenue levels across the balance of our business were relatively flat or reduced as compared to the same period in 2023 and primarily reflect the weak demand from both front-end and back-end semi customers previously discussed under “Revenue” in the Overview section above.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41% of revenue for the three months ended June 30, 2024 as compared to 46% of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The decrease in our gross margin primarily reflects changes in product mix. The mix of products sold in the second quarter of 2024 had both relatively higher component material costs as a percentage of revenue and a higher labor component to the total cost than the mix of products sold in the same period in 2023. To a lesser extent, the decrease in our gross margin is a result of our fixed operating costs increasing in both absolute dollar terms and as a percentage of revenue in the second quarter of 2024 as compared to the same period in 2023. The increase in fixed operating costs is a result of the acquisition of Alfamation, which accounted for approximately $793,000 of our fixed operating costs during the second quarter of 2024. The fixed operating costs for the balance of our business declined somewhat compared to the same period in 2023, primarily reflecting lower facility related costs.</w:t>
      </w:r>
    </w:p>
    <w:p>
      <w:pPr>
        <w:spacing w:after="0" w:line="1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$4.1 million for the three months ended June 30, 2024 compared to $4.7 million for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$556,000 or 12%. The decrease primarily reflects lower commission expense as a result of the aforementioned lower revenue levels in the second quarter of 2024, excluding the impact of the acquisition of Alfamation.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$2.2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$2.0 million for the same period in 2023, an increase of $235,000 or 12%. Alfamation accounted for approximately $462,000 of our engineering expense during the second quarter of 2024. In the balance of our business, there were decreases in spending on material used in product development projects in the second quarter of 2024 as compared to the same period in 2023.</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$7.1 million for the three months ended June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million for the same period in 2023 an increase of $2.1 million, or 42%. Alfamation accounted for approximately $1.9 million of our general and administrative expense during the second quarter of 2024, which included $401,000 of amortization of acquired intangible assets. In the balance of our business, higher costs related to our corporate development activities were partially offset by lower salary and benefits expense and reduced accruals for profit-based bonuses.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June 30, 2024, we recorded income tax expense of $66,000 compared to income tax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$572,000 for the same period in 2023. Our effective tax rate was 22% for the three months ended June 30, 2024 compared to 17% for the same period in 2023. On a quarterly basis, we record income tax expense or benefit based on the expected annualized effective tax rate for the various taxing jurisdictions in which we operate our businesses.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2024 Compared to Six Months Ended June 30, 2023</w:t>
      </w:r>
    </w:p>
    <w:p>
      <w:pPr>
        <w:spacing w:after="0" w:line="22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$63.8 million for the six months ended June 30, 2024 compared to $64.5 million for the same period in 2023,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$662,000, or 1%. We believe the decrease in our revenue during the first six months of 2024 primarily reflects the factors previously discussed under “Revenue” in the Overview section above.</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42% of revenue for the six months ended June 30, 2024 as compared to 47% of revenue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The decrease in our gross margin primarily reflects changes in product mix. The mix of products sold in the first half of 2024 had both relatively higher component material costs as a percentage of revenue and a higher labor component to the total cost than the mix of products sold in the same period in 2023. To a lesser extent, the decrease in our gross margin is a result of our fixed operating costs increasing in both absolute dollar terms and as a percentage of revenue in the first half of 2024 as compared to the same period in 2023. The increase in fixed operating costs is a result of the acquisition of Alfamation, which accounted for approximately $1.1 million of our fixed operating costs during the first half of 2024. The fixed operating costs for the balance of our business declined somewhat compared to the same period in 2023, primarily reflecting lower facility related costs.</w:t>
      </w:r>
    </w:p>
    <w:p>
      <w:pPr>
        <w:spacing w:after="0" w:line="18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$8.7 million for the six months ended June 30, 2024 compared to $9.1 million for the same period in 2023,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$421,000, or 5%. The decrease primarily reflects lower commissions on the lower revenue level. This decrease was partially offset by higher salary and benefits expense, increased travel costs and $278,000 of costs attributable to Alfamation.</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$4.2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$3.9 million for the same period in 2023, an increase of $313,000 or 8%. Alfamation accounted for a $464,000 increase in our engineering costs. This increase was partially offset by decreases in spending on material used in product development projects during the first half of 2024 as compared to the same period in 2023.</w:t>
      </w:r>
    </w:p>
    <w:p>
      <w:pPr>
        <w:spacing w:after="0" w:line="1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8" w:right="339" w:bottom="1440" w:gutter="0" w:footer="0" w:header="0"/>
        </w:sectPr>
      </w:pPr>
    </w:p>
    <w:bookmarkStart w:id="34" w:name="page35"/>
    <w:bookmarkEnd w:id="34"/>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$13.2 million for the six months ended June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 million for the same period in 2023, an increase of $2.9 million or 29%. Alfamation accounted for approximately $2.1 million of our general and administrative expense during the first half of 2024, which included $503,000 of amortization of acquired intangible assets. In the balance of our business, higher costs related to our corporate development activities, including costs related to the acquisition of Alfamation, increased fees for professionals that assist us with various compliance related matters and higher salaries and benefits expense were partially offset by reduced accruals for profit-based bonuses and reduced costs related to our stock-based compensation awards as the probable achievement estimates for certain performance-based awards were adjusted down during the first half of 2024.</w:t>
      </w:r>
    </w:p>
    <w:p>
      <w:pPr>
        <w:spacing w:after="0" w:line="18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six months ended June 30, 2024, we recorded income tax expense of $191,000 compared to income tax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million for the same period in 2023. Our effective tax rate was 18% for the six months ended June 30, 2024 compared to 17% for the same period in 2023. On a quarterly basis, we record income tax expense or benefit based on the expected annualized effective tax rate for the various taxing jurisdictions in which we operate our businesses.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7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Proceeds from Sale of Common Stock</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May 11, 2023, we entered into an At-the-Market Issuance Sales Agreement (the "Sales Agreement")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As discussed in Note 10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September 20, 2022, we further amended the Loan Agreement by entering into a Third Amendment to Amended and Restated Loan and Security Agreement (the Loan Agreement as amended by the Third Amendment, the “Third Amended Loan Agreement”) and the Third Amended and Restated Delayed Draw Term Note 1A. Under the Third Amended Loan Agreement, the maximum loan amount that we may borrow under the Term Note increased from $25 million to $50.5 million, which raises the available funding at March 31, 2024 to $30 million. On May 2, 2024 we further amended our Third Amended Loan Agreement by entering into a Fourth Amendment to the Amended and Restated Loan and Security Agreement (the “Amended Loan Agreement”). Under the Amended Loan Agreement, the period during which we may request advances under the Term Note is extended until May 2, 2026, and the Term Note and revolving credit facility maturity date is extended from September 19, 2027 to May 2, 2031. At June 30, 2024,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June 30, 2024, we were in compliance with all of the covenants included in the Credit Facility, except for the fixed charge coverage ratio financial covenant which was 1.16 to 1.0 for the quarter ended June 30, 2024, for which we have received a one-time waiver from M&amp;T.</w:t>
      </w:r>
    </w:p>
    <w:p>
      <w:pPr>
        <w:spacing w:after="0" w:line="1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8" w:right="339" w:bottom="1440" w:gutter="0" w:footer="0" w:header="0"/>
        </w:sectPr>
      </w:pPr>
    </w:p>
    <w:bookmarkStart w:id="35" w:name="page36"/>
    <w:bookmarkEnd w:id="35"/>
    <w:p>
      <w:pPr>
        <w:ind w:left="20" w:right="40"/>
        <w:spacing w:after="0" w:line="261" w:lineRule="auto"/>
        <w:rPr>
          <w:sz w:val="20"/>
          <w:szCs w:val="20"/>
          <w:color w:val="auto"/>
        </w:rPr>
      </w:pPr>
      <w:r>
        <w:rPr>
          <w:rFonts w:ascii="Times New Roman" w:cs="Times New Roman" w:eastAsia="Times New Roman" w:hAnsi="Times New Roman"/>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0" w:lineRule="exact"/>
        <w:rPr>
          <w:sz w:val="20"/>
          <w:szCs w:val="20"/>
          <w:color w:val="auto"/>
        </w:rPr>
      </w:pPr>
    </w:p>
    <w:p>
      <w:pPr>
        <w:jc w:val="both"/>
        <w:ind w:left="20" w:right="200"/>
        <w:spacing w:after="0" w:line="266" w:lineRule="auto"/>
        <w:rPr>
          <w:sz w:val="20"/>
          <w:szCs w:val="20"/>
          <w:color w:val="auto"/>
        </w:rPr>
      </w:pPr>
      <w:r>
        <w:rPr>
          <w:rFonts w:ascii="Times New Roman" w:cs="Times New Roman" w:eastAsia="Times New Roman" w:hAnsi="Times New Roman"/>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June 30, 2024, it was approximately 7.4% based on current leverage.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Alfamation Debt</w:t>
      </w:r>
    </w:p>
    <w:p>
      <w:pPr>
        <w:spacing w:after="0" w:line="227" w:lineRule="exact"/>
        <w:rPr>
          <w:sz w:val="20"/>
          <w:szCs w:val="20"/>
          <w:color w:val="auto"/>
        </w:rPr>
      </w:pPr>
    </w:p>
    <w:p>
      <w:pPr>
        <w:ind w:left="20" w:right="340"/>
        <w:spacing w:after="0" w:line="258" w:lineRule="auto"/>
        <w:rPr>
          <w:sz w:val="20"/>
          <w:szCs w:val="20"/>
          <w:color w:val="auto"/>
        </w:rPr>
      </w:pPr>
      <w:r>
        <w:rPr>
          <w:rFonts w:ascii="Times New Roman" w:cs="Times New Roman" w:eastAsia="Times New Roman" w:hAnsi="Times New Roman"/>
          <w:sz w:val="18"/>
          <w:szCs w:val="18"/>
          <w:color w:val="auto"/>
        </w:rPr>
        <w:t>At June 30, 2024, the total debt assumed in connection with the acquisition of Alfamation was valued at $11.1 million. The acquisition is discussed further in Note 3. This debt is comprised of both fixed and variable rate bank issued term loans as well as $4.8 million of short-term variable rate financing backed by Alfamation’s accounts receivable. This debt is spread across a number of different institutions with monthly, quarterly or half-yearly repayment schedules. The average interest rate being paid at June 30, 2024 was 2.8% for fixed rate debt and 5.0% for variable rate debt. The average rate for total debt at June 30, 2024 was 4.2%.</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interest expense for the six months ended June 30, 2024 and 2023 related to our various debt arrangements was $393 and $358, respectively.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cash and cash equivalents and working capital were as follows (in thousands):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r>
      <w:tr>
        <w:trPr>
          <w:trHeight w:val="234"/>
        </w:trPr>
        <w:tc>
          <w:tcPr>
            <w:tcW w:w="16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61,479</w:t>
            </w:r>
          </w:p>
        </w:tc>
      </w:tr>
    </w:tbl>
    <w:p>
      <w:pPr>
        <w:spacing w:after="0" w:line="179" w:lineRule="exact"/>
        <w:rPr>
          <w:sz w:val="20"/>
          <w:szCs w:val="20"/>
          <w:color w:val="auto"/>
        </w:rPr>
      </w:pPr>
    </w:p>
    <w:p>
      <w:pPr>
        <w:ind w:left="20" w:right="160"/>
        <w:spacing w:after="0" w:line="261" w:lineRule="auto"/>
        <w:rPr>
          <w:sz w:val="20"/>
          <w:szCs w:val="20"/>
          <w:color w:val="auto"/>
        </w:rPr>
      </w:pPr>
      <w:r>
        <w:rPr>
          <w:rFonts w:ascii="Times New Roman" w:cs="Times New Roman" w:eastAsia="Times New Roman" w:hAnsi="Times New Roman"/>
          <w:sz w:val="18"/>
          <w:szCs w:val="18"/>
          <w:color w:val="auto"/>
        </w:rPr>
        <w:t>As of June 30, 2024, $7.8 million, or 38%,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Note 10 to our consolidated financial statements in this Report.</w:t>
      </w:r>
    </w:p>
    <w:p>
      <w:pPr>
        <w:spacing w:after="0" w:line="180" w:lineRule="exact"/>
        <w:rPr>
          <w:sz w:val="20"/>
          <w:szCs w:val="20"/>
          <w:color w:val="auto"/>
        </w:rPr>
      </w:pPr>
    </w:p>
    <w:p>
      <w:pPr>
        <w:ind w:left="20" w:right="80"/>
        <w:spacing w:after="0" w:line="255" w:lineRule="auto"/>
        <w:rPr>
          <w:sz w:val="20"/>
          <w:szCs w:val="20"/>
          <w:color w:val="auto"/>
        </w:rPr>
      </w:pPr>
      <w:r>
        <w:rPr>
          <w:rFonts w:ascii="Times New Roman" w:cs="Times New Roman" w:eastAsia="Times New Roman" w:hAnsi="Times New Roman"/>
          <w:sz w:val="18"/>
          <w:szCs w:val="18"/>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anticipate making investments in our business in the next twelve months including hiring of additional staff, updates to our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spacing w:after="0" w:line="18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and extended in September 2022 and May 2024 as discussed above and in Note 10 to our consolidated financial statements in this Report.</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5" w:lineRule="exact"/>
        <w:rPr>
          <w:sz w:val="20"/>
          <w:szCs w:val="20"/>
          <w:color w:val="auto"/>
        </w:rPr>
      </w:pPr>
    </w:p>
    <w:p>
      <w:pPr>
        <w:ind w:left="20" w:right="160"/>
        <w:spacing w:after="0" w:line="25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For the six months ended June 30, 2024, we recorded net earnings of $892,000. Net cash used in operations during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was $3.0 million. During the six months ended June 30, 2024, we had non-cash charges of $2.8 million for depreciation and amortization which included $685,000 of amortization related to our ROU assets. Our operating lease liabilities declined $765,000 during this same period. During the six months ended June 30, 2024, we recorded $913,000 for amortization of deferred compensation expense related to stock-based awards. Excluding the impact of the acquired assets, during the first six months of 2024, accounts receivable increased $5.7 million, accounts payable increased $1.9 million and inventories decreased $2.0 million. During this same period, prepaid expenses and other current assets decreased $1.3 million, customer deposits and deferred revenue (including deferred revenue, net of current portion) declined $936,000 and domestic and foreign taxes payable decreased $851,000. All of these fluctuations represent normal variations due to varying timing of payments, receipt of cash from customers and normal accruals that are standard in our business operations.</w:t>
      </w:r>
    </w:p>
    <w:p>
      <w:pPr>
        <w:spacing w:after="0" w:line="19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80" w:right="339" w:bottom="1440" w:gutter="0" w:footer="0" w:header="0"/>
        </w:sectPr>
      </w:pPr>
    </w:p>
    <w:bookmarkStart w:id="36" w:name="page37"/>
    <w:bookmarkEnd w:id="36"/>
    <w:p>
      <w:pPr>
        <w:ind w:left="660" w:right="180"/>
        <w:spacing w:after="0" w:line="25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During the six months ended June 30, 2024, we paid $18.7 million in net cash for the acquisition of Alfamation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in more detail in Note 3 to our consolidated financial statements in this Report. Purchases of property and equipment were $656,000, during this period, representing capital expenditures in the normal course of business. We have no significant commitments for capital expenditures for the balance of 2024;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82" w:lineRule="exact"/>
        <w:rPr>
          <w:sz w:val="20"/>
          <w:szCs w:val="20"/>
          <w:color w:val="auto"/>
        </w:rPr>
      </w:pPr>
    </w:p>
    <w:p>
      <w:pPr>
        <w:ind w:left="660" w:right="120"/>
        <w:spacing w:after="0" w:line="284"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During the six months ended June 30, 2024, we made principal payments on our long-term debt totaling $2.1 million.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 other significant amounts used by or received from financing activities during the quarter.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pacing w:after="0" w:line="22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See the Notes to our consolidated financial statements in this Report for information concerning the implementation and impact of new or recently adopted accounting standards.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2024, there have been no significant changes to the accounting estimates that we have deemed critical. Our critical accounting estimates are more fully described in our 2023 Form 10-K.</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three months ended June 30, 2024 that have or are reasonably likely to have, a current or future effect on our financial condition, changes in financial condition, revenue or expenses, results of operations, liquidity, capital expenditures or capital resources that is material to our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CEO/CFO Conclusions about the Effectiveness of the Disclosure Controls and Procedures</w:t>
      </w:r>
    </w:p>
    <w:p>
      <w:pPr>
        <w:spacing w:after="0" w:line="22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not effective at the reasonable assurance level.</w:t>
      </w:r>
    </w:p>
    <w:p>
      <w:pPr>
        <w:spacing w:after="0" w:line="180" w:lineRule="exact"/>
        <w:rPr>
          <w:sz w:val="20"/>
          <w:szCs w:val="20"/>
          <w:color w:val="auto"/>
        </w:rPr>
      </w:pPr>
    </w:p>
    <w:p>
      <w:pPr>
        <w:jc w:val="both"/>
        <w:ind w:left="660" w:right="120"/>
        <w:spacing w:after="0" w:line="258"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not effective as of June 30, 2024 because of the material weakness in our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in a timely basis. The identified material weakness contributed to the restatements of our financial statements for the three and nine months ended September 30,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has determined that the Company had the following material weakness in its internal control over financial reporting:</w:t>
      </w:r>
    </w:p>
    <w:p>
      <w:pPr>
        <w:spacing w:after="0" w:line="225" w:lineRule="exact"/>
        <w:rPr>
          <w:sz w:val="20"/>
          <w:szCs w:val="20"/>
          <w:color w:val="auto"/>
        </w:rPr>
      </w:pPr>
    </w:p>
    <w:p>
      <w:pPr>
        <w:ind w:left="1300" w:hanging="320"/>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appropriately design and implement controls over 1) the identification of and 2) the application of appropriate U.S. GAAP for transactions related to the procurement and sale of discontinued material/components purchased on behalf of customers where the associated materials/components were still physically located with us and the materials/components are expected to be applied to future product orders for these customers.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material weakness contributed to material misstatements in our consolidated financial statements for the three and nine months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September 30, 2023, which have been corrected and restated in our Amendment No. 1 to our Quarterly Report on Form 10-Q for the period 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September 30, 2023. Accordingly, management has concluded that this control deficiency constitutes a material weakness.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29"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Management is developing a remediation plan to address the material weakness discussed above. Remediation will not occur until the plan is implemented and there has been appropriate time for us to conclude through testing that the control operates effectively.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As described above, we are in the process of implementing changes to our internal control over financial reporting to remediate the material weaknesses described herein. Other that these changes,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2023 Form 10-K filed with the SEC on March 27, 2024. There have been no material changes from the risk factors set forth in our 2023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6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withheld by the Company for net settlement of restricted stock awards for the second quarter of 2024:</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Dollar</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That May</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1-31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1-30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10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Shares withheld to cover tax withholding obligations under the net settlement provisions of our restricted stock awards.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60" w:right="260"/>
        <w:spacing w:after="0" w:line="266" w:lineRule="auto"/>
        <w:rPr>
          <w:sz w:val="20"/>
          <w:szCs w:val="20"/>
          <w:color w:val="auto"/>
        </w:rPr>
      </w:pPr>
      <w:r>
        <w:rPr>
          <w:rFonts w:ascii="Times New Roman" w:cs="Times New Roman" w:eastAsia="Times New Roman" w:hAnsi="Times New Roman"/>
          <w:sz w:val="18"/>
          <w:szCs w:val="18"/>
          <w:color w:val="auto"/>
        </w:rPr>
        <w:t>During the second quarter ended June 30, 2024,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1"/>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9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Fourth Amendment to Amended and Restated Loan and Security Agreement, dated May 2, 2024, among inTEST Corporation, Ambrell</w:t>
              </w:r>
            </w:hyperlink>
          </w:p>
        </w:tc>
      </w:tr>
      <w:tr>
        <w:trPr>
          <w:trHeight w:val="196"/>
        </w:trPr>
        <w:tc>
          <w:tcPr>
            <w:tcW w:w="1460" w:type="dxa"/>
            <w:vAlign w:val="bottom"/>
          </w:tcPr>
          <w:p>
            <w:pPr>
              <w:spacing w:after="0"/>
              <w:rPr>
                <w:sz w:val="17"/>
                <w:szCs w:val="17"/>
                <w:color w:val="auto"/>
              </w:rPr>
            </w:pPr>
          </w:p>
        </w:tc>
        <w:tc>
          <w:tcPr>
            <w:tcW w:w="9760" w:type="dxa"/>
            <w:vAlign w:val="bottom"/>
            <w:gridSpan w:val="9"/>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Corporation, inTEST Silicon Valley Corporation, inTEST EMS, LLC, Temptronic Corporation, Videology Imaging Corporation,</w:t>
              </w:r>
            </w:hyperlink>
          </w:p>
        </w:tc>
      </w:tr>
      <w:tr>
        <w:trPr>
          <w:trHeight w:val="196"/>
        </w:trPr>
        <w:tc>
          <w:tcPr>
            <w:tcW w:w="1460" w:type="dxa"/>
            <w:vAlign w:val="bottom"/>
          </w:tcPr>
          <w:p>
            <w:pPr>
              <w:spacing w:after="0"/>
              <w:rPr>
                <w:sz w:val="17"/>
                <w:szCs w:val="17"/>
                <w:color w:val="auto"/>
              </w:rPr>
            </w:pPr>
          </w:p>
        </w:tc>
        <w:tc>
          <w:tcPr>
            <w:tcW w:w="92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 xml:space="preserve">Acculogic Ltd., Acculogic Inc. and M&amp;T Bank. </w:t>
              </w:r>
              <w:r>
                <w:rPr>
                  <w:rFonts w:ascii="Times New Roman" w:cs="Times New Roman" w:eastAsia="Times New Roman" w:hAnsi="Times New Roman"/>
                  <w:sz w:val="18"/>
                  <w:szCs w:val="18"/>
                  <w:color w:val="000000"/>
                </w:rPr>
                <w:t>(1)</w:t>
              </w:r>
            </w:hyperlink>
          </w:p>
        </w:tc>
        <w:tc>
          <w:tcPr>
            <w:tcW w:w="48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4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760" w:type="dxa"/>
            <w:vAlign w:val="bottom"/>
            <w:gridSpan w:val="9"/>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 xml:space="preserve">Third Amendment to Lease dated May 21, 2024 between Temptronic Corporation and BGO TSG 35-41 Hampden Owner LLC. </w:t>
              </w:r>
            </w:hyperlink>
            <w:r>
              <w:rPr>
                <w:rFonts w:ascii="Times New Roman" w:cs="Times New Roman" w:eastAsia="Times New Roman" w:hAnsi="Times New Roman"/>
                <w:sz w:val="18"/>
                <w:szCs w:val="18"/>
                <w:color w:val="000000"/>
              </w:rPr>
              <w:t>(2)</w:t>
            </w:r>
          </w:p>
        </w:tc>
      </w:tr>
      <w:tr>
        <w:trPr>
          <w:trHeight w:val="22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31.1</w:t>
            </w:r>
          </w:p>
        </w:tc>
        <w:tc>
          <w:tcPr>
            <w:tcW w:w="92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w:t>
            </w:r>
          </w:p>
        </w:tc>
        <w:tc>
          <w:tcPr>
            <w:tcW w:w="560" w:type="dxa"/>
            <w:vAlign w:val="bottom"/>
            <w:gridSpan w:val="4"/>
          </w:tcPr>
          <w:p>
            <w:pPr>
              <w:spacing w:after="0"/>
              <w:rPr>
                <w:sz w:val="19"/>
                <w:szCs w:val="19"/>
                <w:color w:val="auto"/>
              </w:rPr>
            </w:pPr>
          </w:p>
        </w:tc>
      </w:tr>
      <w:tr>
        <w:trPr>
          <w:trHeight w:val="22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31.2</w:t>
            </w:r>
          </w:p>
        </w:tc>
        <w:tc>
          <w:tcPr>
            <w:tcW w:w="48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w:t>
            </w:r>
          </w:p>
        </w:tc>
        <w:tc>
          <w:tcPr>
            <w:tcW w:w="40" w:type="dxa"/>
            <w:vAlign w:val="bottom"/>
            <w:tcBorders>
              <w:top w:val="single" w:sz="8" w:color="0000EE"/>
            </w:tcBorders>
          </w:tcPr>
          <w:p>
            <w:pPr>
              <w:spacing w:after="0"/>
              <w:rPr>
                <w:sz w:val="19"/>
                <w:szCs w:val="19"/>
                <w:color w:val="auto"/>
              </w:rPr>
            </w:pPr>
          </w:p>
        </w:tc>
        <w:tc>
          <w:tcPr>
            <w:tcW w:w="4860" w:type="dxa"/>
            <w:vAlign w:val="bottom"/>
            <w:gridSpan w:val="5"/>
          </w:tcPr>
          <w:p>
            <w:pPr>
              <w:spacing w:after="0"/>
              <w:rPr>
                <w:sz w:val="19"/>
                <w:szCs w:val="19"/>
                <w:color w:val="auto"/>
              </w:rPr>
            </w:pPr>
          </w:p>
        </w:tc>
      </w:tr>
      <w:tr>
        <w:trPr>
          <w:trHeight w:val="22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32.1</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furnished pursuant to 18 U.S.C. Section 1350, as adopted pursuant to Section 906 of the</w:t>
            </w:r>
          </w:p>
        </w:tc>
      </w:tr>
      <w:tr>
        <w:trPr>
          <w:trHeight w:val="196"/>
        </w:trPr>
        <w:tc>
          <w:tcPr>
            <w:tcW w:w="146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00" w:type="dxa"/>
            <w:vAlign w:val="bottom"/>
            <w:gridSpan w:val="2"/>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196"/>
        </w:trPr>
        <w:tc>
          <w:tcPr>
            <w:tcW w:w="14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2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furnished pursuant to 18 U.S.C. Section 1350, as adopted pursuant to Section 906 of the</w:t>
            </w:r>
          </w:p>
        </w:tc>
        <w:tc>
          <w:tcPr>
            <w:tcW w:w="540" w:type="dxa"/>
            <w:vAlign w:val="bottom"/>
            <w:gridSpan w:val="3"/>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4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660" w:type="dxa"/>
            <w:vAlign w:val="bottom"/>
            <w:gridSpan w:val="8"/>
          </w:tcPr>
          <w:p>
            <w:pPr>
              <w:spacing w:after="0" w:line="20" w:lineRule="exact"/>
              <w:rPr>
                <w:sz w:val="1"/>
                <w:szCs w:val="1"/>
                <w:color w:val="auto"/>
              </w:rPr>
            </w:pPr>
          </w:p>
        </w:tc>
      </w:tr>
      <w:tr>
        <w:trPr>
          <w:trHeight w:val="236"/>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Instance Document</w:t>
            </w:r>
          </w:p>
        </w:tc>
      </w:tr>
      <w:tr>
        <w:trPr>
          <w:trHeight w:val="24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1460" w:right="160" w:hanging="804"/>
        <w:spacing w:after="0" w:line="261"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Current Report on Form 8-K dated May 2, 2024, File No. 001-36117, filed May 3, 2024, and incorporated herein by reference.</w:t>
      </w:r>
    </w:p>
    <w:p>
      <w:pPr>
        <w:ind w:left="1460" w:right="560" w:hanging="804"/>
        <w:spacing w:after="0" w:line="260"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Current Report on Form 8-K dated May 24, 2024, File No. 001-36117, filed May 29, 2024, and incorporated herein by reference.</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39" w:name="page40"/>
    <w:bookmarkEnd w:id="39"/>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inTEST Corporation</w:t>
            </w:r>
          </w:p>
        </w:tc>
      </w:tr>
      <w:tr>
        <w:trPr>
          <w:trHeight w:val="8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9, 2024</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Richard N. Grant, Jr.</w:t>
            </w:r>
          </w:p>
        </w:tc>
      </w:tr>
      <w:tr>
        <w:trPr>
          <w:trHeight w:val="216"/>
        </w:trPr>
        <w:tc>
          <w:tcPr>
            <w:tcW w:w="6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Richard N. Grant, Jr.</w:t>
            </w:r>
          </w:p>
        </w:tc>
        <w:tc>
          <w:tcPr>
            <w:tcW w:w="17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9, 2024</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Duncan Gilmour</w:t>
            </w:r>
          </w:p>
        </w:tc>
      </w:tr>
      <w:tr>
        <w:trPr>
          <w:trHeight w:val="216"/>
        </w:trPr>
        <w:tc>
          <w:tcPr>
            <w:tcW w:w="6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Duncan Gilmour</w:t>
            </w:r>
          </w:p>
        </w:tc>
        <w:tc>
          <w:tcPr>
            <w:tcW w:w="2060" w:type="dxa"/>
            <w:vAlign w:val="bottom"/>
            <w:gridSpan w:val="2"/>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7"/>
              </w:rPr>
              <w:t>Chief Financial Officer, Treasurer and Secretary</w:t>
            </w:r>
          </w:p>
        </w:tc>
      </w:tr>
      <w:tr>
        <w:trPr>
          <w:trHeight w:val="236"/>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920"/>
          </w:cols>
          <w:pgMar w:left="320" w:top="576" w:right="6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Richard N. Grant, Jr., certify that:</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440" w:firstLine="480"/>
        <w:spacing w:after="0" w:line="266"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140" w:firstLine="480"/>
        <w:spacing w:after="0" w:line="266" w:lineRule="auto"/>
        <w:tabs>
          <w:tab w:leader="none" w:pos="12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260" w:firstLine="480"/>
        <w:spacing w:after="0" w:line="266" w:lineRule="auto"/>
        <w:tabs>
          <w:tab w:leader="none" w:pos="12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500" w:firstLine="480"/>
        <w:spacing w:after="0" w:line="282" w:lineRule="auto"/>
        <w:tabs>
          <w:tab w:leader="none" w:pos="126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00" w:firstLine="480"/>
        <w:spacing w:after="0" w:line="282" w:lineRule="auto"/>
        <w:tabs>
          <w:tab w:leader="none" w:pos="12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9,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u w:val="single" w:color="auto"/>
          <w:color w:val="auto"/>
        </w:rPr>
        <w:t>/s/ Richard N. Grant, Jr.</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Richard N. Grant, Jr.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Duncan Gilmour, certify that:</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440" w:firstLine="480"/>
        <w:spacing w:after="0" w:line="266" w:lineRule="auto"/>
        <w:tabs>
          <w:tab w:leader="none" w:pos="12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140" w:firstLine="480"/>
        <w:spacing w:after="0" w:line="266" w:lineRule="auto"/>
        <w:tabs>
          <w:tab w:leader="none" w:pos="12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2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260" w:firstLine="480"/>
        <w:spacing w:after="0" w:line="266" w:lineRule="auto"/>
        <w:tabs>
          <w:tab w:leader="none" w:pos="12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500" w:firstLine="480"/>
        <w:spacing w:after="0" w:line="282" w:lineRule="auto"/>
        <w:tabs>
          <w:tab w:leader="none" w:pos="12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00" w:firstLine="480"/>
        <w:spacing w:after="0" w:line="282" w:lineRule="auto"/>
        <w:tabs>
          <w:tab w:leader="none" w:pos="12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9,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u w:val="single" w:color="auto"/>
          <w:color w:val="auto"/>
        </w:rPr>
        <w:t>/s/Duncan Gilmour</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Duncan Gilmour</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June 30, 2024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20" w:hanging="612"/>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August 9,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Richard N. Grant,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Richard N. Grant,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June 30, 2024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8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August 9,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Duncan Gilmour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Duncan Gilmour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
      <w:numFmt w:val="bullet"/>
      <w:start w:val="1"/>
    </w:lvl>
  </w:abstractNum>
  <w:abstractNum w:abstractNumId="3">
    <w:nsid w:val="109CF92E"/>
    <w:multiLevelType w:val="hybridMultilevel"/>
    <w:lvl w:ilvl="0">
      <w:lvlJc w:val="left"/>
      <w:lvlText w:val="(%1)"/>
      <w:numFmt w:val="decimal"/>
      <w:start w:val="2"/>
    </w:lvl>
    <w:lvl w:ilvl="1">
      <w:lvlJc w:val="left"/>
      <w:lvlText w:val="-"/>
      <w:numFmt w:val="bullet"/>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lvl w:ilvl="1">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lvl w:ilvl="1">
      <w:lvlJc w:val="left"/>
      <w:lvlText w:val="-"/>
      <w:numFmt w:val="bullet"/>
      <w:start w:val="1"/>
    </w:lvl>
  </w:abstractNum>
  <w:abstractNum w:abstractNumId="15">
    <w:nsid w:val="257130A3"/>
    <w:multiLevelType w:val="hybridMultilevel"/>
    <w:lvl w:ilvl="0">
      <w:lvlJc w:val="left"/>
      <w:lvlText w:val="(%1)"/>
      <w:numFmt w:val="decimal"/>
      <w:start w:val="14"/>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0" Type="http://schemas.openxmlformats.org/officeDocument/2006/relationships/hyperlink" Target="http://www.sec.gov/Archives/edgar/data/1036262/000143774924014481/ex_666599.htm" TargetMode="External"/><Relationship Id="rId51" Type="http://schemas.openxmlformats.org/officeDocument/2006/relationships/hyperlink" Target="http://www.sec.gov/Archives/edgar/data/1036262/000143774924018544/ex_6804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2024-08-09T16:02:02Z</dcterms:created>
  <dcterms:modified xsi:type="dcterms:W3CDTF">2024-08-09T16:02:02Z</dcterms:modified>
</cp:coreProperties>
</file>