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3435350</wp:posOffset>
            </wp:positionH>
            <wp:positionV relativeFrom="paragraph">
              <wp:posOffset>131445</wp:posOffset>
            </wp:positionV>
            <wp:extent cx="39878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8780" cy="342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0000FF"/>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3435350</wp:posOffset>
            </wp:positionH>
            <wp:positionV relativeFrom="paragraph">
              <wp:posOffset>135890</wp:posOffset>
            </wp:positionV>
            <wp:extent cx="39878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8780" cy="342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(Mark One)</w:t>
      </w:r>
    </w:p>
    <w:p>
      <w:pPr>
        <w:spacing w:after="0" w:line="4"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[X]</w:t>
      </w:r>
      <w:r>
        <w:rPr>
          <w:sz w:val="20"/>
          <w:szCs w:val="20"/>
          <w:color w:val="auto"/>
        </w:rPr>
        <w:tab/>
      </w:r>
      <w:r>
        <w:rPr>
          <w:rFonts w:ascii="Arial" w:cs="Arial" w:eastAsia="Arial" w:hAnsi="Arial"/>
          <w:sz w:val="16"/>
          <w:szCs w:val="16"/>
          <w:b w:val="1"/>
          <w:bCs w:val="1"/>
          <w:color w:val="auto"/>
        </w:rPr>
        <w:t>QUARTERLY REPORT PURSUANT TO SECTION 13 OR 15(d) OF THE SECURITIES EXCHANGE ACT OF 1934</w:t>
      </w:r>
    </w:p>
    <w:p>
      <w:pPr>
        <w:spacing w:after="0" w:line="211"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FF0000"/>
        </w:rPr>
        <w:t>September 30, 2012</w:t>
      </w:r>
      <w:r>
        <w:rPr>
          <w:rFonts w:ascii="Arial" w:cs="Arial" w:eastAsia="Arial" w:hAnsi="Arial"/>
          <w:sz w:val="18"/>
          <w:szCs w:val="18"/>
          <w:color w:val="auto"/>
        </w:rPr>
        <w:t xml:space="preserve"> or</w:t>
      </w:r>
    </w:p>
    <w:p>
      <w:pPr>
        <w:spacing w:after="0" w:line="219" w:lineRule="exact"/>
        <w:rPr>
          <w:sz w:val="24"/>
          <w:szCs w:val="24"/>
          <w:color w:val="auto"/>
        </w:rPr>
      </w:pPr>
    </w:p>
    <w:p>
      <w:pPr>
        <w:ind w:left="2160" w:right="1920" w:hanging="2152"/>
        <w:spacing w:after="0" w:line="478" w:lineRule="auto"/>
        <w:tabs>
          <w:tab w:leader="none" w:pos="18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__________________ to ___________________</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0-22529</w:t>
      </w:r>
    </w:p>
    <w:p>
      <w:pPr>
        <w:spacing w:after="0" w:line="146" w:lineRule="exact"/>
        <w:rPr>
          <w:sz w:val="24"/>
          <w:szCs w:val="24"/>
          <w:color w:val="auto"/>
        </w:rPr>
      </w:pPr>
    </w:p>
    <w:p>
      <w:pPr>
        <w:jc w:val="center"/>
        <w:ind w:right="-139"/>
        <w:spacing w:after="0"/>
        <w:rPr>
          <w:sz w:val="20"/>
          <w:szCs w:val="20"/>
          <w:color w:val="auto"/>
        </w:rPr>
      </w:pPr>
      <w:r>
        <w:rPr>
          <w:rFonts w:ascii="Arial" w:cs="Arial" w:eastAsia="Arial" w:hAnsi="Arial"/>
          <w:sz w:val="24"/>
          <w:szCs w:val="24"/>
          <w:u w:val="single" w:color="auto"/>
          <w:color w:val="0000FF"/>
        </w:rPr>
        <w:t>inTEST Corporation</w:t>
      </w:r>
    </w:p>
    <w:p>
      <w:pPr>
        <w:spacing w:after="0" w:line="2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its Charter)</w:t>
      </w:r>
    </w:p>
    <w:p>
      <w:pPr>
        <w:spacing w:after="0" w:line="185" w:lineRule="exact"/>
        <w:rPr>
          <w:sz w:val="24"/>
          <w:szCs w:val="24"/>
          <w:color w:val="auto"/>
        </w:rPr>
      </w:pPr>
    </w:p>
    <w:tbl>
      <w:tblPr>
        <w:tblLayout w:type="fixed"/>
        <w:tblInd w:w="190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90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88"/>
              </w:rPr>
              <w:t>Delaware</w:t>
            </w:r>
          </w:p>
        </w:tc>
        <w:tc>
          <w:tcPr>
            <w:tcW w:w="31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22-2370659</w:t>
            </w: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4160" w:type="dxa"/>
            <w:vAlign w:val="bottom"/>
            <w:gridSpan w:val="3"/>
          </w:tcPr>
          <w:p>
            <w:pPr>
              <w:jc w:val="center"/>
              <w:ind w:right="940"/>
              <w:spacing w:after="0"/>
              <w:rPr>
                <w:sz w:val="20"/>
                <w:szCs w:val="20"/>
                <w:color w:val="auto"/>
              </w:rPr>
            </w:pPr>
            <w:r>
              <w:rPr>
                <w:rFonts w:ascii="Arial" w:cs="Arial" w:eastAsia="Arial" w:hAnsi="Arial"/>
                <w:sz w:val="14"/>
                <w:szCs w:val="14"/>
                <w:color w:val="auto"/>
                <w:w w:val="89"/>
              </w:rPr>
              <w:t>(State or other jurisdiction of incorporation or organization)</w:t>
            </w:r>
          </w:p>
        </w:tc>
        <w:tc>
          <w:tcPr>
            <w:tcW w:w="3140" w:type="dxa"/>
            <w:vAlign w:val="bottom"/>
            <w:gridSpan w:val="3"/>
          </w:tcPr>
          <w:p>
            <w:pPr>
              <w:jc w:val="center"/>
              <w:ind w:left="862"/>
              <w:spacing w:after="0"/>
              <w:rPr>
                <w:sz w:val="20"/>
                <w:szCs w:val="20"/>
                <w:color w:val="auto"/>
              </w:rPr>
            </w:pPr>
            <w:r>
              <w:rPr>
                <w:rFonts w:ascii="Arial" w:cs="Arial" w:eastAsia="Arial" w:hAnsi="Arial"/>
                <w:sz w:val="14"/>
                <w:szCs w:val="14"/>
                <w:color w:val="auto"/>
                <w:w w:val="90"/>
              </w:rPr>
              <w:t>(I.R.S. Employer Identification Number)</w:t>
            </w:r>
          </w:p>
        </w:tc>
      </w:tr>
    </w:tbl>
    <w:p>
      <w:pPr>
        <w:spacing w:after="0" w:line="20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804 East Gate Drive, Suite 200</w:t>
      </w:r>
    </w:p>
    <w:p>
      <w:pPr>
        <w:spacing w:after="0" w:line="21" w:lineRule="exact"/>
        <w:rPr>
          <w:sz w:val="24"/>
          <w:szCs w:val="24"/>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9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365760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57600" cy="342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both"/>
        <w:ind w:right="6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(SS 232.405 of this chapter) during the preceding 12 months (or for such shorter period that the registrant was required to submit and post such files).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tbl>
      <w:tblPr>
        <w:tblLayout w:type="fixed"/>
        <w:tblInd w:w="54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8"/>
                <w:szCs w:val="18"/>
                <w:color w:val="auto"/>
                <w:w w:val="88"/>
              </w:rPr>
              <w:t>Large accelerated filer</w:t>
            </w:r>
          </w:p>
        </w:tc>
        <w:tc>
          <w:tcPr>
            <w:tcW w:w="3020" w:type="dxa"/>
            <w:vAlign w:val="bottom"/>
          </w:tcPr>
          <w:p>
            <w:pPr>
              <w:jc w:val="right"/>
              <w:ind w:right="2592"/>
              <w:spacing w:after="0"/>
              <w:rPr>
                <w:sz w:val="20"/>
                <w:szCs w:val="20"/>
                <w:color w:val="auto"/>
              </w:rPr>
            </w:pPr>
            <w:r>
              <w:rPr>
                <w:rFonts w:ascii="Arial" w:cs="Arial" w:eastAsia="Arial" w:hAnsi="Arial"/>
                <w:sz w:val="18"/>
                <w:szCs w:val="18"/>
                <w:color w:val="auto"/>
              </w:rPr>
              <w:t>___</w:t>
            </w:r>
          </w:p>
        </w:tc>
        <w:tc>
          <w:tcPr>
            <w:tcW w:w="2440" w:type="dxa"/>
            <w:vAlign w:val="bottom"/>
            <w:gridSpan w:val="2"/>
          </w:tcPr>
          <w:p>
            <w:pPr>
              <w:ind w:left="160"/>
              <w:spacing w:after="0"/>
              <w:rPr>
                <w:sz w:val="20"/>
                <w:szCs w:val="20"/>
                <w:color w:val="auto"/>
              </w:rPr>
            </w:pPr>
            <w:r>
              <w:rPr>
                <w:rFonts w:ascii="Arial" w:cs="Arial" w:eastAsia="Arial" w:hAnsi="Arial"/>
                <w:sz w:val="18"/>
                <w:szCs w:val="18"/>
                <w:color w:val="auto"/>
              </w:rPr>
              <w:t>Accelerated filer ___</w:t>
            </w:r>
          </w:p>
        </w:tc>
      </w:tr>
      <w:tr>
        <w:trPr>
          <w:trHeight w:val="184"/>
        </w:trPr>
        <w:tc>
          <w:tcPr>
            <w:tcW w:w="1600" w:type="dxa"/>
            <w:vAlign w:val="bottom"/>
          </w:tcPr>
          <w:p>
            <w:pPr>
              <w:spacing w:after="0" w:line="184" w:lineRule="exact"/>
              <w:rPr>
                <w:sz w:val="20"/>
                <w:szCs w:val="20"/>
                <w:color w:val="auto"/>
              </w:rPr>
            </w:pPr>
            <w:r>
              <w:rPr>
                <w:rFonts w:ascii="Arial" w:cs="Arial" w:eastAsia="Arial" w:hAnsi="Arial"/>
                <w:sz w:val="18"/>
                <w:szCs w:val="18"/>
                <w:color w:val="auto"/>
                <w:w w:val="95"/>
              </w:rPr>
              <w:t>Non-accelerated filer</w:t>
            </w:r>
          </w:p>
        </w:tc>
        <w:tc>
          <w:tcPr>
            <w:tcW w:w="3020" w:type="dxa"/>
            <w:vAlign w:val="bottom"/>
          </w:tcPr>
          <w:p>
            <w:pPr>
              <w:jc w:val="right"/>
              <w:ind w:right="92"/>
              <w:spacing w:after="0" w:line="184" w:lineRule="exact"/>
              <w:rPr>
                <w:sz w:val="20"/>
                <w:szCs w:val="20"/>
                <w:color w:val="auto"/>
              </w:rPr>
            </w:pPr>
            <w:r>
              <w:rPr>
                <w:rFonts w:ascii="Arial" w:cs="Arial" w:eastAsia="Arial" w:hAnsi="Arial"/>
                <w:sz w:val="18"/>
                <w:szCs w:val="18"/>
                <w:color w:val="auto"/>
                <w:w w:val="94"/>
              </w:rPr>
              <w:t xml:space="preserve">___ </w:t>
            </w:r>
            <w:r>
              <w:rPr>
                <w:rFonts w:ascii="Arial" w:cs="Arial" w:eastAsia="Arial" w:hAnsi="Arial"/>
                <w:sz w:val="13"/>
                <w:szCs w:val="13"/>
                <w:color w:val="auto"/>
                <w:w w:val="94"/>
              </w:rPr>
              <w:t>(Do not check if a smaller reporting company)</w:t>
            </w:r>
          </w:p>
        </w:tc>
        <w:tc>
          <w:tcPr>
            <w:tcW w:w="2440" w:type="dxa"/>
            <w:vAlign w:val="bottom"/>
            <w:gridSpan w:val="2"/>
          </w:tcPr>
          <w:p>
            <w:pPr>
              <w:ind w:left="220"/>
              <w:spacing w:after="0" w:line="184" w:lineRule="exact"/>
              <w:rPr>
                <w:sz w:val="20"/>
                <w:szCs w:val="20"/>
                <w:color w:val="auto"/>
              </w:rPr>
            </w:pPr>
            <w:r>
              <w:rPr>
                <w:rFonts w:ascii="Arial" w:cs="Arial" w:eastAsia="Arial" w:hAnsi="Arial"/>
                <w:sz w:val="18"/>
                <w:szCs w:val="18"/>
                <w:color w:val="auto"/>
                <w:w w:val="94"/>
              </w:rPr>
              <w:t>Smaller reporting company X</w:t>
            </w:r>
          </w:p>
        </w:tc>
      </w:tr>
      <w:tr>
        <w:trPr>
          <w:trHeight w:val="20"/>
        </w:trPr>
        <w:tc>
          <w:tcPr>
            <w:tcW w:w="16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bl>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color w:val="auto"/>
        </w:rPr>
        <w:t>YES ___</w:t>
        <w:tab/>
        <w:t xml:space="preserve">NO </w:t>
      </w:r>
      <w:r>
        <w:rPr>
          <w:rFonts w:ascii="Arial" w:cs="Arial" w:eastAsia="Arial" w:hAnsi="Arial"/>
          <w:sz w:val="18"/>
          <w:szCs w:val="18"/>
          <w:u w:val="single" w:color="auto"/>
          <w:color w:val="auto"/>
        </w:rPr>
        <w:t>X</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$.01 par value, outstanding as of the close of business on October 31, 2012:</w:t>
      </w:r>
    </w:p>
    <w:p>
      <w:pPr>
        <w:spacing w:after="0" w:line="18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10,425,178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tbl>
      <w:tblPr>
        <w:tblLayout w:type="fixed"/>
        <w:tblInd w:w="20" w:type="dxa"/>
        <w:tblCellMar>
          <w:top w:w="0" w:type="dxa"/>
          <w:left w:w="0" w:type="dxa"/>
          <w:bottom w:w="0" w:type="dxa"/>
          <w:right w:w="0" w:type="dxa"/>
        </w:tblCellMar>
      </w:tblPr>
      <w:tr>
        <w:trPr>
          <w:trHeight w:val="228"/>
        </w:trPr>
        <w:tc>
          <w:tcPr>
            <w:tcW w:w="8740" w:type="dxa"/>
            <w:vAlign w:val="bottom"/>
          </w:tcPr>
          <w:p>
            <w:pPr>
              <w:ind w:left="4720"/>
              <w:spacing w:after="0"/>
              <w:rPr>
                <w:sz w:val="20"/>
                <w:szCs w:val="20"/>
                <w:color w:val="auto"/>
              </w:rPr>
            </w:pPr>
            <w:r>
              <w:rPr>
                <w:rFonts w:ascii="Arial" w:cs="Arial" w:eastAsia="Arial" w:hAnsi="Arial"/>
                <w:sz w:val="18"/>
                <w:szCs w:val="18"/>
                <w:b w:val="1"/>
                <w:bCs w:val="1"/>
                <w:color w:val="auto"/>
              </w:rPr>
              <w:t>inTEST CORPORATION</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2"/>
        </w:trPr>
        <w:tc>
          <w:tcPr>
            <w:tcW w:w="8740" w:type="dxa"/>
            <w:vAlign w:val="bottom"/>
          </w:tcPr>
          <w:p>
            <w:pPr>
              <w:ind w:left="5420"/>
              <w:spacing w:after="0"/>
              <w:rPr>
                <w:sz w:val="20"/>
                <w:szCs w:val="20"/>
                <w:color w:val="auto"/>
              </w:rPr>
            </w:pPr>
            <w:r>
              <w:rPr>
                <w:rFonts w:ascii="Arial" w:cs="Arial" w:eastAsia="Arial" w:hAnsi="Arial"/>
                <w:sz w:val="18"/>
                <w:szCs w:val="18"/>
                <w:b w:val="1"/>
                <w:bCs w:val="1"/>
                <w:color w:val="auto"/>
              </w:rPr>
              <w:t>INDEX</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905"/>
        </w:trPr>
        <w:tc>
          <w:tcPr>
            <w:tcW w:w="874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5"/>
        </w:trPr>
        <w:tc>
          <w:tcPr>
            <w:tcW w:w="8740" w:type="dxa"/>
            <w:vAlign w:val="bottom"/>
          </w:tcPr>
          <w:p>
            <w:pPr>
              <w:spacing w:after="0"/>
              <w:rPr>
                <w:sz w:val="17"/>
                <w:szCs w:val="17"/>
                <w:color w:val="auto"/>
              </w:rPr>
            </w:pPr>
          </w:p>
        </w:tc>
        <w:tc>
          <w:tcPr>
            <w:tcW w:w="640" w:type="dxa"/>
            <w:vAlign w:val="bottom"/>
            <w:gridSpan w:val="2"/>
          </w:tcPr>
          <w:p>
            <w:pPr>
              <w:jc w:val="center"/>
              <w:ind w:left="192"/>
              <w:spacing w:after="0" w:line="205" w:lineRule="exact"/>
              <w:rPr>
                <w:sz w:val="20"/>
                <w:szCs w:val="20"/>
                <w:color w:val="auto"/>
              </w:rPr>
            </w:pPr>
            <w:r>
              <w:rPr>
                <w:rFonts w:ascii="Arial" w:cs="Arial" w:eastAsia="Arial" w:hAnsi="Arial"/>
                <w:sz w:val="18"/>
                <w:szCs w:val="18"/>
                <w:b w:val="1"/>
                <w:bCs w:val="1"/>
                <w:color w:val="auto"/>
                <w:w w:val="83"/>
              </w:rPr>
              <w:t>Page</w:t>
            </w:r>
          </w:p>
        </w:tc>
      </w:tr>
      <w:tr>
        <w:trPr>
          <w:trHeight w:val="262"/>
        </w:trPr>
        <w:tc>
          <w:tcPr>
            <w:tcW w:w="8740" w:type="dxa"/>
            <w:vAlign w:val="bottom"/>
          </w:tcPr>
          <w:p>
            <w:pPr>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2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r>
      <w:tr>
        <w:trPr>
          <w:trHeight w:val="513"/>
        </w:trPr>
        <w:tc>
          <w:tcPr>
            <w:tcW w:w="8740" w:type="dxa"/>
            <w:vAlign w:val="bottom"/>
          </w:tcPr>
          <w:p>
            <w:pPr>
              <w:ind w:left="780"/>
              <w:spacing w:after="0"/>
              <w:rPr>
                <w:sz w:val="20"/>
                <w:szCs w:val="20"/>
                <w:color w:val="auto"/>
              </w:rPr>
            </w:pPr>
            <w:r>
              <w:rPr>
                <w:rFonts w:ascii="Arial" w:cs="Arial" w:eastAsia="Arial" w:hAnsi="Arial"/>
                <w:sz w:val="18"/>
                <w:szCs w:val="18"/>
                <w:color w:val="auto"/>
              </w:rPr>
              <w:t>Consolidated Balance Sheets as of September 30, 2012 (Unaudited) and December 31, 2011</w:t>
            </w:r>
          </w:p>
        </w:tc>
        <w:tc>
          <w:tcPr>
            <w:tcW w:w="640" w:type="dxa"/>
            <w:vAlign w:val="bottom"/>
            <w:gridSpan w:val="2"/>
          </w:tcPr>
          <w:p>
            <w:pPr>
              <w:jc w:val="center"/>
              <w:ind w:left="172"/>
              <w:spacing w:after="0"/>
              <w:rPr>
                <w:sz w:val="20"/>
                <w:szCs w:val="20"/>
                <w:color w:val="auto"/>
              </w:rPr>
            </w:pPr>
            <w:r>
              <w:rPr>
                <w:rFonts w:ascii="Arial" w:cs="Arial" w:eastAsia="Arial" w:hAnsi="Arial"/>
                <w:sz w:val="18"/>
                <w:szCs w:val="18"/>
                <w:color w:val="auto"/>
                <w:w w:val="99"/>
              </w:rPr>
              <w:t>1</w:t>
            </w:r>
          </w:p>
        </w:tc>
      </w:tr>
      <w:tr>
        <w:trPr>
          <w:trHeight w:val="237"/>
        </w:trPr>
        <w:tc>
          <w:tcPr>
            <w:tcW w:w="8740" w:type="dxa"/>
            <w:vAlign w:val="bottom"/>
          </w:tcPr>
          <w:p>
            <w:pPr>
              <w:ind w:left="780"/>
              <w:spacing w:after="0"/>
              <w:rPr>
                <w:sz w:val="20"/>
                <w:szCs w:val="20"/>
                <w:color w:val="auto"/>
              </w:rPr>
            </w:pPr>
            <w:r>
              <w:rPr>
                <w:rFonts w:ascii="Arial" w:cs="Arial" w:eastAsia="Arial" w:hAnsi="Arial"/>
                <w:sz w:val="18"/>
                <w:szCs w:val="18"/>
                <w:color w:val="auto"/>
                <w:w w:val="89"/>
              </w:rPr>
              <w:t>Unaudited Consolidated Statements of Operations for the three months and nine months ended September 30,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2"/>
        </w:trPr>
        <w:tc>
          <w:tcPr>
            <w:tcW w:w="8740" w:type="dxa"/>
            <w:vAlign w:val="bottom"/>
          </w:tcPr>
          <w:p>
            <w:pPr>
              <w:ind w:left="900"/>
              <w:spacing w:after="0"/>
              <w:rPr>
                <w:sz w:val="20"/>
                <w:szCs w:val="20"/>
                <w:color w:val="auto"/>
              </w:rPr>
            </w:pPr>
            <w:r>
              <w:rPr>
                <w:rFonts w:ascii="Arial" w:cs="Arial" w:eastAsia="Arial" w:hAnsi="Arial"/>
                <w:sz w:val="18"/>
                <w:szCs w:val="18"/>
                <w:color w:val="auto"/>
              </w:rPr>
              <w:t>2012 and 2011</w:t>
            </w:r>
          </w:p>
        </w:tc>
        <w:tc>
          <w:tcPr>
            <w:tcW w:w="640" w:type="dxa"/>
            <w:vAlign w:val="bottom"/>
            <w:gridSpan w:val="2"/>
          </w:tcPr>
          <w:p>
            <w:pPr>
              <w:jc w:val="center"/>
              <w:ind w:left="172"/>
              <w:spacing w:after="0"/>
              <w:rPr>
                <w:sz w:val="20"/>
                <w:szCs w:val="20"/>
                <w:color w:val="auto"/>
              </w:rPr>
            </w:pPr>
            <w:r>
              <w:rPr>
                <w:rFonts w:ascii="Arial" w:cs="Arial" w:eastAsia="Arial" w:hAnsi="Arial"/>
                <w:sz w:val="18"/>
                <w:szCs w:val="18"/>
                <w:color w:val="auto"/>
                <w:w w:val="99"/>
              </w:rPr>
              <w:t>2</w:t>
            </w:r>
          </w:p>
        </w:tc>
      </w:tr>
      <w:tr>
        <w:trPr>
          <w:trHeight w:val="237"/>
        </w:trPr>
        <w:tc>
          <w:tcPr>
            <w:tcW w:w="8740" w:type="dxa"/>
            <w:vAlign w:val="bottom"/>
          </w:tcPr>
          <w:p>
            <w:pPr>
              <w:ind w:left="780"/>
              <w:spacing w:after="0"/>
              <w:rPr>
                <w:sz w:val="20"/>
                <w:szCs w:val="20"/>
                <w:color w:val="auto"/>
              </w:rPr>
            </w:pPr>
            <w:r>
              <w:rPr>
                <w:rFonts w:ascii="Arial" w:cs="Arial" w:eastAsia="Arial" w:hAnsi="Arial"/>
                <w:sz w:val="18"/>
                <w:szCs w:val="18"/>
                <w:color w:val="auto"/>
                <w:w w:val="96"/>
              </w:rPr>
              <w:t>Unaudited Consolidated Statements of Comprehensive Earnings for the three months and nine months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2"/>
        </w:trPr>
        <w:tc>
          <w:tcPr>
            <w:tcW w:w="8740" w:type="dxa"/>
            <w:vAlign w:val="bottom"/>
          </w:tcPr>
          <w:p>
            <w:pPr>
              <w:ind w:left="900"/>
              <w:spacing w:after="0"/>
              <w:rPr>
                <w:sz w:val="20"/>
                <w:szCs w:val="20"/>
                <w:color w:val="auto"/>
              </w:rPr>
            </w:pPr>
            <w:r>
              <w:rPr>
                <w:rFonts w:ascii="Arial" w:cs="Arial" w:eastAsia="Arial" w:hAnsi="Arial"/>
                <w:sz w:val="18"/>
                <w:szCs w:val="18"/>
                <w:color w:val="auto"/>
              </w:rPr>
              <w:t>ended September 30, 2012 and 2011</w:t>
            </w:r>
          </w:p>
        </w:tc>
        <w:tc>
          <w:tcPr>
            <w:tcW w:w="640" w:type="dxa"/>
            <w:vAlign w:val="bottom"/>
            <w:gridSpan w:val="2"/>
          </w:tcPr>
          <w:p>
            <w:pPr>
              <w:jc w:val="center"/>
              <w:ind w:left="172"/>
              <w:spacing w:after="0"/>
              <w:rPr>
                <w:sz w:val="20"/>
                <w:szCs w:val="20"/>
                <w:color w:val="auto"/>
              </w:rPr>
            </w:pPr>
            <w:r>
              <w:rPr>
                <w:rFonts w:ascii="Arial" w:cs="Arial" w:eastAsia="Arial" w:hAnsi="Arial"/>
                <w:sz w:val="18"/>
                <w:szCs w:val="18"/>
                <w:color w:val="auto"/>
                <w:w w:val="99"/>
              </w:rPr>
              <w:t>3</w:t>
            </w:r>
          </w:p>
        </w:tc>
      </w:tr>
    </w:tbl>
    <w:p>
      <w:pPr>
        <w:sectPr>
          <w:pgSz w:w="11900" w:h="16838" w:orient="portrait"/>
          <w:cols w:equalWidth="0" w:num="1">
            <w:col w:w="11280"/>
          </w:cols>
          <w:pgMar w:left="240" w:top="239" w:right="379" w:bottom="0" w:gutter="0" w:footer="0" w:header="0"/>
        </w:sectPr>
      </w:pPr>
    </w:p>
    <w:bookmarkStart w:id="1" w:name="page2"/>
    <w:bookmarkEnd w:id="1"/>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720" w:type="dxa"/>
            <w:vAlign w:val="bottom"/>
          </w:tcPr>
          <w:p>
            <w:pPr>
              <w:spacing w:after="0"/>
              <w:rPr>
                <w:sz w:val="19"/>
                <w:szCs w:val="19"/>
                <w:color w:val="auto"/>
              </w:rPr>
            </w:pPr>
          </w:p>
        </w:tc>
        <w:tc>
          <w:tcPr>
            <w:tcW w:w="7940" w:type="dxa"/>
            <w:vAlign w:val="bottom"/>
          </w:tcPr>
          <w:p>
            <w:pPr>
              <w:ind w:left="60"/>
              <w:spacing w:after="0"/>
              <w:rPr>
                <w:sz w:val="20"/>
                <w:szCs w:val="20"/>
                <w:color w:val="auto"/>
              </w:rPr>
            </w:pPr>
            <w:r>
              <w:rPr>
                <w:rFonts w:ascii="Arial" w:cs="Arial" w:eastAsia="Arial" w:hAnsi="Arial"/>
                <w:sz w:val="18"/>
                <w:szCs w:val="18"/>
                <w:color w:val="auto"/>
                <w:w w:val="92"/>
              </w:rPr>
              <w:t>Unaudited Consolidated Statement of Stockholders' Equity for the nine months ended September 30, 2012</w:t>
            </w: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99"/>
              </w:rPr>
              <w:t>4</w:t>
            </w:r>
          </w:p>
        </w:tc>
      </w:tr>
      <w:tr>
        <w:trPr>
          <w:trHeight w:val="297"/>
        </w:trPr>
        <w:tc>
          <w:tcPr>
            <w:tcW w:w="720" w:type="dxa"/>
            <w:vAlign w:val="bottom"/>
          </w:tcPr>
          <w:p>
            <w:pPr>
              <w:spacing w:after="0"/>
              <w:rPr>
                <w:sz w:val="24"/>
                <w:szCs w:val="24"/>
                <w:color w:val="auto"/>
              </w:rPr>
            </w:pPr>
          </w:p>
        </w:tc>
        <w:tc>
          <w:tcPr>
            <w:tcW w:w="7940" w:type="dxa"/>
            <w:vAlign w:val="bottom"/>
          </w:tcPr>
          <w:p>
            <w:pPr>
              <w:ind w:left="60"/>
              <w:spacing w:after="0"/>
              <w:rPr>
                <w:sz w:val="20"/>
                <w:szCs w:val="20"/>
                <w:color w:val="auto"/>
              </w:rPr>
            </w:pPr>
            <w:r>
              <w:rPr>
                <w:rFonts w:ascii="Arial" w:cs="Arial" w:eastAsia="Arial" w:hAnsi="Arial"/>
                <w:sz w:val="18"/>
                <w:szCs w:val="18"/>
                <w:color w:val="auto"/>
                <w:w w:val="90"/>
              </w:rPr>
              <w:t>Unaudited Consolidated Statements of Cash Flows for the nine months ended September 30, 2012 and 2011</w:t>
            </w: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99"/>
              </w:rPr>
              <w:t>5</w:t>
            </w:r>
          </w:p>
        </w:tc>
      </w:tr>
      <w:tr>
        <w:trPr>
          <w:trHeight w:val="243"/>
        </w:trPr>
        <w:tc>
          <w:tcPr>
            <w:tcW w:w="720" w:type="dxa"/>
            <w:vAlign w:val="bottom"/>
          </w:tcPr>
          <w:p>
            <w:pPr>
              <w:spacing w:after="0"/>
              <w:rPr>
                <w:sz w:val="21"/>
                <w:szCs w:val="21"/>
                <w:color w:val="auto"/>
              </w:rPr>
            </w:pPr>
          </w:p>
        </w:tc>
        <w:tc>
          <w:tcPr>
            <w:tcW w:w="7940" w:type="dxa"/>
            <w:vAlign w:val="bottom"/>
          </w:tcPr>
          <w:p>
            <w:pPr>
              <w:ind w:left="60"/>
              <w:spacing w:after="0"/>
              <w:rPr>
                <w:sz w:val="20"/>
                <w:szCs w:val="20"/>
                <w:color w:val="auto"/>
              </w:rPr>
            </w:pPr>
            <w:r>
              <w:rPr>
                <w:rFonts w:ascii="Arial" w:cs="Arial" w:eastAsia="Arial" w:hAnsi="Arial"/>
                <w:sz w:val="18"/>
                <w:szCs w:val="18"/>
                <w:color w:val="auto"/>
              </w:rPr>
              <w:t>Notes to Consolidated Financial Statements</w:t>
            </w: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91"/>
              </w:rPr>
              <w:t>6 - 17</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9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Management's Discussion and Analysis of Financial Condition and Results of Operations</w:t>
            </w: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89"/>
              </w:rPr>
              <w:t>18 - 25</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9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89"/>
              </w:rPr>
              <w:t>25</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9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Controls and Procedures</w:t>
            </w: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89"/>
              </w:rPr>
              <w:t>25 - 26</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940" w:type="dxa"/>
            <w:vAlign w:val="bottom"/>
          </w:tcPr>
          <w:p>
            <w:pPr>
              <w:ind w:left="60"/>
              <w:spacing w:after="0"/>
              <w:rPr>
                <w:sz w:val="20"/>
                <w:szCs w:val="20"/>
                <w:color w:val="auto"/>
              </w:rPr>
            </w:pPr>
            <w:r>
              <w:rPr>
                <w:rFonts w:ascii="Arial" w:cs="Arial" w:eastAsia="Arial" w:hAnsi="Arial"/>
                <w:sz w:val="18"/>
                <w:szCs w:val="18"/>
                <w:b w:val="1"/>
                <w:bCs w:val="1"/>
                <w:color w:val="auto"/>
              </w:rPr>
              <w:t>OTHER INFORMATION</w:t>
            </w:r>
          </w:p>
        </w:tc>
        <w:tc>
          <w:tcPr>
            <w:tcW w:w="780" w:type="dxa"/>
            <w:vAlign w:val="bottom"/>
          </w:tcPr>
          <w:p>
            <w:pPr>
              <w:spacing w:after="0"/>
              <w:rPr>
                <w:sz w:val="24"/>
                <w:szCs w:val="24"/>
                <w:color w:val="auto"/>
              </w:rPr>
            </w:pP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79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Legal Proceedings</w:t>
            </w: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89"/>
              </w:rPr>
              <w:t>26</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w w:val="99"/>
              </w:rPr>
              <w:t>Item 1A.</w:t>
            </w:r>
          </w:p>
        </w:tc>
        <w:tc>
          <w:tcPr>
            <w:tcW w:w="79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Risk Factors</w:t>
            </w: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89"/>
              </w:rPr>
              <w:t>26</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9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89"/>
              </w:rPr>
              <w:t>26</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9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89"/>
              </w:rPr>
              <w:t>26</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9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Mine Safety Disclosures</w:t>
            </w: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89"/>
              </w:rPr>
              <w:t>26</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79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Other Information</w:t>
            </w: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89"/>
              </w:rPr>
              <w:t>26</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79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Exhibits</w:t>
            </w: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89"/>
              </w:rPr>
              <w:t>26</w:t>
            </w:r>
          </w:p>
        </w:tc>
      </w:tr>
      <w:tr>
        <w:trPr>
          <w:trHeight w:val="513"/>
        </w:trPr>
        <w:tc>
          <w:tcPr>
            <w:tcW w:w="8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Signatures</w:t>
            </w: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89"/>
              </w:rPr>
              <w:t>27</w:t>
            </w:r>
          </w:p>
        </w:tc>
      </w:tr>
      <w:tr>
        <w:trPr>
          <w:trHeight w:val="243"/>
        </w:trPr>
        <w:tc>
          <w:tcPr>
            <w:tcW w:w="8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Index to Exhibits</w:t>
            </w: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89"/>
              </w:rPr>
              <w:t>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gridSpan w:val="4"/>
          </w:tcPr>
          <w:p>
            <w:pPr>
              <w:jc w:val="center"/>
              <w:ind w:left="2992"/>
              <w:spacing w:after="0"/>
              <w:rPr>
                <w:sz w:val="20"/>
                <w:szCs w:val="20"/>
                <w:color w:val="auto"/>
              </w:rPr>
            </w:pPr>
            <w:r>
              <w:rPr>
                <w:rFonts w:ascii="Arial" w:cs="Arial" w:eastAsia="Arial" w:hAnsi="Arial"/>
                <w:sz w:val="18"/>
                <w:szCs w:val="18"/>
                <w:b w:val="1"/>
                <w:bCs w:val="1"/>
                <w:color w:val="auto"/>
                <w:w w:val="99"/>
              </w:rPr>
              <w:t>PART 1. FINANCIAL INFORMATION</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2"/>
        </w:trPr>
        <w:tc>
          <w:tcPr>
            <w:tcW w:w="68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9"/>
        </w:trPr>
        <w:tc>
          <w:tcPr>
            <w:tcW w:w="6880" w:type="dxa"/>
            <w:vAlign w:val="bottom"/>
          </w:tcPr>
          <w:p>
            <w:pPr>
              <w:jc w:val="center"/>
              <w:ind w:left="4472"/>
              <w:spacing w:after="0"/>
              <w:rPr>
                <w:sz w:val="20"/>
                <w:szCs w:val="20"/>
                <w:color w:val="auto"/>
              </w:rPr>
            </w:pPr>
            <w:r>
              <w:rPr>
                <w:rFonts w:ascii="Arial" w:cs="Arial" w:eastAsia="Arial" w:hAnsi="Arial"/>
                <w:sz w:val="18"/>
                <w:szCs w:val="18"/>
                <w:b w:val="1"/>
                <w:bCs w:val="1"/>
                <w:color w:val="auto"/>
                <w:w w:val="96"/>
              </w:rPr>
              <w:t>inTEST CORPORATION</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color w:val="auto"/>
                <w:w w:val="85"/>
              </w:rPr>
              <w:t>(In thousands, except share and per share data)</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6880" w:type="dxa"/>
            <w:vAlign w:val="bottom"/>
          </w:tcPr>
          <w:p>
            <w:pPr>
              <w:spacing w:after="0"/>
              <w:rPr>
                <w:sz w:val="24"/>
                <w:szCs w:val="24"/>
                <w:color w:val="auto"/>
              </w:rPr>
            </w:pPr>
          </w:p>
        </w:tc>
        <w:tc>
          <w:tcPr>
            <w:tcW w:w="1460" w:type="dxa"/>
            <w:vAlign w:val="bottom"/>
            <w:gridSpan w:val="3"/>
          </w:tcPr>
          <w:p>
            <w:pPr>
              <w:jc w:val="right"/>
              <w:ind w:right="120"/>
              <w:spacing w:after="0"/>
              <w:rPr>
                <w:sz w:val="20"/>
                <w:szCs w:val="20"/>
                <w:color w:val="auto"/>
              </w:rPr>
            </w:pPr>
            <w:r>
              <w:rPr>
                <w:rFonts w:ascii="Courier New" w:cs="Courier New" w:eastAsia="Courier New" w:hAnsi="Courier New"/>
                <w:sz w:val="18"/>
                <w:szCs w:val="18"/>
                <w:color w:val="auto"/>
              </w:rPr>
              <w:t>Sept. 30,</w:t>
            </w:r>
          </w:p>
        </w:tc>
        <w:tc>
          <w:tcPr>
            <w:tcW w:w="9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2012</w:t>
            </w:r>
          </w:p>
        </w:tc>
        <w:tc>
          <w:tcPr>
            <w:tcW w:w="320" w:type="dxa"/>
            <w:vAlign w:val="bottom"/>
          </w:tcPr>
          <w:p>
            <w:pPr>
              <w:spacing w:after="0"/>
              <w:rPr>
                <w:sz w:val="17"/>
                <w:szCs w:val="17"/>
                <w:color w:val="auto"/>
              </w:rPr>
            </w:pPr>
          </w:p>
        </w:tc>
        <w:tc>
          <w:tcPr>
            <w:tcW w:w="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2011</w:t>
            </w:r>
          </w:p>
        </w:tc>
        <w:tc>
          <w:tcPr>
            <w:tcW w:w="100" w:type="dxa"/>
            <w:vAlign w:val="bottom"/>
          </w:tcPr>
          <w:p>
            <w:pPr>
              <w:spacing w:after="0"/>
              <w:rPr>
                <w:sz w:val="17"/>
                <w:szCs w:val="17"/>
                <w:color w:val="auto"/>
              </w:rPr>
            </w:pPr>
          </w:p>
        </w:tc>
      </w:tr>
      <w:tr>
        <w:trPr>
          <w:trHeight w:val="203"/>
        </w:trPr>
        <w:tc>
          <w:tcPr>
            <w:tcW w:w="6880" w:type="dxa"/>
            <w:vAlign w:val="bottom"/>
          </w:tcPr>
          <w:p>
            <w:pPr>
              <w:spacing w:after="0"/>
              <w:rPr>
                <w:sz w:val="17"/>
                <w:szCs w:val="17"/>
                <w:color w:val="auto"/>
              </w:rPr>
            </w:pPr>
          </w:p>
        </w:tc>
        <w:tc>
          <w:tcPr>
            <w:tcW w:w="1460" w:type="dxa"/>
            <w:vAlign w:val="bottom"/>
            <w:gridSpan w:val="3"/>
          </w:tcPr>
          <w:p>
            <w:pPr>
              <w:jc w:val="right"/>
              <w:ind w:right="22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460" w:type="dxa"/>
            <w:vAlign w:val="bottom"/>
            <w:gridSpan w:val="3"/>
          </w:tcPr>
          <w:p>
            <w:pPr>
              <w:jc w:val="right"/>
              <w:ind w:right="120"/>
              <w:spacing w:after="0" w:line="203" w:lineRule="exact"/>
              <w:rPr>
                <w:sz w:val="20"/>
                <w:szCs w:val="20"/>
                <w:color w:val="auto"/>
              </w:rPr>
            </w:pPr>
            <w:r>
              <w:rPr>
                <w:rFonts w:ascii="Courier New" w:cs="Courier New" w:eastAsia="Courier New" w:hAnsi="Courier New"/>
                <w:sz w:val="18"/>
                <w:szCs w:val="18"/>
                <w:color w:val="auto"/>
              </w:rPr>
              <w:t>(Unaudited)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$14,700</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$13,957</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 of allowance for</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doubtful accounts of $147 and $195, respectively</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6,892</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6,189</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3,843</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3,896</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438</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453</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Prepaid expenses and other current assets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373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302</w:t>
            </w:r>
          </w:p>
        </w:tc>
        <w:tc>
          <w:tcPr>
            <w:tcW w:w="100" w:type="dxa"/>
            <w:vAlign w:val="bottom"/>
          </w:tcPr>
          <w:p>
            <w:pPr>
              <w:spacing w:after="0"/>
              <w:rPr>
                <w:sz w:val="14"/>
                <w:szCs w:val="14"/>
                <w:color w:val="auto"/>
              </w:rPr>
            </w:pP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assets</w:t>
            </w:r>
          </w:p>
        </w:tc>
        <w:tc>
          <w:tcPr>
            <w:tcW w:w="114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26,246</w:t>
            </w:r>
          </w:p>
        </w:tc>
        <w:tc>
          <w:tcPr>
            <w:tcW w:w="320" w:type="dxa"/>
            <w:vAlign w:val="bottom"/>
          </w:tcPr>
          <w:p>
            <w:pPr>
              <w:spacing w:after="0"/>
              <w:rPr>
                <w:sz w:val="15"/>
                <w:szCs w:val="15"/>
                <w:color w:val="auto"/>
              </w:rPr>
            </w:pPr>
          </w:p>
        </w:tc>
        <w:tc>
          <w:tcPr>
            <w:tcW w:w="94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24,797</w:t>
            </w: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3,844</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3,585</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Leasehold improvements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576</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514</w:t>
            </w:r>
          </w:p>
        </w:tc>
        <w:tc>
          <w:tcPr>
            <w:tcW w:w="100" w:type="dxa"/>
            <w:vAlign w:val="bottom"/>
          </w:tcPr>
          <w:p>
            <w:pPr>
              <w:spacing w:after="0"/>
              <w:rPr>
                <w:sz w:val="14"/>
                <w:szCs w:val="14"/>
                <w:color w:val="auto"/>
              </w:rPr>
            </w:pPr>
          </w:p>
        </w:tc>
      </w:tr>
      <w:tr>
        <w:trPr>
          <w:trHeight w:val="221"/>
        </w:trPr>
        <w:tc>
          <w:tcPr>
            <w:tcW w:w="6880" w:type="dxa"/>
            <w:vAlign w:val="bottom"/>
          </w:tcPr>
          <w:p>
            <w:pPr>
              <w:ind w:left="540"/>
              <w:spacing w:after="0"/>
              <w:rPr>
                <w:sz w:val="20"/>
                <w:szCs w:val="20"/>
                <w:color w:val="auto"/>
              </w:rPr>
            </w:pPr>
            <w:r>
              <w:rPr>
                <w:rFonts w:ascii="Courier New" w:cs="Courier New" w:eastAsia="Courier New" w:hAnsi="Courier New"/>
                <w:sz w:val="18"/>
                <w:szCs w:val="18"/>
                <w:color w:val="auto"/>
              </w:rPr>
              <w:t>Gross property and equipment</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4,420</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4,099</w:t>
            </w:r>
          </w:p>
        </w:tc>
        <w:tc>
          <w:tcPr>
            <w:tcW w:w="100" w:type="dxa"/>
            <w:vAlign w:val="bottom"/>
          </w:tcPr>
          <w:p>
            <w:pPr>
              <w:spacing w:after="0"/>
              <w:rPr>
                <w:sz w:val="19"/>
                <w:szCs w:val="19"/>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Less: accumulated depreciation</w:t>
            </w:r>
          </w:p>
        </w:tc>
        <w:tc>
          <w:tcPr>
            <w:tcW w:w="400" w:type="dxa"/>
            <w:vAlign w:val="bottom"/>
          </w:tcPr>
          <w:p>
            <w:pPr>
              <w:spacing w:after="0"/>
              <w:rPr>
                <w:sz w:val="14"/>
                <w:szCs w:val="14"/>
                <w:color w:val="auto"/>
              </w:rPr>
            </w:pPr>
          </w:p>
        </w:tc>
        <w:tc>
          <w:tcPr>
            <w:tcW w:w="1060" w:type="dxa"/>
            <w:vAlign w:val="bottom"/>
            <w:gridSpan w:val="2"/>
          </w:tcPr>
          <w:p>
            <w:pPr>
              <w:jc w:val="right"/>
              <w:ind w:right="220"/>
              <w:spacing w:after="0" w:line="164" w:lineRule="exact"/>
              <w:rPr>
                <w:sz w:val="20"/>
                <w:szCs w:val="20"/>
                <w:color w:val="auto"/>
              </w:rPr>
            </w:pPr>
            <w:r>
              <w:rPr>
                <w:rFonts w:ascii="Courier New" w:cs="Courier New" w:eastAsia="Courier New" w:hAnsi="Courier New"/>
                <w:sz w:val="18"/>
                <w:szCs w:val="18"/>
                <w:color w:val="auto"/>
              </w:rPr>
              <w:t>(3,174)</w:t>
            </w:r>
          </w:p>
        </w:tc>
        <w:tc>
          <w:tcPr>
            <w:tcW w:w="94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(2,965)</w:t>
            </w: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Net property and equipment</w:t>
            </w:r>
          </w:p>
        </w:tc>
        <w:tc>
          <w:tcPr>
            <w:tcW w:w="4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1,246</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1,134</w:t>
            </w:r>
          </w:p>
        </w:tc>
        <w:tc>
          <w:tcPr>
            <w:tcW w:w="100" w:type="dxa"/>
            <w:vAlign w:val="bottom"/>
          </w:tcPr>
          <w:p>
            <w:pPr>
              <w:spacing w:after="0"/>
              <w:rPr>
                <w:sz w:val="15"/>
                <w:szCs w:val="15"/>
                <w:color w:val="auto"/>
              </w:rPr>
            </w:pP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1,555</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2,028</w:t>
            </w:r>
          </w:p>
        </w:tc>
        <w:tc>
          <w:tcPr>
            <w:tcW w:w="100" w:type="dxa"/>
            <w:vAlign w:val="bottom"/>
          </w:tcPr>
          <w:p>
            <w:pPr>
              <w:spacing w:after="0"/>
              <w:rPr>
                <w:sz w:val="19"/>
                <w:szCs w:val="19"/>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1,656</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2,300</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942</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certificates of deposit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450</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500</w:t>
            </w:r>
          </w:p>
        </w:tc>
        <w:tc>
          <w:tcPr>
            <w:tcW w:w="100" w:type="dxa"/>
            <w:vAlign w:val="bottom"/>
          </w:tcPr>
          <w:p>
            <w:pPr>
              <w:spacing w:after="0"/>
              <w:rPr>
                <w:sz w:val="17"/>
                <w:szCs w:val="17"/>
                <w:color w:val="auto"/>
              </w:rPr>
            </w:pPr>
          </w:p>
        </w:tc>
      </w:tr>
      <w:tr>
        <w:trPr>
          <w:trHeight w:val="164"/>
        </w:trPr>
        <w:tc>
          <w:tcPr>
            <w:tcW w:w="688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assets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165</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180</w:t>
            </w:r>
          </w:p>
        </w:tc>
        <w:tc>
          <w:tcPr>
            <w:tcW w:w="100" w:type="dxa"/>
            <w:vAlign w:val="bottom"/>
          </w:tcPr>
          <w:p>
            <w:pPr>
              <w:spacing w:after="0"/>
              <w:rPr>
                <w:sz w:val="14"/>
                <w:szCs w:val="14"/>
                <w:color w:val="auto"/>
              </w:rPr>
            </w:pPr>
          </w:p>
        </w:tc>
      </w:tr>
      <w:tr>
        <w:trPr>
          <w:trHeight w:val="221"/>
        </w:trPr>
        <w:tc>
          <w:tcPr>
            <w:tcW w:w="6880" w:type="dxa"/>
            <w:vAlign w:val="bottom"/>
          </w:tcPr>
          <w:p>
            <w:pPr>
              <w:ind w:left="540"/>
              <w:spacing w:after="0"/>
              <w:rPr>
                <w:sz w:val="20"/>
                <w:szCs w:val="20"/>
                <w:color w:val="auto"/>
              </w:rPr>
            </w:pPr>
            <w:r>
              <w:rPr>
                <w:rFonts w:ascii="Courier New" w:cs="Courier New" w:eastAsia="Courier New" w:hAnsi="Courier New"/>
                <w:sz w:val="18"/>
                <w:szCs w:val="18"/>
                <w:color w:val="auto"/>
              </w:rPr>
              <w:t>Total assets</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$33,668</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$31,237</w:t>
            </w:r>
          </w:p>
        </w:tc>
        <w:tc>
          <w:tcPr>
            <w:tcW w:w="100" w:type="dxa"/>
            <w:vAlign w:val="bottom"/>
          </w:tcPr>
          <w:p>
            <w:pPr>
              <w:spacing w:after="0"/>
              <w:rPr>
                <w:sz w:val="19"/>
                <w:szCs w:val="19"/>
                <w:color w:val="auto"/>
              </w:rPr>
            </w:pP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$ 1,488</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$ 1,031</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wages and benefits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1,538</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1,795</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sales commissions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524</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493</w:t>
            </w:r>
          </w:p>
        </w:tc>
        <w:tc>
          <w:tcPr>
            <w:tcW w:w="100" w:type="dxa"/>
            <w:vAlign w:val="bottom"/>
          </w:tcPr>
          <w:p>
            <w:pPr>
              <w:spacing w:after="0"/>
              <w:rPr>
                <w:sz w:val="17"/>
                <w:szCs w:val="17"/>
                <w:color w:val="auto"/>
              </w:rPr>
            </w:pPr>
          </w:p>
        </w:tc>
      </w:tr>
    </w:tbl>
    <w:p>
      <w:pPr>
        <w:sectPr>
          <w:pgSz w:w="11900" w:h="16838" w:orient="portrait"/>
          <w:cols w:equalWidth="0" w:num="1">
            <w:col w:w="10219"/>
          </w:cols>
          <w:pgMar w:left="240" w:top="75"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tcPr>
          <w:p>
            <w:pPr>
              <w:ind w:left="220"/>
              <w:spacing w:after="0"/>
              <w:rPr>
                <w:sz w:val="20"/>
                <w:szCs w:val="20"/>
                <w:color w:val="auto"/>
              </w:rPr>
            </w:pPr>
            <w:r>
              <w:rPr>
                <w:rFonts w:ascii="Courier New" w:cs="Courier New" w:eastAsia="Courier New" w:hAnsi="Courier New"/>
                <w:sz w:val="18"/>
                <w:szCs w:val="18"/>
                <w:color w:val="auto"/>
              </w:rPr>
              <w:t>Accrued rent</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508</w:t>
            </w:r>
          </w:p>
        </w:tc>
        <w:tc>
          <w:tcPr>
            <w:tcW w:w="2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407</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professional fees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407</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451</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Customer deposits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186</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425</w:t>
            </w:r>
          </w:p>
        </w:tc>
        <w:tc>
          <w:tcPr>
            <w:tcW w:w="100" w:type="dxa"/>
            <w:vAlign w:val="bottom"/>
          </w:tcPr>
          <w:p>
            <w:pPr>
              <w:spacing w:after="0"/>
              <w:rPr>
                <w:sz w:val="17"/>
                <w:szCs w:val="17"/>
                <w:color w:val="auto"/>
              </w:rPr>
            </w:pPr>
          </w:p>
        </w:tc>
      </w:tr>
      <w:tr>
        <w:trPr>
          <w:trHeight w:val="164"/>
        </w:trPr>
        <w:tc>
          <w:tcPr>
            <w:tcW w:w="70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Other current liabilities</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636</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436</w:t>
            </w:r>
          </w:p>
        </w:tc>
        <w:tc>
          <w:tcPr>
            <w:tcW w:w="100" w:type="dxa"/>
            <w:vAlign w:val="bottom"/>
          </w:tcPr>
          <w:p>
            <w:pPr>
              <w:spacing w:after="0"/>
              <w:rPr>
                <w:sz w:val="14"/>
                <w:szCs w:val="14"/>
                <w:color w:val="auto"/>
              </w:rPr>
            </w:pPr>
          </w:p>
        </w:tc>
      </w:tr>
      <w:tr>
        <w:trPr>
          <w:trHeight w:val="183"/>
        </w:trPr>
        <w:tc>
          <w:tcPr>
            <w:tcW w:w="70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liabilities</w:t>
            </w:r>
          </w:p>
        </w:tc>
        <w:tc>
          <w:tcPr>
            <w:tcW w:w="96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5,287</w:t>
            </w:r>
          </w:p>
        </w:tc>
        <w:tc>
          <w:tcPr>
            <w:tcW w:w="260" w:type="dxa"/>
            <w:vAlign w:val="bottom"/>
          </w:tcPr>
          <w:p>
            <w:pPr>
              <w:spacing w:after="0"/>
              <w:rPr>
                <w:sz w:val="15"/>
                <w:szCs w:val="15"/>
                <w:color w:val="auto"/>
              </w:rPr>
            </w:pPr>
          </w:p>
        </w:tc>
        <w:tc>
          <w:tcPr>
            <w:tcW w:w="100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5,038</w:t>
            </w:r>
          </w:p>
        </w:tc>
      </w:tr>
      <w:tr>
        <w:trPr>
          <w:trHeight w:val="424"/>
        </w:trPr>
        <w:tc>
          <w:tcPr>
            <w:tcW w:w="706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 (Notes 10 and 12)</w:t>
            </w: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 5,000,000 shares authorized;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 shares issued or outstanding</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20,000,000 shares authorized;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10,463,255 shares issued</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26,010</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26,035</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 (accumulated deficit)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1,269</w:t>
            </w:r>
          </w:p>
        </w:tc>
        <w:tc>
          <w:tcPr>
            <w:tcW w:w="260" w:type="dxa"/>
            <w:vAlign w:val="bottom"/>
          </w:tcPr>
          <w:p>
            <w:pPr>
              <w:spacing w:after="0"/>
              <w:rPr>
                <w:sz w:val="17"/>
                <w:szCs w:val="17"/>
                <w:color w:val="auto"/>
              </w:rPr>
            </w:pPr>
          </w:p>
        </w:tc>
        <w:tc>
          <w:tcPr>
            <w:tcW w:w="1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(686)</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earnings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1,201</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1,217</w:t>
            </w:r>
          </w:p>
        </w:tc>
        <w:tc>
          <w:tcPr>
            <w:tcW w:w="100" w:type="dxa"/>
            <w:vAlign w:val="bottom"/>
          </w:tcPr>
          <w:p>
            <w:pPr>
              <w:spacing w:after="0"/>
              <w:rPr>
                <w:sz w:val="17"/>
                <w:szCs w:val="17"/>
                <w:color w:val="auto"/>
              </w:rPr>
            </w:pPr>
          </w:p>
        </w:tc>
      </w:tr>
      <w:tr>
        <w:trPr>
          <w:trHeight w:val="164"/>
        </w:trPr>
        <w:tc>
          <w:tcPr>
            <w:tcW w:w="70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Treasury stock, at cost; 33,077 and 76,328 shares, respectively</w:t>
            </w:r>
          </w:p>
        </w:tc>
        <w:tc>
          <w:tcPr>
            <w:tcW w:w="220" w:type="dxa"/>
            <w:vAlign w:val="bottom"/>
          </w:tcPr>
          <w:p>
            <w:pPr>
              <w:spacing w:after="0"/>
              <w:rPr>
                <w:sz w:val="14"/>
                <w:szCs w:val="14"/>
                <w:color w:val="auto"/>
              </w:rPr>
            </w:pPr>
          </w:p>
        </w:tc>
        <w:tc>
          <w:tcPr>
            <w:tcW w:w="1000" w:type="dxa"/>
            <w:vAlign w:val="bottom"/>
            <w:gridSpan w:val="2"/>
          </w:tcPr>
          <w:p>
            <w:pPr>
              <w:jc w:val="right"/>
              <w:ind w:right="160"/>
              <w:spacing w:after="0" w:line="164" w:lineRule="exact"/>
              <w:rPr>
                <w:sz w:val="20"/>
                <w:szCs w:val="20"/>
                <w:color w:val="auto"/>
              </w:rPr>
            </w:pPr>
            <w:r>
              <w:rPr>
                <w:rFonts w:ascii="Courier New" w:cs="Courier New" w:eastAsia="Courier New" w:hAnsi="Courier New"/>
                <w:sz w:val="18"/>
                <w:szCs w:val="18"/>
                <w:color w:val="auto"/>
              </w:rPr>
              <w:t>(204)</w:t>
            </w:r>
          </w:p>
        </w:tc>
        <w:tc>
          <w:tcPr>
            <w:tcW w:w="100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(472)</w:t>
            </w:r>
          </w:p>
        </w:tc>
      </w:tr>
      <w:tr>
        <w:trPr>
          <w:trHeight w:val="183"/>
        </w:trPr>
        <w:tc>
          <w:tcPr>
            <w:tcW w:w="70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stockholders' equity</w:t>
            </w:r>
          </w:p>
        </w:tc>
        <w:tc>
          <w:tcPr>
            <w:tcW w:w="22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28,381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26,199</w:t>
            </w:r>
          </w:p>
        </w:tc>
        <w:tc>
          <w:tcPr>
            <w:tcW w:w="100" w:type="dxa"/>
            <w:vAlign w:val="bottom"/>
          </w:tcPr>
          <w:p>
            <w:pPr>
              <w:spacing w:after="0"/>
              <w:rPr>
                <w:sz w:val="15"/>
                <w:szCs w:val="15"/>
                <w:color w:val="auto"/>
              </w:rPr>
            </w:pPr>
          </w:p>
        </w:tc>
      </w:tr>
      <w:tr>
        <w:trPr>
          <w:trHeight w:val="221"/>
        </w:trPr>
        <w:tc>
          <w:tcPr>
            <w:tcW w:w="7060" w:type="dxa"/>
            <w:vAlign w:val="bottom"/>
          </w:tcPr>
          <w:p>
            <w:pPr>
              <w:ind w:left="54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$33,668</w:t>
            </w: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$31,237</w:t>
            </w:r>
          </w:p>
        </w:tc>
        <w:tc>
          <w:tcPr>
            <w:tcW w:w="100" w:type="dxa"/>
            <w:vAlign w:val="bottom"/>
          </w:tcPr>
          <w:p>
            <w:pPr>
              <w:spacing w:after="0"/>
              <w:rPr>
                <w:sz w:val="19"/>
                <w:szCs w:val="19"/>
                <w:color w:val="auto"/>
              </w:rPr>
            </w:pPr>
          </w:p>
        </w:tc>
      </w:tr>
      <w:tr>
        <w:trPr>
          <w:trHeight w:val="203"/>
        </w:trPr>
        <w:tc>
          <w:tcPr>
            <w:tcW w:w="706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bl>
    <w:p>
      <w:pPr>
        <w:spacing w:after="0" w:line="16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- 1 -</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inTEST CORPORATION</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CONSOLIDATED STATEMENTS OF OPERATIONS</w:t>
      </w:r>
    </w:p>
    <w:p>
      <w:pPr>
        <w:jc w:val="center"/>
        <w:ind w:right="-1200"/>
        <w:spacing w:after="0" w:line="230" w:lineRule="auto"/>
        <w:rPr>
          <w:sz w:val="20"/>
          <w:szCs w:val="20"/>
          <w:color w:val="auto"/>
        </w:rPr>
      </w:pPr>
      <w:r>
        <w:rPr>
          <w:rFonts w:ascii="Arial" w:cs="Arial" w:eastAsia="Arial" w:hAnsi="Arial"/>
          <w:sz w:val="22"/>
          <w:szCs w:val="22"/>
          <w:color w:val="auto"/>
        </w:rPr>
        <w:t>(In thousands, except share and per share data)</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24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Three Months Ended</w:t>
            </w:r>
          </w:p>
        </w:tc>
        <w:tc>
          <w:tcPr>
            <w:tcW w:w="21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640" w:type="dxa"/>
            <w:vAlign w:val="bottom"/>
          </w:tcPr>
          <w:p>
            <w:pPr>
              <w:spacing w:after="0"/>
              <w:rPr>
                <w:sz w:val="17"/>
                <w:szCs w:val="17"/>
                <w:color w:val="auto"/>
              </w:rPr>
            </w:pPr>
          </w:p>
        </w:tc>
        <w:tc>
          <w:tcPr>
            <w:tcW w:w="248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Sept. 30,</w:t>
            </w:r>
          </w:p>
        </w:tc>
        <w:tc>
          <w:tcPr>
            <w:tcW w:w="21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Sept. 30,</w:t>
            </w:r>
          </w:p>
        </w:tc>
      </w:tr>
      <w:tr>
        <w:trPr>
          <w:trHeight w:val="203"/>
        </w:trPr>
        <w:tc>
          <w:tcPr>
            <w:tcW w:w="4640" w:type="dxa"/>
            <w:vAlign w:val="bottom"/>
          </w:tcPr>
          <w:p>
            <w:pPr>
              <w:spacing w:after="0"/>
              <w:rPr>
                <w:sz w:val="17"/>
                <w:szCs w:val="17"/>
                <w:color w:val="auto"/>
              </w:rPr>
            </w:pPr>
          </w:p>
        </w:tc>
        <w:tc>
          <w:tcPr>
            <w:tcW w:w="24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2012</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2011</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2011</w:t>
            </w:r>
          </w:p>
        </w:tc>
      </w:tr>
      <w:tr>
        <w:trPr>
          <w:trHeight w:val="203"/>
        </w:trPr>
        <w:tc>
          <w:tcPr>
            <w:tcW w:w="464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revenues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$10,799</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$11,681</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$35,106</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$37,185</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6,037</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5,548</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19,554</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19,161</w:t>
            </w:r>
          </w:p>
        </w:tc>
      </w:tr>
      <w:tr>
        <w:trPr>
          <w:trHeight w:val="203"/>
        </w:trPr>
        <w:tc>
          <w:tcPr>
            <w:tcW w:w="464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Gross margin</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4,762</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6,133</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15,552</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18,024</w:t>
            </w:r>
          </w:p>
        </w:tc>
      </w:tr>
      <w:tr>
        <w:trPr>
          <w:trHeight w:val="203"/>
        </w:trPr>
        <w:tc>
          <w:tcPr>
            <w:tcW w:w="464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expense</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1,322</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1,461</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4,283</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4,433</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Engineering and product development</w:t>
            </w: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expense</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1,006</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809</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2,910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2,444</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 expense</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1,445</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1,448</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5,101</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4,748</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Restructuring and other charges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359</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3,773</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3,718</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12,653</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11,625</w:t>
            </w:r>
          </w:p>
        </w:tc>
      </w:tr>
      <w:tr>
        <w:trPr>
          <w:trHeight w:val="203"/>
        </w:trPr>
        <w:tc>
          <w:tcPr>
            <w:tcW w:w="464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989</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2,415</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2,899</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6,399</w:t>
            </w:r>
          </w:p>
        </w:tc>
      </w:tr>
      <w:tr>
        <w:trPr>
          <w:trHeight w:val="203"/>
        </w:trPr>
        <w:tc>
          <w:tcPr>
            <w:tcW w:w="464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income</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w:t>
            </w:r>
          </w:p>
        </w:tc>
      </w:tr>
      <w:tr>
        <w:trPr>
          <w:trHeight w:val="203"/>
        </w:trPr>
        <w:tc>
          <w:tcPr>
            <w:tcW w:w="464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other income</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w:t>
            </w:r>
          </w:p>
        </w:tc>
      </w:tr>
      <w:tr>
        <w:trPr>
          <w:trHeight w:val="203"/>
        </w:trPr>
        <w:tc>
          <w:tcPr>
            <w:tcW w:w="464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Earnings before income tax expense (benefit)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1,012</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2,420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2,935</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6,470</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expense (benefit)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348</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(2,762)</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980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(2,624)</w:t>
            </w:r>
          </w:p>
        </w:tc>
      </w:tr>
      <w:tr>
        <w:trPr>
          <w:trHeight w:val="203"/>
        </w:trPr>
        <w:tc>
          <w:tcPr>
            <w:tcW w:w="464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earnings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664</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$ 5,182</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$ 1,955</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$ 9,094</w:t>
            </w:r>
          </w:p>
        </w:tc>
      </w:tr>
      <w:tr>
        <w:trPr>
          <w:trHeight w:val="203"/>
        </w:trPr>
        <w:tc>
          <w:tcPr>
            <w:tcW w:w="464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basic</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$0.06</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$0.51</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$0.19</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$0.90</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 - basic</w:t>
            </w:r>
          </w:p>
        </w:tc>
        <w:tc>
          <w:tcPr>
            <w:tcW w:w="46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10,302,417 10,182,795 10,260,601 10,132,807</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diluted</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$0.06</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$0.50</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$0.19</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$0.88</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and common</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 equivalents outstanding - diluted</w:t>
            </w:r>
          </w:p>
        </w:tc>
        <w:tc>
          <w:tcPr>
            <w:tcW w:w="46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10,360,377 10,297,284 10,348,180 10,287,055</w:t>
            </w:r>
          </w:p>
        </w:tc>
      </w:tr>
    </w:tbl>
    <w:p>
      <w:pPr>
        <w:sectPr>
          <w:pgSz w:w="11900" w:h="16838" w:orient="portrait"/>
          <w:cols w:equalWidth="0" w:num="1">
            <w:col w:w="10219"/>
          </w:cols>
          <w:pgMar w:left="240" w:top="136" w:right="1440" w:bottom="294" w:gutter="0" w:footer="0" w:header="0"/>
        </w:sectPr>
      </w:pPr>
    </w:p>
    <w:bookmarkStart w:id="3" w:name="page4"/>
    <w:bookmarkEnd w:id="3"/>
    <w:p>
      <w:pPr>
        <w:spacing w:after="0" w:line="6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inTEST CORPORATION</w:t>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CONSOLIDATED STATEMENTS OF COMPREHENSIVE EARNINGS</w:t>
      </w:r>
    </w:p>
    <w:p>
      <w:pPr>
        <w:jc w:val="center"/>
        <w:ind w:right="-1200"/>
        <w:spacing w:after="0" w:line="232" w:lineRule="auto"/>
        <w:rPr>
          <w:sz w:val="20"/>
          <w:szCs w:val="20"/>
          <w:color w:val="auto"/>
        </w:rPr>
      </w:pPr>
      <w:r>
        <w:rPr>
          <w:rFonts w:ascii="Arial" w:cs="Arial" w:eastAsia="Arial" w:hAnsi="Arial"/>
          <w:sz w:val="22"/>
          <w:szCs w:val="22"/>
          <w:color w:val="auto"/>
        </w:rPr>
        <w:t>(In thousands)</w:t>
      </w:r>
    </w:p>
    <w:p>
      <w:pPr>
        <w:jc w:val="center"/>
        <w:ind w:right="-1200"/>
        <w:spacing w:after="0"/>
        <w:rPr>
          <w:sz w:val="20"/>
          <w:szCs w:val="20"/>
          <w:color w:val="auto"/>
        </w:rPr>
      </w:pPr>
      <w:r>
        <w:rPr>
          <w:rFonts w:ascii="Arial" w:cs="Arial" w:eastAsia="Arial" w:hAnsi="Arial"/>
          <w:sz w:val="22"/>
          <w:szCs w:val="22"/>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222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rPr>
              <w:t>Three Months Ended</w:t>
            </w:r>
          </w:p>
        </w:tc>
        <w:tc>
          <w:tcPr>
            <w:tcW w:w="20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Sept. 30,</w:t>
            </w:r>
          </w:p>
        </w:tc>
        <w:tc>
          <w:tcPr>
            <w:tcW w:w="20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Sept. 30,</w:t>
            </w:r>
          </w:p>
        </w:tc>
      </w:tr>
      <w:tr>
        <w:trPr>
          <w:trHeight w:val="203"/>
        </w:trPr>
        <w:tc>
          <w:tcPr>
            <w:tcW w:w="4320" w:type="dxa"/>
            <w:vAlign w:val="bottom"/>
          </w:tcPr>
          <w:p>
            <w:pPr>
              <w:spacing w:after="0"/>
              <w:rPr>
                <w:sz w:val="17"/>
                <w:szCs w:val="17"/>
                <w:color w:val="auto"/>
              </w:rPr>
            </w:pPr>
          </w:p>
        </w:tc>
        <w:tc>
          <w:tcPr>
            <w:tcW w:w="222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2012</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2011</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2012</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2011</w:t>
            </w:r>
          </w:p>
        </w:tc>
      </w:tr>
      <w:tr>
        <w:trPr>
          <w:trHeight w:val="203"/>
        </w:trPr>
        <w:tc>
          <w:tcPr>
            <w:tcW w:w="4320" w:type="dxa"/>
            <w:vAlign w:val="bottom"/>
          </w:tcPr>
          <w:p>
            <w:pPr>
              <w:spacing w:after="0"/>
              <w:rPr>
                <w:sz w:val="17"/>
                <w:szCs w:val="17"/>
                <w:color w:val="auto"/>
              </w:rPr>
            </w:pPr>
          </w:p>
        </w:tc>
        <w:tc>
          <w:tcPr>
            <w:tcW w:w="1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Net earnings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664</w:t>
            </w:r>
          </w:p>
        </w:tc>
        <w:tc>
          <w:tcPr>
            <w:tcW w:w="11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$ 5,182</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$ 1,955</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$ 9,094</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w w:val="99"/>
              </w:rPr>
              <w:t>Foreign currency translation adjustments</w:t>
            </w:r>
          </w:p>
        </w:tc>
        <w:tc>
          <w:tcPr>
            <w:tcW w:w="320" w:type="dxa"/>
            <w:vAlign w:val="bottom"/>
          </w:tcPr>
          <w:p>
            <w:pPr>
              <w:spacing w:after="0"/>
              <w:rPr>
                <w:sz w:val="24"/>
                <w:szCs w:val="24"/>
                <w:color w:val="auto"/>
              </w:rPr>
            </w:pP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26</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(143)</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(16)</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(56)</w:t>
            </w:r>
          </w:p>
        </w:tc>
      </w:tr>
      <w:tr>
        <w:trPr>
          <w:trHeight w:val="203"/>
        </w:trPr>
        <w:tc>
          <w:tcPr>
            <w:tcW w:w="4320" w:type="dxa"/>
            <w:vAlign w:val="bottom"/>
          </w:tcPr>
          <w:p>
            <w:pPr>
              <w:spacing w:after="0"/>
              <w:rPr>
                <w:sz w:val="17"/>
                <w:szCs w:val="17"/>
                <w:color w:val="auto"/>
              </w:rPr>
            </w:pPr>
          </w:p>
        </w:tc>
        <w:tc>
          <w:tcPr>
            <w:tcW w:w="1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Comprehensive earnings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690</w:t>
            </w:r>
          </w:p>
        </w:tc>
        <w:tc>
          <w:tcPr>
            <w:tcW w:w="11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$ 5,039</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$ 1,939</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$ 9,038</w:t>
            </w:r>
          </w:p>
        </w:tc>
      </w:tr>
      <w:tr>
        <w:trPr>
          <w:trHeight w:val="203"/>
        </w:trPr>
        <w:tc>
          <w:tcPr>
            <w:tcW w:w="4320" w:type="dxa"/>
            <w:vAlign w:val="bottom"/>
          </w:tcPr>
          <w:p>
            <w:pPr>
              <w:spacing w:after="0"/>
              <w:rPr>
                <w:sz w:val="17"/>
                <w:szCs w:val="17"/>
                <w:color w:val="auto"/>
              </w:rPr>
            </w:pPr>
          </w:p>
        </w:tc>
        <w:tc>
          <w:tcPr>
            <w:tcW w:w="1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36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inTEST CORPORATION</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CONSOLIDATED STATEMENT OF STOCKHOLDERS' EQUITY</w:t>
      </w:r>
    </w:p>
    <w:p>
      <w:pPr>
        <w:jc w:val="center"/>
        <w:ind w:right="-1200"/>
        <w:spacing w:after="0" w:line="230" w:lineRule="auto"/>
        <w:rPr>
          <w:sz w:val="20"/>
          <w:szCs w:val="20"/>
          <w:color w:val="auto"/>
        </w:rPr>
      </w:pPr>
      <w:r>
        <w:rPr>
          <w:rFonts w:ascii="Arial" w:cs="Arial" w:eastAsia="Arial" w:hAnsi="Arial"/>
          <w:sz w:val="22"/>
          <w:szCs w:val="22"/>
          <w:color w:val="auto"/>
        </w:rPr>
        <w:t>(In thousands, except share data)</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Retained</w:t>
            </w:r>
          </w:p>
        </w:tc>
        <w:tc>
          <w:tcPr>
            <w:tcW w:w="10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Accumulated</w:t>
            </w: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Common</w:t>
            </w:r>
          </w:p>
        </w:tc>
        <w:tc>
          <w:tcPr>
            <w:tcW w:w="480" w:type="dxa"/>
            <w:vAlign w:val="bottom"/>
          </w:tcPr>
          <w:p>
            <w:pPr>
              <w:spacing w:after="0"/>
              <w:rPr>
                <w:sz w:val="20"/>
                <w:szCs w:val="20"/>
                <w:color w:val="auto"/>
              </w:rPr>
            </w:pPr>
            <w:r>
              <w:rPr>
                <w:rFonts w:ascii="Courier New" w:cs="Courier New" w:eastAsia="Courier New" w:hAnsi="Courier New"/>
                <w:sz w:val="12"/>
                <w:szCs w:val="12"/>
                <w:color w:val="auto"/>
              </w:rPr>
              <w:t>Stock</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Additional</w:t>
            </w:r>
          </w:p>
        </w:tc>
        <w:tc>
          <w:tcPr>
            <w:tcW w:w="94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Earnings</w:t>
            </w:r>
          </w:p>
        </w:tc>
        <w:tc>
          <w:tcPr>
            <w:tcW w:w="1040" w:type="dxa"/>
            <w:vAlign w:val="bottom"/>
          </w:tcPr>
          <w:p>
            <w:pPr>
              <w:ind w:left="200"/>
              <w:spacing w:after="0"/>
              <w:rPr>
                <w:sz w:val="20"/>
                <w:szCs w:val="20"/>
                <w:color w:val="auto"/>
              </w:rPr>
            </w:pPr>
            <w:r>
              <w:rPr>
                <w:rFonts w:ascii="Courier New" w:cs="Courier New" w:eastAsia="Courier New" w:hAnsi="Courier New"/>
                <w:sz w:val="12"/>
                <w:szCs w:val="12"/>
                <w:color w:val="auto"/>
              </w:rPr>
              <w:t>Other</w:t>
            </w:r>
          </w:p>
        </w:tc>
        <w:tc>
          <w:tcPr>
            <w:tcW w:w="720" w:type="dxa"/>
            <w:vAlign w:val="bottom"/>
          </w:tcPr>
          <w:p>
            <w:pPr>
              <w:spacing w:after="0"/>
              <w:rPr>
                <w:sz w:val="11"/>
                <w:szCs w:val="11"/>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2"/>
                <w:szCs w:val="12"/>
                <w:color w:val="auto"/>
              </w:rPr>
              <w:t>Total</w:t>
            </w:r>
          </w:p>
        </w:tc>
      </w:tr>
      <w:tr>
        <w:trPr>
          <w:trHeight w:val="135"/>
        </w:trPr>
        <w:tc>
          <w:tcPr>
            <w:tcW w:w="2080" w:type="dxa"/>
            <w:vAlign w:val="bottom"/>
          </w:tcPr>
          <w:p>
            <w:pPr>
              <w:spacing w:after="0"/>
              <w:rPr>
                <w:sz w:val="11"/>
                <w:szCs w:val="11"/>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Paid-In</w:t>
            </w:r>
          </w:p>
        </w:tc>
        <w:tc>
          <w:tcPr>
            <w:tcW w:w="362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(Accumulated Comprehensive Treasury Stockholders'</w:t>
            </w:r>
          </w:p>
        </w:tc>
      </w:tr>
      <w:tr>
        <w:trPr>
          <w:trHeight w:val="135"/>
        </w:trPr>
        <w:tc>
          <w:tcPr>
            <w:tcW w:w="2080" w:type="dxa"/>
            <w:vAlign w:val="bottom"/>
          </w:tcPr>
          <w:p>
            <w:pPr>
              <w:spacing w:after="0"/>
              <w:rPr>
                <w:sz w:val="11"/>
                <w:szCs w:val="11"/>
                <w:color w:val="auto"/>
              </w:rPr>
            </w:pP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Shares</w:t>
            </w:r>
          </w:p>
        </w:tc>
        <w:tc>
          <w:tcPr>
            <w:tcW w:w="480" w:type="dxa"/>
            <w:vAlign w:val="bottom"/>
          </w:tcPr>
          <w:p>
            <w:pPr>
              <w:spacing w:after="0"/>
              <w:rPr>
                <w:sz w:val="20"/>
                <w:szCs w:val="20"/>
                <w:color w:val="auto"/>
              </w:rPr>
            </w:pPr>
            <w:r>
              <w:rPr>
                <w:rFonts w:ascii="Courier New" w:cs="Courier New" w:eastAsia="Courier New" w:hAnsi="Courier New"/>
                <w:sz w:val="12"/>
                <w:szCs w:val="12"/>
                <w:color w:val="auto"/>
              </w:rPr>
              <w:t>Amount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Capital</w:t>
            </w:r>
          </w:p>
        </w:tc>
        <w:tc>
          <w:tcPr>
            <w:tcW w:w="94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Deficit)</w:t>
            </w:r>
          </w:p>
        </w:tc>
        <w:tc>
          <w:tcPr>
            <w:tcW w:w="1040" w:type="dxa"/>
            <w:vAlign w:val="bottom"/>
          </w:tcPr>
          <w:p>
            <w:pPr>
              <w:ind w:left="200"/>
              <w:spacing w:after="0"/>
              <w:rPr>
                <w:sz w:val="20"/>
                <w:szCs w:val="20"/>
                <w:color w:val="auto"/>
              </w:rPr>
            </w:pPr>
            <w:r>
              <w:rPr>
                <w:rFonts w:ascii="Courier New" w:cs="Courier New" w:eastAsia="Courier New" w:hAnsi="Courier New"/>
                <w:sz w:val="12"/>
                <w:szCs w:val="12"/>
                <w:color w:val="auto"/>
              </w:rPr>
              <w:t>Earnings</w:t>
            </w:r>
          </w:p>
        </w:tc>
        <w:tc>
          <w:tcPr>
            <w:tcW w:w="7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Stock</w:t>
            </w:r>
          </w:p>
        </w:tc>
        <w:tc>
          <w:tcPr>
            <w:tcW w:w="920" w:type="dxa"/>
            <w:vAlign w:val="bottom"/>
          </w:tcPr>
          <w:p>
            <w:pPr>
              <w:ind w:left="180"/>
              <w:spacing w:after="0"/>
              <w:rPr>
                <w:sz w:val="20"/>
                <w:szCs w:val="20"/>
                <w:color w:val="auto"/>
              </w:rPr>
            </w:pPr>
            <w:r>
              <w:rPr>
                <w:rFonts w:ascii="Courier New" w:cs="Courier New" w:eastAsia="Courier New" w:hAnsi="Courier New"/>
                <w:sz w:val="12"/>
                <w:szCs w:val="12"/>
                <w:color w:val="auto"/>
              </w:rPr>
              <w:t>Equity</w:t>
            </w:r>
          </w:p>
        </w:tc>
      </w:tr>
      <w:tr>
        <w:trPr>
          <w:trHeight w:val="137"/>
        </w:trPr>
        <w:tc>
          <w:tcPr>
            <w:tcW w:w="20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w:t>
            </w:r>
          </w:p>
        </w:tc>
        <w:tc>
          <w:tcPr>
            <w:tcW w:w="442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 ------------ ------------- -------- -------------</w:t>
            </w:r>
          </w:p>
        </w:tc>
      </w:tr>
      <w:tr>
        <w:trPr>
          <w:trHeight w:val="270"/>
        </w:trPr>
        <w:tc>
          <w:tcPr>
            <w:tcW w:w="2080" w:type="dxa"/>
            <w:vAlign w:val="bottom"/>
          </w:tcPr>
          <w:p>
            <w:pPr>
              <w:spacing w:after="0"/>
              <w:rPr>
                <w:sz w:val="20"/>
                <w:szCs w:val="20"/>
                <w:color w:val="auto"/>
              </w:rPr>
            </w:pPr>
            <w:r>
              <w:rPr>
                <w:rFonts w:ascii="Courier New" w:cs="Courier New" w:eastAsia="Courier New" w:hAnsi="Courier New"/>
                <w:sz w:val="12"/>
                <w:szCs w:val="12"/>
                <w:color w:val="auto"/>
              </w:rPr>
              <w:t>Balance, January 1, 2012</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10,463,255</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$ 105</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$26,035</w:t>
            </w:r>
          </w:p>
        </w:tc>
        <w:tc>
          <w:tcPr>
            <w:tcW w:w="32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(686)</w:t>
            </w:r>
          </w:p>
        </w:tc>
        <w:tc>
          <w:tcPr>
            <w:tcW w:w="10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$1,217</w:t>
            </w:r>
          </w:p>
        </w:tc>
        <w:tc>
          <w:tcPr>
            <w:tcW w:w="7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$(472)</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$26,199</w:t>
            </w:r>
          </w:p>
        </w:tc>
      </w:tr>
      <w:tr>
        <w:trPr>
          <w:trHeight w:val="270"/>
        </w:trPr>
        <w:tc>
          <w:tcPr>
            <w:tcW w:w="208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23"/>
                <w:szCs w:val="23"/>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1,955</w:t>
            </w:r>
          </w:p>
        </w:tc>
        <w:tc>
          <w:tcPr>
            <w:tcW w:w="10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1,955</w:t>
            </w:r>
          </w:p>
        </w:tc>
      </w:tr>
      <w:tr>
        <w:trPr>
          <w:trHeight w:val="270"/>
        </w:trPr>
        <w:tc>
          <w:tcPr>
            <w:tcW w:w="2080" w:type="dxa"/>
            <w:vAlign w:val="bottom"/>
          </w:tcPr>
          <w:p>
            <w:pPr>
              <w:spacing w:after="0"/>
              <w:rPr>
                <w:sz w:val="20"/>
                <w:szCs w:val="20"/>
                <w:color w:val="auto"/>
              </w:rPr>
            </w:pPr>
            <w:r>
              <w:rPr>
                <w:rFonts w:ascii="Courier New" w:cs="Courier New" w:eastAsia="Courier New" w:hAnsi="Courier New"/>
                <w:sz w:val="12"/>
                <w:szCs w:val="12"/>
                <w:color w:val="auto"/>
              </w:rPr>
              <w:t>Other comprehensive loss</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23"/>
                <w:szCs w:val="23"/>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(16)</w:t>
            </w:r>
          </w:p>
        </w:tc>
        <w:tc>
          <w:tcPr>
            <w:tcW w:w="7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(16)</w:t>
            </w:r>
          </w:p>
        </w:tc>
      </w:tr>
      <w:tr>
        <w:trPr>
          <w:trHeight w:val="268"/>
        </w:trPr>
        <w:tc>
          <w:tcPr>
            <w:tcW w:w="208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5"/>
        </w:trPr>
        <w:tc>
          <w:tcPr>
            <w:tcW w:w="208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 to</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7"/>
        </w:trPr>
        <w:tc>
          <w:tcPr>
            <w:tcW w:w="2080" w:type="dxa"/>
            <w:vAlign w:val="bottom"/>
          </w:tcPr>
          <w:p>
            <w:pPr>
              <w:ind w:left="160"/>
              <w:spacing w:after="0"/>
              <w:rPr>
                <w:sz w:val="20"/>
                <w:szCs w:val="20"/>
                <w:color w:val="auto"/>
              </w:rPr>
            </w:pPr>
            <w:r>
              <w:rPr>
                <w:rFonts w:ascii="Courier New" w:cs="Courier New" w:eastAsia="Courier New" w:hAnsi="Courier New"/>
                <w:sz w:val="12"/>
                <w:szCs w:val="12"/>
                <w:color w:val="auto"/>
              </w:rPr>
              <w:t>restricted stock</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93</w:t>
            </w:r>
          </w:p>
        </w:tc>
        <w:tc>
          <w:tcPr>
            <w:tcW w:w="3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93</w:t>
            </w:r>
          </w:p>
        </w:tc>
      </w:tr>
      <w:tr>
        <w:trPr>
          <w:trHeight w:val="268"/>
        </w:trPr>
        <w:tc>
          <w:tcPr>
            <w:tcW w:w="2080" w:type="dxa"/>
            <w:vAlign w:val="bottom"/>
          </w:tcPr>
          <w:p>
            <w:pPr>
              <w:spacing w:after="0"/>
              <w:rPr>
                <w:sz w:val="20"/>
                <w:szCs w:val="20"/>
                <w:color w:val="auto"/>
              </w:rPr>
            </w:pPr>
            <w:r>
              <w:rPr>
                <w:rFonts w:ascii="Courier New" w:cs="Courier New" w:eastAsia="Courier New" w:hAnsi="Courier New"/>
                <w:sz w:val="12"/>
                <w:szCs w:val="12"/>
                <w:color w:val="auto"/>
              </w:rPr>
              <w:t>Issuance of 43,251 shares to</w:t>
            </w: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5"/>
        </w:trPr>
        <w:tc>
          <w:tcPr>
            <w:tcW w:w="2080" w:type="dxa"/>
            <w:vAlign w:val="bottom"/>
          </w:tcPr>
          <w:p>
            <w:pPr>
              <w:ind w:left="160"/>
              <w:spacing w:after="0"/>
              <w:rPr>
                <w:sz w:val="20"/>
                <w:szCs w:val="20"/>
                <w:color w:val="auto"/>
              </w:rPr>
            </w:pPr>
            <w:r>
              <w:rPr>
                <w:rFonts w:ascii="Courier New" w:cs="Courier New" w:eastAsia="Courier New" w:hAnsi="Courier New"/>
                <w:sz w:val="12"/>
                <w:szCs w:val="12"/>
                <w:color w:val="auto"/>
              </w:rPr>
              <w:t>satisfy profit sharing</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2080" w:type="dxa"/>
            <w:vAlign w:val="bottom"/>
          </w:tcPr>
          <w:p>
            <w:pPr>
              <w:ind w:left="160"/>
              <w:spacing w:after="0"/>
              <w:rPr>
                <w:sz w:val="20"/>
                <w:szCs w:val="20"/>
                <w:color w:val="auto"/>
              </w:rPr>
            </w:pPr>
            <w:r>
              <w:rPr>
                <w:rFonts w:ascii="Courier New" w:cs="Courier New" w:eastAsia="Courier New" w:hAnsi="Courier New"/>
                <w:sz w:val="12"/>
                <w:szCs w:val="12"/>
                <w:color w:val="auto"/>
              </w:rPr>
              <w:t>liability</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(118)</w:t>
            </w:r>
          </w:p>
        </w:tc>
        <w:tc>
          <w:tcPr>
            <w:tcW w:w="3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268</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150</w:t>
            </w:r>
          </w:p>
        </w:tc>
      </w:tr>
      <w:tr>
        <w:trPr>
          <w:trHeight w:val="137"/>
        </w:trPr>
        <w:tc>
          <w:tcPr>
            <w:tcW w:w="20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268"/>
        </w:trPr>
        <w:tc>
          <w:tcPr>
            <w:tcW w:w="2080" w:type="dxa"/>
            <w:vAlign w:val="bottom"/>
          </w:tcPr>
          <w:p>
            <w:pPr>
              <w:spacing w:after="0"/>
              <w:rPr>
                <w:sz w:val="20"/>
                <w:szCs w:val="20"/>
                <w:color w:val="auto"/>
              </w:rPr>
            </w:pPr>
            <w:r>
              <w:rPr>
                <w:rFonts w:ascii="Courier New" w:cs="Courier New" w:eastAsia="Courier New" w:hAnsi="Courier New"/>
                <w:sz w:val="12"/>
                <w:szCs w:val="12"/>
                <w:color w:val="auto"/>
              </w:rPr>
              <w:t>Balance, Sept. 30, 2012</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10,463,255</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$ 105</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$26,010</w:t>
            </w:r>
          </w:p>
        </w:tc>
        <w:tc>
          <w:tcPr>
            <w:tcW w:w="32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1,269</w:t>
            </w:r>
          </w:p>
        </w:tc>
        <w:tc>
          <w:tcPr>
            <w:tcW w:w="10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$1,201</w:t>
            </w:r>
          </w:p>
        </w:tc>
        <w:tc>
          <w:tcPr>
            <w:tcW w:w="7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$(204)</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$28,381</w:t>
            </w:r>
          </w:p>
        </w:tc>
      </w:tr>
      <w:tr>
        <w:trPr>
          <w:trHeight w:val="137"/>
        </w:trPr>
        <w:tc>
          <w:tcPr>
            <w:tcW w:w="20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bl>
    <w:p>
      <w:pPr>
        <w:spacing w:after="0" w:line="17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- 4 -</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gridSpan w:val="3"/>
          </w:tcPr>
          <w:p>
            <w:pPr>
              <w:jc w:val="center"/>
              <w:ind w:left="3594"/>
              <w:spacing w:after="0"/>
              <w:rPr>
                <w:sz w:val="20"/>
                <w:szCs w:val="20"/>
                <w:color w:val="auto"/>
              </w:rPr>
            </w:pPr>
            <w:r>
              <w:rPr>
                <w:rFonts w:ascii="Arial" w:cs="Arial" w:eastAsia="Arial" w:hAnsi="Arial"/>
                <w:sz w:val="18"/>
                <w:szCs w:val="18"/>
                <w:b w:val="1"/>
                <w:bCs w:val="1"/>
                <w:color w:val="auto"/>
                <w:w w:val="96"/>
              </w:rPr>
              <w:t>inTEST CORPORATION</w:t>
            </w:r>
          </w:p>
        </w:tc>
        <w:tc>
          <w:tcPr>
            <w:tcW w:w="0" w:type="dxa"/>
            <w:vAlign w:val="bottom"/>
          </w:tcPr>
          <w:p>
            <w:pPr>
              <w:spacing w:after="0"/>
              <w:rPr>
                <w:sz w:val="1"/>
                <w:szCs w:val="1"/>
                <w:color w:val="auto"/>
              </w:rPr>
            </w:pPr>
          </w:p>
        </w:tc>
      </w:tr>
      <w:tr>
        <w:trPr>
          <w:trHeight w:val="222"/>
        </w:trPr>
        <w:tc>
          <w:tcPr>
            <w:tcW w:w="7780" w:type="dxa"/>
            <w:vAlign w:val="bottom"/>
            <w:gridSpan w:val="3"/>
          </w:tcPr>
          <w:p>
            <w:pPr>
              <w:jc w:val="center"/>
              <w:ind w:left="3594"/>
              <w:spacing w:after="0"/>
              <w:rPr>
                <w:sz w:val="20"/>
                <w:szCs w:val="20"/>
                <w:color w:val="auto"/>
              </w:rPr>
            </w:pPr>
            <w:r>
              <w:rPr>
                <w:rFonts w:ascii="Arial" w:cs="Arial" w:eastAsia="Arial" w:hAnsi="Arial"/>
                <w:sz w:val="18"/>
                <w:szCs w:val="18"/>
                <w:b w:val="1"/>
                <w:bCs w:val="1"/>
                <w:color w:val="auto"/>
                <w:w w:val="96"/>
              </w:rPr>
              <w:t>CONSOLIDATED STATEMENTS OF CASH FLOWS</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660" w:type="dxa"/>
            <w:vAlign w:val="bottom"/>
            <w:gridSpan w:val="2"/>
          </w:tcPr>
          <w:p>
            <w:pPr>
              <w:jc w:val="center"/>
              <w:ind w:right="1419"/>
              <w:spacing w:after="0"/>
              <w:rPr>
                <w:sz w:val="20"/>
                <w:szCs w:val="20"/>
                <w:color w:val="auto"/>
              </w:rPr>
            </w:pPr>
            <w:r>
              <w:rPr>
                <w:rFonts w:ascii="Arial" w:cs="Arial" w:eastAsia="Arial" w:hAnsi="Arial"/>
                <w:sz w:val="18"/>
                <w:szCs w:val="18"/>
                <w:color w:val="auto"/>
                <w:w w:val="88"/>
              </w:rPr>
              <w:t>(In thousands)</w:t>
            </w:r>
          </w:p>
        </w:tc>
        <w:tc>
          <w:tcPr>
            <w:tcW w:w="0" w:type="dxa"/>
            <w:vAlign w:val="bottom"/>
          </w:tcPr>
          <w:p>
            <w:pPr>
              <w:spacing w:after="0"/>
              <w:rPr>
                <w:sz w:val="1"/>
                <w:szCs w:val="1"/>
                <w:color w:val="auto"/>
              </w:rPr>
            </w:pPr>
          </w:p>
        </w:tc>
      </w:tr>
      <w:tr>
        <w:trPr>
          <w:trHeight w:val="222"/>
        </w:trPr>
        <w:tc>
          <w:tcPr>
            <w:tcW w:w="5120" w:type="dxa"/>
            <w:vAlign w:val="bottom"/>
          </w:tcPr>
          <w:p>
            <w:pPr>
              <w:spacing w:after="0"/>
              <w:rPr>
                <w:sz w:val="19"/>
                <w:szCs w:val="19"/>
                <w:color w:val="auto"/>
              </w:rPr>
            </w:pPr>
          </w:p>
        </w:tc>
        <w:tc>
          <w:tcPr>
            <w:tcW w:w="2660" w:type="dxa"/>
            <w:vAlign w:val="bottom"/>
            <w:gridSpan w:val="2"/>
          </w:tcPr>
          <w:p>
            <w:pPr>
              <w:jc w:val="center"/>
              <w:ind w:right="1419"/>
              <w:spacing w:after="0"/>
              <w:rPr>
                <w:sz w:val="20"/>
                <w:szCs w:val="20"/>
                <w:color w:val="auto"/>
              </w:rPr>
            </w:pPr>
            <w:r>
              <w:rPr>
                <w:rFonts w:ascii="Arial" w:cs="Arial" w:eastAsia="Arial" w:hAnsi="Arial"/>
                <w:sz w:val="18"/>
                <w:szCs w:val="18"/>
                <w:color w:val="auto"/>
                <w:w w:val="91"/>
              </w:rPr>
              <w:t>(Unaudited)</w:t>
            </w:r>
          </w:p>
        </w:tc>
        <w:tc>
          <w:tcPr>
            <w:tcW w:w="0" w:type="dxa"/>
            <w:vAlign w:val="bottom"/>
          </w:tcPr>
          <w:p>
            <w:pPr>
              <w:spacing w:after="0"/>
              <w:rPr>
                <w:sz w:val="1"/>
                <w:szCs w:val="1"/>
                <w:color w:val="auto"/>
              </w:rPr>
            </w:pPr>
          </w:p>
        </w:tc>
      </w:tr>
      <w:tr>
        <w:trPr>
          <w:trHeight w:val="306"/>
        </w:trPr>
        <w:tc>
          <w:tcPr>
            <w:tcW w:w="5120" w:type="dxa"/>
            <w:vAlign w:val="bottom"/>
          </w:tcPr>
          <w:p>
            <w:pPr>
              <w:spacing w:after="0"/>
              <w:rPr>
                <w:sz w:val="24"/>
                <w:szCs w:val="24"/>
                <w:color w:val="auto"/>
              </w:rPr>
            </w:pPr>
          </w:p>
        </w:tc>
        <w:tc>
          <w:tcPr>
            <w:tcW w:w="2660" w:type="dxa"/>
            <w:vAlign w:val="bottom"/>
            <w:gridSpan w:val="2"/>
          </w:tcPr>
          <w:p>
            <w:pPr>
              <w:jc w:val="right"/>
              <w:ind w:right="1299"/>
              <w:spacing w:after="0"/>
              <w:rPr>
                <w:sz w:val="20"/>
                <w:szCs w:val="20"/>
                <w:color w:val="auto"/>
              </w:rPr>
            </w:pPr>
            <w:r>
              <w:rPr>
                <w:rFonts w:ascii="Courier New" w:cs="Courier New" w:eastAsia="Courier New" w:hAnsi="Courier New"/>
                <w:sz w:val="12"/>
                <w:szCs w:val="12"/>
                <w:color w:val="auto"/>
              </w:rPr>
              <w:t>Nine Months Ended</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2660" w:type="dxa"/>
            <w:vAlign w:val="bottom"/>
            <w:gridSpan w:val="2"/>
          </w:tcPr>
          <w:p>
            <w:pPr>
              <w:jc w:val="right"/>
              <w:ind w:right="1579"/>
              <w:spacing w:after="0"/>
              <w:rPr>
                <w:sz w:val="20"/>
                <w:szCs w:val="20"/>
                <w:color w:val="auto"/>
              </w:rPr>
            </w:pPr>
            <w:r>
              <w:rPr>
                <w:rFonts w:ascii="Courier New" w:cs="Courier New" w:eastAsia="Courier New" w:hAnsi="Courier New"/>
                <w:sz w:val="12"/>
                <w:szCs w:val="12"/>
                <w:color w:val="auto"/>
              </w:rPr>
              <w:t>Sept. 30,</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2660" w:type="dxa"/>
            <w:vAlign w:val="bottom"/>
            <w:gridSpan w:val="2"/>
          </w:tcPr>
          <w:p>
            <w:pPr>
              <w:jc w:val="right"/>
              <w:ind w:right="12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tcPr>
          <w:p>
            <w:pPr>
              <w:jc w:val="right"/>
              <w:ind w:right="195"/>
              <w:spacing w:after="0"/>
              <w:rPr>
                <w:sz w:val="20"/>
                <w:szCs w:val="20"/>
                <w:color w:val="auto"/>
              </w:rPr>
            </w:pPr>
            <w:r>
              <w:rPr>
                <w:rFonts w:ascii="Courier New" w:cs="Courier New" w:eastAsia="Courier New" w:hAnsi="Courier New"/>
                <w:sz w:val="12"/>
                <w:szCs w:val="12"/>
                <w:color w:val="auto"/>
              </w:rPr>
              <w:t>2012</w:t>
            </w:r>
          </w:p>
        </w:tc>
        <w:tc>
          <w:tcPr>
            <w:tcW w:w="1900" w:type="dxa"/>
            <w:vAlign w:val="bottom"/>
          </w:tcPr>
          <w:p>
            <w:pPr>
              <w:jc w:val="right"/>
              <w:ind w:right="1299"/>
              <w:spacing w:after="0"/>
              <w:rPr>
                <w:sz w:val="20"/>
                <w:szCs w:val="20"/>
                <w:color w:val="auto"/>
              </w:rPr>
            </w:pPr>
            <w:r>
              <w:rPr>
                <w:rFonts w:ascii="Courier New" w:cs="Courier New" w:eastAsia="Courier New" w:hAnsi="Courier New"/>
                <w:sz w:val="12"/>
                <w:szCs w:val="12"/>
                <w:color w:val="auto"/>
              </w:rPr>
              <w:t>2011</w:t>
            </w:r>
          </w:p>
        </w:tc>
        <w:tc>
          <w:tcPr>
            <w:tcW w:w="0" w:type="dxa"/>
            <w:vAlign w:val="bottom"/>
          </w:tcPr>
          <w:p>
            <w:pPr>
              <w:spacing w:after="0"/>
              <w:rPr>
                <w:sz w:val="1"/>
                <w:szCs w:val="1"/>
                <w:color w:val="auto"/>
              </w:rPr>
            </w:pPr>
          </w:p>
        </w:tc>
      </w:tr>
      <w:tr>
        <w:trPr>
          <w:trHeight w:val="137"/>
        </w:trPr>
        <w:tc>
          <w:tcPr>
            <w:tcW w:w="512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760" w:type="dxa"/>
            <w:vAlign w:val="bottom"/>
          </w:tcPr>
          <w:p>
            <w:pPr>
              <w:jc w:val="right"/>
              <w:ind w:right="115"/>
              <w:spacing w:after="0"/>
              <w:rPr>
                <w:sz w:val="20"/>
                <w:szCs w:val="20"/>
                <w:color w:val="auto"/>
              </w:rPr>
            </w:pPr>
            <w:r>
              <w:rPr>
                <w:rFonts w:ascii="Courier New" w:cs="Courier New" w:eastAsia="Courier New" w:hAnsi="Courier New"/>
                <w:sz w:val="12"/>
                <w:szCs w:val="12"/>
                <w:color w:val="auto"/>
              </w:rPr>
              <w:t>-------</w:t>
            </w:r>
          </w:p>
        </w:tc>
        <w:tc>
          <w:tcPr>
            <w:tcW w:w="190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1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Net earnings</w:t>
            </w:r>
          </w:p>
        </w:tc>
        <w:tc>
          <w:tcPr>
            <w:tcW w:w="760" w:type="dxa"/>
            <w:vAlign w:val="bottom"/>
          </w:tcPr>
          <w:p>
            <w:pPr>
              <w:jc w:val="right"/>
              <w:ind w:right="115"/>
              <w:spacing w:after="0"/>
              <w:rPr>
                <w:sz w:val="20"/>
                <w:szCs w:val="20"/>
                <w:color w:val="auto"/>
              </w:rPr>
            </w:pPr>
            <w:r>
              <w:rPr>
                <w:rFonts w:ascii="Courier New" w:cs="Courier New" w:eastAsia="Courier New" w:hAnsi="Courier New"/>
                <w:sz w:val="12"/>
                <w:szCs w:val="12"/>
                <w:color w:val="auto"/>
              </w:rPr>
              <w:t>$ 1,955</w:t>
            </w:r>
          </w:p>
        </w:tc>
        <w:tc>
          <w:tcPr>
            <w:tcW w:w="190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$ 9,094</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Adjustments to reconcile net earnings to net cash provided</w:t>
            </w:r>
          </w:p>
        </w:tc>
        <w:tc>
          <w:tcPr>
            <w:tcW w:w="7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220"/>
              <w:spacing w:after="0"/>
              <w:rPr>
                <w:sz w:val="20"/>
                <w:szCs w:val="20"/>
                <w:color w:val="auto"/>
              </w:rPr>
            </w:pPr>
            <w:r>
              <w:rPr>
                <w:rFonts w:ascii="Courier New" w:cs="Courier New" w:eastAsia="Courier New" w:hAnsi="Courier New"/>
                <w:sz w:val="12"/>
                <w:szCs w:val="12"/>
                <w:color w:val="auto"/>
              </w:rPr>
              <w:t>by operating activities:</w:t>
            </w:r>
          </w:p>
        </w:tc>
        <w:tc>
          <w:tcPr>
            <w:tcW w:w="7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Depreciation and amortization</w:t>
            </w:r>
          </w:p>
        </w:tc>
        <w:tc>
          <w:tcPr>
            <w:tcW w:w="760" w:type="dxa"/>
            <w:vAlign w:val="bottom"/>
          </w:tcPr>
          <w:p>
            <w:pPr>
              <w:jc w:val="right"/>
              <w:ind w:right="115"/>
              <w:spacing w:after="0"/>
              <w:rPr>
                <w:sz w:val="20"/>
                <w:szCs w:val="20"/>
                <w:color w:val="auto"/>
              </w:rPr>
            </w:pPr>
            <w:r>
              <w:rPr>
                <w:rFonts w:ascii="Courier New" w:cs="Courier New" w:eastAsia="Courier New" w:hAnsi="Courier New"/>
                <w:sz w:val="12"/>
                <w:szCs w:val="12"/>
                <w:color w:val="auto"/>
              </w:rPr>
              <w:t>696</w:t>
            </w:r>
          </w:p>
        </w:tc>
        <w:tc>
          <w:tcPr>
            <w:tcW w:w="190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304</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Foreign exchange gain</w:t>
            </w:r>
          </w:p>
        </w:tc>
        <w:tc>
          <w:tcPr>
            <w:tcW w:w="760" w:type="dxa"/>
            <w:vAlign w:val="bottom"/>
          </w:tcPr>
          <w:p>
            <w:pPr>
              <w:jc w:val="right"/>
              <w:ind w:right="55"/>
              <w:spacing w:after="0"/>
              <w:rPr>
                <w:sz w:val="20"/>
                <w:szCs w:val="20"/>
                <w:color w:val="auto"/>
              </w:rPr>
            </w:pPr>
            <w:r>
              <w:rPr>
                <w:rFonts w:ascii="Courier New" w:cs="Courier New" w:eastAsia="Courier New" w:hAnsi="Courier New"/>
                <w:sz w:val="12"/>
                <w:szCs w:val="12"/>
                <w:color w:val="auto"/>
              </w:rPr>
              <w:t>(10)</w:t>
            </w:r>
          </w:p>
        </w:tc>
        <w:tc>
          <w:tcPr>
            <w:tcW w:w="1900" w:type="dxa"/>
            <w:vAlign w:val="bottom"/>
          </w:tcPr>
          <w:p>
            <w:pPr>
              <w:jc w:val="right"/>
              <w:ind w:right="1139"/>
              <w:spacing w:after="0"/>
              <w:rPr>
                <w:sz w:val="20"/>
                <w:szCs w:val="20"/>
                <w:color w:val="auto"/>
              </w:rPr>
            </w:pPr>
            <w:r>
              <w:rPr>
                <w:rFonts w:ascii="Courier New" w:cs="Courier New" w:eastAsia="Courier New" w:hAnsi="Courier New"/>
                <w:sz w:val="12"/>
                <w:szCs w:val="12"/>
                <w:color w:val="auto"/>
              </w:rPr>
              <w:t>(10)</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Amortization of deferred compensation related to restricted stock</w:t>
            </w:r>
          </w:p>
        </w:tc>
        <w:tc>
          <w:tcPr>
            <w:tcW w:w="760" w:type="dxa"/>
            <w:vAlign w:val="bottom"/>
          </w:tcPr>
          <w:p>
            <w:pPr>
              <w:jc w:val="right"/>
              <w:ind w:right="115"/>
              <w:spacing w:after="0"/>
              <w:rPr>
                <w:sz w:val="20"/>
                <w:szCs w:val="20"/>
                <w:color w:val="auto"/>
              </w:rPr>
            </w:pPr>
            <w:r>
              <w:rPr>
                <w:rFonts w:ascii="Courier New" w:cs="Courier New" w:eastAsia="Courier New" w:hAnsi="Courier New"/>
                <w:sz w:val="12"/>
                <w:szCs w:val="12"/>
                <w:color w:val="auto"/>
              </w:rPr>
              <w:t>93</w:t>
            </w:r>
          </w:p>
        </w:tc>
        <w:tc>
          <w:tcPr>
            <w:tcW w:w="190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119</w:t>
            </w:r>
          </w:p>
        </w:tc>
        <w:tc>
          <w:tcPr>
            <w:tcW w:w="0" w:type="dxa"/>
            <w:vAlign w:val="bottom"/>
          </w:tcPr>
          <w:p>
            <w:pPr>
              <w:spacing w:after="0"/>
              <w:rPr>
                <w:sz w:val="1"/>
                <w:szCs w:val="1"/>
                <w:color w:val="auto"/>
              </w:rPr>
            </w:pPr>
          </w:p>
        </w:tc>
      </w:tr>
      <w:tr>
        <w:trPr>
          <w:trHeight w:val="135"/>
        </w:trPr>
        <w:tc>
          <w:tcPr>
            <w:tcW w:w="5880" w:type="dxa"/>
            <w:vAlign w:val="bottom"/>
            <w:gridSpan w:val="2"/>
          </w:tcPr>
          <w:p>
            <w:pPr>
              <w:ind w:left="300"/>
              <w:spacing w:after="0"/>
              <w:rPr>
                <w:sz w:val="20"/>
                <w:szCs w:val="20"/>
                <w:color w:val="auto"/>
              </w:rPr>
            </w:pPr>
            <w:r>
              <w:rPr>
                <w:rFonts w:ascii="Courier New" w:cs="Courier New" w:eastAsia="Courier New" w:hAnsi="Courier New"/>
                <w:sz w:val="12"/>
                <w:szCs w:val="12"/>
                <w:color w:val="auto"/>
              </w:rPr>
              <w:t>Profit sharing expense funded through the issuance of treasury stock   150</w:t>
            </w:r>
          </w:p>
        </w:tc>
        <w:tc>
          <w:tcPr>
            <w:tcW w:w="190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150</w:t>
            </w:r>
          </w:p>
        </w:tc>
        <w:tc>
          <w:tcPr>
            <w:tcW w:w="0" w:type="dxa"/>
            <w:vAlign w:val="bottom"/>
          </w:tcPr>
          <w:p>
            <w:pPr>
              <w:spacing w:after="0"/>
              <w:rPr>
                <w:sz w:val="1"/>
                <w:szCs w:val="1"/>
                <w:color w:val="auto"/>
              </w:rPr>
            </w:pPr>
          </w:p>
        </w:tc>
      </w:tr>
      <w:tr>
        <w:trPr>
          <w:trHeight w:val="137"/>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(Gain) loss on sale of property and equipment</w:t>
            </w:r>
          </w:p>
        </w:tc>
        <w:tc>
          <w:tcPr>
            <w:tcW w:w="760" w:type="dxa"/>
            <w:vAlign w:val="bottom"/>
          </w:tcPr>
          <w:p>
            <w:pPr>
              <w:jc w:val="right"/>
              <w:ind w:right="115"/>
              <w:spacing w:after="0"/>
              <w:rPr>
                <w:sz w:val="20"/>
                <w:szCs w:val="20"/>
                <w:color w:val="auto"/>
              </w:rPr>
            </w:pPr>
            <w:r>
              <w:rPr>
                <w:rFonts w:ascii="Courier New" w:cs="Courier New" w:eastAsia="Courier New" w:hAnsi="Courier New"/>
                <w:sz w:val="12"/>
                <w:szCs w:val="12"/>
                <w:color w:val="auto"/>
              </w:rPr>
              <w:t>5</w:t>
            </w:r>
          </w:p>
        </w:tc>
        <w:tc>
          <w:tcPr>
            <w:tcW w:w="1900" w:type="dxa"/>
            <w:vAlign w:val="bottom"/>
          </w:tcPr>
          <w:p>
            <w:pPr>
              <w:jc w:val="right"/>
              <w:ind w:right="1139"/>
              <w:spacing w:after="0"/>
              <w:rPr>
                <w:sz w:val="20"/>
                <w:szCs w:val="20"/>
                <w:color w:val="auto"/>
              </w:rPr>
            </w:pPr>
            <w:r>
              <w:rPr>
                <w:rFonts w:ascii="Courier New" w:cs="Courier New" w:eastAsia="Courier New" w:hAnsi="Courier New"/>
                <w:sz w:val="12"/>
                <w:szCs w:val="12"/>
                <w:color w:val="auto"/>
              </w:rPr>
              <w:t>(40)</w:t>
            </w:r>
          </w:p>
        </w:tc>
        <w:tc>
          <w:tcPr>
            <w:tcW w:w="0" w:type="dxa"/>
            <w:vAlign w:val="bottom"/>
          </w:tcPr>
          <w:p>
            <w:pPr>
              <w:spacing w:after="0"/>
              <w:rPr>
                <w:sz w:val="1"/>
                <w:szCs w:val="1"/>
                <w:color w:val="auto"/>
              </w:rPr>
            </w:pPr>
          </w:p>
        </w:tc>
      </w:tr>
    </w:tbl>
    <w:p>
      <w:pPr>
        <w:sectPr>
          <w:pgSz w:w="11900" w:h="16906" w:orient="portrait"/>
          <w:cols w:equalWidth="0" w:num="1">
            <w:col w:w="10219"/>
          </w:cols>
          <w:pgMar w:left="240" w:top="131"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Proceeds from sale of demonstration equipment, net of gain</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86</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107</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Deferred income tax expense (benefit)</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489</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(2,905)</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Changes in assets and liabilities: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Trade accounts receivable</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465</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(601)</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Inventories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926</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(1,186)</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Prepaid expenses and other current assets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(71)</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60</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Restricted certificates of deposit</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50</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200</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Other assets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14</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28</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Accounts payable</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380</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62</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wages and benefits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(255)</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(63)</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sales commissions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(50)</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31</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rent</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101</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320</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professional fees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(44)</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Customer deposits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(239)</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341</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Other current liabilities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85</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(164)</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Deferred rent</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(39)</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provided by operating activities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4,826</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5,809</w:t>
            </w:r>
          </w:p>
        </w:tc>
        <w:tc>
          <w:tcPr>
            <w:tcW w:w="0" w:type="dxa"/>
            <w:vAlign w:val="bottom"/>
          </w:tcPr>
          <w:p>
            <w:pPr>
              <w:spacing w:after="0"/>
              <w:rPr>
                <w:sz w:val="1"/>
                <w:szCs w:val="1"/>
                <w:color w:val="auto"/>
              </w:rPr>
            </w:pPr>
          </w:p>
        </w:tc>
      </w:tr>
      <w:tr>
        <w:trPr>
          <w:trHeight w:val="137"/>
        </w:trPr>
        <w:tc>
          <w:tcPr>
            <w:tcW w:w="512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Acquisition of business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w w:val="95"/>
              </w:rPr>
              <w:t>(3,802)</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Purchase of property and equipment</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(283)</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(685)</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sale of property and equipment</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13</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40</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used in investing activities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w w:val="95"/>
              </w:rPr>
              <w:t>(4,072)</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(645)</w:t>
            </w:r>
          </w:p>
        </w:tc>
        <w:tc>
          <w:tcPr>
            <w:tcW w:w="0" w:type="dxa"/>
            <w:vAlign w:val="bottom"/>
          </w:tcPr>
          <w:p>
            <w:pPr>
              <w:spacing w:after="0"/>
              <w:rPr>
                <w:sz w:val="1"/>
                <w:szCs w:val="1"/>
                <w:color w:val="auto"/>
              </w:rPr>
            </w:pPr>
          </w:p>
        </w:tc>
      </w:tr>
      <w:tr>
        <w:trPr>
          <w:trHeight w:val="137"/>
        </w:trPr>
        <w:tc>
          <w:tcPr>
            <w:tcW w:w="512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stock options exercised</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30</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provided by financing activities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30</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Effects of exchange rates on cash</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(11)</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(25)</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provided by all activities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743</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5,169</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beginning of period</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w w:val="97"/>
              </w:rPr>
              <w:t>13,957</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6,895</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end of period</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$14,700</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$12,064</w:t>
            </w:r>
          </w:p>
        </w:tc>
        <w:tc>
          <w:tcPr>
            <w:tcW w:w="0" w:type="dxa"/>
            <w:vAlign w:val="bottom"/>
          </w:tcPr>
          <w:p>
            <w:pPr>
              <w:spacing w:after="0"/>
              <w:rPr>
                <w:sz w:val="1"/>
                <w:szCs w:val="1"/>
                <w:color w:val="auto"/>
              </w:rPr>
            </w:pPr>
          </w:p>
        </w:tc>
      </w:tr>
      <w:tr>
        <w:trPr>
          <w:trHeight w:val="137"/>
        </w:trPr>
        <w:tc>
          <w:tcPr>
            <w:tcW w:w="5120" w:type="dxa"/>
            <w:vAlign w:val="bottom"/>
            <w:vMerge w:val="restart"/>
          </w:tcPr>
          <w:p>
            <w:pPr>
              <w:spacing w:after="0"/>
              <w:rPr>
                <w:sz w:val="20"/>
                <w:szCs w:val="20"/>
                <w:color w:val="auto"/>
              </w:rPr>
            </w:pPr>
            <w:r>
              <w:rPr>
                <w:rFonts w:ascii="Courier New" w:cs="Courier New" w:eastAsia="Courier New" w:hAnsi="Courier New"/>
                <w:sz w:val="12"/>
                <w:szCs w:val="12"/>
                <w:color w:val="auto"/>
              </w:rPr>
              <w:t>Cash payments for:</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Domestic and foreign income taxes</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283</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171</w:t>
            </w:r>
          </w:p>
        </w:tc>
        <w:tc>
          <w:tcPr>
            <w:tcW w:w="0" w:type="dxa"/>
            <w:vAlign w:val="bottom"/>
          </w:tcPr>
          <w:p>
            <w:pPr>
              <w:spacing w:after="0"/>
              <w:rPr>
                <w:sz w:val="1"/>
                <w:szCs w:val="1"/>
                <w:color w:val="auto"/>
              </w:rPr>
            </w:pPr>
          </w:p>
        </w:tc>
      </w:tr>
      <w:tr>
        <w:trPr>
          <w:trHeight w:val="137"/>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Interest</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8</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w:t>
            </w:r>
          </w:p>
        </w:tc>
        <w:tc>
          <w:tcPr>
            <w:tcW w:w="0" w:type="dxa"/>
            <w:vAlign w:val="bottom"/>
          </w:tcPr>
          <w:p>
            <w:pPr>
              <w:spacing w:after="0"/>
              <w:rPr>
                <w:sz w:val="1"/>
                <w:szCs w:val="1"/>
                <w:color w:val="auto"/>
              </w:rPr>
            </w:pPr>
          </w:p>
        </w:tc>
      </w:tr>
      <w:tr>
        <w:trPr>
          <w:trHeight w:val="268"/>
        </w:trPr>
        <w:tc>
          <w:tcPr>
            <w:tcW w:w="5120" w:type="dxa"/>
            <w:vAlign w:val="bottom"/>
          </w:tcPr>
          <w:p>
            <w:pPr>
              <w:spacing w:after="0"/>
              <w:rPr>
                <w:sz w:val="20"/>
                <w:szCs w:val="20"/>
                <w:color w:val="auto"/>
              </w:rPr>
            </w:pPr>
            <w:r>
              <w:rPr>
                <w:rFonts w:ascii="Courier New" w:cs="Courier New" w:eastAsia="Courier New" w:hAnsi="Courier New"/>
                <w:sz w:val="12"/>
                <w:szCs w:val="12"/>
                <w:color w:val="auto"/>
              </w:rPr>
              <w:t>Details of acquisition:</w:t>
            </w: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Fair value of assets acquired</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$ 4,026</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Liabilities assumed</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(274)</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Goodwill resulting from acquisition</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50</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Net cash paid for acquisition</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$ 3,802</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120" w:type="dxa"/>
            <w:vAlign w:val="bottom"/>
            <w:vMerge w:val="restart"/>
          </w:tcPr>
          <w:p>
            <w:pPr>
              <w:spacing w:after="0"/>
              <w:rPr>
                <w:sz w:val="20"/>
                <w:szCs w:val="20"/>
                <w:color w:val="auto"/>
              </w:rPr>
            </w:pPr>
            <w:r>
              <w:rPr>
                <w:rFonts w:ascii="Courier New" w:cs="Courier New" w:eastAsia="Courier New" w:hAnsi="Courier New"/>
                <w:sz w:val="12"/>
                <w:szCs w:val="12"/>
                <w:color w:val="auto"/>
              </w:rPr>
              <w:t>SUPPLEMENTAL SCHEDULE OF NON-CASH INVESTING AND FINANCING ACTIVITIES:</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120" w:type="dxa"/>
            <w:vAlign w:val="bottom"/>
          </w:tcPr>
          <w:p>
            <w:pPr>
              <w:spacing w:after="0"/>
              <w:rPr>
                <w:sz w:val="20"/>
                <w:szCs w:val="20"/>
                <w:color w:val="auto"/>
              </w:rPr>
            </w:pPr>
            <w:r>
              <w:rPr>
                <w:rFonts w:ascii="Courier New" w:cs="Courier New" w:eastAsia="Courier New" w:hAnsi="Courier New"/>
                <w:sz w:val="12"/>
                <w:szCs w:val="12"/>
                <w:color w:val="auto"/>
              </w:rPr>
              <w:t>Forfeitures of non-vested shares of restricted stock</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(20)</w:t>
            </w:r>
          </w:p>
        </w:tc>
        <w:tc>
          <w:tcPr>
            <w:tcW w:w="0" w:type="dxa"/>
            <w:vAlign w:val="bottom"/>
          </w:tcPr>
          <w:p>
            <w:pPr>
              <w:spacing w:after="0"/>
              <w:rPr>
                <w:sz w:val="1"/>
                <w:szCs w:val="1"/>
                <w:color w:val="auto"/>
              </w:rPr>
            </w:pPr>
          </w:p>
        </w:tc>
      </w:tr>
    </w:tbl>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for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91" w:lineRule="exact"/>
        <w:rPr>
          <w:sz w:val="20"/>
          <w:szCs w:val="20"/>
          <w:color w:val="auto"/>
        </w:rPr>
      </w:pPr>
    </w:p>
    <w:p>
      <w:pPr>
        <w:ind w:left="540" w:right="420"/>
        <w:spacing w:after="0" w:line="256" w:lineRule="auto"/>
        <w:rPr>
          <w:sz w:val="20"/>
          <w:szCs w:val="20"/>
          <w:color w:val="auto"/>
        </w:rPr>
      </w:pPr>
      <w:r>
        <w:rPr>
          <w:rFonts w:ascii="Arial" w:cs="Arial" w:eastAsia="Arial" w:hAnsi="Arial"/>
          <w:sz w:val="18"/>
          <w:szCs w:val="18"/>
          <w:color w:val="auto"/>
        </w:rPr>
        <w:t>We are an independent designer, manufacturer and marketer of thermal, mechanical and electrical products that are primarily used by semiconductor manufacturers in conjunction with automatic test equipment ("ATE") in the testing of integrated circuits ("ICs" or "semiconductors"). In addition, in recent years, we have begun marketing our thermal products in industries outside the ATE industry, such as the automotive, consumer electronics, defense/aerospace and telecommunications industries.</w:t>
      </w:r>
    </w:p>
    <w:p>
      <w:pPr>
        <w:spacing w:after="0" w:line="197"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The consolidated entity is comprised of inTEST Corporation (parent) and our wholly-owned subsidiaries. We have three reportable segments which are also our reporting units: Thermal Products, Mechanical Products and Electrical Products. We manufacture our products in the U.S. Marketing and support activities are conducted worldwide from our facilities in the U.S., Germany and Singapore. On January 16, 2012, Temptronic Corporation ("Temptronic"), a wholly-owned subsidiary of inTEST Corporation, acquired substantially all of the assets and certain liabilities of Thermonics, Inc. ("Thermonics"), a division of Test Enterprises, Inc. The acquisition of the Thermonics business broadens the product line of inTEST's Thermal Products segment. This acquisition is discussed further in Note 3.</w:t>
      </w:r>
    </w:p>
    <w:p>
      <w:pPr>
        <w:spacing w:after="0" w:line="198"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The semiconductor industry in which we operate is characterized by rapid technological change, competitive pricing pressures and cyclical market patterns. This industry is subject to significant economic downturns at various times. Our financial results are affected by a wide variety of factors, including, but not limited to, general economic conditions worldwide and in the markets in which we operate, economic conditions specific to the semiconductor industry,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industry. As a result of these or other factors, we may experience significant period-to-period fluctuations in future operating results.</w:t>
      </w:r>
    </w:p>
    <w:p>
      <w:pPr>
        <w:spacing w:after="0" w:line="126" w:lineRule="exact"/>
        <w:rPr>
          <w:sz w:val="20"/>
          <w:szCs w:val="20"/>
          <w:color w:val="auto"/>
        </w:rPr>
      </w:pPr>
    </w:p>
    <w:p>
      <w:pPr>
        <w:ind w:left="540" w:right="6520" w:hanging="532"/>
        <w:spacing w:after="0" w:line="541" w:lineRule="auto"/>
        <w:tabs>
          <w:tab w:leader="none" w:pos="292"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u w:val="single" w:color="auto"/>
          <w:color w:val="auto"/>
        </w:rPr>
        <w:t>Basis of Presentation and Use of Estimates</w:t>
      </w:r>
    </w:p>
    <w:p>
      <w:pPr>
        <w:ind w:left="540" w:right="40"/>
        <w:spacing w:after="0" w:line="291" w:lineRule="auto"/>
        <w:rPr>
          <w:sz w:val="20"/>
          <w:szCs w:val="20"/>
          <w:color w:val="auto"/>
        </w:rPr>
      </w:pPr>
      <w:r>
        <w:rPr>
          <w:rFonts w:ascii="Arial" w:cs="Arial" w:eastAsia="Arial" w:hAnsi="Arial"/>
          <w:sz w:val="16"/>
          <w:szCs w:val="16"/>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deferred income tax valuation allowances and product warranty reserves, are particularly impacted by estimates.</w:t>
      </w:r>
    </w:p>
    <w:p>
      <w:pPr>
        <w:sectPr>
          <w:pgSz w:w="11900" w:h="16838" w:orient="portrait"/>
          <w:cols w:equalWidth="0" w:num="1">
            <w:col w:w="11400"/>
          </w:cols>
          <w:pgMar w:left="240" w:top="132" w:right="259" w:bottom="0" w:gutter="0" w:footer="0" w:header="0"/>
        </w:sectPr>
      </w:pPr>
    </w:p>
    <w:bookmarkStart w:id="5" w:name="page6"/>
    <w:bookmarkEnd w:id="5"/>
    <w:p>
      <w:pPr>
        <w:ind w:left="540"/>
        <w:spacing w:after="0" w:line="294" w:lineRule="auto"/>
        <w:rPr>
          <w:sz w:val="20"/>
          <w:szCs w:val="20"/>
          <w:color w:val="auto"/>
        </w:rPr>
      </w:pPr>
      <w:r>
        <w:rPr>
          <w:rFonts w:ascii="Arial" w:cs="Arial" w:eastAsia="Arial" w:hAnsi="Arial"/>
          <w:sz w:val="16"/>
          <w:szCs w:val="16"/>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Annual Report on Form 10-K for the year ended December 31, 2011 filed with the Securities and Exchange Commission on March 30, 2012 (the "2011 Form 10-K").</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540" w:right="20"/>
        <w:spacing w:after="0" w:line="294" w:lineRule="auto"/>
        <w:rPr>
          <w:sz w:val="20"/>
          <w:szCs w:val="20"/>
          <w:color w:val="auto"/>
        </w:rPr>
      </w:pPr>
      <w:r>
        <w:rPr>
          <w:rFonts w:ascii="Arial" w:cs="Arial" w:eastAsia="Arial" w:hAnsi="Arial"/>
          <w:sz w:val="16"/>
          <w:szCs w:val="16"/>
          <w:color w:val="auto"/>
        </w:rPr>
        <w:t>Inventory is valued at standard cost, which approximates actual cost computed on a first-in, first-out basis, not in excess of market value. Cash flows from the sale of inventory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industry conditions,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anticipated product life cycles, new product introductions and expected future use of the inventory. The charges for excess and obsolete inventory we record establish a new cost basis for the related inventory. We incurred excess and obsolete inventory charges of $522 and $278 for the nine months ended September 30, 2012 and 2011, respectively.</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540" w:right="80"/>
        <w:spacing w:after="0" w:line="287" w:lineRule="auto"/>
        <w:rPr>
          <w:sz w:val="20"/>
          <w:szCs w:val="20"/>
          <w:color w:val="auto"/>
        </w:rPr>
      </w:pPr>
      <w:r>
        <w:rPr>
          <w:rFonts w:ascii="Arial" w:cs="Arial" w:eastAsia="Arial" w:hAnsi="Arial"/>
          <w:sz w:val="16"/>
          <w:szCs w:val="16"/>
          <w:color w:val="auto"/>
        </w:rPr>
        <w:t>We account for goodwill and intangible assets in accordance with Accounting Standards Codification ("ASC") 350 (Intangibles- Goodwill and Other). Finite-lived intangible assets are amortized over their estimated useful economic life and are carried at cost less accumulated amortization. Goodwill is assessed for impairment at least annually in the fourth quarter, on a reporting unit basis, or more frequently when events and circumstances occur indicating that the recorded goodwill may be impaired. In September 2011, the Financial Accounting Standards Board ("FASB") issued new guidance which provides an entity with the option to perform a qualitative assessment to determine whether it is more-likely-than-not that the fair value of a reporting unit is less than its carrying amount. If an entity determines this is the case, it is required to perform a two-step goodwill impairment test to identify potential goodwill impairment and measure the amount of goodwill impairment loss to be recognized. The two-step test is discussed below. If an entity determines that it is more-likely-than-not that the fair value of the reporting unit is greater than its carrying amounts, the two-step goodwill impairment test is not required. This new guidance was effective for fiscal years beginning after December 15, 2011. We adopted this guidance as of January 1, 2012. The adoption of this guidance did not have a material impact on our consolidated financial statements.</w:t>
      </w:r>
    </w:p>
    <w:p>
      <w:pPr>
        <w:spacing w:after="0" w:line="177"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would have a significant impact on either the fair value of the reporting unit or the amount of the goodwill impairment charge.</w:t>
      </w:r>
    </w:p>
    <w:p>
      <w:pPr>
        <w:spacing w:after="0" w:line="181" w:lineRule="exact"/>
        <w:rPr>
          <w:sz w:val="20"/>
          <w:szCs w:val="20"/>
          <w:color w:val="auto"/>
        </w:rPr>
      </w:pPr>
    </w:p>
    <w:p>
      <w:pPr>
        <w:ind w:left="540" w:right="160"/>
        <w:spacing w:after="0" w:line="335" w:lineRule="auto"/>
        <w:rPr>
          <w:sz w:val="20"/>
          <w:szCs w:val="20"/>
          <w:color w:val="auto"/>
        </w:rPr>
      </w:pPr>
      <w:r>
        <w:rPr>
          <w:rFonts w:ascii="Arial" w:cs="Arial" w:eastAsia="Arial" w:hAnsi="Arial"/>
          <w:sz w:val="15"/>
          <w:szCs w:val="15"/>
          <w:color w:val="auto"/>
        </w:rPr>
        <w:t>Indefinite-lived intangible assets are assessed for impairment at least annually in the fourth quarter, or more frequently if events or changes in circumstances indicate that the asset might be impaired. The impairment test consists of a comparison of the fair value of an intangible asset with its carrying amount. If the carrying amount of an intangible asset exceeds its fair value, an impairment loss is recognized in an amount equal to that excess.</w:t>
      </w:r>
    </w:p>
    <w:p>
      <w:pPr>
        <w:spacing w:after="0" w:line="142" w:lineRule="exact"/>
        <w:rPr>
          <w:sz w:val="20"/>
          <w:szCs w:val="20"/>
          <w:color w:val="auto"/>
        </w:rPr>
      </w:pPr>
    </w:p>
    <w:p>
      <w:pPr>
        <w:ind w:left="540" w:right="100"/>
        <w:spacing w:after="0" w:line="294"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10.</w:t>
      </w:r>
    </w:p>
    <w:p>
      <w:pPr>
        <w:sectPr>
          <w:pgSz w:w="11900" w:h="16838" w:orient="portrait"/>
          <w:cols w:equalWidth="0" w:num="1">
            <w:col w:w="11400"/>
          </w:cols>
          <w:pgMar w:left="240" w:top="131" w:right="259" w:bottom="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- 7 -</w:t>
      </w:r>
    </w:p>
    <w:p>
      <w:pPr>
        <w:sectPr>
          <w:pgSz w:w="11900" w:h="16838" w:orient="portrait"/>
          <w:cols w:equalWidth="0" w:num="1">
            <w:col w:w="11400"/>
          </w:cols>
          <w:pgMar w:left="240" w:top="131" w:right="259" w:bottom="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quarter ended September 30, 2012.</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color w:val="auto"/>
        </w:rPr>
        <w:t>We recognize revenue when persuasive evidence of an arrangement exists, delivery has occurred or services have been rendered, the price is fixed or determinable, and collectability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pacing w:after="0" w:line="172" w:lineRule="exact"/>
        <w:rPr>
          <w:sz w:val="20"/>
          <w:szCs w:val="20"/>
          <w:color w:val="auto"/>
        </w:rPr>
      </w:pPr>
    </w:p>
    <w:p>
      <w:pPr>
        <w:ind w:left="540" w:right="280"/>
        <w:spacing w:after="0" w:line="332" w:lineRule="auto"/>
        <w:rPr>
          <w:sz w:val="20"/>
          <w:szCs w:val="20"/>
          <w:color w:val="auto"/>
        </w:rPr>
      </w:pPr>
      <w:r>
        <w:rPr>
          <w:rFonts w:ascii="Arial" w:cs="Arial" w:eastAsia="Arial" w:hAnsi="Arial"/>
          <w:sz w:val="16"/>
          <w:szCs w:val="16"/>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ind w:left="540" w:right="340"/>
        <w:spacing w:after="0" w:line="268" w:lineRule="auto"/>
        <w:rPr>
          <w:sz w:val="20"/>
          <w:szCs w:val="20"/>
          <w:color w:val="auto"/>
        </w:rPr>
      </w:pPr>
      <w:r>
        <w:rPr>
          <w:rFonts w:ascii="Arial" w:cs="Arial" w:eastAsia="Arial" w:hAnsi="Arial"/>
          <w:sz w:val="18"/>
          <w:szCs w:val="18"/>
          <w:color w:val="auto"/>
        </w:rPr>
        <w:t>We generally provide product warranties and record estimated warranty expense at the time of sale based upon historical claims experience. Warranty expense is included in selling expense in the consolidated financial statements.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Restructuring and Other Charges</w:t>
      </w:r>
    </w:p>
    <w:p>
      <w:pPr>
        <w:spacing w:after="0" w:line="225" w:lineRule="exact"/>
        <w:rPr>
          <w:sz w:val="20"/>
          <w:szCs w:val="20"/>
          <w:color w:val="auto"/>
        </w:rPr>
      </w:pPr>
    </w:p>
    <w:p>
      <w:pPr>
        <w:ind w:left="540" w:right="100"/>
        <w:spacing w:after="0" w:line="288" w:lineRule="auto"/>
        <w:rPr>
          <w:sz w:val="20"/>
          <w:szCs w:val="20"/>
          <w:color w:val="auto"/>
        </w:rPr>
      </w:pPr>
      <w:r>
        <w:rPr>
          <w:rFonts w:ascii="Arial" w:cs="Arial" w:eastAsia="Arial" w:hAnsi="Arial"/>
          <w:sz w:val="16"/>
          <w:szCs w:val="16"/>
          <w:color w:val="auto"/>
        </w:rPr>
        <w:t>We recognize a liability for restructuring charges at fair value only when the liability is incurred. The three main components of our restructuring plans have been related to workforce reductions, the consolidation of excess facilities and asset impairments. Workforce-related charges are accrued when it is determined that a liability has been incurred, which is generally after individuals have been notified of their termination dates and expected severance benefits. Plans to consolidate excess facilities result in charges for lease termination fees and future commitments to pay lease charges, net of estimated future sub-lease income. We recognize these charges when we have vacated the premises. In addition, as a result of plans to consolidate excess facilities, we may incur other associated costs such as charges to relocate inventory, equipment or personnel. We recognize charges for other associated costs when these costs are incurred, which is generally when the goods or services have been provided to us. Assets that may be impaired consist of property, plant and equipment and intangible assets. Asset impairment charges are based on an estimate of the amounts and timing of future cash flows related to the expected future remaining use and ultimate sale or disposal of the asset.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periods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right="40"/>
        <w:spacing w:after="0" w:line="288" w:lineRule="auto"/>
        <w:rPr>
          <w:sz w:val="20"/>
          <w:szCs w:val="20"/>
          <w:color w:val="auto"/>
        </w:rPr>
      </w:pPr>
      <w:r>
        <w:rPr>
          <w:rFonts w:ascii="Arial" w:cs="Arial" w:eastAsia="Arial" w:hAnsi="Arial"/>
          <w:sz w:val="16"/>
          <w:szCs w:val="16"/>
          <w:color w:val="auto"/>
        </w:rPr>
        <w:t>For the nine months ended September 30, 2012 and 2011, we recorded income tax expense of $980 and an income tax benefit of $2,624, respectively. On a quarterly basis, we record income tax expense or benefit based on the expected annualized effective tax rate for the various taxing jurisdictions in which we operate our businesses. During the past several years, due to our history of operating losses in both our domestic and certain of our foreign operations, we had recorded a full valuation allowance against the deferred tax assets of these operations, including net operating loss carryforwards, where we believed it was more likely than not that we would not have sufficient taxable income to utilize these assets before they expire. During the second half of 2011, we reversed $3,110 of the valuation allowance which had been recorded against the deferred tax assets of these operations. The reversal of this amount of the valuation allowance was based on our current assessment that it is now more likely than not that we will be able to fully utilize these assets in the near future. Some of the key factors we considered in making our assessment included our profitability in both 2011 and 2010 and our level of certainty with regard to our forecasts of near term future profitability for the operations to which these assets relate.</w:t>
      </w:r>
    </w:p>
    <w:p>
      <w:pPr>
        <w:sectPr>
          <w:pgSz w:w="11900" w:h="16838" w:orient="portrait"/>
          <w:cols w:equalWidth="0" w:num="1">
            <w:col w:w="11400"/>
          </w:cols>
          <w:pgMar w:left="240" w:top="125" w:right="259" w:bottom="0" w:gutter="0" w:footer="0" w:header="0"/>
        </w:sectPr>
      </w:pPr>
    </w:p>
    <w:p>
      <w:pPr>
        <w:spacing w:after="0" w:line="174"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u w:val="single" w:color="auto"/>
          <w:color w:val="auto"/>
        </w:rPr>
        <w:t>Net Earnings (Loss) Per Common Share</w:t>
      </w:r>
    </w:p>
    <w:p>
      <w:pPr>
        <w:sectPr>
          <w:pgSz w:w="11900" w:h="16838" w:orient="portrait"/>
          <w:cols w:equalWidth="0" w:num="1">
            <w:col w:w="11400"/>
          </w:cols>
          <w:pgMar w:left="240" w:top="125" w:right="259" w:bottom="0" w:gutter="0" w:footer="0" w:header="0"/>
          <w:type w:val="continuous"/>
        </w:sectPr>
      </w:pPr>
    </w:p>
    <w:bookmarkStart w:id="7" w:name="page8"/>
    <w:bookmarkEnd w:id="7"/>
    <w:p>
      <w:pPr>
        <w:ind w:left="540" w:right="20"/>
        <w:spacing w:after="0" w:line="255" w:lineRule="auto"/>
        <w:rPr>
          <w:sz w:val="20"/>
          <w:szCs w:val="20"/>
          <w:color w:val="auto"/>
        </w:rPr>
      </w:pPr>
      <w:r>
        <w:rPr>
          <w:rFonts w:ascii="Arial" w:cs="Arial" w:eastAsia="Arial" w:hAnsi="Arial"/>
          <w:sz w:val="18"/>
          <w:szCs w:val="18"/>
          <w:color w:val="auto"/>
        </w:rPr>
        <w:t>Net earnings (loss) per common share - basic is computed by dividing net earnings (loss) by the weighted average number of common shares outstanding during each period. Net earnings (loss) per common share - diluted is computed by dividing net earnings (loss) by the weighted average number of common shares and common share equivalents outstanding during each period. Common share equivalents represent stock options and unvested shares of restricted stock and are calculated using the treasury stock method. Common share equivalents are excluded from the calculation if their effect is anti-dilutive.</w:t>
      </w:r>
    </w:p>
    <w:p>
      <w:pPr>
        <w:spacing w:after="0" w:line="197"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pacing w:after="0" w:line="15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9"/>
          </w:tcPr>
          <w:p>
            <w:pPr>
              <w:ind w:left="20"/>
              <w:spacing w:after="0"/>
              <w:rPr>
                <w:sz w:val="20"/>
                <w:szCs w:val="20"/>
                <w:color w:val="auto"/>
              </w:rPr>
            </w:pPr>
            <w:r>
              <w:rPr>
                <w:rFonts w:ascii="Arial" w:cs="Arial" w:eastAsia="Arial" w:hAnsi="Arial"/>
                <w:sz w:val="14"/>
                <w:szCs w:val="14"/>
                <w:b w:val="1"/>
                <w:bCs w:val="1"/>
                <w:i w:val="1"/>
                <w:iCs w:val="1"/>
                <w:color w:val="auto"/>
              </w:rPr>
              <w:t>Three Months Ended</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9"/>
          </w:tcPr>
          <w:p>
            <w:pPr>
              <w:jc w:val="center"/>
              <w:ind w:right="300"/>
              <w:spacing w:after="0"/>
              <w:rPr>
                <w:sz w:val="20"/>
                <w:szCs w:val="20"/>
                <w:color w:val="auto"/>
              </w:rPr>
            </w:pPr>
            <w:r>
              <w:rPr>
                <w:rFonts w:ascii="Arial" w:cs="Arial" w:eastAsia="Arial" w:hAnsi="Arial"/>
                <w:sz w:val="14"/>
                <w:szCs w:val="14"/>
                <w:b w:val="1"/>
                <w:bCs w:val="1"/>
                <w:i w:val="1"/>
                <w:iCs w:val="1"/>
                <w:color w:val="auto"/>
                <w:w w:val="85"/>
              </w:rPr>
              <w:t>Nine Months Ended</w:t>
            </w:r>
          </w:p>
        </w:tc>
      </w:tr>
      <w:tr>
        <w:trPr>
          <w:trHeight w:val="146"/>
        </w:trPr>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5"/>
          </w:tcPr>
          <w:p>
            <w:pPr>
              <w:ind w:left="100"/>
              <w:spacing w:after="0" w:line="146" w:lineRule="exact"/>
              <w:rPr>
                <w:sz w:val="20"/>
                <w:szCs w:val="20"/>
                <w:color w:val="auto"/>
              </w:rPr>
            </w:pPr>
            <w:r>
              <w:rPr>
                <w:rFonts w:ascii="Arial" w:cs="Arial" w:eastAsia="Arial" w:hAnsi="Arial"/>
                <w:sz w:val="14"/>
                <w:szCs w:val="14"/>
                <w:b w:val="1"/>
                <w:bCs w:val="1"/>
                <w:i w:val="1"/>
                <w:iCs w:val="1"/>
                <w:color w:val="auto"/>
              </w:rPr>
              <w:t>Sept. 30,</w:t>
            </w:r>
          </w:p>
        </w:tc>
        <w:tc>
          <w:tcPr>
            <w:tcW w:w="4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5"/>
          </w:tcPr>
          <w:p>
            <w:pPr>
              <w:jc w:val="center"/>
              <w:ind w:right="180"/>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440" w:type="dxa"/>
            <w:vAlign w:val="bottom"/>
            <w:gridSpan w:val="2"/>
          </w:tcPr>
          <w:p>
            <w:pPr>
              <w:spacing w:after="0"/>
              <w:rPr>
                <w:sz w:val="12"/>
                <w:szCs w:val="12"/>
                <w:color w:val="auto"/>
              </w:rPr>
            </w:pPr>
          </w:p>
        </w:tc>
      </w:tr>
      <w:tr>
        <w:trPr>
          <w:trHeight w:val="156"/>
        </w:trPr>
        <w:tc>
          <w:tcPr>
            <w:tcW w:w="4960" w:type="dxa"/>
            <w:vAlign w:val="bottom"/>
          </w:tcPr>
          <w:p>
            <w:pPr>
              <w:spacing w:after="0"/>
              <w:rPr>
                <w:sz w:val="13"/>
                <w:szCs w:val="13"/>
                <w:color w:val="auto"/>
              </w:rPr>
            </w:pPr>
          </w:p>
        </w:tc>
        <w:tc>
          <w:tcPr>
            <w:tcW w:w="760" w:type="dxa"/>
            <w:vAlign w:val="bottom"/>
            <w:gridSpan w:val="5"/>
          </w:tcPr>
          <w:p>
            <w:pPr>
              <w:ind w:left="500"/>
              <w:spacing w:after="0" w:line="155" w:lineRule="exact"/>
              <w:rPr>
                <w:sz w:val="20"/>
                <w:szCs w:val="20"/>
                <w:color w:val="auto"/>
              </w:rPr>
            </w:pPr>
            <w:r>
              <w:rPr>
                <w:rFonts w:ascii="Arial" w:cs="Arial" w:eastAsia="Arial" w:hAnsi="Arial"/>
                <w:sz w:val="14"/>
                <w:szCs w:val="14"/>
                <w:b w:val="1"/>
                <w:bCs w:val="1"/>
                <w:i w:val="1"/>
                <w:iCs w:val="1"/>
                <w:color w:val="auto"/>
                <w:w w:val="76"/>
              </w:rPr>
              <w:t>2012</w:t>
            </w:r>
          </w:p>
        </w:tc>
        <w:tc>
          <w:tcPr>
            <w:tcW w:w="340" w:type="dxa"/>
            <w:vAlign w:val="bottom"/>
          </w:tcPr>
          <w:p>
            <w:pPr>
              <w:spacing w:after="0"/>
              <w:rPr>
                <w:sz w:val="13"/>
                <w:szCs w:val="13"/>
                <w:color w:val="auto"/>
              </w:rPr>
            </w:pPr>
          </w:p>
        </w:tc>
        <w:tc>
          <w:tcPr>
            <w:tcW w:w="940" w:type="dxa"/>
            <w:vAlign w:val="bottom"/>
            <w:gridSpan w:val="6"/>
          </w:tcPr>
          <w:p>
            <w:pPr>
              <w:jc w:val="right"/>
              <w:ind w:right="340"/>
              <w:spacing w:after="0" w:line="155" w:lineRule="exact"/>
              <w:rPr>
                <w:sz w:val="20"/>
                <w:szCs w:val="20"/>
                <w:color w:val="auto"/>
              </w:rPr>
            </w:pPr>
            <w:r>
              <w:rPr>
                <w:rFonts w:ascii="Arial" w:cs="Arial" w:eastAsia="Arial" w:hAnsi="Arial"/>
                <w:sz w:val="14"/>
                <w:szCs w:val="14"/>
                <w:b w:val="1"/>
                <w:bCs w:val="1"/>
                <w:i w:val="1"/>
                <w:iCs w:val="1"/>
                <w:color w:val="auto"/>
              </w:rPr>
              <w:t>2011</w:t>
            </w:r>
          </w:p>
        </w:tc>
        <w:tc>
          <w:tcPr>
            <w:tcW w:w="940" w:type="dxa"/>
            <w:vAlign w:val="bottom"/>
            <w:gridSpan w:val="6"/>
          </w:tcPr>
          <w:p>
            <w:pPr>
              <w:jc w:val="right"/>
              <w:ind w:right="252"/>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940" w:type="dxa"/>
            <w:vAlign w:val="bottom"/>
            <w:gridSpan w:val="6"/>
          </w:tcPr>
          <w:p>
            <w:pPr>
              <w:jc w:val="right"/>
              <w:ind w:right="320"/>
              <w:spacing w:after="0" w:line="155" w:lineRule="exact"/>
              <w:rPr>
                <w:sz w:val="20"/>
                <w:szCs w:val="20"/>
                <w:color w:val="auto"/>
              </w:rPr>
            </w:pPr>
            <w:r>
              <w:rPr>
                <w:rFonts w:ascii="Arial" w:cs="Arial" w:eastAsia="Arial" w:hAnsi="Arial"/>
                <w:sz w:val="14"/>
                <w:szCs w:val="14"/>
                <w:b w:val="1"/>
                <w:bCs w:val="1"/>
                <w:i w:val="1"/>
                <w:iCs w:val="1"/>
                <w:color w:val="auto"/>
              </w:rPr>
              <w:t>2011</w:t>
            </w:r>
          </w:p>
        </w:tc>
      </w:tr>
      <w:tr>
        <w:trPr>
          <w:trHeight w:val="20"/>
        </w:trPr>
        <w:tc>
          <w:tcPr>
            <w:tcW w:w="4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5"/>
        </w:trPr>
        <w:tc>
          <w:tcPr>
            <w:tcW w:w="496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100" w:type="dxa"/>
            <w:vAlign w:val="bottom"/>
            <w:gridSpan w:val="6"/>
          </w:tcPr>
          <w:p>
            <w:pPr>
              <w:jc w:val="right"/>
              <w:spacing w:after="0"/>
              <w:rPr>
                <w:sz w:val="20"/>
                <w:szCs w:val="20"/>
                <w:color w:val="auto"/>
              </w:rPr>
            </w:pPr>
            <w:r>
              <w:rPr>
                <w:rFonts w:ascii="Arial" w:cs="Arial" w:eastAsia="Arial" w:hAnsi="Arial"/>
                <w:sz w:val="18"/>
                <w:szCs w:val="18"/>
                <w:color w:val="auto"/>
              </w:rPr>
              <w:t>10,302,417</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10,182,795</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10,260,601</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10,132,807</w:t>
            </w:r>
          </w:p>
        </w:tc>
      </w:tr>
      <w:tr>
        <w:trPr>
          <w:trHeight w:val="459"/>
        </w:trPr>
        <w:tc>
          <w:tcPr>
            <w:tcW w:w="496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21"/>
        </w:trPr>
        <w:tc>
          <w:tcPr>
            <w:tcW w:w="4960" w:type="dxa"/>
            <w:vAlign w:val="bottom"/>
          </w:tcPr>
          <w:p>
            <w:pPr>
              <w:ind w:left="220"/>
              <w:spacing w:after="0"/>
              <w:rPr>
                <w:sz w:val="20"/>
                <w:szCs w:val="20"/>
                <w:color w:val="auto"/>
              </w:rPr>
            </w:pPr>
            <w:r>
              <w:rPr>
                <w:rFonts w:ascii="Arial" w:cs="Arial" w:eastAsia="Arial" w:hAnsi="Arial"/>
                <w:sz w:val="18"/>
                <w:szCs w:val="18"/>
                <w:color w:val="auto"/>
                <w:w w:val="92"/>
              </w:rPr>
              <w:t>Employee stock options and unvested shares of restricted stock</w:t>
            </w:r>
          </w:p>
        </w:tc>
        <w:tc>
          <w:tcPr>
            <w:tcW w:w="1100" w:type="dxa"/>
            <w:vAlign w:val="bottom"/>
            <w:gridSpan w:val="6"/>
          </w:tcPr>
          <w:p>
            <w:pPr>
              <w:jc w:val="right"/>
              <w:spacing w:after="0"/>
              <w:rPr>
                <w:sz w:val="20"/>
                <w:szCs w:val="20"/>
                <w:color w:val="auto"/>
              </w:rPr>
            </w:pPr>
            <w:r>
              <w:rPr>
                <w:rFonts w:ascii="Arial" w:cs="Arial" w:eastAsia="Arial" w:hAnsi="Arial"/>
                <w:sz w:val="18"/>
                <w:szCs w:val="18"/>
                <w:color w:val="auto"/>
              </w:rPr>
              <w:t>57,960</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114,489</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87,579</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154,248</w:t>
            </w:r>
          </w:p>
        </w:tc>
      </w:tr>
      <w:tr>
        <w:trPr>
          <w:trHeight w:val="471"/>
        </w:trPr>
        <w:tc>
          <w:tcPr>
            <w:tcW w:w="4960" w:type="dxa"/>
            <w:vAlign w:val="bottom"/>
          </w:tcPr>
          <w:p>
            <w:pPr>
              <w:spacing w:after="0"/>
              <w:rPr>
                <w:sz w:val="20"/>
                <w:szCs w:val="20"/>
                <w:color w:val="auto"/>
              </w:rPr>
            </w:pPr>
            <w:r>
              <w:rPr>
                <w:rFonts w:ascii="Arial" w:cs="Arial" w:eastAsia="Arial" w:hAnsi="Arial"/>
                <w:sz w:val="18"/>
                <w:szCs w:val="18"/>
                <w:color w:val="auto"/>
              </w:rPr>
              <w:t>Weighted average common shares and common share</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r>
      <w:tr>
        <w:trPr>
          <w:trHeight w:val="184"/>
        </w:trPr>
        <w:tc>
          <w:tcPr>
            <w:tcW w:w="4960" w:type="dxa"/>
            <w:vAlign w:val="bottom"/>
          </w:tcPr>
          <w:p>
            <w:pPr>
              <w:ind w:left="80"/>
              <w:spacing w:after="0" w:line="184" w:lineRule="exact"/>
              <w:rPr>
                <w:sz w:val="20"/>
                <w:szCs w:val="20"/>
                <w:color w:val="auto"/>
              </w:rPr>
            </w:pPr>
            <w:r>
              <w:rPr>
                <w:rFonts w:ascii="Arial" w:cs="Arial" w:eastAsia="Arial" w:hAnsi="Arial"/>
                <w:sz w:val="18"/>
                <w:szCs w:val="18"/>
                <w:color w:val="auto"/>
              </w:rPr>
              <w:t>equivalents outstanding - diluted</w:t>
            </w:r>
          </w:p>
        </w:tc>
        <w:tc>
          <w:tcPr>
            <w:tcW w:w="1100" w:type="dxa"/>
            <w:vAlign w:val="bottom"/>
            <w:gridSpan w:val="6"/>
          </w:tcPr>
          <w:p>
            <w:pPr>
              <w:jc w:val="right"/>
              <w:spacing w:after="0" w:line="184" w:lineRule="exact"/>
              <w:rPr>
                <w:sz w:val="20"/>
                <w:szCs w:val="20"/>
                <w:color w:val="auto"/>
              </w:rPr>
            </w:pPr>
            <w:r>
              <w:rPr>
                <w:rFonts w:ascii="Arial" w:cs="Arial" w:eastAsia="Arial" w:hAnsi="Arial"/>
                <w:sz w:val="18"/>
                <w:szCs w:val="18"/>
                <w:color w:val="auto"/>
              </w:rPr>
              <w:t>10,360,377</w:t>
            </w:r>
          </w:p>
        </w:tc>
        <w:tc>
          <w:tcPr>
            <w:tcW w:w="940" w:type="dxa"/>
            <w:vAlign w:val="bottom"/>
            <w:gridSpan w:val="6"/>
          </w:tcPr>
          <w:p>
            <w:pPr>
              <w:jc w:val="right"/>
              <w:spacing w:after="0" w:line="184" w:lineRule="exact"/>
              <w:rPr>
                <w:sz w:val="20"/>
                <w:szCs w:val="20"/>
                <w:color w:val="auto"/>
              </w:rPr>
            </w:pPr>
            <w:r>
              <w:rPr>
                <w:rFonts w:ascii="Arial" w:cs="Arial" w:eastAsia="Arial" w:hAnsi="Arial"/>
                <w:sz w:val="18"/>
                <w:szCs w:val="18"/>
                <w:color w:val="auto"/>
              </w:rPr>
              <w:t>10,297,284</w:t>
            </w:r>
          </w:p>
        </w:tc>
        <w:tc>
          <w:tcPr>
            <w:tcW w:w="940" w:type="dxa"/>
            <w:vAlign w:val="bottom"/>
            <w:gridSpan w:val="6"/>
          </w:tcPr>
          <w:p>
            <w:pPr>
              <w:jc w:val="right"/>
              <w:spacing w:after="0" w:line="184" w:lineRule="exact"/>
              <w:rPr>
                <w:sz w:val="20"/>
                <w:szCs w:val="20"/>
                <w:color w:val="auto"/>
              </w:rPr>
            </w:pPr>
            <w:r>
              <w:rPr>
                <w:rFonts w:ascii="Arial" w:cs="Arial" w:eastAsia="Arial" w:hAnsi="Arial"/>
                <w:sz w:val="18"/>
                <w:szCs w:val="18"/>
                <w:color w:val="auto"/>
              </w:rPr>
              <w:t>10,348,180</w:t>
            </w:r>
          </w:p>
        </w:tc>
        <w:tc>
          <w:tcPr>
            <w:tcW w:w="940" w:type="dxa"/>
            <w:vAlign w:val="bottom"/>
            <w:gridSpan w:val="6"/>
          </w:tcPr>
          <w:p>
            <w:pPr>
              <w:jc w:val="right"/>
              <w:spacing w:after="0" w:line="184" w:lineRule="exact"/>
              <w:rPr>
                <w:sz w:val="20"/>
                <w:szCs w:val="20"/>
                <w:color w:val="auto"/>
              </w:rPr>
            </w:pPr>
            <w:r>
              <w:rPr>
                <w:rFonts w:ascii="Arial" w:cs="Arial" w:eastAsia="Arial" w:hAnsi="Arial"/>
                <w:sz w:val="18"/>
                <w:szCs w:val="18"/>
                <w:color w:val="auto"/>
              </w:rPr>
              <w:t>10,287,055</w:t>
            </w:r>
          </w:p>
        </w:tc>
      </w:tr>
      <w:tr>
        <w:trPr>
          <w:trHeight w:val="931"/>
        </w:trPr>
        <w:tc>
          <w:tcPr>
            <w:tcW w:w="4960" w:type="dxa"/>
            <w:vAlign w:val="bottom"/>
          </w:tcPr>
          <w:p>
            <w:pPr>
              <w:spacing w:after="0"/>
              <w:rPr>
                <w:sz w:val="20"/>
                <w:szCs w:val="20"/>
                <w:color w:val="auto"/>
              </w:rPr>
            </w:pPr>
            <w:r>
              <w:rPr>
                <w:rFonts w:ascii="Arial" w:cs="Arial" w:eastAsia="Arial" w:hAnsi="Arial"/>
                <w:sz w:val="18"/>
                <w:szCs w:val="18"/>
                <w:color w:val="auto"/>
              </w:rPr>
              <w:t>Average number of potentially dilutive securities excluded</w:t>
            </w:r>
          </w:p>
        </w:tc>
        <w:tc>
          <w:tcPr>
            <w:tcW w:w="3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r>
      <w:tr>
        <w:trPr>
          <w:trHeight w:val="222"/>
        </w:trPr>
        <w:tc>
          <w:tcPr>
            <w:tcW w:w="4960" w:type="dxa"/>
            <w:vAlign w:val="bottom"/>
          </w:tcPr>
          <w:p>
            <w:pPr>
              <w:ind w:left="140"/>
              <w:spacing w:after="0"/>
              <w:rPr>
                <w:sz w:val="20"/>
                <w:szCs w:val="20"/>
                <w:color w:val="auto"/>
              </w:rPr>
            </w:pPr>
            <w:r>
              <w:rPr>
                <w:rFonts w:ascii="Arial" w:cs="Arial" w:eastAsia="Arial" w:hAnsi="Arial"/>
                <w:sz w:val="18"/>
                <w:szCs w:val="18"/>
                <w:color w:val="auto"/>
              </w:rPr>
              <w:t>from calculation</w:t>
            </w:r>
          </w:p>
        </w:tc>
        <w:tc>
          <w:tcPr>
            <w:tcW w:w="1100" w:type="dxa"/>
            <w:vAlign w:val="bottom"/>
            <w:gridSpan w:val="6"/>
          </w:tcPr>
          <w:p>
            <w:pPr>
              <w:jc w:val="right"/>
              <w:spacing w:after="0"/>
              <w:rPr>
                <w:sz w:val="20"/>
                <w:szCs w:val="20"/>
                <w:color w:val="auto"/>
              </w:rPr>
            </w:pPr>
            <w:r>
              <w:rPr>
                <w:rFonts w:ascii="Arial" w:cs="Arial" w:eastAsia="Arial" w:hAnsi="Arial"/>
                <w:sz w:val="18"/>
                <w:szCs w:val="18"/>
                <w:color w:val="auto"/>
              </w:rPr>
              <w:t>229,675</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114,280</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42,720</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79,633</w:t>
            </w:r>
          </w:p>
        </w:tc>
      </w:tr>
    </w:tbl>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5" w:lineRule="exact"/>
        <w:rPr>
          <w:sz w:val="20"/>
          <w:szCs w:val="20"/>
          <w:color w:val="auto"/>
        </w:rPr>
      </w:pPr>
    </w:p>
    <w:p>
      <w:pPr>
        <w:ind w:left="540" w:right="120"/>
        <w:spacing w:after="0" w:line="289" w:lineRule="auto"/>
        <w:rPr>
          <w:sz w:val="20"/>
          <w:szCs w:val="20"/>
          <w:color w:val="auto"/>
        </w:rPr>
      </w:pPr>
      <w:r>
        <w:rPr>
          <w:rFonts w:ascii="Arial" w:cs="Arial" w:eastAsia="Arial" w:hAnsi="Arial"/>
          <w:sz w:val="16"/>
          <w:szCs w:val="16"/>
          <w:color w:val="auto"/>
        </w:rPr>
        <w:t>In July 2012, the FASB issued amendments to existing guidance on the assessment of impairment for indefinite-lived intangible assets other than goodwill. The amendments permit an entity first to assess qualitative factors to determine whether it is more likely than not that an indefinite-lived intangible asset is impaired as a basis for determining whether it is necessary to perform the quantitative impairment test. If an entity believes, as a result of its qualitative assessment, that it is more-likely-than-not that the fair value of a reporting unit is less than its carrying amount, the quantitative impairment test is required. Otherwise, no further testing is required. The amendment is effective for annual and interim impairment tests performed for fiscal years beginning after September 15, 2012. However, an entity can choose to adopt this guidance early even if its annual test date is before the issuance of the final standard, provided that the entity has not yet issued its financial statements for the most recent annual or interim period. We do not expect the adoption of this amendment to have a material impact on our consolidated financial statements.</w:t>
      </w: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w:t>
      </w:r>
    </w:p>
    <w:p>
      <w:pPr>
        <w:spacing w:after="0" w:line="191"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color w:val="auto"/>
        </w:rPr>
        <w:t>On January 16, 2012, Temptronic acquired substantially all of the assets and certain liabilities of Thermonics pursuant to the Asset Purchase Agreement dated December 9, 2011. Thermonics is engaged in the business of designing, manufacturing, selling and distributing temperature forcing systems used in the testing of various products under temperature controlled situations. The acquisition of the Thermonics business broadens the product line of inTEST's Thermal Products segment.</w:t>
      </w:r>
    </w:p>
    <w:p>
      <w:pPr>
        <w:spacing w:after="0" w:line="197" w:lineRule="exact"/>
        <w:rPr>
          <w:sz w:val="20"/>
          <w:szCs w:val="20"/>
          <w:color w:val="auto"/>
        </w:rPr>
      </w:pPr>
    </w:p>
    <w:p>
      <w:pPr>
        <w:ind w:left="540" w:right="240"/>
        <w:spacing w:after="0" w:line="294" w:lineRule="auto"/>
        <w:rPr>
          <w:sz w:val="20"/>
          <w:szCs w:val="20"/>
          <w:color w:val="auto"/>
        </w:rPr>
      </w:pPr>
      <w:r>
        <w:rPr>
          <w:rFonts w:ascii="Arial" w:cs="Arial" w:eastAsia="Arial" w:hAnsi="Arial"/>
          <w:sz w:val="16"/>
          <w:szCs w:val="16"/>
          <w:color w:val="auto"/>
        </w:rPr>
        <w:t>The purchase price for the assets was approximately $3,802 in cash, plus the assumption of specified liabilities, including trade payables and certain customer contract obligations. In connection with this acquisition, we also signed a separate one year lease for the facility occupied by Thermonics in Sunnyvale, California. This facility is owned by the seller. We ceased operations at this facility in February 2012 and relocated the Thermonics product line to our facility in Mansfield, Massachusetts where our Temptronic operations are located. We recorded a restructuring charge in the first quarter of 2012 of $359 related to this action. See Note 5 for further detail regarding this charge.</w:t>
      </w:r>
    </w:p>
    <w:p>
      <w:pPr>
        <w:spacing w:after="0" w:line="170" w:lineRule="exact"/>
        <w:rPr>
          <w:sz w:val="20"/>
          <w:szCs w:val="20"/>
          <w:color w:val="auto"/>
        </w:rPr>
      </w:pPr>
    </w:p>
    <w:p>
      <w:pPr>
        <w:ind w:left="540" w:right="160"/>
        <w:spacing w:after="0" w:line="268" w:lineRule="auto"/>
        <w:rPr>
          <w:sz w:val="20"/>
          <w:szCs w:val="20"/>
          <w:color w:val="auto"/>
        </w:rPr>
      </w:pPr>
      <w:r>
        <w:rPr>
          <w:rFonts w:ascii="Arial" w:cs="Arial" w:eastAsia="Arial" w:hAnsi="Arial"/>
          <w:sz w:val="18"/>
          <w:szCs w:val="18"/>
          <w:color w:val="auto"/>
        </w:rPr>
        <w:t>Total acquisition costs incurred to complete this transaction were $485. The portion of these costs that was incurred in 2011 was $148. Acquisition costs are expensed as incurred and included in general and administrative expense.</w:t>
      </w:r>
    </w:p>
    <w:p>
      <w:pPr>
        <w:spacing w:after="0" w:line="186"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The Thermonics acquisition was accounted for as a purchase business combination and, accordingly, the results of Thermonics have been included in our consolidated results of operations from the date of acquisition. The allocation of the total purchase price of Thermonics net tangible and identifiable intangible assets was based on their estimated fair values as of the acquisition date. The tangible assets acquired include accounts receivable, inventory, and property and equipment. Liabilities assumed include trade payables, certain customer contract obligations and accrued payments under a non-compete/non-solicitation agreement with a former employee of Thermonics. Identifiable intangible assets acquired include customer relationships, customer backlog, the Thermonics trade name, patented technology, and a non-compete/non-solicitation agreement with a former employee of Thermonics. The excess of the purchase price over the identifiable intangible and net tangible assets in the amount of $50 was allocated to goodwill and is deductible for tax purposes. Goodwill is attributed to the synergies that are expected to result from the operations of the combined businesses. The determination of fair value reflects the assistance of third-party valuation specialists, as well as our own estimates and assumptions.</w:t>
      </w:r>
    </w:p>
    <w:p>
      <w:pPr>
        <w:sectPr>
          <w:pgSz w:w="11900" w:h="16838" w:orient="portrait"/>
          <w:cols w:equalWidth="0" w:num="1">
            <w:col w:w="11400"/>
          </w:cols>
          <w:pgMar w:left="240" w:top="131" w:right="259" w:bottom="0" w:gutter="0" w:footer="0" w:header="0"/>
        </w:sectPr>
      </w:pPr>
    </w:p>
    <w:bookmarkStart w:id="8" w:name="page9"/>
    <w:bookmarkEnd w:id="8"/>
    <w:p>
      <w:pPr>
        <w:spacing w:after="0" w:line="70"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4680" w:type="dxa"/>
            <w:vAlign w:val="bottom"/>
          </w:tcPr>
          <w:p>
            <w:pPr>
              <w:spacing w:after="0"/>
              <w:rPr>
                <w:sz w:val="20"/>
                <w:szCs w:val="20"/>
                <w:color w:val="auto"/>
              </w:rPr>
            </w:pPr>
            <w:r>
              <w:rPr>
                <w:rFonts w:ascii="Arial" w:cs="Arial" w:eastAsia="Arial" w:hAnsi="Arial"/>
                <w:sz w:val="18"/>
                <w:szCs w:val="18"/>
                <w:color w:val="auto"/>
                <w:w w:val="96"/>
              </w:rPr>
              <w:t>The following represents the allocation of the purchase price:</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05"/>
        </w:trPr>
        <w:tc>
          <w:tcPr>
            <w:tcW w:w="4680" w:type="dxa"/>
            <w:vAlign w:val="bottom"/>
          </w:tcPr>
          <w:p>
            <w:pPr>
              <w:ind w:left="560"/>
              <w:spacing w:after="0"/>
              <w:rPr>
                <w:sz w:val="20"/>
                <w:szCs w:val="20"/>
                <w:color w:val="auto"/>
              </w:rPr>
            </w:pPr>
            <w:r>
              <w:rPr>
                <w:rFonts w:ascii="Arial" w:cs="Arial" w:eastAsia="Arial" w:hAnsi="Arial"/>
                <w:sz w:val="18"/>
                <w:szCs w:val="18"/>
                <w:color w:val="auto"/>
              </w:rPr>
              <w:t>Goodwill</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r>
      <w:tr>
        <w:trPr>
          <w:trHeight w:val="459"/>
        </w:trPr>
        <w:tc>
          <w:tcPr>
            <w:tcW w:w="4680" w:type="dxa"/>
            <w:vAlign w:val="bottom"/>
          </w:tcPr>
          <w:p>
            <w:pPr>
              <w:ind w:left="560"/>
              <w:spacing w:after="0"/>
              <w:rPr>
                <w:sz w:val="20"/>
                <w:szCs w:val="20"/>
                <w:color w:val="auto"/>
              </w:rPr>
            </w:pPr>
            <w:r>
              <w:rPr>
                <w:rFonts w:ascii="Arial" w:cs="Arial" w:eastAsia="Arial" w:hAnsi="Arial"/>
                <w:sz w:val="18"/>
                <w:szCs w:val="18"/>
                <w:color w:val="auto"/>
              </w:rPr>
              <w:t>Identifable intangible assets</w:t>
            </w:r>
          </w:p>
        </w:tc>
        <w:tc>
          <w:tcPr>
            <w:tcW w:w="50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1,728</w:t>
            </w:r>
          </w:p>
        </w:tc>
      </w:tr>
      <w:tr>
        <w:trPr>
          <w:trHeight w:val="459"/>
        </w:trPr>
        <w:tc>
          <w:tcPr>
            <w:tcW w:w="4680" w:type="dxa"/>
            <w:vAlign w:val="bottom"/>
          </w:tcPr>
          <w:p>
            <w:pPr>
              <w:ind w:left="560"/>
              <w:spacing w:after="0"/>
              <w:rPr>
                <w:sz w:val="20"/>
                <w:szCs w:val="20"/>
                <w:color w:val="auto"/>
              </w:rPr>
            </w:pPr>
            <w:r>
              <w:rPr>
                <w:rFonts w:ascii="Arial" w:cs="Arial" w:eastAsia="Arial" w:hAnsi="Arial"/>
                <w:sz w:val="18"/>
                <w:szCs w:val="18"/>
                <w:color w:val="auto"/>
              </w:rPr>
              <w:t>Tangible assets acquired and liabilities assumed:</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4680" w:type="dxa"/>
            <w:vAlign w:val="bottom"/>
          </w:tcPr>
          <w:p>
            <w:pPr>
              <w:ind w:left="740"/>
              <w:spacing w:after="0"/>
              <w:rPr>
                <w:sz w:val="20"/>
                <w:szCs w:val="20"/>
                <w:color w:val="auto"/>
              </w:rPr>
            </w:pPr>
            <w:r>
              <w:rPr>
                <w:rFonts w:ascii="Arial" w:cs="Arial" w:eastAsia="Arial" w:hAnsi="Arial"/>
                <w:sz w:val="18"/>
                <w:szCs w:val="18"/>
                <w:color w:val="auto"/>
              </w:rPr>
              <w:t>Trade accounts receivable</w:t>
            </w:r>
          </w:p>
        </w:tc>
        <w:tc>
          <w:tcPr>
            <w:tcW w:w="50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1,161</w:t>
            </w:r>
          </w:p>
        </w:tc>
      </w:tr>
      <w:tr>
        <w:trPr>
          <w:trHeight w:val="459"/>
        </w:trPr>
        <w:tc>
          <w:tcPr>
            <w:tcW w:w="4680" w:type="dxa"/>
            <w:vAlign w:val="bottom"/>
          </w:tcPr>
          <w:p>
            <w:pPr>
              <w:ind w:left="740"/>
              <w:spacing w:after="0"/>
              <w:rPr>
                <w:sz w:val="20"/>
                <w:szCs w:val="20"/>
                <w:color w:val="auto"/>
              </w:rPr>
            </w:pPr>
            <w:r>
              <w:rPr>
                <w:rFonts w:ascii="Arial" w:cs="Arial" w:eastAsia="Arial" w:hAnsi="Arial"/>
                <w:sz w:val="18"/>
                <w:szCs w:val="18"/>
                <w:color w:val="auto"/>
              </w:rPr>
              <w:t>Inventories</w:t>
            </w:r>
          </w:p>
        </w:tc>
        <w:tc>
          <w:tcPr>
            <w:tcW w:w="50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874</w:t>
            </w:r>
          </w:p>
        </w:tc>
      </w:tr>
      <w:tr>
        <w:trPr>
          <w:trHeight w:val="459"/>
        </w:trPr>
        <w:tc>
          <w:tcPr>
            <w:tcW w:w="4680" w:type="dxa"/>
            <w:vAlign w:val="bottom"/>
          </w:tcPr>
          <w:p>
            <w:pPr>
              <w:ind w:left="740"/>
              <w:spacing w:after="0"/>
              <w:rPr>
                <w:sz w:val="20"/>
                <w:szCs w:val="20"/>
                <w:color w:val="auto"/>
              </w:rPr>
            </w:pPr>
            <w:r>
              <w:rPr>
                <w:rFonts w:ascii="Arial" w:cs="Arial" w:eastAsia="Arial" w:hAnsi="Arial"/>
                <w:sz w:val="18"/>
                <w:szCs w:val="18"/>
                <w:color w:val="auto"/>
              </w:rPr>
              <w:t>Property and equipment</w:t>
            </w:r>
          </w:p>
        </w:tc>
        <w:tc>
          <w:tcPr>
            <w:tcW w:w="50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263</w:t>
            </w:r>
          </w:p>
        </w:tc>
      </w:tr>
      <w:tr>
        <w:trPr>
          <w:trHeight w:val="459"/>
        </w:trPr>
        <w:tc>
          <w:tcPr>
            <w:tcW w:w="468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5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(77)</w:t>
            </w:r>
          </w:p>
        </w:tc>
      </w:tr>
      <w:tr>
        <w:trPr>
          <w:trHeight w:val="459"/>
        </w:trPr>
        <w:tc>
          <w:tcPr>
            <w:tcW w:w="4680" w:type="dxa"/>
            <w:vAlign w:val="bottom"/>
          </w:tcPr>
          <w:p>
            <w:pPr>
              <w:ind w:left="720"/>
              <w:spacing w:after="0"/>
              <w:rPr>
                <w:sz w:val="20"/>
                <w:szCs w:val="20"/>
                <w:color w:val="auto"/>
              </w:rPr>
            </w:pPr>
            <w:r>
              <w:rPr>
                <w:rFonts w:ascii="Arial" w:cs="Arial" w:eastAsia="Arial" w:hAnsi="Arial"/>
                <w:sz w:val="18"/>
                <w:szCs w:val="18"/>
                <w:color w:val="auto"/>
              </w:rPr>
              <w:t>Accrued non-compete/non-solicitation payments</w:t>
            </w:r>
          </w:p>
        </w:tc>
        <w:tc>
          <w:tcPr>
            <w:tcW w:w="5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(48)</w:t>
            </w:r>
          </w:p>
        </w:tc>
      </w:tr>
      <w:tr>
        <w:trPr>
          <w:trHeight w:val="459"/>
        </w:trPr>
        <w:tc>
          <w:tcPr>
            <w:tcW w:w="4680" w:type="dxa"/>
            <w:vAlign w:val="bottom"/>
          </w:tcPr>
          <w:p>
            <w:pPr>
              <w:ind w:left="720"/>
              <w:spacing w:after="0"/>
              <w:rPr>
                <w:sz w:val="20"/>
                <w:szCs w:val="20"/>
                <w:color w:val="auto"/>
              </w:rPr>
            </w:pPr>
            <w:r>
              <w:rPr>
                <w:rFonts w:ascii="Arial" w:cs="Arial" w:eastAsia="Arial" w:hAnsi="Arial"/>
                <w:sz w:val="18"/>
                <w:szCs w:val="18"/>
                <w:color w:val="auto"/>
              </w:rPr>
              <w:t>Accrued sales commissions</w:t>
            </w:r>
          </w:p>
        </w:tc>
        <w:tc>
          <w:tcPr>
            <w:tcW w:w="5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(82)</w:t>
            </w:r>
          </w:p>
        </w:tc>
      </w:tr>
      <w:tr>
        <w:trPr>
          <w:trHeight w:val="421"/>
        </w:trPr>
        <w:tc>
          <w:tcPr>
            <w:tcW w:w="4680" w:type="dxa"/>
            <w:vAlign w:val="bottom"/>
          </w:tcPr>
          <w:p>
            <w:pPr>
              <w:ind w:left="720"/>
              <w:spacing w:after="0"/>
              <w:rPr>
                <w:sz w:val="20"/>
                <w:szCs w:val="20"/>
                <w:color w:val="auto"/>
              </w:rPr>
            </w:pPr>
            <w:r>
              <w:rPr>
                <w:rFonts w:ascii="Arial" w:cs="Arial" w:eastAsia="Arial" w:hAnsi="Arial"/>
                <w:sz w:val="18"/>
                <w:szCs w:val="18"/>
                <w:color w:val="auto"/>
              </w:rPr>
              <w:t>Accrued warranty</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4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680" w:type="dxa"/>
            <w:vAlign w:val="bottom"/>
          </w:tcPr>
          <w:p>
            <w:pPr>
              <w:ind w:left="560"/>
              <w:spacing w:after="0"/>
              <w:rPr>
                <w:sz w:val="20"/>
                <w:szCs w:val="20"/>
                <w:color w:val="auto"/>
              </w:rPr>
            </w:pPr>
            <w:r>
              <w:rPr>
                <w:rFonts w:ascii="Arial" w:cs="Arial" w:eastAsia="Arial" w:hAnsi="Arial"/>
                <w:sz w:val="18"/>
                <w:szCs w:val="18"/>
                <w:color w:val="auto"/>
              </w:rPr>
              <w:t>Total purchase price</w:t>
            </w:r>
          </w:p>
        </w:tc>
        <w:tc>
          <w:tcPr>
            <w:tcW w:w="500" w:type="dxa"/>
            <w:vAlign w:val="bottom"/>
          </w:tcPr>
          <w:p>
            <w:pPr>
              <w:spacing w:after="0"/>
              <w:rPr>
                <w:sz w:val="24"/>
                <w:szCs w:val="24"/>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3,802</w:t>
            </w:r>
          </w:p>
        </w:tc>
      </w:tr>
    </w:tbl>
    <w:p>
      <w:pPr>
        <w:spacing w:after="0" w:line="200" w:lineRule="exact"/>
        <w:rPr>
          <w:sz w:val="20"/>
          <w:szCs w:val="20"/>
          <w:color w:val="auto"/>
        </w:rPr>
      </w:pPr>
    </w:p>
    <w:p>
      <w:pPr>
        <w:spacing w:after="0" w:line="264"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We estimated the fair value of identifiable intangible assets acquired using a combination of the income, cost and market approaches. 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The following table provides further information about the finite-lived intangible assets acquired in connection with the acquisition of Thermonics as of the acquisition date: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- 10 -</w:t>
      </w: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 thousands, except for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ACQUISITION </w:t>
      </w:r>
      <w:r>
        <w:rPr>
          <w:rFonts w:ascii="Arial" w:cs="Arial" w:eastAsia="Arial" w:hAnsi="Arial"/>
          <w:sz w:val="18"/>
          <w:szCs w:val="18"/>
          <w:color w:val="auto"/>
        </w:rPr>
        <w:t>(Continued)</w:t>
      </w:r>
    </w:p>
    <w:p>
      <w:pPr>
        <w:spacing w:after="0" w:line="189"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79"/>
              </w:rPr>
              <w:t>Weighted</w:t>
            </w:r>
          </w:p>
        </w:tc>
      </w:tr>
      <w:tr>
        <w:trPr>
          <w:trHeight w:val="149"/>
        </w:trPr>
        <w:tc>
          <w:tcPr>
            <w:tcW w:w="3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83"/>
              </w:rPr>
              <w:t>Average</w:t>
            </w:r>
          </w:p>
        </w:tc>
      </w:tr>
      <w:tr>
        <w:trPr>
          <w:trHeight w:val="149"/>
        </w:trPr>
        <w:tc>
          <w:tcPr>
            <w:tcW w:w="3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i w:val="1"/>
                <w:iCs w:val="1"/>
                <w:color w:val="auto"/>
              </w:rPr>
              <w:t>Fair</w:t>
            </w: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80"/>
              </w:rPr>
              <w:t>Estimated</w:t>
            </w:r>
          </w:p>
        </w:tc>
      </w:tr>
      <w:tr>
        <w:trPr>
          <w:trHeight w:val="146"/>
        </w:trPr>
        <w:tc>
          <w:tcPr>
            <w:tcW w:w="3920" w:type="dxa"/>
            <w:vAlign w:val="bottom"/>
          </w:tcPr>
          <w:p>
            <w:pPr>
              <w:spacing w:after="0"/>
              <w:rPr>
                <w:sz w:val="12"/>
                <w:szCs w:val="12"/>
                <w:color w:val="auto"/>
              </w:rPr>
            </w:pPr>
          </w:p>
        </w:tc>
        <w:tc>
          <w:tcPr>
            <w:tcW w:w="740" w:type="dxa"/>
            <w:vAlign w:val="bottom"/>
            <w:gridSpan w:val="5"/>
          </w:tcPr>
          <w:p>
            <w:pPr>
              <w:jc w:val="center"/>
              <w:ind w:right="240"/>
              <w:spacing w:after="0" w:line="146" w:lineRule="exact"/>
              <w:rPr>
                <w:sz w:val="20"/>
                <w:szCs w:val="20"/>
                <w:color w:val="auto"/>
              </w:rPr>
            </w:pPr>
            <w:r>
              <w:rPr>
                <w:rFonts w:ascii="Arial" w:cs="Arial" w:eastAsia="Arial" w:hAnsi="Arial"/>
                <w:sz w:val="14"/>
                <w:szCs w:val="14"/>
                <w:b w:val="1"/>
                <w:bCs w:val="1"/>
                <w:i w:val="1"/>
                <w:iCs w:val="1"/>
                <w:color w:val="auto"/>
                <w:w w:val="80"/>
              </w:rPr>
              <w:t>Value</w:t>
            </w:r>
          </w:p>
        </w:tc>
        <w:tc>
          <w:tcPr>
            <w:tcW w:w="640" w:type="dxa"/>
            <w:vAlign w:val="bottom"/>
            <w:gridSpan w:val="2"/>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6"/>
              </w:rPr>
              <w:t>Useful Life</w:t>
            </w:r>
          </w:p>
        </w:tc>
      </w:tr>
      <w:tr>
        <w:trPr>
          <w:trHeight w:val="161"/>
        </w:trPr>
        <w:tc>
          <w:tcPr>
            <w:tcW w:w="3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8"/>
              </w:rPr>
              <w:t>(in months)</w:t>
            </w:r>
          </w:p>
        </w:tc>
        <w:tc>
          <w:tcPr>
            <w:tcW w:w="20" w:type="dxa"/>
            <w:vAlign w:val="bottom"/>
          </w:tcPr>
          <w:p>
            <w:pPr>
              <w:spacing w:after="0"/>
              <w:rPr>
                <w:sz w:val="13"/>
                <w:szCs w:val="13"/>
                <w:color w:val="auto"/>
              </w:rPr>
            </w:pP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$1,110</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r>
      <w:tr>
        <w:trPr>
          <w:trHeight w:val="459"/>
        </w:trPr>
        <w:tc>
          <w:tcPr>
            <w:tcW w:w="3920" w:type="dxa"/>
            <w:vAlign w:val="bottom"/>
          </w:tcPr>
          <w:p>
            <w:pPr>
              <w:spacing w:after="0"/>
              <w:rPr>
                <w:sz w:val="20"/>
                <w:szCs w:val="20"/>
                <w:color w:val="auto"/>
              </w:rPr>
            </w:pPr>
            <w:r>
              <w:rPr>
                <w:rFonts w:ascii="Arial" w:cs="Arial" w:eastAsia="Arial" w:hAnsi="Arial"/>
                <w:sz w:val="18"/>
                <w:szCs w:val="18"/>
                <w:color w:val="auto"/>
              </w:rPr>
              <w:t>Customer backlog</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r>
      <w:tr>
        <w:trPr>
          <w:trHeight w:val="459"/>
        </w:trPr>
        <w:tc>
          <w:tcPr>
            <w:tcW w:w="3920" w:type="dxa"/>
            <w:vAlign w:val="bottom"/>
          </w:tcPr>
          <w:p>
            <w:pPr>
              <w:spacing w:after="0"/>
              <w:rPr>
                <w:sz w:val="20"/>
                <w:szCs w:val="20"/>
                <w:color w:val="auto"/>
              </w:rPr>
            </w:pPr>
            <w:r>
              <w:rPr>
                <w:rFonts w:ascii="Arial" w:cs="Arial" w:eastAsia="Arial" w:hAnsi="Arial"/>
                <w:sz w:val="18"/>
                <w:szCs w:val="18"/>
                <w:color w:val="auto"/>
              </w:rPr>
              <w:t>Thermonics trade name</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4"/>
                <w:szCs w:val="24"/>
                <w:color w:val="auto"/>
              </w:rPr>
            </w:pPr>
          </w:p>
        </w:tc>
      </w:tr>
      <w:tr>
        <w:trPr>
          <w:trHeight w:val="459"/>
        </w:trPr>
        <w:tc>
          <w:tcPr>
            <w:tcW w:w="3920" w:type="dxa"/>
            <w:vAlign w:val="bottom"/>
          </w:tcPr>
          <w:p>
            <w:pPr>
              <w:spacing w:after="0"/>
              <w:rPr>
                <w:sz w:val="20"/>
                <w:szCs w:val="20"/>
                <w:color w:val="auto"/>
              </w:rPr>
            </w:pPr>
            <w:r>
              <w:rPr>
                <w:rFonts w:ascii="Arial" w:cs="Arial" w:eastAsia="Arial" w:hAnsi="Arial"/>
                <w:sz w:val="18"/>
                <w:szCs w:val="18"/>
                <w:color w:val="auto"/>
              </w:rPr>
              <w:t>Patented technology</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360</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24"/>
                <w:szCs w:val="24"/>
                <w:color w:val="auto"/>
              </w:rPr>
            </w:pPr>
          </w:p>
        </w:tc>
      </w:tr>
      <w:tr>
        <w:trPr>
          <w:trHeight w:val="421"/>
        </w:trPr>
        <w:tc>
          <w:tcPr>
            <w:tcW w:w="3920" w:type="dxa"/>
            <w:vAlign w:val="bottom"/>
          </w:tcPr>
          <w:p>
            <w:pPr>
              <w:spacing w:after="0"/>
              <w:rPr>
                <w:sz w:val="20"/>
                <w:szCs w:val="20"/>
                <w:color w:val="auto"/>
              </w:rPr>
            </w:pPr>
            <w:r>
              <w:rPr>
                <w:rFonts w:ascii="Arial" w:cs="Arial" w:eastAsia="Arial" w:hAnsi="Arial"/>
                <w:sz w:val="18"/>
                <w:szCs w:val="18"/>
                <w:color w:val="auto"/>
              </w:rPr>
              <w:t>Non-compete/non-solicitation agreement</w:t>
            </w:r>
          </w:p>
        </w:tc>
        <w:tc>
          <w:tcPr>
            <w:tcW w:w="120" w:type="dxa"/>
            <w:vAlign w:val="bottom"/>
            <w:gridSpan w:val="2"/>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r>
      <w:tr>
        <w:trPr>
          <w:trHeight w:val="682"/>
        </w:trPr>
        <w:tc>
          <w:tcPr>
            <w:tcW w:w="392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1,728</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78.3</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For the period from January 16, 2012 to September 30, 2012, Thermonics contributed $3,467 of net revenues. We do not track net income within our Thermal Products segment by product line. As a result, the net income for Thermonics for the period from January 16, 2012 to September 30, 2012 is not available.</w:t>
      </w:r>
    </w:p>
    <w:p>
      <w:pPr>
        <w:spacing w:after="0" w:line="194" w:lineRule="exact"/>
        <w:rPr>
          <w:sz w:val="20"/>
          <w:szCs w:val="20"/>
          <w:color w:val="auto"/>
        </w:rPr>
      </w:pPr>
    </w:p>
    <w:p>
      <w:pPr>
        <w:ind w:left="540" w:right="100"/>
        <w:spacing w:after="0" w:line="298" w:lineRule="auto"/>
        <w:rPr>
          <w:sz w:val="20"/>
          <w:szCs w:val="20"/>
          <w:color w:val="auto"/>
        </w:rPr>
      </w:pPr>
      <w:r>
        <w:rPr>
          <w:rFonts w:ascii="Arial" w:cs="Arial" w:eastAsia="Arial" w:hAnsi="Arial"/>
          <w:sz w:val="16"/>
          <w:szCs w:val="16"/>
          <w:color w:val="auto"/>
        </w:rPr>
        <w:t>The following unaudited pro forma information gives effect to the acquisition of Thermonics as if the acquisition occurred on January 1, 2011. These proforma summaries do not reflect any operating efficiencies or costs savings that may be achieved by the combined businesses. These proforma summaries are presented for informational purposes only and are not necessarily indicative of what the actual results of operations would have been had the acquisition taken place as of that date, nor are they indicative of future consolidated results of operations:</w:t>
      </w:r>
    </w:p>
    <w:p>
      <w:pPr>
        <w:spacing w:after="0" w:line="165"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760" w:type="dxa"/>
            <w:vAlign w:val="bottom"/>
            <w:gridSpan w:val="8"/>
          </w:tcPr>
          <w:p>
            <w:pPr>
              <w:jc w:val="center"/>
              <w:ind w:left="742"/>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1580" w:type="dxa"/>
            <w:vAlign w:val="bottom"/>
            <w:gridSpan w:val="8"/>
          </w:tcPr>
          <w:p>
            <w:pPr>
              <w:jc w:val="center"/>
              <w:ind w:left="22"/>
              <w:spacing w:after="0"/>
              <w:rPr>
                <w:sz w:val="20"/>
                <w:szCs w:val="20"/>
                <w:color w:val="auto"/>
              </w:rPr>
            </w:pPr>
            <w:r>
              <w:rPr>
                <w:rFonts w:ascii="Arial" w:cs="Arial" w:eastAsia="Arial" w:hAnsi="Arial"/>
                <w:sz w:val="14"/>
                <w:szCs w:val="14"/>
                <w:b w:val="1"/>
                <w:bCs w:val="1"/>
                <w:i w:val="1"/>
                <w:iCs w:val="1"/>
                <w:color w:val="auto"/>
                <w:w w:val="85"/>
              </w:rPr>
              <w:t>Nine Months Ended</w:t>
            </w:r>
          </w:p>
        </w:tc>
        <w:tc>
          <w:tcPr>
            <w:tcW w:w="0" w:type="dxa"/>
            <w:vAlign w:val="bottom"/>
          </w:tcPr>
          <w:p>
            <w:pPr>
              <w:spacing w:after="0"/>
              <w:rPr>
                <w:sz w:val="1"/>
                <w:szCs w:val="1"/>
                <w:color w:val="auto"/>
              </w:rPr>
            </w:pPr>
          </w:p>
        </w:tc>
      </w:tr>
      <w:tr>
        <w:trPr>
          <w:trHeight w:val="146"/>
        </w:trPr>
        <w:tc>
          <w:tcPr>
            <w:tcW w:w="2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bottom w:val="single" w:sz="8" w:color="auto"/>
            </w:tcBorders>
            <w:gridSpan w:val="4"/>
          </w:tcPr>
          <w:p>
            <w:pPr>
              <w:jc w:val="center"/>
              <w:ind w:right="40"/>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560" w:type="dxa"/>
            <w:vAlign w:val="bottom"/>
            <w:gridSpan w:val="2"/>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bottom w:val="single" w:sz="8" w:color="auto"/>
            </w:tcBorders>
            <w:gridSpan w:val="4"/>
          </w:tcPr>
          <w:p>
            <w:pPr>
              <w:jc w:val="center"/>
              <w:ind w:right="40"/>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3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12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2012</w:t>
            </w:r>
          </w:p>
        </w:tc>
        <w:tc>
          <w:tcPr>
            <w:tcW w:w="320" w:type="dxa"/>
            <w:vAlign w:val="bottom"/>
          </w:tcPr>
          <w:p>
            <w:pPr>
              <w:spacing w:after="0"/>
              <w:rPr>
                <w:sz w:val="19"/>
                <w:szCs w:val="19"/>
                <w:color w:val="auto"/>
              </w:rPr>
            </w:pPr>
          </w:p>
        </w:tc>
        <w:tc>
          <w:tcPr>
            <w:tcW w:w="900" w:type="dxa"/>
            <w:vAlign w:val="bottom"/>
            <w:gridSpan w:val="4"/>
          </w:tcPr>
          <w:p>
            <w:pPr>
              <w:jc w:val="right"/>
              <w:ind w:right="460"/>
              <w:spacing w:after="0"/>
              <w:rPr>
                <w:sz w:val="20"/>
                <w:szCs w:val="20"/>
                <w:color w:val="auto"/>
              </w:rPr>
            </w:pPr>
            <w:r>
              <w:rPr>
                <w:rFonts w:ascii="Arial" w:cs="Arial" w:eastAsia="Arial" w:hAnsi="Arial"/>
                <w:sz w:val="14"/>
                <w:szCs w:val="14"/>
                <w:b w:val="1"/>
                <w:bCs w:val="1"/>
                <w:i w:val="1"/>
                <w:iCs w:val="1"/>
                <w:color w:val="auto"/>
              </w:rPr>
              <w:t>2011</w:t>
            </w:r>
          </w:p>
        </w:tc>
        <w:tc>
          <w:tcPr>
            <w:tcW w:w="920" w:type="dxa"/>
            <w:vAlign w:val="bottom"/>
            <w:gridSpan w:val="4"/>
          </w:tcPr>
          <w:p>
            <w:pPr>
              <w:jc w:val="right"/>
              <w:ind w:right="320"/>
              <w:spacing w:after="0"/>
              <w:rPr>
                <w:sz w:val="20"/>
                <w:szCs w:val="20"/>
                <w:color w:val="auto"/>
              </w:rPr>
            </w:pPr>
            <w:r>
              <w:rPr>
                <w:rFonts w:ascii="Arial" w:cs="Arial" w:eastAsia="Arial" w:hAnsi="Arial"/>
                <w:sz w:val="14"/>
                <w:szCs w:val="14"/>
                <w:b w:val="1"/>
                <w:bCs w:val="1"/>
                <w:i w:val="1"/>
                <w:iCs w:val="1"/>
                <w:color w:val="auto"/>
              </w:rPr>
              <w:t>2012</w:t>
            </w:r>
          </w:p>
        </w:tc>
        <w:tc>
          <w:tcPr>
            <w:tcW w:w="660" w:type="dxa"/>
            <w:vAlign w:val="bottom"/>
            <w:gridSpan w:val="4"/>
          </w:tcPr>
          <w:p>
            <w:pPr>
              <w:jc w:val="right"/>
              <w:ind w:right="240"/>
              <w:spacing w:after="0"/>
              <w:rPr>
                <w:sz w:val="20"/>
                <w:szCs w:val="20"/>
                <w:color w:val="auto"/>
              </w:rPr>
            </w:pPr>
            <w:r>
              <w:rPr>
                <w:rFonts w:ascii="Arial" w:cs="Arial" w:eastAsia="Arial" w:hAnsi="Arial"/>
                <w:sz w:val="14"/>
                <w:szCs w:val="14"/>
                <w:b w:val="1"/>
                <w:bCs w:val="1"/>
                <w:i w:val="1"/>
                <w:iCs w:val="1"/>
                <w:color w:val="auto"/>
              </w:rPr>
              <w:t>2011</w:t>
            </w:r>
          </w:p>
        </w:tc>
        <w:tc>
          <w:tcPr>
            <w:tcW w:w="0" w:type="dxa"/>
            <w:vAlign w:val="bottom"/>
          </w:tcPr>
          <w:p>
            <w:pPr>
              <w:spacing w:after="0"/>
              <w:rPr>
                <w:sz w:val="1"/>
                <w:szCs w:val="1"/>
                <w:color w:val="auto"/>
              </w:rPr>
            </w:pPr>
          </w:p>
        </w:tc>
      </w:tr>
      <w:tr>
        <w:trPr>
          <w:trHeight w:val="20"/>
        </w:trPr>
        <w:tc>
          <w:tcPr>
            <w:tcW w:w="2120" w:type="dxa"/>
            <w:vAlign w:val="bottom"/>
            <w:vMerge w:val="restart"/>
          </w:tcPr>
          <w:p>
            <w:pPr>
              <w:spacing w:after="0"/>
              <w:rPr>
                <w:sz w:val="20"/>
                <w:szCs w:val="20"/>
                <w:color w:val="auto"/>
              </w:rPr>
            </w:pPr>
            <w:r>
              <w:rPr>
                <w:rFonts w:ascii="Arial" w:cs="Arial" w:eastAsia="Arial" w:hAnsi="Arial"/>
                <w:sz w:val="18"/>
                <w:szCs w:val="18"/>
                <w:color w:val="auto"/>
              </w:rPr>
              <w:t>Net revenues</w:t>
            </w: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vMerge w:val="continue"/>
          </w:tcPr>
          <w:p>
            <w:pPr>
              <w:spacing w:after="0"/>
              <w:rPr>
                <w:sz w:val="20"/>
                <w:szCs w:val="20"/>
                <w:color w:val="auto"/>
              </w:rPr>
            </w:pPr>
          </w:p>
        </w:tc>
        <w:tc>
          <w:tcPr>
            <w:tcW w:w="186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rPr>
              <w:t>$10,799</w:t>
            </w:r>
          </w:p>
        </w:tc>
        <w:tc>
          <w:tcPr>
            <w:tcW w:w="900" w:type="dxa"/>
            <w:vAlign w:val="bottom"/>
            <w:gridSpan w:val="4"/>
            <w:vMerge w:val="restart"/>
          </w:tcPr>
          <w:p>
            <w:pPr>
              <w:jc w:val="right"/>
              <w:ind w:right="240"/>
              <w:spacing w:after="0"/>
              <w:rPr>
                <w:sz w:val="20"/>
                <w:szCs w:val="20"/>
                <w:color w:val="auto"/>
              </w:rPr>
            </w:pPr>
            <w:r>
              <w:rPr>
                <w:rFonts w:ascii="Arial" w:cs="Arial" w:eastAsia="Arial" w:hAnsi="Arial"/>
                <w:sz w:val="18"/>
                <w:szCs w:val="18"/>
                <w:color w:val="auto"/>
                <w:w w:val="98"/>
              </w:rPr>
              <w:t>$13,223</w:t>
            </w:r>
          </w:p>
        </w:tc>
        <w:tc>
          <w:tcPr>
            <w:tcW w:w="920" w:type="dxa"/>
            <w:vAlign w:val="bottom"/>
            <w:gridSpan w:val="4"/>
            <w:vMerge w:val="restart"/>
          </w:tcPr>
          <w:p>
            <w:pPr>
              <w:jc w:val="right"/>
              <w:ind w:right="100"/>
              <w:spacing w:after="0"/>
              <w:rPr>
                <w:sz w:val="20"/>
                <w:szCs w:val="20"/>
                <w:color w:val="auto"/>
              </w:rPr>
            </w:pPr>
            <w:r>
              <w:rPr>
                <w:rFonts w:ascii="Arial" w:cs="Arial" w:eastAsia="Arial" w:hAnsi="Arial"/>
                <w:sz w:val="18"/>
                <w:szCs w:val="18"/>
                <w:color w:val="auto"/>
              </w:rPr>
              <w:t>$35,322</w:t>
            </w:r>
          </w:p>
        </w:tc>
        <w:tc>
          <w:tcPr>
            <w:tcW w:w="660" w:type="dxa"/>
            <w:vAlign w:val="bottom"/>
            <w:gridSpan w:val="4"/>
            <w:vMerge w:val="restart"/>
          </w:tcPr>
          <w:p>
            <w:pPr>
              <w:jc w:val="right"/>
              <w:spacing w:after="0"/>
              <w:rPr>
                <w:sz w:val="20"/>
                <w:szCs w:val="20"/>
                <w:color w:val="auto"/>
              </w:rPr>
            </w:pPr>
            <w:r>
              <w:rPr>
                <w:rFonts w:ascii="Arial" w:cs="Arial" w:eastAsia="Arial" w:hAnsi="Arial"/>
                <w:sz w:val="18"/>
                <w:szCs w:val="18"/>
                <w:color w:val="auto"/>
                <w:w w:val="98"/>
              </w:rPr>
              <w:t>$41,268</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860" w:type="dxa"/>
            <w:vAlign w:val="bottom"/>
            <w:gridSpan w:val="4"/>
            <w:vMerge w:val="continue"/>
          </w:tcPr>
          <w:p>
            <w:pPr>
              <w:spacing w:after="0"/>
              <w:rPr>
                <w:sz w:val="18"/>
                <w:szCs w:val="18"/>
                <w:color w:val="auto"/>
              </w:rPr>
            </w:pPr>
          </w:p>
        </w:tc>
        <w:tc>
          <w:tcPr>
            <w:tcW w:w="900" w:type="dxa"/>
            <w:vAlign w:val="bottom"/>
            <w:gridSpan w:val="4"/>
            <w:vMerge w:val="continue"/>
          </w:tcPr>
          <w:p>
            <w:pPr>
              <w:spacing w:after="0"/>
              <w:rPr>
                <w:sz w:val="18"/>
                <w:szCs w:val="18"/>
                <w:color w:val="auto"/>
              </w:rPr>
            </w:pPr>
          </w:p>
        </w:tc>
        <w:tc>
          <w:tcPr>
            <w:tcW w:w="920" w:type="dxa"/>
            <w:vAlign w:val="bottom"/>
            <w:gridSpan w:val="4"/>
            <w:vMerge w:val="continue"/>
          </w:tcPr>
          <w:p>
            <w:pPr>
              <w:spacing w:after="0"/>
              <w:rPr>
                <w:sz w:val="18"/>
                <w:szCs w:val="18"/>
                <w:color w:val="auto"/>
              </w:rPr>
            </w:pPr>
          </w:p>
        </w:tc>
        <w:tc>
          <w:tcPr>
            <w:tcW w:w="6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18"/>
                <w:szCs w:val="18"/>
                <w:color w:val="auto"/>
              </w:rPr>
              <w:t>Net earnings</w:t>
            </w:r>
          </w:p>
        </w:tc>
        <w:tc>
          <w:tcPr>
            <w:tcW w:w="1860" w:type="dxa"/>
            <w:vAlign w:val="bottom"/>
            <w:gridSpan w:val="4"/>
          </w:tcPr>
          <w:p>
            <w:pPr>
              <w:jc w:val="right"/>
              <w:ind w:right="80"/>
              <w:spacing w:after="0"/>
              <w:rPr>
                <w:sz w:val="20"/>
                <w:szCs w:val="20"/>
                <w:color w:val="auto"/>
              </w:rPr>
            </w:pPr>
            <w:r>
              <w:rPr>
                <w:rFonts w:ascii="Arial" w:cs="Arial" w:eastAsia="Arial" w:hAnsi="Arial"/>
                <w:sz w:val="18"/>
                <w:szCs w:val="18"/>
                <w:color w:val="auto"/>
              </w:rPr>
              <w:t>658</w:t>
            </w:r>
          </w:p>
        </w:tc>
        <w:tc>
          <w:tcPr>
            <w:tcW w:w="900" w:type="dxa"/>
            <w:vAlign w:val="bottom"/>
            <w:gridSpan w:val="4"/>
          </w:tcPr>
          <w:p>
            <w:pPr>
              <w:jc w:val="right"/>
              <w:ind w:right="240"/>
              <w:spacing w:after="0"/>
              <w:rPr>
                <w:sz w:val="20"/>
                <w:szCs w:val="20"/>
                <w:color w:val="auto"/>
              </w:rPr>
            </w:pPr>
            <w:r>
              <w:rPr>
                <w:rFonts w:ascii="Arial" w:cs="Arial" w:eastAsia="Arial" w:hAnsi="Arial"/>
                <w:sz w:val="18"/>
                <w:szCs w:val="18"/>
                <w:color w:val="auto"/>
              </w:rPr>
              <w:t>5,417</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2,537</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8,093</w:t>
            </w:r>
          </w:p>
        </w:tc>
        <w:tc>
          <w:tcPr>
            <w:tcW w:w="0" w:type="dxa"/>
            <w:vAlign w:val="bottom"/>
          </w:tcPr>
          <w:p>
            <w:pPr>
              <w:spacing w:after="0"/>
              <w:rPr>
                <w:sz w:val="1"/>
                <w:szCs w:val="1"/>
                <w:color w:val="auto"/>
              </w:rPr>
            </w:pPr>
          </w:p>
        </w:tc>
      </w:tr>
    </w:tbl>
    <w:p>
      <w:pPr>
        <w:sectPr>
          <w:pgSz w:w="11900" w:h="16909" w:orient="portrait"/>
          <w:cols w:equalWidth="0" w:num="1">
            <w:col w:w="11340"/>
          </w:cols>
          <w:pgMar w:left="240" w:top="347" w:right="319" w:bottom="0" w:gutter="0" w:footer="0" w:header="0"/>
        </w:sectPr>
      </w:pPr>
    </w:p>
    <w:bookmarkStart w:id="9" w:name="page10"/>
    <w:bookmarkEnd w:id="9"/>
    <w:p>
      <w:pPr>
        <w:ind w:left="1100"/>
        <w:spacing w:after="0"/>
        <w:rPr>
          <w:sz w:val="20"/>
          <w:szCs w:val="20"/>
          <w:color w:val="auto"/>
        </w:rPr>
      </w:pPr>
      <w:r>
        <w:rPr>
          <w:rFonts w:ascii="Arial" w:cs="Arial" w:eastAsia="Arial" w:hAnsi="Arial"/>
          <w:sz w:val="18"/>
          <w:szCs w:val="18"/>
          <w:color w:val="auto"/>
        </w:rPr>
        <w:t>Diluted earnings per share</w:t>
      </w:r>
    </w:p>
    <w:p>
      <w:pPr>
        <w:spacing w:after="0" w:line="15" w:lineRule="exact"/>
        <w:rPr>
          <w:sz w:val="20"/>
          <w:szCs w:val="20"/>
          <w:color w:val="auto"/>
        </w:rPr>
      </w:pPr>
    </w:p>
    <w:p>
      <w:pPr>
        <w:ind w:left="4600"/>
        <w:spacing w:after="0"/>
        <w:tabs>
          <w:tab w:leader="none" w:pos="5340" w:val="left"/>
          <w:tab w:leader="none" w:pos="6380" w:val="left"/>
          <w:tab w:leader="none" w:pos="7140" w:val="left"/>
        </w:tabs>
        <w:rPr>
          <w:sz w:val="20"/>
          <w:szCs w:val="20"/>
          <w:color w:val="auto"/>
        </w:rPr>
      </w:pPr>
      <w:r>
        <w:rPr>
          <w:rFonts w:ascii="Arial" w:cs="Arial" w:eastAsia="Arial" w:hAnsi="Arial"/>
          <w:sz w:val="18"/>
          <w:szCs w:val="18"/>
          <w:color w:val="auto"/>
        </w:rPr>
        <w:t>$0.06</w:t>
      </w:r>
      <w:r>
        <w:rPr>
          <w:sz w:val="20"/>
          <w:szCs w:val="20"/>
          <w:color w:val="auto"/>
        </w:rPr>
        <w:tab/>
      </w:r>
      <w:r>
        <w:rPr>
          <w:rFonts w:ascii="Arial" w:cs="Arial" w:eastAsia="Arial" w:hAnsi="Arial"/>
          <w:sz w:val="18"/>
          <w:szCs w:val="18"/>
          <w:color w:val="auto"/>
        </w:rPr>
        <w:t>$0.53</w:t>
      </w:r>
      <w:r>
        <w:rPr>
          <w:sz w:val="20"/>
          <w:szCs w:val="20"/>
          <w:color w:val="auto"/>
        </w:rPr>
        <w:tab/>
      </w:r>
      <w:r>
        <w:rPr>
          <w:rFonts w:ascii="Arial" w:cs="Arial" w:eastAsia="Arial" w:hAnsi="Arial"/>
          <w:sz w:val="18"/>
          <w:szCs w:val="18"/>
          <w:color w:val="auto"/>
        </w:rPr>
        <w:t>$0.25</w:t>
      </w:r>
      <w:r>
        <w:rPr>
          <w:sz w:val="20"/>
          <w:szCs w:val="20"/>
          <w:color w:val="auto"/>
        </w:rPr>
        <w:tab/>
      </w:r>
      <w:r>
        <w:rPr>
          <w:rFonts w:ascii="Arial" w:cs="Arial" w:eastAsia="Arial" w:hAnsi="Arial"/>
          <w:sz w:val="15"/>
          <w:szCs w:val="15"/>
          <w:color w:val="auto"/>
        </w:rPr>
        <w:t>$0.79</w:t>
      </w:r>
    </w:p>
    <w:p>
      <w:pPr>
        <w:spacing w:after="0" w:line="232"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proforma results for 2011 shown above include non-recurring charges of $337 which represent transaction costs related to the Thermonics acquisition and $359 which represent facility closure costs related to the relocation of Thermonics'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91" w:lineRule="exact"/>
        <w:rPr>
          <w:sz w:val="20"/>
          <w:szCs w:val="20"/>
          <w:color w:val="auto"/>
        </w:rPr>
      </w:pPr>
    </w:p>
    <w:p>
      <w:pPr>
        <w:ind w:left="540" w:right="840"/>
        <w:spacing w:after="0" w:line="268" w:lineRule="auto"/>
        <w:rPr>
          <w:sz w:val="20"/>
          <w:szCs w:val="20"/>
          <w:color w:val="auto"/>
        </w:rPr>
      </w:pPr>
      <w:r>
        <w:rPr>
          <w:rFonts w:ascii="Arial" w:cs="Arial" w:eastAsia="Arial" w:hAnsi="Arial"/>
          <w:sz w:val="18"/>
          <w:szCs w:val="18"/>
          <w:color w:val="auto"/>
        </w:rPr>
        <w:t>Goodwill and intangible assets on our balance sheets are the result of our acquisitions of Sigma Systems Corp. ("Sigma") in October 2008 and Thermonics in January 2012. The acquisition of Thermonics is discussed further in Note 3.</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Goodwill</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All of our goodwill is allocated to our Thermal Products segment. Changes in the amount of the carrying value of goodwill for the nine months ended</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September 30, 2012 are as follows:</w:t>
      </w:r>
    </w:p>
    <w:p>
      <w:pPr>
        <w:spacing w:after="0" w:line="174"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80"/>
              </w:rPr>
              <w:t>Sigma</w:t>
            </w:r>
          </w:p>
        </w:tc>
        <w:tc>
          <w:tcPr>
            <w:tcW w:w="260" w:type="dxa"/>
            <w:vAlign w:val="bottom"/>
            <w:gridSpan w:val="2"/>
          </w:tcPr>
          <w:p>
            <w:pPr>
              <w:spacing w:after="0"/>
              <w:rPr>
                <w:sz w:val="14"/>
                <w:szCs w:val="14"/>
                <w:color w:val="auto"/>
              </w:rPr>
            </w:pPr>
          </w:p>
        </w:tc>
        <w:tc>
          <w:tcPr>
            <w:tcW w:w="680" w:type="dxa"/>
            <w:vAlign w:val="bottom"/>
            <w:gridSpan w:val="4"/>
          </w:tcPr>
          <w:p>
            <w:pPr>
              <w:jc w:val="center"/>
              <w:spacing w:after="0"/>
              <w:rPr>
                <w:sz w:val="20"/>
                <w:szCs w:val="20"/>
                <w:color w:val="auto"/>
              </w:rPr>
            </w:pPr>
            <w:r>
              <w:rPr>
                <w:rFonts w:ascii="Arial" w:cs="Arial" w:eastAsia="Arial" w:hAnsi="Arial"/>
                <w:sz w:val="14"/>
                <w:szCs w:val="14"/>
                <w:b w:val="1"/>
                <w:bCs w:val="1"/>
                <w:i w:val="1"/>
                <w:iCs w:val="1"/>
                <w:color w:val="auto"/>
                <w:w w:val="85"/>
              </w:rPr>
              <w:t>Thermonics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b w:val="1"/>
                <w:bCs w:val="1"/>
                <w:i w:val="1"/>
                <w:iCs w:val="1"/>
                <w:color w:val="auto"/>
                <w:w w:val="71"/>
              </w:rPr>
              <w:t>Total</w:t>
            </w:r>
          </w:p>
        </w:tc>
      </w:tr>
      <w:tr>
        <w:trPr>
          <w:trHeight w:val="20"/>
        </w:trPr>
        <w:tc>
          <w:tcPr>
            <w:tcW w:w="2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2"/>
        </w:trPr>
        <w:tc>
          <w:tcPr>
            <w:tcW w:w="2760" w:type="dxa"/>
            <w:vAlign w:val="bottom"/>
          </w:tcPr>
          <w:p>
            <w:pPr>
              <w:spacing w:after="0"/>
              <w:rPr>
                <w:sz w:val="20"/>
                <w:szCs w:val="20"/>
                <w:color w:val="auto"/>
              </w:rPr>
            </w:pPr>
            <w:r>
              <w:rPr>
                <w:rFonts w:ascii="Arial" w:cs="Arial" w:eastAsia="Arial" w:hAnsi="Arial"/>
                <w:sz w:val="18"/>
                <w:szCs w:val="18"/>
                <w:color w:val="auto"/>
              </w:rPr>
              <w:t>Balance - January 1, 2012</w:t>
            </w:r>
          </w:p>
        </w:tc>
        <w:tc>
          <w:tcPr>
            <w:tcW w:w="64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$1,656</w:t>
            </w:r>
          </w:p>
        </w:tc>
        <w:tc>
          <w:tcPr>
            <w:tcW w:w="1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$1,656</w:t>
            </w:r>
          </w:p>
        </w:tc>
      </w:tr>
      <w:tr>
        <w:trPr>
          <w:trHeight w:val="421"/>
        </w:trPr>
        <w:tc>
          <w:tcPr>
            <w:tcW w:w="2760" w:type="dxa"/>
            <w:vAlign w:val="bottom"/>
          </w:tcPr>
          <w:p>
            <w:pPr>
              <w:spacing w:after="0"/>
              <w:rPr>
                <w:sz w:val="20"/>
                <w:szCs w:val="20"/>
                <w:color w:val="auto"/>
              </w:rPr>
            </w:pPr>
            <w:r>
              <w:rPr>
                <w:rFonts w:ascii="Arial" w:cs="Arial" w:eastAsia="Arial" w:hAnsi="Arial"/>
                <w:sz w:val="18"/>
                <w:szCs w:val="18"/>
                <w:color w:val="auto"/>
              </w:rPr>
              <w:t>Acquisition of Thermonics</w:t>
            </w:r>
          </w:p>
        </w:tc>
        <w:tc>
          <w:tcPr>
            <w:tcW w:w="760" w:type="dxa"/>
            <w:vAlign w:val="bottom"/>
            <w:gridSpan w:val="2"/>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50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w:t>
            </w:r>
          </w:p>
        </w:tc>
      </w:tr>
      <w:tr>
        <w:trPr>
          <w:trHeight w:val="439"/>
        </w:trPr>
        <w:tc>
          <w:tcPr>
            <w:tcW w:w="2760" w:type="dxa"/>
            <w:vAlign w:val="bottom"/>
          </w:tcPr>
          <w:p>
            <w:pPr>
              <w:spacing w:after="0"/>
              <w:rPr>
                <w:sz w:val="20"/>
                <w:szCs w:val="20"/>
                <w:color w:val="auto"/>
              </w:rPr>
            </w:pPr>
            <w:r>
              <w:rPr>
                <w:rFonts w:ascii="Arial" w:cs="Arial" w:eastAsia="Arial" w:hAnsi="Arial"/>
                <w:sz w:val="18"/>
                <w:szCs w:val="18"/>
                <w:color w:val="auto"/>
              </w:rPr>
              <w:t>Balance - September 30, 2012</w:t>
            </w:r>
          </w:p>
        </w:tc>
        <w:tc>
          <w:tcPr>
            <w:tcW w:w="64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1,656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50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1,706</w:t>
            </w:r>
          </w:p>
        </w:tc>
      </w:tr>
      <w:tr>
        <w:trPr>
          <w:trHeight w:val="20"/>
        </w:trPr>
        <w:tc>
          <w:tcPr>
            <w:tcW w:w="2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provides further detail about our intangible assets as of September 30, 2012 and December 31, 2011: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GOODWILL AND INTANGIBLE ASSETS </w:t>
      </w:r>
      <w:r>
        <w:rPr>
          <w:rFonts w:ascii="Arial" w:cs="Arial" w:eastAsia="Arial" w:hAnsi="Arial"/>
          <w:sz w:val="18"/>
          <w:szCs w:val="18"/>
          <w:color w:val="auto"/>
        </w:rPr>
        <w:t>(Continued)</w:t>
      </w:r>
    </w:p>
    <w:p>
      <w:pPr>
        <w:spacing w:after="0" w:line="18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i w:val="1"/>
                <w:iCs w:val="1"/>
                <w:color w:val="auto"/>
              </w:rPr>
              <w:t>Sept. 30, 2012</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8"/>
        </w:trPr>
        <w:tc>
          <w:tcPr>
            <w:tcW w:w="3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0" w:type="dxa"/>
            <w:vAlign w:val="bottom"/>
            <w:gridSpan w:val="5"/>
          </w:tcPr>
          <w:p>
            <w:pPr>
              <w:jc w:val="center"/>
              <w:ind w:right="72"/>
              <w:spacing w:after="0" w:line="158" w:lineRule="exact"/>
              <w:rPr>
                <w:sz w:val="20"/>
                <w:szCs w:val="20"/>
                <w:color w:val="auto"/>
              </w:rPr>
            </w:pPr>
            <w:r>
              <w:rPr>
                <w:rFonts w:ascii="Arial" w:cs="Arial" w:eastAsia="Arial" w:hAnsi="Arial"/>
                <w:sz w:val="14"/>
                <w:szCs w:val="14"/>
                <w:b w:val="1"/>
                <w:bCs w:val="1"/>
                <w:i w:val="1"/>
                <w:iCs w:val="1"/>
                <w:color w:val="auto"/>
                <w:w w:val="78"/>
              </w:rPr>
              <w:t>Gross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i w:val="1"/>
                <w:iCs w:val="1"/>
                <w:color w:val="auto"/>
                <w:w w:val="88"/>
              </w:rPr>
              <w:t>Net</w:t>
            </w:r>
          </w:p>
        </w:tc>
      </w:tr>
      <w:tr>
        <w:trPr>
          <w:trHeight w:val="149"/>
        </w:trPr>
        <w:tc>
          <w:tcPr>
            <w:tcW w:w="3940" w:type="dxa"/>
            <w:vAlign w:val="bottom"/>
          </w:tcPr>
          <w:p>
            <w:pPr>
              <w:spacing w:after="0"/>
              <w:rPr>
                <w:sz w:val="12"/>
                <w:szCs w:val="12"/>
                <w:color w:val="auto"/>
              </w:rPr>
            </w:pPr>
          </w:p>
        </w:tc>
        <w:tc>
          <w:tcPr>
            <w:tcW w:w="1520" w:type="dxa"/>
            <w:vAlign w:val="bottom"/>
            <w:gridSpan w:val="6"/>
          </w:tcPr>
          <w:p>
            <w:pPr>
              <w:jc w:val="center"/>
              <w:ind w:left="736"/>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960" w:type="dxa"/>
            <w:vAlign w:val="bottom"/>
            <w:gridSpan w:val="7"/>
          </w:tcPr>
          <w:p>
            <w:pPr>
              <w:ind w:left="80"/>
              <w:spacing w:after="0" w:line="149" w:lineRule="exact"/>
              <w:rPr>
                <w:sz w:val="20"/>
                <w:szCs w:val="20"/>
                <w:color w:val="auto"/>
              </w:rPr>
            </w:pPr>
            <w:r>
              <w:rPr>
                <w:rFonts w:ascii="Arial" w:cs="Arial" w:eastAsia="Arial" w:hAnsi="Arial"/>
                <w:sz w:val="14"/>
                <w:szCs w:val="14"/>
                <w:b w:val="1"/>
                <w:bCs w:val="1"/>
                <w:i w:val="1"/>
                <w:iCs w:val="1"/>
                <w:color w:val="auto"/>
                <w:w w:val="97"/>
              </w:rPr>
              <w:t>Accumulated</w:t>
            </w:r>
          </w:p>
        </w:tc>
        <w:tc>
          <w:tcPr>
            <w:tcW w:w="5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r>
      <w:tr>
        <w:trPr>
          <w:trHeight w:val="146"/>
        </w:trPr>
        <w:tc>
          <w:tcPr>
            <w:tcW w:w="3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gridSpan w:val="5"/>
          </w:tcPr>
          <w:p>
            <w:pPr>
              <w:jc w:val="center"/>
              <w:ind w:right="52"/>
              <w:spacing w:after="0" w:line="146" w:lineRule="exact"/>
              <w:rPr>
                <w:sz w:val="20"/>
                <w:szCs w:val="20"/>
                <w:color w:val="auto"/>
              </w:rPr>
            </w:pPr>
            <w:r>
              <w:rPr>
                <w:rFonts w:ascii="Arial" w:cs="Arial" w:eastAsia="Arial" w:hAnsi="Arial"/>
                <w:sz w:val="14"/>
                <w:szCs w:val="14"/>
                <w:b w:val="1"/>
                <w:bCs w:val="1"/>
                <w:i w:val="1"/>
                <w:iCs w:val="1"/>
                <w:color w:val="auto"/>
                <w:w w:val="86"/>
              </w:rPr>
              <w:t>Amount</w:t>
            </w:r>
          </w:p>
        </w:tc>
        <w:tc>
          <w:tcPr>
            <w:tcW w:w="960" w:type="dxa"/>
            <w:vAlign w:val="bottom"/>
            <w:gridSpan w:val="7"/>
          </w:tcPr>
          <w:p>
            <w:pPr>
              <w:ind w:left="100"/>
              <w:spacing w:after="0" w:line="146" w:lineRule="exact"/>
              <w:rPr>
                <w:sz w:val="20"/>
                <w:szCs w:val="20"/>
                <w:color w:val="auto"/>
              </w:rPr>
            </w:pPr>
            <w:r>
              <w:rPr>
                <w:rFonts w:ascii="Arial" w:cs="Arial" w:eastAsia="Arial" w:hAnsi="Arial"/>
                <w:sz w:val="14"/>
                <w:szCs w:val="14"/>
                <w:b w:val="1"/>
                <w:bCs w:val="1"/>
                <w:i w:val="1"/>
                <w:iCs w:val="1"/>
                <w:color w:val="auto"/>
                <w:w w:val="98"/>
              </w:rPr>
              <w:t>Amortization</w:t>
            </w:r>
          </w:p>
        </w:tc>
        <w:tc>
          <w:tcPr>
            <w:tcW w:w="580" w:type="dxa"/>
            <w:vAlign w:val="bottom"/>
            <w:gridSpan w:val="4"/>
          </w:tcPr>
          <w:p>
            <w:pPr>
              <w:jc w:val="center"/>
              <w:ind w:right="40"/>
              <w:spacing w:after="0" w:line="146" w:lineRule="exact"/>
              <w:rPr>
                <w:sz w:val="20"/>
                <w:szCs w:val="20"/>
                <w:color w:val="auto"/>
              </w:rPr>
            </w:pPr>
            <w:r>
              <w:rPr>
                <w:rFonts w:ascii="Arial" w:cs="Arial" w:eastAsia="Arial" w:hAnsi="Arial"/>
                <w:sz w:val="14"/>
                <w:szCs w:val="14"/>
                <w:b w:val="1"/>
                <w:bCs w:val="1"/>
                <w:i w:val="1"/>
                <w:iCs w:val="1"/>
                <w:color w:val="auto"/>
                <w:w w:val="86"/>
              </w:rPr>
              <w:t>Amount</w:t>
            </w:r>
          </w:p>
        </w:tc>
      </w:tr>
      <w:tr>
        <w:trPr>
          <w:trHeight w:val="235"/>
        </w:trPr>
        <w:tc>
          <w:tcPr>
            <w:tcW w:w="394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9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394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520" w:type="dxa"/>
            <w:vAlign w:val="bottom"/>
            <w:gridSpan w:val="6"/>
          </w:tcPr>
          <w:p>
            <w:pPr>
              <w:jc w:val="right"/>
              <w:spacing w:after="0"/>
              <w:rPr>
                <w:sz w:val="20"/>
                <w:szCs w:val="20"/>
                <w:color w:val="auto"/>
              </w:rPr>
            </w:pPr>
            <w:r>
              <w:rPr>
                <w:rFonts w:ascii="Arial" w:cs="Arial" w:eastAsia="Arial" w:hAnsi="Arial"/>
                <w:sz w:val="18"/>
                <w:szCs w:val="18"/>
                <w:color w:val="auto"/>
              </w:rPr>
              <w:t>$1,480</w:t>
            </w:r>
          </w:p>
        </w:tc>
        <w:tc>
          <w:tcPr>
            <w:tcW w:w="820" w:type="dxa"/>
            <w:vAlign w:val="bottom"/>
            <w:gridSpan w:val="6"/>
          </w:tcPr>
          <w:p>
            <w:pPr>
              <w:jc w:val="right"/>
              <w:ind w:right="60"/>
              <w:spacing w:after="0"/>
              <w:rPr>
                <w:sz w:val="20"/>
                <w:szCs w:val="20"/>
                <w:color w:val="auto"/>
              </w:rPr>
            </w:pPr>
            <w:r>
              <w:rPr>
                <w:rFonts w:ascii="Arial" w:cs="Arial" w:eastAsia="Arial" w:hAnsi="Arial"/>
                <w:sz w:val="18"/>
                <w:szCs w:val="18"/>
                <w:color w:val="auto"/>
              </w:rPr>
              <w:t>$ 377</w:t>
            </w:r>
          </w:p>
        </w:tc>
        <w:tc>
          <w:tcPr>
            <w:tcW w:w="14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$1,103</w:t>
            </w:r>
          </w:p>
        </w:tc>
      </w:tr>
      <w:tr>
        <w:trPr>
          <w:trHeight w:val="459"/>
        </w:trPr>
        <w:tc>
          <w:tcPr>
            <w:tcW w:w="394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1520" w:type="dxa"/>
            <w:vAlign w:val="bottom"/>
            <w:gridSpan w:val="6"/>
          </w:tcPr>
          <w:p>
            <w:pPr>
              <w:jc w:val="right"/>
              <w:spacing w:after="0"/>
              <w:rPr>
                <w:sz w:val="20"/>
                <w:szCs w:val="20"/>
                <w:color w:val="auto"/>
              </w:rPr>
            </w:pPr>
            <w:r>
              <w:rPr>
                <w:rFonts w:ascii="Arial" w:cs="Arial" w:eastAsia="Arial" w:hAnsi="Arial"/>
                <w:sz w:val="18"/>
                <w:szCs w:val="18"/>
                <w:color w:val="auto"/>
              </w:rPr>
              <w:t>590</w:t>
            </w:r>
          </w:p>
        </w:tc>
        <w:tc>
          <w:tcPr>
            <w:tcW w:w="820" w:type="dxa"/>
            <w:vAlign w:val="bottom"/>
            <w:gridSpan w:val="6"/>
          </w:tcPr>
          <w:p>
            <w:pPr>
              <w:jc w:val="right"/>
              <w:ind w:right="60"/>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378</w:t>
            </w:r>
          </w:p>
        </w:tc>
      </w:tr>
      <w:tr>
        <w:trPr>
          <w:trHeight w:val="459"/>
        </w:trPr>
        <w:tc>
          <w:tcPr>
            <w:tcW w:w="3940" w:type="dxa"/>
            <w:vAlign w:val="bottom"/>
          </w:tcPr>
          <w:p>
            <w:pPr>
              <w:ind w:left="140"/>
              <w:spacing w:after="0"/>
              <w:rPr>
                <w:sz w:val="20"/>
                <w:szCs w:val="20"/>
                <w:color w:val="auto"/>
              </w:rPr>
            </w:pPr>
            <w:r>
              <w:rPr>
                <w:rFonts w:ascii="Arial" w:cs="Arial" w:eastAsia="Arial" w:hAnsi="Arial"/>
                <w:sz w:val="18"/>
                <w:szCs w:val="18"/>
                <w:color w:val="auto"/>
              </w:rPr>
              <w:t>Software</w:t>
            </w:r>
          </w:p>
        </w:tc>
        <w:tc>
          <w:tcPr>
            <w:tcW w:w="1520" w:type="dxa"/>
            <w:vAlign w:val="bottom"/>
            <w:gridSpan w:val="6"/>
          </w:tcPr>
          <w:p>
            <w:pPr>
              <w:jc w:val="right"/>
              <w:spacing w:after="0"/>
              <w:rPr>
                <w:sz w:val="20"/>
                <w:szCs w:val="20"/>
                <w:color w:val="auto"/>
              </w:rPr>
            </w:pPr>
            <w:r>
              <w:rPr>
                <w:rFonts w:ascii="Arial" w:cs="Arial" w:eastAsia="Arial" w:hAnsi="Arial"/>
                <w:sz w:val="18"/>
                <w:szCs w:val="18"/>
                <w:color w:val="auto"/>
              </w:rPr>
              <w:t>270</w:t>
            </w:r>
          </w:p>
        </w:tc>
        <w:tc>
          <w:tcPr>
            <w:tcW w:w="820" w:type="dxa"/>
            <w:vAlign w:val="bottom"/>
            <w:gridSpan w:val="6"/>
          </w:tcPr>
          <w:p>
            <w:pPr>
              <w:jc w:val="right"/>
              <w:ind w:right="6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162</w:t>
            </w:r>
          </w:p>
        </w:tc>
      </w:tr>
      <w:tr>
        <w:trPr>
          <w:trHeight w:val="459"/>
        </w:trPr>
        <w:tc>
          <w:tcPr>
            <w:tcW w:w="3940" w:type="dxa"/>
            <w:vAlign w:val="bottom"/>
          </w:tcPr>
          <w:p>
            <w:pPr>
              <w:ind w:left="140"/>
              <w:spacing w:after="0"/>
              <w:rPr>
                <w:sz w:val="20"/>
                <w:szCs w:val="20"/>
                <w:color w:val="auto"/>
              </w:rPr>
            </w:pPr>
            <w:r>
              <w:rPr>
                <w:rFonts w:ascii="Arial" w:cs="Arial" w:eastAsia="Arial" w:hAnsi="Arial"/>
                <w:sz w:val="18"/>
                <w:szCs w:val="18"/>
                <w:color w:val="auto"/>
              </w:rPr>
              <w:t>Trade name</w:t>
            </w:r>
          </w:p>
        </w:tc>
        <w:tc>
          <w:tcPr>
            <w:tcW w:w="1520" w:type="dxa"/>
            <w:vAlign w:val="bottom"/>
            <w:gridSpan w:val="6"/>
          </w:tcPr>
          <w:p>
            <w:pPr>
              <w:jc w:val="right"/>
              <w:spacing w:after="0"/>
              <w:rPr>
                <w:sz w:val="20"/>
                <w:szCs w:val="20"/>
                <w:color w:val="auto"/>
              </w:rPr>
            </w:pPr>
            <w:r>
              <w:rPr>
                <w:rFonts w:ascii="Arial" w:cs="Arial" w:eastAsia="Arial" w:hAnsi="Arial"/>
                <w:sz w:val="18"/>
                <w:szCs w:val="18"/>
                <w:color w:val="auto"/>
              </w:rPr>
              <w:t>140</w:t>
            </w:r>
          </w:p>
        </w:tc>
        <w:tc>
          <w:tcPr>
            <w:tcW w:w="820" w:type="dxa"/>
            <w:vAlign w:val="bottom"/>
            <w:gridSpan w:val="6"/>
          </w:tcPr>
          <w:p>
            <w:pPr>
              <w:jc w:val="right"/>
              <w:ind w:right="6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115</w:t>
            </w:r>
          </w:p>
        </w:tc>
      </w:tr>
      <w:tr>
        <w:trPr>
          <w:trHeight w:val="459"/>
        </w:trPr>
        <w:tc>
          <w:tcPr>
            <w:tcW w:w="3940" w:type="dxa"/>
            <w:vAlign w:val="bottom"/>
          </w:tcPr>
          <w:p>
            <w:pPr>
              <w:ind w:left="140"/>
              <w:spacing w:after="0"/>
              <w:rPr>
                <w:sz w:val="20"/>
                <w:szCs w:val="20"/>
                <w:color w:val="auto"/>
              </w:rPr>
            </w:pPr>
            <w:r>
              <w:rPr>
                <w:rFonts w:ascii="Arial" w:cs="Arial" w:eastAsia="Arial" w:hAnsi="Arial"/>
                <w:sz w:val="18"/>
                <w:szCs w:val="18"/>
                <w:color w:val="auto"/>
              </w:rPr>
              <w:t>Customer backlog</w:t>
            </w:r>
          </w:p>
        </w:tc>
        <w:tc>
          <w:tcPr>
            <w:tcW w:w="1520" w:type="dxa"/>
            <w:vAlign w:val="bottom"/>
            <w:gridSpan w:val="6"/>
          </w:tcPr>
          <w:p>
            <w:pPr>
              <w:jc w:val="right"/>
              <w:spacing w:after="0"/>
              <w:rPr>
                <w:sz w:val="20"/>
                <w:szCs w:val="20"/>
                <w:color w:val="auto"/>
              </w:rPr>
            </w:pPr>
            <w:r>
              <w:rPr>
                <w:rFonts w:ascii="Arial" w:cs="Arial" w:eastAsia="Arial" w:hAnsi="Arial"/>
                <w:sz w:val="18"/>
                <w:szCs w:val="18"/>
                <w:color w:val="auto"/>
              </w:rPr>
              <w:t>70</w:t>
            </w:r>
          </w:p>
        </w:tc>
        <w:tc>
          <w:tcPr>
            <w:tcW w:w="820" w:type="dxa"/>
            <w:vAlign w:val="bottom"/>
            <w:gridSpan w:val="6"/>
          </w:tcPr>
          <w:p>
            <w:pPr>
              <w:jc w:val="right"/>
              <w:ind w:right="6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421"/>
        </w:trPr>
        <w:tc>
          <w:tcPr>
            <w:tcW w:w="3940" w:type="dxa"/>
            <w:vAlign w:val="bottom"/>
          </w:tcPr>
          <w:p>
            <w:pPr>
              <w:ind w:left="140"/>
              <w:spacing w:after="0"/>
              <w:rPr>
                <w:sz w:val="20"/>
                <w:szCs w:val="20"/>
                <w:color w:val="auto"/>
              </w:rPr>
            </w:pPr>
            <w:r>
              <w:rPr>
                <w:rFonts w:ascii="Arial" w:cs="Arial" w:eastAsia="Arial" w:hAnsi="Arial"/>
                <w:sz w:val="18"/>
                <w:szCs w:val="18"/>
                <w:color w:val="auto"/>
              </w:rPr>
              <w:t>Non-compete/non-solicitation agreement</w:t>
            </w:r>
          </w:p>
        </w:tc>
        <w:tc>
          <w:tcPr>
            <w:tcW w:w="1080" w:type="dxa"/>
            <w:vAlign w:val="bottom"/>
            <w:gridSpan w:val="2"/>
          </w:tcPr>
          <w:p>
            <w:pPr>
              <w:spacing w:after="0"/>
              <w:rPr>
                <w:sz w:val="24"/>
                <w:szCs w:val="24"/>
                <w:color w:val="auto"/>
              </w:rPr>
            </w:pPr>
          </w:p>
        </w:tc>
        <w:tc>
          <w:tcPr>
            <w:tcW w:w="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48</w:t>
            </w:r>
          </w:p>
        </w:tc>
        <w:tc>
          <w:tcPr>
            <w:tcW w:w="400" w:type="dxa"/>
            <w:vAlign w:val="bottom"/>
            <w:gridSpan w:val="3"/>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w:t>
            </w:r>
          </w:p>
        </w:tc>
      </w:tr>
      <w:tr>
        <w:trPr>
          <w:trHeight w:val="439"/>
        </w:trPr>
        <w:tc>
          <w:tcPr>
            <w:tcW w:w="394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1520" w:type="dxa"/>
            <w:vAlign w:val="bottom"/>
            <w:gridSpan w:val="6"/>
          </w:tcPr>
          <w:p>
            <w:pPr>
              <w:jc w:val="right"/>
              <w:spacing w:after="0"/>
              <w:rPr>
                <w:sz w:val="20"/>
                <w:szCs w:val="20"/>
                <w:color w:val="auto"/>
              </w:rPr>
            </w:pPr>
            <w:r>
              <w:rPr>
                <w:rFonts w:ascii="Arial" w:cs="Arial" w:eastAsia="Arial" w:hAnsi="Arial"/>
                <w:sz w:val="18"/>
                <w:szCs w:val="18"/>
                <w:color w:val="auto"/>
              </w:rPr>
              <w:t>2,598</w:t>
            </w:r>
          </w:p>
        </w:tc>
        <w:tc>
          <w:tcPr>
            <w:tcW w:w="820" w:type="dxa"/>
            <w:vAlign w:val="bottom"/>
            <w:gridSpan w:val="6"/>
          </w:tcPr>
          <w:p>
            <w:pPr>
              <w:jc w:val="right"/>
              <w:ind w:right="60"/>
              <w:spacing w:after="0"/>
              <w:rPr>
                <w:sz w:val="20"/>
                <w:szCs w:val="20"/>
                <w:color w:val="auto"/>
              </w:rPr>
            </w:pPr>
            <w:r>
              <w:rPr>
                <w:rFonts w:ascii="Arial" w:cs="Arial" w:eastAsia="Arial" w:hAnsi="Arial"/>
                <w:sz w:val="18"/>
                <w:szCs w:val="18"/>
                <w:color w:val="auto"/>
              </w:rPr>
              <w:t>808</w:t>
            </w:r>
          </w:p>
        </w:tc>
        <w:tc>
          <w:tcPr>
            <w:tcW w:w="14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1,790</w:t>
            </w:r>
          </w:p>
        </w:tc>
      </w:tr>
      <w:tr>
        <w:trPr>
          <w:trHeight w:val="478"/>
        </w:trPr>
        <w:tc>
          <w:tcPr>
            <w:tcW w:w="394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421"/>
        </w:trPr>
        <w:tc>
          <w:tcPr>
            <w:tcW w:w="3940" w:type="dxa"/>
            <w:vAlign w:val="bottom"/>
          </w:tcPr>
          <w:p>
            <w:pPr>
              <w:ind w:left="140"/>
              <w:spacing w:after="0"/>
              <w:rPr>
                <w:sz w:val="20"/>
                <w:szCs w:val="20"/>
                <w:color w:val="auto"/>
              </w:rPr>
            </w:pPr>
            <w:r>
              <w:rPr>
                <w:rFonts w:ascii="Arial" w:cs="Arial" w:eastAsia="Arial" w:hAnsi="Arial"/>
                <w:sz w:val="18"/>
                <w:szCs w:val="18"/>
                <w:color w:val="auto"/>
              </w:rPr>
              <w:t>Sigma trademark</w:t>
            </w:r>
          </w:p>
        </w:tc>
        <w:tc>
          <w:tcPr>
            <w:tcW w:w="1080" w:type="dxa"/>
            <w:vAlign w:val="bottom"/>
            <w:gridSpan w:val="2"/>
          </w:tcPr>
          <w:p>
            <w:pPr>
              <w:spacing w:after="0"/>
              <w:rPr>
                <w:sz w:val="24"/>
                <w:szCs w:val="24"/>
                <w:color w:val="auto"/>
              </w:rPr>
            </w:pPr>
          </w:p>
        </w:tc>
        <w:tc>
          <w:tcPr>
            <w:tcW w:w="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510</w:t>
            </w:r>
          </w:p>
        </w:tc>
        <w:tc>
          <w:tcPr>
            <w:tcW w:w="480" w:type="dxa"/>
            <w:vAlign w:val="bottom"/>
            <w:gridSpan w:val="4"/>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510</w:t>
            </w:r>
          </w:p>
        </w:tc>
      </w:tr>
      <w:tr>
        <w:trPr>
          <w:trHeight w:val="439"/>
        </w:trPr>
        <w:tc>
          <w:tcPr>
            <w:tcW w:w="39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52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3,108</w:t>
            </w:r>
          </w:p>
        </w:tc>
        <w:tc>
          <w:tcPr>
            <w:tcW w:w="820" w:type="dxa"/>
            <w:vAlign w:val="bottom"/>
            <w:gridSpan w:val="6"/>
          </w:tcPr>
          <w:p>
            <w:pPr>
              <w:jc w:val="right"/>
              <w:ind w:right="60"/>
              <w:spacing w:after="0"/>
              <w:rPr>
                <w:sz w:val="20"/>
                <w:szCs w:val="20"/>
                <w:color w:val="auto"/>
              </w:rPr>
            </w:pPr>
            <w:r>
              <w:rPr>
                <w:rFonts w:ascii="Arial" w:cs="Arial" w:eastAsia="Arial" w:hAnsi="Arial"/>
                <w:sz w:val="18"/>
                <w:szCs w:val="18"/>
                <w:color w:val="auto"/>
              </w:rPr>
              <w:t>$ 808</w:t>
            </w:r>
          </w:p>
        </w:tc>
        <w:tc>
          <w:tcPr>
            <w:tcW w:w="14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2,300</w:t>
            </w:r>
          </w:p>
        </w:tc>
      </w:tr>
      <w:tr>
        <w:trPr>
          <w:trHeight w:val="20"/>
        </w:trPr>
        <w:tc>
          <w:tcPr>
            <w:tcW w:w="3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642"/>
        </w:trPr>
        <w:tc>
          <w:tcPr>
            <w:tcW w:w="3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i w:val="1"/>
                <w:iCs w:val="1"/>
                <w:color w:val="auto"/>
                <w:w w:val="84"/>
              </w:rPr>
              <w:t>December 31, 2011</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8"/>
        </w:trPr>
        <w:tc>
          <w:tcPr>
            <w:tcW w:w="3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0" w:type="dxa"/>
            <w:vAlign w:val="bottom"/>
            <w:gridSpan w:val="5"/>
          </w:tcPr>
          <w:p>
            <w:pPr>
              <w:jc w:val="center"/>
              <w:ind w:right="72"/>
              <w:spacing w:after="0" w:line="158" w:lineRule="exact"/>
              <w:rPr>
                <w:sz w:val="20"/>
                <w:szCs w:val="20"/>
                <w:color w:val="auto"/>
              </w:rPr>
            </w:pPr>
            <w:r>
              <w:rPr>
                <w:rFonts w:ascii="Arial" w:cs="Arial" w:eastAsia="Arial" w:hAnsi="Arial"/>
                <w:sz w:val="14"/>
                <w:szCs w:val="14"/>
                <w:b w:val="1"/>
                <w:bCs w:val="1"/>
                <w:i w:val="1"/>
                <w:iCs w:val="1"/>
                <w:color w:val="auto"/>
                <w:w w:val="78"/>
              </w:rPr>
              <w:t>Gross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i w:val="1"/>
                <w:iCs w:val="1"/>
                <w:color w:val="auto"/>
                <w:w w:val="88"/>
              </w:rPr>
              <w:t>Net</w:t>
            </w:r>
          </w:p>
        </w:tc>
      </w:tr>
      <w:tr>
        <w:trPr>
          <w:trHeight w:val="149"/>
        </w:trPr>
        <w:tc>
          <w:tcPr>
            <w:tcW w:w="3940" w:type="dxa"/>
            <w:vAlign w:val="bottom"/>
          </w:tcPr>
          <w:p>
            <w:pPr>
              <w:spacing w:after="0"/>
              <w:rPr>
                <w:sz w:val="12"/>
                <w:szCs w:val="12"/>
                <w:color w:val="auto"/>
              </w:rPr>
            </w:pPr>
          </w:p>
        </w:tc>
        <w:tc>
          <w:tcPr>
            <w:tcW w:w="1520" w:type="dxa"/>
            <w:vAlign w:val="bottom"/>
            <w:gridSpan w:val="6"/>
          </w:tcPr>
          <w:p>
            <w:pPr>
              <w:jc w:val="center"/>
              <w:ind w:left="736"/>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960" w:type="dxa"/>
            <w:vAlign w:val="bottom"/>
            <w:gridSpan w:val="7"/>
          </w:tcPr>
          <w:p>
            <w:pPr>
              <w:ind w:left="80"/>
              <w:spacing w:after="0" w:line="149" w:lineRule="exact"/>
              <w:rPr>
                <w:sz w:val="20"/>
                <w:szCs w:val="20"/>
                <w:color w:val="auto"/>
              </w:rPr>
            </w:pPr>
            <w:r>
              <w:rPr>
                <w:rFonts w:ascii="Arial" w:cs="Arial" w:eastAsia="Arial" w:hAnsi="Arial"/>
                <w:sz w:val="14"/>
                <w:szCs w:val="14"/>
                <w:b w:val="1"/>
                <w:bCs w:val="1"/>
                <w:i w:val="1"/>
                <w:iCs w:val="1"/>
                <w:color w:val="auto"/>
                <w:w w:val="97"/>
              </w:rPr>
              <w:t>Accumulated</w:t>
            </w:r>
          </w:p>
        </w:tc>
        <w:tc>
          <w:tcPr>
            <w:tcW w:w="5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r>
      <w:tr>
        <w:trPr>
          <w:trHeight w:val="146"/>
        </w:trPr>
        <w:tc>
          <w:tcPr>
            <w:tcW w:w="3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gridSpan w:val="5"/>
          </w:tcPr>
          <w:p>
            <w:pPr>
              <w:jc w:val="center"/>
              <w:ind w:right="52"/>
              <w:spacing w:after="0" w:line="146" w:lineRule="exact"/>
              <w:rPr>
                <w:sz w:val="20"/>
                <w:szCs w:val="20"/>
                <w:color w:val="auto"/>
              </w:rPr>
            </w:pPr>
            <w:r>
              <w:rPr>
                <w:rFonts w:ascii="Arial" w:cs="Arial" w:eastAsia="Arial" w:hAnsi="Arial"/>
                <w:sz w:val="14"/>
                <w:szCs w:val="14"/>
                <w:b w:val="1"/>
                <w:bCs w:val="1"/>
                <w:i w:val="1"/>
                <w:iCs w:val="1"/>
                <w:color w:val="auto"/>
                <w:w w:val="86"/>
              </w:rPr>
              <w:t>Amount</w:t>
            </w:r>
          </w:p>
        </w:tc>
        <w:tc>
          <w:tcPr>
            <w:tcW w:w="960" w:type="dxa"/>
            <w:vAlign w:val="bottom"/>
            <w:gridSpan w:val="7"/>
          </w:tcPr>
          <w:p>
            <w:pPr>
              <w:ind w:left="100"/>
              <w:spacing w:after="0" w:line="146" w:lineRule="exact"/>
              <w:rPr>
                <w:sz w:val="20"/>
                <w:szCs w:val="20"/>
                <w:color w:val="auto"/>
              </w:rPr>
            </w:pPr>
            <w:r>
              <w:rPr>
                <w:rFonts w:ascii="Arial" w:cs="Arial" w:eastAsia="Arial" w:hAnsi="Arial"/>
                <w:sz w:val="14"/>
                <w:szCs w:val="14"/>
                <w:b w:val="1"/>
                <w:bCs w:val="1"/>
                <w:i w:val="1"/>
                <w:iCs w:val="1"/>
                <w:color w:val="auto"/>
                <w:w w:val="98"/>
              </w:rPr>
              <w:t>Amortization</w:t>
            </w:r>
          </w:p>
        </w:tc>
        <w:tc>
          <w:tcPr>
            <w:tcW w:w="580" w:type="dxa"/>
            <w:vAlign w:val="bottom"/>
            <w:gridSpan w:val="4"/>
          </w:tcPr>
          <w:p>
            <w:pPr>
              <w:jc w:val="center"/>
              <w:ind w:right="40"/>
              <w:spacing w:after="0" w:line="146" w:lineRule="exact"/>
              <w:rPr>
                <w:sz w:val="20"/>
                <w:szCs w:val="20"/>
                <w:color w:val="auto"/>
              </w:rPr>
            </w:pPr>
            <w:r>
              <w:rPr>
                <w:rFonts w:ascii="Arial" w:cs="Arial" w:eastAsia="Arial" w:hAnsi="Arial"/>
                <w:sz w:val="14"/>
                <w:szCs w:val="14"/>
                <w:b w:val="1"/>
                <w:bCs w:val="1"/>
                <w:i w:val="1"/>
                <w:iCs w:val="1"/>
                <w:color w:val="auto"/>
                <w:w w:val="86"/>
              </w:rPr>
              <w:t>Amount</w:t>
            </w:r>
          </w:p>
        </w:tc>
      </w:tr>
      <w:tr>
        <w:trPr>
          <w:trHeight w:val="235"/>
        </w:trPr>
        <w:tc>
          <w:tcPr>
            <w:tcW w:w="394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9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394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520" w:type="dxa"/>
            <w:vAlign w:val="bottom"/>
            <w:gridSpan w:val="6"/>
          </w:tcPr>
          <w:p>
            <w:pPr>
              <w:jc w:val="right"/>
              <w:spacing w:after="0"/>
              <w:rPr>
                <w:sz w:val="20"/>
                <w:szCs w:val="20"/>
                <w:color w:val="auto"/>
              </w:rPr>
            </w:pPr>
            <w:r>
              <w:rPr>
                <w:rFonts w:ascii="Arial" w:cs="Arial" w:eastAsia="Arial" w:hAnsi="Arial"/>
                <w:sz w:val="18"/>
                <w:szCs w:val="18"/>
                <w:color w:val="auto"/>
              </w:rPr>
              <w:t>$  370</w:t>
            </w:r>
          </w:p>
        </w:tc>
        <w:tc>
          <w:tcPr>
            <w:tcW w:w="820" w:type="dxa"/>
            <w:vAlign w:val="bottom"/>
            <w:gridSpan w:val="6"/>
          </w:tcPr>
          <w:p>
            <w:pPr>
              <w:jc w:val="right"/>
              <w:ind w:right="60"/>
              <w:spacing w:after="0"/>
              <w:rPr>
                <w:sz w:val="20"/>
                <w:szCs w:val="20"/>
                <w:color w:val="auto"/>
              </w:rPr>
            </w:pPr>
            <w:r>
              <w:rPr>
                <w:rFonts w:ascii="Arial" w:cs="Arial" w:eastAsia="Arial" w:hAnsi="Arial"/>
                <w:sz w:val="18"/>
                <w:szCs w:val="18"/>
                <w:color w:val="auto"/>
              </w:rPr>
              <w:t>$  200</w:t>
            </w:r>
          </w:p>
        </w:tc>
        <w:tc>
          <w:tcPr>
            <w:tcW w:w="14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  170</w:t>
            </w:r>
          </w:p>
        </w:tc>
      </w:tr>
      <w:tr>
        <w:trPr>
          <w:trHeight w:val="459"/>
        </w:trPr>
        <w:tc>
          <w:tcPr>
            <w:tcW w:w="394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1520" w:type="dxa"/>
            <w:vAlign w:val="bottom"/>
            <w:gridSpan w:val="6"/>
          </w:tcPr>
          <w:p>
            <w:pPr>
              <w:jc w:val="right"/>
              <w:spacing w:after="0"/>
              <w:rPr>
                <w:sz w:val="20"/>
                <w:szCs w:val="20"/>
                <w:color w:val="auto"/>
              </w:rPr>
            </w:pPr>
            <w:r>
              <w:rPr>
                <w:rFonts w:ascii="Arial" w:cs="Arial" w:eastAsia="Arial" w:hAnsi="Arial"/>
                <w:sz w:val="18"/>
                <w:szCs w:val="18"/>
                <w:color w:val="auto"/>
              </w:rPr>
              <w:t>230</w:t>
            </w:r>
          </w:p>
        </w:tc>
        <w:tc>
          <w:tcPr>
            <w:tcW w:w="820" w:type="dxa"/>
            <w:vAlign w:val="bottom"/>
            <w:gridSpan w:val="6"/>
          </w:tcPr>
          <w:p>
            <w:pPr>
              <w:jc w:val="right"/>
              <w:ind w:right="6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80</w:t>
            </w:r>
          </w:p>
        </w:tc>
      </w:tr>
      <w:tr>
        <w:trPr>
          <w:trHeight w:val="421"/>
        </w:trPr>
        <w:tc>
          <w:tcPr>
            <w:tcW w:w="3940" w:type="dxa"/>
            <w:vAlign w:val="bottom"/>
          </w:tcPr>
          <w:p>
            <w:pPr>
              <w:ind w:left="140"/>
              <w:spacing w:after="0"/>
              <w:rPr>
                <w:sz w:val="20"/>
                <w:szCs w:val="20"/>
                <w:color w:val="auto"/>
              </w:rPr>
            </w:pPr>
            <w:r>
              <w:rPr>
                <w:rFonts w:ascii="Arial" w:cs="Arial" w:eastAsia="Arial" w:hAnsi="Arial"/>
                <w:sz w:val="18"/>
                <w:szCs w:val="18"/>
                <w:color w:val="auto"/>
              </w:rPr>
              <w:t>Software</w:t>
            </w:r>
          </w:p>
        </w:tc>
        <w:tc>
          <w:tcPr>
            <w:tcW w:w="1080" w:type="dxa"/>
            <w:vAlign w:val="bottom"/>
            <w:gridSpan w:val="2"/>
          </w:tcPr>
          <w:p>
            <w:pPr>
              <w:spacing w:after="0"/>
              <w:rPr>
                <w:sz w:val="24"/>
                <w:szCs w:val="24"/>
                <w:color w:val="auto"/>
              </w:rPr>
            </w:pPr>
          </w:p>
        </w:tc>
        <w:tc>
          <w:tcPr>
            <w:tcW w:w="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270</w:t>
            </w:r>
          </w:p>
        </w:tc>
        <w:tc>
          <w:tcPr>
            <w:tcW w:w="360" w:type="dxa"/>
            <w:vAlign w:val="bottom"/>
            <w:gridSpan w:val="2"/>
          </w:tcPr>
          <w:p>
            <w:pPr>
              <w:spacing w:after="0"/>
              <w:rPr>
                <w:sz w:val="24"/>
                <w:szCs w:val="24"/>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182</w:t>
            </w:r>
          </w:p>
        </w:tc>
      </w:tr>
    </w:tbl>
    <w:p>
      <w:pPr>
        <w:sectPr>
          <w:pgSz w:w="11900" w:h="16838" w:orient="portrait"/>
          <w:cols w:equalWidth="0" w:num="1">
            <w:col w:w="11380"/>
          </w:cols>
          <w:pgMar w:left="240" w:top="158" w:right="279" w:bottom="0" w:gutter="0" w:footer="0" w:header="0"/>
        </w:sectPr>
      </w:pPr>
    </w:p>
    <w:bookmarkStart w:id="10" w:name="page11"/>
    <w:bookmarkEnd w:id="10"/>
    <w:p>
      <w:pPr>
        <w:spacing w:after="0" w:line="1"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502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440" w:type="dxa"/>
            <w:vAlign w:val="bottom"/>
          </w:tcPr>
          <w:p>
            <w:pPr>
              <w:jc w:val="right"/>
              <w:spacing w:after="0"/>
              <w:rPr>
                <w:sz w:val="20"/>
                <w:szCs w:val="20"/>
                <w:color w:val="auto"/>
              </w:rPr>
            </w:pPr>
            <w:r>
              <w:rPr>
                <w:rFonts w:ascii="Arial" w:cs="Arial" w:eastAsia="Arial" w:hAnsi="Arial"/>
                <w:sz w:val="18"/>
                <w:szCs w:val="18"/>
                <w:color w:val="auto"/>
              </w:rPr>
              <w:t>870</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438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432</w:t>
            </w:r>
          </w:p>
        </w:tc>
      </w:tr>
      <w:tr>
        <w:trPr>
          <w:trHeight w:val="478"/>
        </w:trPr>
        <w:tc>
          <w:tcPr>
            <w:tcW w:w="502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4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r>
      <w:tr>
        <w:trPr>
          <w:trHeight w:val="421"/>
        </w:trPr>
        <w:tc>
          <w:tcPr>
            <w:tcW w:w="5020" w:type="dxa"/>
            <w:vAlign w:val="bottom"/>
          </w:tcPr>
          <w:p>
            <w:pPr>
              <w:ind w:left="140"/>
              <w:spacing w:after="0"/>
              <w:rPr>
                <w:sz w:val="20"/>
                <w:szCs w:val="20"/>
                <w:color w:val="auto"/>
              </w:rPr>
            </w:pPr>
            <w:r>
              <w:rPr>
                <w:rFonts w:ascii="Arial" w:cs="Arial" w:eastAsia="Arial" w:hAnsi="Arial"/>
                <w:sz w:val="18"/>
                <w:szCs w:val="18"/>
                <w:color w:val="auto"/>
              </w:rPr>
              <w:t>Sigma trademark</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36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r>
      <w:tr>
        <w:trPr>
          <w:trHeight w:val="439"/>
        </w:trPr>
        <w:tc>
          <w:tcPr>
            <w:tcW w:w="502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440" w:type="dxa"/>
            <w:vAlign w:val="bottom"/>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1,380</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  438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942</w:t>
            </w:r>
          </w:p>
        </w:tc>
      </w:tr>
      <w:tr>
        <w:trPr>
          <w:trHeight w:val="20"/>
        </w:trPr>
        <w:tc>
          <w:tcPr>
            <w:tcW w:w="50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 The following table provides further information about the estimated useful lives of our finite-lived intangible assets as of September 30, 2012:</w:t>
      </w:r>
    </w:p>
    <w:p>
      <w:pPr>
        <w:spacing w:after="0" w:line="165"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6"/>
              </w:rPr>
              <w:t>Remaining</w:t>
            </w:r>
          </w:p>
        </w:tc>
      </w:tr>
      <w:tr>
        <w:trPr>
          <w:trHeight w:val="149"/>
        </w:trPr>
        <w:tc>
          <w:tcPr>
            <w:tcW w:w="5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Estimated</w:t>
            </w:r>
          </w:p>
        </w:tc>
      </w:tr>
      <w:tr>
        <w:trPr>
          <w:trHeight w:val="149"/>
        </w:trPr>
        <w:tc>
          <w:tcPr>
            <w:tcW w:w="58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i w:val="1"/>
                <w:iCs w:val="1"/>
                <w:color w:val="auto"/>
                <w:w w:val="86"/>
              </w:rPr>
              <w:t>Estimated</w:t>
            </w:r>
          </w:p>
        </w:tc>
        <w:tc>
          <w:tcPr>
            <w:tcW w:w="2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Useful Life at</w:t>
            </w:r>
          </w:p>
        </w:tc>
      </w:tr>
      <w:tr>
        <w:trPr>
          <w:trHeight w:val="146"/>
        </w:trPr>
        <w:tc>
          <w:tcPr>
            <w:tcW w:w="588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i w:val="1"/>
                <w:iCs w:val="1"/>
                <w:color w:val="auto"/>
                <w:w w:val="86"/>
              </w:rPr>
              <w:t>Useful Life</w:t>
            </w:r>
          </w:p>
        </w:tc>
        <w:tc>
          <w:tcPr>
            <w:tcW w:w="20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4"/>
              </w:rPr>
              <w:t>Sept. 30, 2012</w:t>
            </w:r>
          </w:p>
        </w:tc>
      </w:tr>
      <w:tr>
        <w:trPr>
          <w:trHeight w:val="182"/>
        </w:trPr>
        <w:tc>
          <w:tcPr>
            <w:tcW w:w="5880" w:type="dxa"/>
            <w:vAlign w:val="bottom"/>
          </w:tcPr>
          <w:p>
            <w:pPr>
              <w:spacing w:after="0"/>
              <w:rPr>
                <w:sz w:val="15"/>
                <w:szCs w:val="15"/>
                <w:color w:val="auto"/>
              </w:rPr>
            </w:pPr>
          </w:p>
        </w:tc>
        <w:tc>
          <w:tcPr>
            <w:tcW w:w="1620" w:type="dxa"/>
            <w:vAlign w:val="bottom"/>
            <w:gridSpan w:val="3"/>
          </w:tcPr>
          <w:p>
            <w:pPr>
              <w:jc w:val="right"/>
              <w:ind w:right="132"/>
              <w:spacing w:after="0"/>
              <w:rPr>
                <w:sz w:val="20"/>
                <w:szCs w:val="20"/>
                <w:color w:val="auto"/>
              </w:rPr>
            </w:pPr>
            <w:r>
              <w:rPr>
                <w:rFonts w:ascii="Arial" w:cs="Arial" w:eastAsia="Arial" w:hAnsi="Arial"/>
                <w:sz w:val="14"/>
                <w:szCs w:val="14"/>
                <w:color w:val="auto"/>
              </w:rPr>
              <w:t>- - - - (in months) - - - -</w:t>
            </w:r>
          </w:p>
        </w:tc>
      </w:tr>
      <w:tr>
        <w:trPr>
          <w:trHeight w:val="296"/>
        </w:trPr>
        <w:tc>
          <w:tcPr>
            <w:tcW w:w="5880" w:type="dxa"/>
            <w:vAlign w:val="bottom"/>
          </w:tcPr>
          <w:p>
            <w:pPr>
              <w:spacing w:after="0"/>
              <w:rPr>
                <w:sz w:val="20"/>
                <w:szCs w:val="20"/>
                <w:color w:val="auto"/>
              </w:rPr>
            </w:pPr>
            <w:r>
              <w:rPr>
                <w:rFonts w:ascii="Arial" w:cs="Arial" w:eastAsia="Arial" w:hAnsi="Arial"/>
                <w:sz w:val="18"/>
                <w:szCs w:val="18"/>
                <w:color w:val="auto"/>
              </w:rPr>
              <w:t>Finite-lived intangible assets resulting from the acquisition of Sigma:</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59"/>
        </w:trPr>
        <w:tc>
          <w:tcPr>
            <w:tcW w:w="588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980" w:type="dxa"/>
            <w:vAlign w:val="bottom"/>
            <w:gridSpan w:val="2"/>
          </w:tcPr>
          <w:p>
            <w:pPr>
              <w:jc w:val="right"/>
              <w:ind w:right="52"/>
              <w:spacing w:after="0"/>
              <w:rPr>
                <w:sz w:val="20"/>
                <w:szCs w:val="20"/>
                <w:color w:val="auto"/>
              </w:rPr>
            </w:pPr>
            <w:r>
              <w:rPr>
                <w:rFonts w:ascii="Arial" w:cs="Arial" w:eastAsia="Arial" w:hAnsi="Arial"/>
                <w:sz w:val="18"/>
                <w:szCs w:val="18"/>
                <w:color w:val="auto"/>
              </w:rPr>
              <w:t>24</w:t>
            </w:r>
          </w:p>
        </w:tc>
      </w:tr>
      <w:tr>
        <w:trPr>
          <w:trHeight w:val="459"/>
        </w:trPr>
        <w:tc>
          <w:tcPr>
            <w:tcW w:w="5880" w:type="dxa"/>
            <w:vAlign w:val="bottom"/>
          </w:tcPr>
          <w:p>
            <w:pPr>
              <w:ind w:left="140"/>
              <w:spacing w:after="0"/>
              <w:rPr>
                <w:sz w:val="20"/>
                <w:szCs w:val="20"/>
                <w:color w:val="auto"/>
              </w:rPr>
            </w:pPr>
            <w:r>
              <w:rPr>
                <w:rFonts w:ascii="Arial" w:cs="Arial" w:eastAsia="Arial" w:hAnsi="Arial"/>
                <w:sz w:val="18"/>
                <w:szCs w:val="18"/>
                <w:color w:val="auto"/>
              </w:rPr>
              <w:t>Software</w:t>
            </w:r>
          </w:p>
        </w:tc>
        <w:tc>
          <w:tcPr>
            <w:tcW w:w="640" w:type="dxa"/>
            <w:vAlign w:val="bottom"/>
          </w:tcPr>
          <w:p>
            <w:pPr>
              <w:jc w:val="right"/>
              <w:spacing w:after="0"/>
              <w:rPr>
                <w:sz w:val="20"/>
                <w:szCs w:val="20"/>
                <w:color w:val="auto"/>
              </w:rPr>
            </w:pPr>
            <w:r>
              <w:rPr>
                <w:rFonts w:ascii="Arial" w:cs="Arial" w:eastAsia="Arial" w:hAnsi="Arial"/>
                <w:sz w:val="18"/>
                <w:szCs w:val="18"/>
                <w:color w:val="auto"/>
              </w:rPr>
              <w:t>120</w:t>
            </w:r>
          </w:p>
        </w:tc>
        <w:tc>
          <w:tcPr>
            <w:tcW w:w="980" w:type="dxa"/>
            <w:vAlign w:val="bottom"/>
            <w:gridSpan w:val="2"/>
          </w:tcPr>
          <w:p>
            <w:pPr>
              <w:jc w:val="right"/>
              <w:ind w:right="52"/>
              <w:spacing w:after="0"/>
              <w:rPr>
                <w:sz w:val="20"/>
                <w:szCs w:val="20"/>
                <w:color w:val="auto"/>
              </w:rPr>
            </w:pPr>
            <w:r>
              <w:rPr>
                <w:rFonts w:ascii="Arial" w:cs="Arial" w:eastAsia="Arial" w:hAnsi="Arial"/>
                <w:sz w:val="18"/>
                <w:szCs w:val="18"/>
                <w:color w:val="auto"/>
              </w:rPr>
              <w:t>72</w:t>
            </w:r>
          </w:p>
        </w:tc>
      </w:tr>
      <w:tr>
        <w:trPr>
          <w:trHeight w:val="459"/>
        </w:trPr>
        <w:tc>
          <w:tcPr>
            <w:tcW w:w="588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980" w:type="dxa"/>
            <w:vAlign w:val="bottom"/>
            <w:gridSpan w:val="2"/>
          </w:tcPr>
          <w:p>
            <w:pPr>
              <w:jc w:val="right"/>
              <w:ind w:right="52"/>
              <w:spacing w:after="0"/>
              <w:rPr>
                <w:sz w:val="20"/>
                <w:szCs w:val="20"/>
                <w:color w:val="auto"/>
              </w:rPr>
            </w:pPr>
            <w:r>
              <w:rPr>
                <w:rFonts w:ascii="Arial" w:cs="Arial" w:eastAsia="Arial" w:hAnsi="Arial"/>
                <w:sz w:val="18"/>
                <w:szCs w:val="18"/>
                <w:color w:val="auto"/>
              </w:rPr>
              <w:t>12</w:t>
            </w:r>
          </w:p>
        </w:tc>
      </w:tr>
      <w:tr>
        <w:trPr>
          <w:trHeight w:val="459"/>
        </w:trPr>
        <w:tc>
          <w:tcPr>
            <w:tcW w:w="5880" w:type="dxa"/>
            <w:vAlign w:val="bottom"/>
          </w:tcPr>
          <w:p>
            <w:pPr>
              <w:spacing w:after="0"/>
              <w:rPr>
                <w:sz w:val="20"/>
                <w:szCs w:val="20"/>
                <w:color w:val="auto"/>
              </w:rPr>
            </w:pPr>
            <w:r>
              <w:rPr>
                <w:rFonts w:ascii="Arial" w:cs="Arial" w:eastAsia="Arial" w:hAnsi="Arial"/>
                <w:sz w:val="18"/>
                <w:szCs w:val="18"/>
                <w:color w:val="auto"/>
              </w:rPr>
              <w:t>Finite-lived intangible assets resulting from the acquisition of Thermonics:</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59"/>
        </w:trPr>
        <w:tc>
          <w:tcPr>
            <w:tcW w:w="588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980" w:type="dxa"/>
            <w:vAlign w:val="bottom"/>
            <w:gridSpan w:val="2"/>
          </w:tcPr>
          <w:p>
            <w:pPr>
              <w:jc w:val="right"/>
              <w:ind w:right="52"/>
              <w:spacing w:after="0"/>
              <w:rPr>
                <w:sz w:val="20"/>
                <w:szCs w:val="20"/>
                <w:color w:val="auto"/>
              </w:rPr>
            </w:pPr>
            <w:r>
              <w:rPr>
                <w:rFonts w:ascii="Arial" w:cs="Arial" w:eastAsia="Arial" w:hAnsi="Arial"/>
                <w:sz w:val="18"/>
                <w:szCs w:val="18"/>
                <w:color w:val="auto"/>
              </w:rPr>
              <w:t>63.5</w:t>
            </w:r>
          </w:p>
        </w:tc>
      </w:tr>
      <w:tr>
        <w:trPr>
          <w:trHeight w:val="459"/>
        </w:trPr>
        <w:tc>
          <w:tcPr>
            <w:tcW w:w="5880" w:type="dxa"/>
            <w:vAlign w:val="bottom"/>
          </w:tcPr>
          <w:p>
            <w:pPr>
              <w:ind w:left="140"/>
              <w:spacing w:after="0"/>
              <w:rPr>
                <w:sz w:val="20"/>
                <w:szCs w:val="20"/>
                <w:color w:val="auto"/>
              </w:rPr>
            </w:pPr>
            <w:r>
              <w:rPr>
                <w:rFonts w:ascii="Arial" w:cs="Arial" w:eastAsia="Arial" w:hAnsi="Arial"/>
                <w:sz w:val="18"/>
                <w:szCs w:val="18"/>
                <w:color w:val="auto"/>
              </w:rPr>
              <w:t>Customer backlog</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r>
      <w:tr>
        <w:trPr>
          <w:trHeight w:val="459"/>
        </w:trPr>
        <w:tc>
          <w:tcPr>
            <w:tcW w:w="5880" w:type="dxa"/>
            <w:vAlign w:val="bottom"/>
          </w:tcPr>
          <w:p>
            <w:pPr>
              <w:ind w:left="140"/>
              <w:spacing w:after="0"/>
              <w:rPr>
                <w:sz w:val="20"/>
                <w:szCs w:val="20"/>
                <w:color w:val="auto"/>
              </w:rPr>
            </w:pPr>
            <w:r>
              <w:rPr>
                <w:rFonts w:ascii="Arial" w:cs="Arial" w:eastAsia="Arial" w:hAnsi="Arial"/>
                <w:sz w:val="18"/>
                <w:szCs w:val="18"/>
                <w:color w:val="auto"/>
              </w:rPr>
              <w:t>Trade name</w:t>
            </w: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980" w:type="dxa"/>
            <w:vAlign w:val="bottom"/>
            <w:gridSpan w:val="2"/>
          </w:tcPr>
          <w:p>
            <w:pPr>
              <w:jc w:val="right"/>
              <w:ind w:right="52"/>
              <w:spacing w:after="0"/>
              <w:rPr>
                <w:sz w:val="20"/>
                <w:szCs w:val="20"/>
                <w:color w:val="auto"/>
              </w:rPr>
            </w:pPr>
            <w:r>
              <w:rPr>
                <w:rFonts w:ascii="Arial" w:cs="Arial" w:eastAsia="Arial" w:hAnsi="Arial"/>
                <w:sz w:val="18"/>
                <w:szCs w:val="18"/>
                <w:color w:val="auto"/>
              </w:rPr>
              <w:t>39.5</w:t>
            </w:r>
          </w:p>
        </w:tc>
      </w:tr>
      <w:tr>
        <w:trPr>
          <w:trHeight w:val="459"/>
        </w:trPr>
        <w:tc>
          <w:tcPr>
            <w:tcW w:w="588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640" w:type="dxa"/>
            <w:vAlign w:val="bottom"/>
          </w:tcPr>
          <w:p>
            <w:pPr>
              <w:jc w:val="right"/>
              <w:spacing w:after="0"/>
              <w:rPr>
                <w:sz w:val="20"/>
                <w:szCs w:val="20"/>
                <w:color w:val="auto"/>
              </w:rPr>
            </w:pPr>
            <w:r>
              <w:rPr>
                <w:rFonts w:ascii="Arial" w:cs="Arial" w:eastAsia="Arial" w:hAnsi="Arial"/>
                <w:sz w:val="18"/>
                <w:szCs w:val="18"/>
                <w:color w:val="auto"/>
              </w:rPr>
              <w:t>132</w:t>
            </w:r>
          </w:p>
        </w:tc>
        <w:tc>
          <w:tcPr>
            <w:tcW w:w="980" w:type="dxa"/>
            <w:vAlign w:val="bottom"/>
            <w:gridSpan w:val="2"/>
          </w:tcPr>
          <w:p>
            <w:pPr>
              <w:jc w:val="right"/>
              <w:ind w:right="52"/>
              <w:spacing w:after="0"/>
              <w:rPr>
                <w:sz w:val="20"/>
                <w:szCs w:val="20"/>
                <w:color w:val="auto"/>
              </w:rPr>
            </w:pPr>
            <w:r>
              <w:rPr>
                <w:rFonts w:ascii="Arial" w:cs="Arial" w:eastAsia="Arial" w:hAnsi="Arial"/>
                <w:sz w:val="18"/>
                <w:szCs w:val="18"/>
                <w:color w:val="auto"/>
              </w:rPr>
              <w:t>123.5</w:t>
            </w:r>
          </w:p>
        </w:tc>
      </w:tr>
      <w:tr>
        <w:trPr>
          <w:trHeight w:val="459"/>
        </w:trPr>
        <w:tc>
          <w:tcPr>
            <w:tcW w:w="5880" w:type="dxa"/>
            <w:vAlign w:val="bottom"/>
          </w:tcPr>
          <w:p>
            <w:pPr>
              <w:ind w:left="140"/>
              <w:spacing w:after="0"/>
              <w:rPr>
                <w:sz w:val="20"/>
                <w:szCs w:val="20"/>
                <w:color w:val="auto"/>
              </w:rPr>
            </w:pPr>
            <w:r>
              <w:rPr>
                <w:rFonts w:ascii="Arial" w:cs="Arial" w:eastAsia="Arial" w:hAnsi="Arial"/>
                <w:sz w:val="18"/>
                <w:szCs w:val="18"/>
                <w:color w:val="auto"/>
              </w:rPr>
              <w:t>Non-compete/non-solicitation agreement</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980" w:type="dxa"/>
            <w:vAlign w:val="bottom"/>
            <w:gridSpan w:val="2"/>
          </w:tcPr>
          <w:p>
            <w:pPr>
              <w:jc w:val="right"/>
              <w:ind w:right="52"/>
              <w:spacing w:after="0"/>
              <w:rPr>
                <w:sz w:val="20"/>
                <w:szCs w:val="20"/>
                <w:color w:val="auto"/>
              </w:rPr>
            </w:pPr>
            <w:r>
              <w:rPr>
                <w:rFonts w:ascii="Arial" w:cs="Arial" w:eastAsia="Arial" w:hAnsi="Arial"/>
                <w:sz w:val="18"/>
                <w:szCs w:val="18"/>
                <w:color w:val="auto"/>
              </w:rPr>
              <w:t>12</w:t>
            </w:r>
          </w:p>
        </w:tc>
      </w:tr>
    </w:tbl>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- 12 -</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GOODWILL AND INTANGIBLE ASSETS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table sets forth changes in the amount of the carrying value of finite-lived intangible assets for the nine months ended September 30, 2012:</w:t>
      </w:r>
    </w:p>
    <w:p>
      <w:pPr>
        <w:spacing w:after="0" w:line="233"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Balance - January 1, 2012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432</w:t>
            </w:r>
          </w:p>
        </w:tc>
        <w:tc>
          <w:tcPr>
            <w:tcW w:w="40" w:type="dxa"/>
            <w:vAlign w:val="bottom"/>
          </w:tcPr>
          <w:p>
            <w:pPr>
              <w:spacing w:after="0"/>
              <w:rPr>
                <w:sz w:val="19"/>
                <w:szCs w:val="19"/>
                <w:color w:val="auto"/>
              </w:rPr>
            </w:pPr>
          </w:p>
        </w:tc>
      </w:tr>
      <w:tr>
        <w:trPr>
          <w:trHeight w:val="459"/>
        </w:trPr>
        <w:tc>
          <w:tcPr>
            <w:tcW w:w="4040" w:type="dxa"/>
            <w:vAlign w:val="bottom"/>
          </w:tcPr>
          <w:p>
            <w:pPr>
              <w:spacing w:after="0"/>
              <w:rPr>
                <w:sz w:val="20"/>
                <w:szCs w:val="20"/>
                <w:color w:val="auto"/>
              </w:rPr>
            </w:pPr>
            <w:r>
              <w:rPr>
                <w:rFonts w:ascii="Arial" w:cs="Arial" w:eastAsia="Arial" w:hAnsi="Arial"/>
                <w:sz w:val="18"/>
                <w:szCs w:val="18"/>
                <w:color w:val="auto"/>
              </w:rPr>
              <w:t>Acquisition of Thermonics</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1,728</w:t>
            </w:r>
          </w:p>
        </w:tc>
        <w:tc>
          <w:tcPr>
            <w:tcW w:w="40" w:type="dxa"/>
            <w:vAlign w:val="bottom"/>
          </w:tcPr>
          <w:p>
            <w:pPr>
              <w:spacing w:after="0"/>
              <w:rPr>
                <w:sz w:val="24"/>
                <w:szCs w:val="24"/>
                <w:color w:val="auto"/>
              </w:rPr>
            </w:pPr>
          </w:p>
        </w:tc>
      </w:tr>
      <w:tr>
        <w:trPr>
          <w:trHeight w:val="421"/>
        </w:trPr>
        <w:tc>
          <w:tcPr>
            <w:tcW w:w="4040" w:type="dxa"/>
            <w:vAlign w:val="bottom"/>
          </w:tcPr>
          <w:p>
            <w:pPr>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9"/>
              </w:rPr>
              <w:t>(370)</w:t>
            </w:r>
          </w:p>
        </w:tc>
      </w:tr>
      <w:tr>
        <w:trPr>
          <w:trHeight w:val="20"/>
        </w:trPr>
        <w:tc>
          <w:tcPr>
            <w:tcW w:w="40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040" w:type="dxa"/>
            <w:vAlign w:val="bottom"/>
          </w:tcPr>
          <w:p>
            <w:pPr>
              <w:spacing w:after="0"/>
              <w:rPr>
                <w:sz w:val="20"/>
                <w:szCs w:val="20"/>
                <w:color w:val="auto"/>
              </w:rPr>
            </w:pPr>
            <w:r>
              <w:rPr>
                <w:rFonts w:ascii="Arial" w:cs="Arial" w:eastAsia="Arial" w:hAnsi="Arial"/>
                <w:sz w:val="18"/>
                <w:szCs w:val="18"/>
                <w:color w:val="auto"/>
              </w:rPr>
              <w:t>Balance - September 30, 2012</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1,790</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right="220"/>
        <w:spacing w:after="0" w:line="259" w:lineRule="auto"/>
        <w:rPr>
          <w:sz w:val="20"/>
          <w:szCs w:val="20"/>
          <w:color w:val="auto"/>
        </w:rPr>
      </w:pPr>
      <w:r>
        <w:rPr>
          <w:rFonts w:ascii="Arial" w:cs="Arial" w:eastAsia="Arial" w:hAnsi="Arial"/>
          <w:sz w:val="18"/>
          <w:szCs w:val="18"/>
          <w:color w:val="auto"/>
        </w:rPr>
        <w:t>Total amortization expense for the nine months ended September 30, 2012 and 2011 was $370 and $101, respectively. Total estimated amortization expense for 2012 is $476. The following table sets forth the estimated annual amortization expense for our finite-lived intangible assets for each of the next five years:</w:t>
      </w:r>
    </w:p>
    <w:p>
      <w:pPr>
        <w:spacing w:after="0" w:line="208" w:lineRule="exact"/>
        <w:rPr>
          <w:sz w:val="20"/>
          <w:szCs w:val="20"/>
          <w:color w:val="auto"/>
        </w:rPr>
      </w:pPr>
    </w:p>
    <w:tbl>
      <w:tblPr>
        <w:tblLayout w:type="fixed"/>
        <w:tblInd w:w="2180" w:type="dxa"/>
        <w:tblCellMar>
          <w:top w:w="0" w:type="dxa"/>
          <w:left w:w="0" w:type="dxa"/>
          <w:bottom w:w="0" w:type="dxa"/>
          <w:right w:w="0" w:type="dxa"/>
        </w:tblCellMar>
      </w:tblPr>
      <w:tr>
        <w:trPr>
          <w:trHeight w:val="222"/>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2013</w:t>
            </w:r>
          </w:p>
        </w:tc>
        <w:tc>
          <w:tcPr>
            <w:tcW w:w="146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2014</w:t>
            </w:r>
          </w:p>
        </w:tc>
        <w:tc>
          <w:tcPr>
            <w:tcW w:w="146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2015</w:t>
            </w:r>
          </w:p>
        </w:tc>
        <w:tc>
          <w:tcPr>
            <w:tcW w:w="146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2016</w:t>
            </w:r>
          </w:p>
        </w:tc>
        <w:tc>
          <w:tcPr>
            <w:tcW w:w="146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2017</w:t>
            </w:r>
          </w:p>
        </w:tc>
        <w:tc>
          <w:tcPr>
            <w:tcW w:w="1460" w:type="dxa"/>
            <w:vAlign w:val="bottom"/>
          </w:tcPr>
          <w:p>
            <w:pPr>
              <w:jc w:val="right"/>
              <w:spacing w:after="0"/>
              <w:rPr>
                <w:sz w:val="20"/>
                <w:szCs w:val="20"/>
                <w:color w:val="auto"/>
              </w:rPr>
            </w:pPr>
            <w:r>
              <w:rPr>
                <w:rFonts w:ascii="Arial" w:cs="Arial" w:eastAsia="Arial" w:hAnsi="Arial"/>
                <w:sz w:val="18"/>
                <w:szCs w:val="18"/>
                <w:color w:val="auto"/>
              </w:rPr>
              <w:t>$212</w:t>
            </w:r>
          </w:p>
        </w:tc>
      </w:tr>
    </w:tbl>
    <w:p>
      <w:pPr>
        <w:sectPr>
          <w:pgSz w:w="11900" w:h="16838" w:orient="portrait"/>
          <w:cols w:equalWidth="0" w:num="1">
            <w:col w:w="11340"/>
          </w:cols>
          <w:pgMar w:left="240" w:top="135" w:right="319" w:bottom="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(5) RESTRUCTURING AND OTHER CHARGES</w:t>
      </w:r>
    </w:p>
    <w:p>
      <w:pPr>
        <w:spacing w:after="0" w:line="191" w:lineRule="exact"/>
        <w:rPr>
          <w:sz w:val="20"/>
          <w:szCs w:val="20"/>
          <w:color w:val="auto"/>
        </w:rPr>
      </w:pPr>
    </w:p>
    <w:p>
      <w:pPr>
        <w:ind w:left="540" w:right="60"/>
        <w:spacing w:after="0" w:line="291" w:lineRule="auto"/>
        <w:rPr>
          <w:sz w:val="20"/>
          <w:szCs w:val="20"/>
          <w:color w:val="auto"/>
        </w:rPr>
      </w:pPr>
      <w:r>
        <w:rPr>
          <w:rFonts w:ascii="Arial" w:cs="Arial" w:eastAsia="Arial" w:hAnsi="Arial"/>
          <w:sz w:val="16"/>
          <w:szCs w:val="16"/>
          <w:color w:val="auto"/>
        </w:rPr>
        <w:t>In connection with the acquisition of Thermonics, as discussed further in Note 3, we signed a separate one year lease for the facility in Sunnyvale, California occupied by Thermonics at the time of the acquisition. This facility is owned by the seller. We ceased operations at this facility in February 2012 and relocated the Thermonics product line to our facility in Mansfield, Massachusetts where our Temptronic operations are located. During the first quarter of 2012, we incurred approximately $359 of facility closure costs related to this action. These costs included lease termination fees of approximately $220 and other costs associated with this consolidation of facilities, including the cost to relocate inventory and equipment, of approximately $139. Accrued restructuring and other charges are included in Other Current Liabilities on our balance sheet.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Changes in our liability for restructuring and other charges for the nine months ended September 30, 2012 are summarized as follows:</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500" w:type="dxa"/>
            <w:vAlign w:val="bottom"/>
            <w:gridSpan w:val="8"/>
          </w:tcPr>
          <w:p>
            <w:pPr>
              <w:jc w:val="center"/>
              <w:ind w:left="739"/>
              <w:spacing w:after="0"/>
              <w:rPr>
                <w:sz w:val="20"/>
                <w:szCs w:val="20"/>
                <w:color w:val="auto"/>
              </w:rPr>
            </w:pPr>
            <w:r>
              <w:rPr>
                <w:rFonts w:ascii="Arial" w:cs="Arial" w:eastAsia="Arial" w:hAnsi="Arial"/>
                <w:sz w:val="14"/>
                <w:szCs w:val="14"/>
                <w:b w:val="1"/>
                <w:bCs w:val="1"/>
                <w:i w:val="1"/>
                <w:iCs w:val="1"/>
                <w:color w:val="auto"/>
                <w:w w:val="85"/>
              </w:rPr>
              <w:t>Thermonics</w:t>
            </w:r>
          </w:p>
        </w:tc>
      </w:tr>
      <w:tr>
        <w:trPr>
          <w:trHeight w:val="146"/>
        </w:trPr>
        <w:tc>
          <w:tcPr>
            <w:tcW w:w="3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Borders>
              <w:bottom w:val="single" w:sz="8" w:color="auto"/>
            </w:tcBorders>
            <w:gridSpan w:val="6"/>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Relocation</w:t>
            </w:r>
          </w:p>
        </w:tc>
        <w:tc>
          <w:tcPr>
            <w:tcW w:w="40" w:type="dxa"/>
            <w:vAlign w:val="bottom"/>
          </w:tcPr>
          <w:p>
            <w:pPr>
              <w:spacing w:after="0"/>
              <w:rPr>
                <w:sz w:val="12"/>
                <w:szCs w:val="12"/>
                <w:color w:val="auto"/>
              </w:rPr>
            </w:pPr>
          </w:p>
        </w:tc>
      </w:tr>
      <w:tr>
        <w:trPr>
          <w:trHeight w:val="235"/>
        </w:trPr>
        <w:tc>
          <w:tcPr>
            <w:tcW w:w="3200" w:type="dxa"/>
            <w:vAlign w:val="bottom"/>
          </w:tcPr>
          <w:p>
            <w:pPr>
              <w:spacing w:after="0"/>
              <w:rPr>
                <w:sz w:val="20"/>
                <w:szCs w:val="20"/>
                <w:color w:val="auto"/>
              </w:rPr>
            </w:pPr>
            <w:r>
              <w:rPr>
                <w:rFonts w:ascii="Arial" w:cs="Arial" w:eastAsia="Arial" w:hAnsi="Arial"/>
                <w:sz w:val="18"/>
                <w:szCs w:val="18"/>
                <w:color w:val="auto"/>
              </w:rPr>
              <w:t>Balance - January 1, 2012</w:t>
            </w:r>
          </w:p>
        </w:tc>
        <w:tc>
          <w:tcPr>
            <w:tcW w:w="1220" w:type="dxa"/>
            <w:vAlign w:val="bottom"/>
            <w:gridSpan w:val="4"/>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9"/>
        </w:trPr>
        <w:tc>
          <w:tcPr>
            <w:tcW w:w="3200" w:type="dxa"/>
            <w:vAlign w:val="bottom"/>
          </w:tcPr>
          <w:p>
            <w:pPr>
              <w:spacing w:after="0"/>
              <w:rPr>
                <w:sz w:val="20"/>
                <w:szCs w:val="20"/>
                <w:color w:val="auto"/>
              </w:rPr>
            </w:pPr>
            <w:r>
              <w:rPr>
                <w:rFonts w:ascii="Arial" w:cs="Arial" w:eastAsia="Arial" w:hAnsi="Arial"/>
                <w:sz w:val="18"/>
                <w:szCs w:val="18"/>
                <w:color w:val="auto"/>
              </w:rPr>
              <w:t>Accruals for facility closure costs</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3200" w:type="dxa"/>
            <w:vAlign w:val="bottom"/>
          </w:tcPr>
          <w:p>
            <w:pPr>
              <w:spacing w:after="0"/>
              <w:rPr>
                <w:sz w:val="20"/>
                <w:szCs w:val="20"/>
                <w:color w:val="auto"/>
              </w:rPr>
            </w:pPr>
            <w:r>
              <w:rPr>
                <w:rFonts w:ascii="Arial" w:cs="Arial" w:eastAsia="Arial" w:hAnsi="Arial"/>
                <w:sz w:val="18"/>
                <w:szCs w:val="18"/>
                <w:color w:val="auto"/>
              </w:rPr>
              <w:t>Cash payments related to facility</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4"/>
        </w:trPr>
        <w:tc>
          <w:tcPr>
            <w:tcW w:w="3200" w:type="dxa"/>
            <w:vAlign w:val="bottom"/>
          </w:tcPr>
          <w:p>
            <w:pPr>
              <w:ind w:left="180"/>
              <w:spacing w:after="0" w:line="184" w:lineRule="exact"/>
              <w:rPr>
                <w:sz w:val="20"/>
                <w:szCs w:val="20"/>
                <w:color w:val="auto"/>
              </w:rPr>
            </w:pPr>
            <w:r>
              <w:rPr>
                <w:rFonts w:ascii="Arial" w:cs="Arial" w:eastAsia="Arial" w:hAnsi="Arial"/>
                <w:sz w:val="18"/>
                <w:szCs w:val="18"/>
                <w:color w:val="auto"/>
              </w:rPr>
              <w:t>closure costs</w:t>
            </w:r>
          </w:p>
        </w:tc>
        <w:tc>
          <w:tcPr>
            <w:tcW w:w="1020" w:type="dxa"/>
            <w:vAlign w:val="bottom"/>
            <w:gridSpan w:val="2"/>
          </w:tcPr>
          <w:p>
            <w:pPr>
              <w:spacing w:after="0"/>
              <w:rPr>
                <w:sz w:val="15"/>
                <w:szCs w:val="15"/>
                <w:color w:val="auto"/>
              </w:rPr>
            </w:pPr>
          </w:p>
        </w:tc>
        <w:tc>
          <w:tcPr>
            <w:tcW w:w="440" w:type="dxa"/>
            <w:vAlign w:val="bottom"/>
            <w:gridSpan w:val="5"/>
          </w:tcPr>
          <w:p>
            <w:pPr>
              <w:ind w:left="40"/>
              <w:spacing w:after="0" w:line="184" w:lineRule="exact"/>
              <w:rPr>
                <w:sz w:val="20"/>
                <w:szCs w:val="20"/>
                <w:color w:val="auto"/>
              </w:rPr>
            </w:pPr>
            <w:r>
              <w:rPr>
                <w:rFonts w:ascii="Arial" w:cs="Arial" w:eastAsia="Arial" w:hAnsi="Arial"/>
                <w:sz w:val="18"/>
                <w:szCs w:val="18"/>
                <w:color w:val="auto"/>
                <w:w w:val="90"/>
              </w:rPr>
              <w:t>(359)</w:t>
            </w:r>
          </w:p>
        </w:tc>
        <w:tc>
          <w:tcPr>
            <w:tcW w:w="40" w:type="dxa"/>
            <w:vAlign w:val="bottom"/>
          </w:tcPr>
          <w:p>
            <w:pPr>
              <w:spacing w:after="0"/>
              <w:rPr>
                <w:sz w:val="15"/>
                <w:szCs w:val="15"/>
                <w:color w:val="auto"/>
              </w:rPr>
            </w:pPr>
          </w:p>
        </w:tc>
      </w:tr>
      <w:tr>
        <w:trPr>
          <w:trHeight w:val="439"/>
        </w:trPr>
        <w:tc>
          <w:tcPr>
            <w:tcW w:w="3200" w:type="dxa"/>
            <w:vAlign w:val="bottom"/>
          </w:tcPr>
          <w:p>
            <w:pPr>
              <w:spacing w:after="0"/>
              <w:rPr>
                <w:sz w:val="20"/>
                <w:szCs w:val="20"/>
                <w:color w:val="auto"/>
              </w:rPr>
            </w:pPr>
            <w:r>
              <w:rPr>
                <w:rFonts w:ascii="Arial" w:cs="Arial" w:eastAsia="Arial" w:hAnsi="Arial"/>
                <w:sz w:val="18"/>
                <w:szCs w:val="18"/>
                <w:color w:val="auto"/>
              </w:rPr>
              <w:t>Balance - September 30, 2012</w:t>
            </w:r>
          </w:p>
        </w:tc>
        <w:tc>
          <w:tcPr>
            <w:tcW w:w="1020" w:type="dxa"/>
            <w:vAlign w:val="bottom"/>
            <w:gridSpan w:val="2"/>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MAJOR CUSTOMERS</w:t>
      </w:r>
    </w:p>
    <w:p>
      <w:pPr>
        <w:spacing w:after="0" w:line="191"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color w:val="auto"/>
        </w:rPr>
        <w:t>During the nine months ended September 30, 2012 and 2011, Texas Instruments Incorporated accounted for 16% and 12%, respectively, of our consolidated net revenues. While all three of our operating segments sold products to this customer, these revenues were primarily generated by our Mechanical Products and our Electrical Products segments. During the nine months ended September 30, 2012, Teradyne, Inc. accounted for 13% of our consolidated net revenues. While both our Mechanical Products and our Electrical Products segments sold products to this customer, these revenues were primarily generated by our Electrical Products segment. No other customer accounted for 10% or more of our consolidated net revenues during the nine months ended September 30, 2012 and 2011.</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- 13 -</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Inventories held at September 30, 2012 and December 31, 2011 were comprised of the following:</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460" w:type="dxa"/>
            <w:vAlign w:val="bottom"/>
            <w:gridSpan w:val="4"/>
          </w:tcPr>
          <w:p>
            <w:pPr>
              <w:ind w:left="680"/>
              <w:spacing w:after="0"/>
              <w:rPr>
                <w:sz w:val="20"/>
                <w:szCs w:val="20"/>
                <w:color w:val="auto"/>
              </w:rPr>
            </w:pPr>
            <w:r>
              <w:rPr>
                <w:rFonts w:ascii="Arial" w:cs="Arial" w:eastAsia="Arial" w:hAnsi="Arial"/>
                <w:sz w:val="14"/>
                <w:szCs w:val="14"/>
                <w:b w:val="1"/>
                <w:bCs w:val="1"/>
                <w:i w:val="1"/>
                <w:iCs w:val="1"/>
                <w:color w:val="auto"/>
              </w:rPr>
              <w:t>Sept. 30,</w:t>
            </w:r>
          </w:p>
        </w:tc>
        <w:tc>
          <w:tcPr>
            <w:tcW w:w="520" w:type="dxa"/>
            <w:vAlign w:val="bottom"/>
            <w:gridSpan w:val="3"/>
          </w:tcPr>
          <w:p>
            <w:pPr>
              <w:jc w:val="center"/>
              <w:ind w:right="60"/>
              <w:spacing w:after="0"/>
              <w:rPr>
                <w:sz w:val="20"/>
                <w:szCs w:val="20"/>
                <w:color w:val="auto"/>
              </w:rPr>
            </w:pPr>
            <w:r>
              <w:rPr>
                <w:rFonts w:ascii="Arial" w:cs="Arial" w:eastAsia="Arial" w:hAnsi="Arial"/>
                <w:sz w:val="14"/>
                <w:szCs w:val="14"/>
                <w:b w:val="1"/>
                <w:bCs w:val="1"/>
                <w:i w:val="1"/>
                <w:iCs w:val="1"/>
                <w:color w:val="auto"/>
                <w:w w:val="86"/>
              </w:rPr>
              <w:t>Dec. 31,</w:t>
            </w:r>
          </w:p>
        </w:tc>
      </w:tr>
      <w:tr>
        <w:trPr>
          <w:trHeight w:val="146"/>
        </w:trPr>
        <w:tc>
          <w:tcPr>
            <w:tcW w:w="2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Borders>
              <w:bottom w:val="single" w:sz="8" w:color="auto"/>
            </w:tcBorders>
            <w:gridSpan w:val="2"/>
          </w:tcPr>
          <w:p>
            <w:pPr>
              <w:jc w:val="right"/>
              <w:ind w:right="72"/>
              <w:spacing w:after="0" w:line="146" w:lineRule="exact"/>
              <w:rPr>
                <w:sz w:val="20"/>
                <w:szCs w:val="20"/>
                <w:color w:val="auto"/>
              </w:rPr>
            </w:pPr>
            <w:r>
              <w:rPr>
                <w:rFonts w:ascii="Arial" w:cs="Arial" w:eastAsia="Arial" w:hAnsi="Arial"/>
                <w:sz w:val="14"/>
                <w:szCs w:val="14"/>
                <w:b w:val="1"/>
                <w:bCs w:val="1"/>
                <w:i w:val="1"/>
                <w:iCs w:val="1"/>
                <w:color w:val="auto"/>
              </w:rPr>
              <w:t>2012</w:t>
            </w:r>
          </w:p>
        </w:tc>
        <w:tc>
          <w:tcPr>
            <w:tcW w:w="240" w:type="dxa"/>
            <w:vAlign w:val="bottom"/>
          </w:tcPr>
          <w:p>
            <w:pPr>
              <w:spacing w:after="0"/>
              <w:rPr>
                <w:sz w:val="12"/>
                <w:szCs w:val="12"/>
                <w:color w:val="auto"/>
              </w:rPr>
            </w:pPr>
          </w:p>
        </w:tc>
        <w:tc>
          <w:tcPr>
            <w:tcW w:w="460" w:type="dxa"/>
            <w:vAlign w:val="bottom"/>
            <w:tcBorders>
              <w:bottom w:val="single" w:sz="8" w:color="auto"/>
            </w:tcBorders>
            <w:gridSpan w:val="2"/>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2011</w:t>
            </w:r>
          </w:p>
        </w:tc>
        <w:tc>
          <w:tcPr>
            <w:tcW w:w="60" w:type="dxa"/>
            <w:vAlign w:val="bottom"/>
          </w:tcPr>
          <w:p>
            <w:pPr>
              <w:spacing w:after="0"/>
              <w:rPr>
                <w:sz w:val="12"/>
                <w:szCs w:val="12"/>
                <w:color w:val="auto"/>
              </w:rPr>
            </w:pPr>
          </w:p>
        </w:tc>
      </w:tr>
      <w:tr>
        <w:trPr>
          <w:trHeight w:val="235"/>
        </w:trPr>
        <w:tc>
          <w:tcPr>
            <w:tcW w:w="2780" w:type="dxa"/>
            <w:vAlign w:val="bottom"/>
          </w:tcPr>
          <w:p>
            <w:pPr>
              <w:spacing w:after="0"/>
              <w:rPr>
                <w:sz w:val="20"/>
                <w:szCs w:val="20"/>
                <w:color w:val="auto"/>
              </w:rPr>
            </w:pPr>
            <w:r>
              <w:rPr>
                <w:rFonts w:ascii="Arial" w:cs="Arial" w:eastAsia="Arial" w:hAnsi="Arial"/>
                <w:sz w:val="18"/>
                <w:szCs w:val="18"/>
                <w:color w:val="auto"/>
              </w:rPr>
              <w:t>Raw materials</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$2,916</w:t>
            </w:r>
          </w:p>
        </w:tc>
        <w:tc>
          <w:tcPr>
            <w:tcW w:w="240" w:type="dxa"/>
            <w:vAlign w:val="bottom"/>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0"/>
              </w:rPr>
              <w:t>$2,784</w:t>
            </w:r>
          </w:p>
        </w:tc>
      </w:tr>
      <w:tr>
        <w:trPr>
          <w:trHeight w:val="459"/>
        </w:trPr>
        <w:tc>
          <w:tcPr>
            <w:tcW w:w="2780" w:type="dxa"/>
            <w:vAlign w:val="bottom"/>
          </w:tcPr>
          <w:p>
            <w:pPr>
              <w:spacing w:after="0"/>
              <w:rPr>
                <w:sz w:val="20"/>
                <w:szCs w:val="20"/>
                <w:color w:val="auto"/>
              </w:rPr>
            </w:pPr>
            <w:r>
              <w:rPr>
                <w:rFonts w:ascii="Arial" w:cs="Arial" w:eastAsia="Arial" w:hAnsi="Arial"/>
                <w:sz w:val="18"/>
                <w:szCs w:val="18"/>
                <w:color w:val="auto"/>
              </w:rPr>
              <w:t>Work in process</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370</w:t>
            </w:r>
          </w:p>
        </w:tc>
        <w:tc>
          <w:tcPr>
            <w:tcW w:w="2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351</w:t>
            </w:r>
          </w:p>
        </w:tc>
      </w:tr>
      <w:tr>
        <w:trPr>
          <w:trHeight w:val="459"/>
        </w:trPr>
        <w:tc>
          <w:tcPr>
            <w:tcW w:w="2780" w:type="dxa"/>
            <w:vAlign w:val="bottom"/>
          </w:tcPr>
          <w:p>
            <w:pPr>
              <w:spacing w:after="0"/>
              <w:rPr>
                <w:sz w:val="20"/>
                <w:szCs w:val="20"/>
                <w:color w:val="auto"/>
              </w:rPr>
            </w:pPr>
            <w:r>
              <w:rPr>
                <w:rFonts w:ascii="Arial" w:cs="Arial" w:eastAsia="Arial" w:hAnsi="Arial"/>
                <w:sz w:val="18"/>
                <w:szCs w:val="18"/>
                <w:color w:val="auto"/>
              </w:rPr>
              <w:t>Inventory consigned to others</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201</w:t>
            </w:r>
          </w:p>
        </w:tc>
      </w:tr>
      <w:tr>
        <w:trPr>
          <w:trHeight w:val="421"/>
        </w:trPr>
        <w:tc>
          <w:tcPr>
            <w:tcW w:w="2780" w:type="dxa"/>
            <w:vAlign w:val="bottom"/>
          </w:tcPr>
          <w:p>
            <w:pPr>
              <w:spacing w:after="0"/>
              <w:rPr>
                <w:sz w:val="20"/>
                <w:szCs w:val="20"/>
                <w:color w:val="auto"/>
              </w:rPr>
            </w:pPr>
            <w:r>
              <w:rPr>
                <w:rFonts w:ascii="Arial" w:cs="Arial" w:eastAsia="Arial" w:hAnsi="Arial"/>
                <w:sz w:val="18"/>
                <w:szCs w:val="18"/>
                <w:color w:val="auto"/>
              </w:rPr>
              <w:t>Finished goods</w:t>
            </w:r>
          </w:p>
        </w:tc>
        <w:tc>
          <w:tcPr>
            <w:tcW w:w="780" w:type="dxa"/>
            <w:vAlign w:val="bottom"/>
            <w:gridSpan w:val="2"/>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560</w:t>
            </w:r>
          </w:p>
        </w:tc>
      </w:tr>
      <w:tr>
        <w:trPr>
          <w:trHeight w:val="439"/>
        </w:trPr>
        <w:tc>
          <w:tcPr>
            <w:tcW w:w="278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3,843</w:t>
            </w:r>
          </w:p>
        </w:tc>
        <w:tc>
          <w:tcPr>
            <w:tcW w:w="2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3,896</w:t>
            </w:r>
          </w:p>
        </w:tc>
      </w:tr>
      <w:tr>
        <w:trPr>
          <w:trHeight w:val="20"/>
        </w:trPr>
        <w:tc>
          <w:tcPr>
            <w:tcW w:w="2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We have issued letters of credit as the security deposits for certain of our domestic leases. These letters of credit are secured by pledged certificates of deposit which are classified as Restricted Certificates of Deposit on our balance sheet. The terms of our leases require us to renew these letters of credit at least 30 days prior to their expiration dates for successive terms of not less than one year until lease expiration. Our outstanding letters of credit at September 30, 2012 and December 31, 2011 consisted of the following:</w:t>
      </w:r>
    </w:p>
    <w:p>
      <w:pPr>
        <w:spacing w:after="0" w:line="155"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8"/>
          </w:tcPr>
          <w:p>
            <w:pPr>
              <w:jc w:val="right"/>
              <w:ind w:right="280"/>
              <w:spacing w:after="0"/>
              <w:rPr>
                <w:sz w:val="20"/>
                <w:szCs w:val="20"/>
                <w:color w:val="auto"/>
              </w:rPr>
            </w:pPr>
            <w:r>
              <w:rPr>
                <w:rFonts w:ascii="Arial" w:cs="Arial" w:eastAsia="Arial" w:hAnsi="Arial"/>
                <w:sz w:val="14"/>
                <w:szCs w:val="14"/>
                <w:b w:val="1"/>
                <w:bCs w:val="1"/>
                <w:i w:val="1"/>
                <w:iCs w:val="1"/>
                <w:color w:val="auto"/>
                <w:w w:val="83"/>
              </w:rPr>
              <w:t>Letters of Credit</w:t>
            </w:r>
          </w:p>
        </w:tc>
        <w:tc>
          <w:tcPr>
            <w:tcW w:w="0" w:type="dxa"/>
            <w:vAlign w:val="bottom"/>
          </w:tcPr>
          <w:p>
            <w:pPr>
              <w:spacing w:after="0"/>
              <w:rPr>
                <w:sz w:val="1"/>
                <w:szCs w:val="1"/>
                <w:color w:val="auto"/>
              </w:rPr>
            </w:pPr>
          </w:p>
        </w:tc>
      </w:tr>
      <w:tr>
        <w:trPr>
          <w:trHeight w:val="146"/>
        </w:trPr>
        <w:tc>
          <w:tcPr>
            <w:tcW w:w="4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i w:val="1"/>
                <w:iCs w:val="1"/>
                <w:color w:val="auto"/>
                <w:w w:val="97"/>
              </w:rPr>
              <w:t>L/C</w:t>
            </w:r>
          </w:p>
        </w:tc>
        <w:tc>
          <w:tcPr>
            <w:tcW w:w="160" w:type="dxa"/>
            <w:vAlign w:val="bottom"/>
          </w:tcPr>
          <w:p>
            <w:pPr>
              <w:spacing w:after="0"/>
              <w:rPr>
                <w:sz w:val="12"/>
                <w:szCs w:val="12"/>
                <w:color w:val="auto"/>
              </w:rPr>
            </w:pPr>
          </w:p>
        </w:tc>
        <w:tc>
          <w:tcPr>
            <w:tcW w:w="880" w:type="dxa"/>
            <w:vAlign w:val="bottom"/>
            <w:gridSpan w:val="2"/>
          </w:tcPr>
          <w:p>
            <w:pPr>
              <w:jc w:val="center"/>
              <w:ind w:right="360"/>
              <w:spacing w:after="0" w:line="146" w:lineRule="exact"/>
              <w:rPr>
                <w:sz w:val="20"/>
                <w:szCs w:val="20"/>
                <w:color w:val="auto"/>
              </w:rPr>
            </w:pPr>
            <w:r>
              <w:rPr>
                <w:rFonts w:ascii="Arial" w:cs="Arial" w:eastAsia="Arial" w:hAnsi="Arial"/>
                <w:sz w:val="14"/>
                <w:szCs w:val="14"/>
                <w:b w:val="1"/>
                <w:bCs w:val="1"/>
                <w:i w:val="1"/>
                <w:iCs w:val="1"/>
                <w:color w:val="auto"/>
                <w:w w:val="80"/>
              </w:rPr>
              <w:t>Lease</w:t>
            </w:r>
          </w:p>
        </w:tc>
        <w:tc>
          <w:tcPr>
            <w:tcW w:w="160" w:type="dxa"/>
            <w:vAlign w:val="bottom"/>
          </w:tcPr>
          <w:p>
            <w:pPr>
              <w:spacing w:after="0"/>
              <w:rPr>
                <w:sz w:val="12"/>
                <w:szCs w:val="12"/>
                <w:color w:val="auto"/>
              </w:rPr>
            </w:pPr>
          </w:p>
        </w:tc>
        <w:tc>
          <w:tcPr>
            <w:tcW w:w="1360" w:type="dxa"/>
            <w:vAlign w:val="bottom"/>
            <w:gridSpan w:val="10"/>
          </w:tcPr>
          <w:p>
            <w:pPr>
              <w:jc w:val="right"/>
              <w:ind w:right="140"/>
              <w:spacing w:after="0" w:line="146" w:lineRule="exact"/>
              <w:rPr>
                <w:sz w:val="20"/>
                <w:szCs w:val="20"/>
                <w:color w:val="auto"/>
              </w:rPr>
            </w:pPr>
            <w:r>
              <w:rPr>
                <w:rFonts w:ascii="Arial" w:cs="Arial" w:eastAsia="Arial" w:hAnsi="Arial"/>
                <w:sz w:val="14"/>
                <w:szCs w:val="14"/>
                <w:b w:val="1"/>
                <w:bCs w:val="1"/>
                <w:i w:val="1"/>
                <w:iCs w:val="1"/>
                <w:color w:val="auto"/>
                <w:w w:val="86"/>
              </w:rPr>
              <w:t>Amount Outstanding</w:t>
            </w:r>
          </w:p>
        </w:tc>
        <w:tc>
          <w:tcPr>
            <w:tcW w:w="0" w:type="dxa"/>
            <w:vAlign w:val="bottom"/>
          </w:tcPr>
          <w:p>
            <w:pPr>
              <w:spacing w:after="0"/>
              <w:rPr>
                <w:sz w:val="1"/>
                <w:szCs w:val="1"/>
                <w:color w:val="auto"/>
              </w:rPr>
            </w:pPr>
          </w:p>
        </w:tc>
      </w:tr>
      <w:tr>
        <w:trPr>
          <w:trHeight w:val="20"/>
        </w:trPr>
        <w:tc>
          <w:tcPr>
            <w:tcW w:w="23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Facility</w:t>
            </w: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20" w:type="dxa"/>
            <w:vAlign w:val="bottom"/>
            <w:gridSpan w:val="2"/>
            <w:vMerge w:val="continue"/>
          </w:tcPr>
          <w:p>
            <w:pPr>
              <w:spacing w:after="0"/>
              <w:rPr>
                <w:sz w:val="13"/>
                <w:szCs w:val="13"/>
                <w:color w:val="auto"/>
              </w:rPr>
            </w:pPr>
          </w:p>
        </w:tc>
        <w:tc>
          <w:tcPr>
            <w:tcW w:w="2260" w:type="dxa"/>
            <w:vAlign w:val="bottom"/>
            <w:gridSpan w:val="3"/>
            <w:vMerge w:val="restart"/>
          </w:tcPr>
          <w:p>
            <w:pPr>
              <w:jc w:val="center"/>
              <w:ind w:left="857"/>
              <w:spacing w:after="0"/>
              <w:rPr>
                <w:sz w:val="20"/>
                <w:szCs w:val="20"/>
                <w:color w:val="auto"/>
              </w:rPr>
            </w:pPr>
            <w:r>
              <w:rPr>
                <w:rFonts w:ascii="Arial" w:cs="Arial" w:eastAsia="Arial" w:hAnsi="Arial"/>
                <w:sz w:val="14"/>
                <w:szCs w:val="14"/>
                <w:b w:val="1"/>
                <w:bCs w:val="1"/>
                <w:i w:val="1"/>
                <w:iCs w:val="1"/>
                <w:color w:val="auto"/>
                <w:w w:val="90"/>
              </w:rPr>
              <w:t>Original L/C</w:t>
            </w:r>
          </w:p>
        </w:tc>
        <w:tc>
          <w:tcPr>
            <w:tcW w:w="10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i w:val="1"/>
                <w:iCs w:val="1"/>
                <w:color w:val="auto"/>
                <w:w w:val="87"/>
              </w:rPr>
              <w:t>Expiration</w:t>
            </w:r>
          </w:p>
        </w:tc>
        <w:tc>
          <w:tcPr>
            <w:tcW w:w="10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i w:val="1"/>
                <w:iCs w:val="1"/>
                <w:color w:val="auto"/>
                <w:w w:val="87"/>
              </w:rPr>
              <w:t>Expiration</w:t>
            </w:r>
          </w:p>
        </w:tc>
        <w:tc>
          <w:tcPr>
            <w:tcW w:w="680" w:type="dxa"/>
            <w:vAlign w:val="bottom"/>
            <w:gridSpan w:val="6"/>
            <w:vMerge w:val="restart"/>
          </w:tcPr>
          <w:p>
            <w:pPr>
              <w:jc w:val="center"/>
              <w:spacing w:after="0"/>
              <w:rPr>
                <w:sz w:val="20"/>
                <w:szCs w:val="20"/>
                <w:color w:val="auto"/>
              </w:rPr>
            </w:pPr>
            <w:r>
              <w:rPr>
                <w:rFonts w:ascii="Arial" w:cs="Arial" w:eastAsia="Arial" w:hAnsi="Arial"/>
                <w:sz w:val="14"/>
                <w:szCs w:val="14"/>
                <w:b w:val="1"/>
                <w:bCs w:val="1"/>
                <w:i w:val="1"/>
                <w:iCs w:val="1"/>
                <w:color w:val="auto"/>
                <w:w w:val="83"/>
              </w:rPr>
              <w:t>Sept. 30,</w:t>
            </w:r>
          </w:p>
        </w:tc>
        <w:tc>
          <w:tcPr>
            <w:tcW w:w="840" w:type="dxa"/>
            <w:vAlign w:val="bottom"/>
            <w:gridSpan w:val="5"/>
            <w:vMerge w:val="restart"/>
          </w:tcPr>
          <w:p>
            <w:pPr>
              <w:jc w:val="right"/>
              <w:ind w:right="40"/>
              <w:spacing w:after="0"/>
              <w:rPr>
                <w:sz w:val="20"/>
                <w:szCs w:val="20"/>
                <w:color w:val="auto"/>
              </w:rPr>
            </w:pPr>
            <w:r>
              <w:rPr>
                <w:rFonts w:ascii="Arial" w:cs="Arial" w:eastAsia="Arial" w:hAnsi="Arial"/>
                <w:sz w:val="14"/>
                <w:szCs w:val="14"/>
                <w:b w:val="1"/>
                <w:bCs w:val="1"/>
                <w:i w:val="1"/>
                <w:iCs w:val="1"/>
                <w:color w:val="auto"/>
              </w:rPr>
              <w:t>Dec. 31,</w:t>
            </w:r>
          </w:p>
        </w:tc>
        <w:tc>
          <w:tcPr>
            <w:tcW w:w="0" w:type="dxa"/>
            <w:vAlign w:val="bottom"/>
          </w:tcPr>
          <w:p>
            <w:pPr>
              <w:spacing w:after="0"/>
              <w:rPr>
                <w:sz w:val="1"/>
                <w:szCs w:val="1"/>
                <w:color w:val="auto"/>
              </w:rPr>
            </w:pPr>
          </w:p>
        </w:tc>
      </w:tr>
      <w:tr>
        <w:trPr>
          <w:trHeight w:val="50"/>
        </w:trPr>
        <w:tc>
          <w:tcPr>
            <w:tcW w:w="420" w:type="dxa"/>
            <w:vAlign w:val="bottom"/>
            <w:tcBorders>
              <w:top w:val="single" w:sz="8" w:color="auto"/>
            </w:tcBorders>
          </w:tcPr>
          <w:p>
            <w:pPr>
              <w:spacing w:after="0"/>
              <w:rPr>
                <w:sz w:val="4"/>
                <w:szCs w:val="4"/>
                <w:color w:val="auto"/>
              </w:rPr>
            </w:pPr>
          </w:p>
        </w:tc>
        <w:tc>
          <w:tcPr>
            <w:tcW w:w="1900" w:type="dxa"/>
            <w:vAlign w:val="bottom"/>
          </w:tcPr>
          <w:p>
            <w:pPr>
              <w:spacing w:after="0"/>
              <w:rPr>
                <w:sz w:val="4"/>
                <w:szCs w:val="4"/>
                <w:color w:val="auto"/>
              </w:rPr>
            </w:pPr>
          </w:p>
        </w:tc>
        <w:tc>
          <w:tcPr>
            <w:tcW w:w="2260" w:type="dxa"/>
            <w:vAlign w:val="bottom"/>
            <w:gridSpan w:val="3"/>
            <w:vMerge w:val="continue"/>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680" w:type="dxa"/>
            <w:vAlign w:val="bottom"/>
            <w:gridSpan w:val="6"/>
            <w:vMerge w:val="continue"/>
          </w:tcPr>
          <w:p>
            <w:pPr>
              <w:spacing w:after="0"/>
              <w:rPr>
                <w:sz w:val="4"/>
                <w:szCs w:val="4"/>
                <w:color w:val="auto"/>
              </w:rPr>
            </w:pPr>
          </w:p>
        </w:tc>
        <w:tc>
          <w:tcPr>
            <w:tcW w:w="8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4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Issue Date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92"/>
              </w:rPr>
              <w:t>Date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bottom w:val="single" w:sz="8" w:color="auto"/>
            </w:tcBorders>
            <w:gridSpan w:val="4"/>
          </w:tcPr>
          <w:p>
            <w:pPr>
              <w:jc w:val="right"/>
              <w:spacing w:after="0" w:line="146" w:lineRule="exact"/>
              <w:rPr>
                <w:sz w:val="20"/>
                <w:szCs w:val="20"/>
                <w:color w:val="auto"/>
              </w:rPr>
            </w:pPr>
            <w:r>
              <w:rPr>
                <w:rFonts w:ascii="Arial" w:cs="Arial" w:eastAsia="Arial" w:hAnsi="Arial"/>
                <w:sz w:val="14"/>
                <w:szCs w:val="14"/>
                <w:b w:val="1"/>
                <w:bCs w:val="1"/>
                <w:i w:val="1"/>
                <w:iCs w:val="1"/>
                <w:color w:val="auto"/>
              </w:rPr>
              <w:t>2012</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Borders>
              <w:bottom w:val="single" w:sz="8" w:color="auto"/>
            </w:tcBorders>
            <w:gridSpan w:val="3"/>
          </w:tcPr>
          <w:p>
            <w:pPr>
              <w:jc w:val="right"/>
              <w:ind w:right="60"/>
              <w:spacing w:after="0" w:line="146" w:lineRule="exact"/>
              <w:rPr>
                <w:sz w:val="20"/>
                <w:szCs w:val="20"/>
                <w:color w:val="auto"/>
              </w:rPr>
            </w:pPr>
            <w:r>
              <w:rPr>
                <w:rFonts w:ascii="Arial" w:cs="Arial" w:eastAsia="Arial" w:hAnsi="Arial"/>
                <w:sz w:val="14"/>
                <w:szCs w:val="14"/>
                <w:b w:val="1"/>
                <w:bCs w:val="1"/>
                <w:i w:val="1"/>
                <w:iCs w:val="1"/>
                <w:color w:val="auto"/>
                <w:w w:val="96"/>
              </w:rPr>
              <w:t>2011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320" w:type="dxa"/>
            <w:vAlign w:val="bottom"/>
            <w:gridSpan w:val="2"/>
          </w:tcPr>
          <w:p>
            <w:pPr>
              <w:spacing w:after="0"/>
              <w:rPr>
                <w:sz w:val="20"/>
                <w:szCs w:val="20"/>
                <w:color w:val="auto"/>
              </w:rPr>
            </w:pPr>
            <w:r>
              <w:rPr>
                <w:rFonts w:ascii="Arial" w:cs="Arial" w:eastAsia="Arial" w:hAnsi="Arial"/>
                <w:sz w:val="18"/>
                <w:szCs w:val="18"/>
                <w:color w:val="auto"/>
              </w:rPr>
              <w:t>Mt. Laurel, NJ</w:t>
            </w:r>
          </w:p>
        </w:tc>
        <w:tc>
          <w:tcPr>
            <w:tcW w:w="226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3/29/2010</w:t>
            </w:r>
          </w:p>
        </w:tc>
        <w:tc>
          <w:tcPr>
            <w:tcW w:w="104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4/01/2013</w:t>
            </w:r>
          </w:p>
        </w:tc>
        <w:tc>
          <w:tcPr>
            <w:tcW w:w="104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4/30/2021</w:t>
            </w:r>
          </w:p>
        </w:tc>
        <w:tc>
          <w:tcPr>
            <w:tcW w:w="680" w:type="dxa"/>
            <w:vAlign w:val="bottom"/>
            <w:gridSpan w:val="6"/>
            <w:vMerge w:val="restart"/>
          </w:tcPr>
          <w:p>
            <w:pPr>
              <w:jc w:val="right"/>
              <w:spacing w:after="0"/>
              <w:rPr>
                <w:sz w:val="20"/>
                <w:szCs w:val="20"/>
                <w:color w:val="auto"/>
              </w:rPr>
            </w:pPr>
            <w:r>
              <w:rPr>
                <w:rFonts w:ascii="Arial" w:cs="Arial" w:eastAsia="Arial" w:hAnsi="Arial"/>
                <w:sz w:val="18"/>
                <w:szCs w:val="18"/>
                <w:color w:val="auto"/>
              </w:rPr>
              <w:t>$250</w:t>
            </w:r>
          </w:p>
        </w:tc>
        <w:tc>
          <w:tcPr>
            <w:tcW w:w="840" w:type="dxa"/>
            <w:vAlign w:val="bottom"/>
            <w:gridSpan w:val="5"/>
            <w:vMerge w:val="restart"/>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60" w:type="dxa"/>
            <w:vAlign w:val="bottom"/>
            <w:gridSpan w:val="3"/>
            <w:vMerge w:val="continue"/>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680" w:type="dxa"/>
            <w:vAlign w:val="bottom"/>
            <w:gridSpan w:val="6"/>
            <w:vMerge w:val="continue"/>
          </w:tcPr>
          <w:p>
            <w:pPr>
              <w:spacing w:after="0"/>
              <w:rPr>
                <w:sz w:val="18"/>
                <w:szCs w:val="18"/>
                <w:color w:val="auto"/>
              </w:rPr>
            </w:pPr>
          </w:p>
        </w:tc>
        <w:tc>
          <w:tcPr>
            <w:tcW w:w="8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320" w:type="dxa"/>
            <w:vAlign w:val="bottom"/>
            <w:gridSpan w:val="2"/>
          </w:tcPr>
          <w:p>
            <w:pPr>
              <w:spacing w:after="0"/>
              <w:rPr>
                <w:sz w:val="20"/>
                <w:szCs w:val="20"/>
                <w:color w:val="auto"/>
              </w:rPr>
            </w:pPr>
            <w:r>
              <w:rPr>
                <w:rFonts w:ascii="Arial" w:cs="Arial" w:eastAsia="Arial" w:hAnsi="Arial"/>
                <w:sz w:val="18"/>
                <w:szCs w:val="18"/>
                <w:color w:val="auto"/>
              </w:rPr>
              <w:t>Mansfield, MA</w:t>
            </w:r>
          </w:p>
        </w:tc>
        <w:tc>
          <w:tcPr>
            <w:tcW w:w="226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10/27/2010</w:t>
            </w:r>
          </w:p>
        </w:tc>
        <w:tc>
          <w:tcPr>
            <w:tcW w:w="104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11/07/2012</w:t>
            </w:r>
          </w:p>
        </w:tc>
        <w:tc>
          <w:tcPr>
            <w:tcW w:w="104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8/23/2021</w:t>
            </w:r>
          </w:p>
        </w:tc>
        <w:tc>
          <w:tcPr>
            <w:tcW w:w="680" w:type="dxa"/>
            <w:vAlign w:val="bottom"/>
            <w:gridSpan w:val="6"/>
            <w:vMerge w:val="restart"/>
          </w:tcPr>
          <w:p>
            <w:pPr>
              <w:jc w:val="right"/>
              <w:spacing w:after="0"/>
              <w:rPr>
                <w:sz w:val="20"/>
                <w:szCs w:val="20"/>
                <w:color w:val="auto"/>
              </w:rPr>
            </w:pPr>
            <w:r>
              <w:rPr>
                <w:rFonts w:ascii="Arial" w:cs="Arial" w:eastAsia="Arial" w:hAnsi="Arial"/>
                <w:sz w:val="18"/>
                <w:szCs w:val="18"/>
                <w:color w:val="auto"/>
              </w:rPr>
              <w:t>200</w:t>
            </w:r>
          </w:p>
        </w:tc>
        <w:tc>
          <w:tcPr>
            <w:tcW w:w="840" w:type="dxa"/>
            <w:vAlign w:val="bottom"/>
            <w:gridSpan w:val="5"/>
            <w:vMerge w:val="restart"/>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60" w:type="dxa"/>
            <w:vAlign w:val="bottom"/>
            <w:gridSpan w:val="3"/>
            <w:vMerge w:val="continue"/>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680" w:type="dxa"/>
            <w:vAlign w:val="bottom"/>
            <w:gridSpan w:val="6"/>
            <w:vMerge w:val="continue"/>
          </w:tcPr>
          <w:p>
            <w:pPr>
              <w:spacing w:after="0"/>
              <w:rPr>
                <w:sz w:val="18"/>
                <w:szCs w:val="18"/>
                <w:color w:val="auto"/>
              </w:rPr>
            </w:pPr>
          </w:p>
        </w:tc>
        <w:tc>
          <w:tcPr>
            <w:tcW w:w="8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320" w:type="dxa"/>
            <w:vAlign w:val="bottom"/>
            <w:gridSpan w:val="2"/>
          </w:tcPr>
          <w:p>
            <w:pPr>
              <w:spacing w:after="0"/>
              <w:rPr>
                <w:sz w:val="20"/>
                <w:szCs w:val="20"/>
                <w:color w:val="auto"/>
              </w:rPr>
            </w:pPr>
            <w:r>
              <w:rPr>
                <w:rFonts w:ascii="Arial" w:cs="Arial" w:eastAsia="Arial" w:hAnsi="Arial"/>
                <w:sz w:val="18"/>
                <w:szCs w:val="18"/>
                <w:color w:val="auto"/>
              </w:rPr>
              <w:t>San Jose, CA</w:t>
            </w:r>
          </w:p>
        </w:tc>
        <w:tc>
          <w:tcPr>
            <w:tcW w:w="226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9/13/2004</w:t>
            </w:r>
          </w:p>
        </w:tc>
        <w:tc>
          <w:tcPr>
            <w:tcW w:w="104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6/30/2012</w:t>
            </w:r>
          </w:p>
        </w:tc>
        <w:tc>
          <w:tcPr>
            <w:tcW w:w="104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4/30/2012</w:t>
            </w:r>
          </w:p>
        </w:tc>
        <w:tc>
          <w:tcPr>
            <w:tcW w:w="400" w:type="dxa"/>
            <w:vAlign w:val="bottom"/>
            <w:gridSpan w:val="4"/>
            <w:vMerge w:val="restart"/>
          </w:tcPr>
          <w:p>
            <w:pPr>
              <w:spacing w:after="0"/>
              <w:rPr>
                <w:sz w:val="21"/>
                <w:szCs w:val="21"/>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spacing w:after="0"/>
              <w:rPr>
                <w:sz w:val="21"/>
                <w:szCs w:val="21"/>
                <w:color w:val="auto"/>
              </w:rPr>
            </w:pPr>
          </w:p>
        </w:tc>
        <w:tc>
          <w:tcPr>
            <w:tcW w:w="300" w:type="dxa"/>
            <w:vAlign w:val="bottom"/>
            <w:gridSpan w:val="3"/>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60" w:type="dxa"/>
            <w:vAlign w:val="bottom"/>
            <w:gridSpan w:val="3"/>
            <w:vMerge w:val="continue"/>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400" w:type="dxa"/>
            <w:vAlign w:val="bottom"/>
            <w:gridSpan w:val="4"/>
            <w:vMerge w:val="continue"/>
          </w:tcPr>
          <w:p>
            <w:pPr>
              <w:spacing w:after="0"/>
              <w:rPr>
                <w:sz w:val="15"/>
                <w:szCs w:val="15"/>
                <w:color w:val="auto"/>
              </w:rPr>
            </w:pPr>
          </w:p>
        </w:tc>
        <w:tc>
          <w:tcPr>
            <w:tcW w:w="280" w:type="dxa"/>
            <w:vAlign w:val="bottom"/>
            <w:tcBorders>
              <w:bottom w:val="single" w:sz="8" w:color="auto"/>
            </w:tcBorders>
            <w:gridSpan w:val="2"/>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30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gridSpan w:val="3"/>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450</w:t>
            </w:r>
          </w:p>
        </w:tc>
        <w:tc>
          <w:tcPr>
            <w:tcW w:w="84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341" w:right="299" w:bottom="0" w:gutter="0" w:footer="0" w:header="0"/>
        </w:sectPr>
      </w:pPr>
    </w:p>
    <w:bookmarkStart w:id="12" w:name="page13"/>
    <w:bookmarkEnd w:id="12"/>
    <w:p>
      <w:pPr>
        <w:ind w:left="540" w:right="9440" w:hanging="532"/>
        <w:spacing w:after="0" w:line="577" w:lineRule="auto"/>
        <w:tabs>
          <w:tab w:leader="none" w:pos="292"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GUARANTEES </w:t>
      </w:r>
      <w:r>
        <w:rPr>
          <w:rFonts w:ascii="Arial" w:cs="Arial" w:eastAsia="Arial" w:hAnsi="Arial"/>
          <w:sz w:val="15"/>
          <w:szCs w:val="15"/>
          <w:b w:val="1"/>
          <w:bCs w:val="1"/>
          <w:i w:val="1"/>
          <w:iCs w:val="1"/>
          <w:u w:val="single" w:color="auto"/>
          <w:color w:val="auto"/>
        </w:rPr>
        <w:t>Product Warranties</w:t>
      </w:r>
    </w:p>
    <w:p>
      <w:pPr>
        <w:ind w:left="540" w:right="220"/>
        <w:spacing w:after="0" w:line="268" w:lineRule="auto"/>
        <w:rPr>
          <w:sz w:val="20"/>
          <w:szCs w:val="20"/>
          <w:color w:val="auto"/>
        </w:rPr>
      </w:pPr>
      <w:r>
        <w:rPr>
          <w:rFonts w:ascii="Arial" w:cs="Arial" w:eastAsia="Arial" w:hAnsi="Arial"/>
          <w:sz w:val="18"/>
          <w:szCs w:val="18"/>
          <w:color w:val="auto"/>
        </w:rPr>
        <w:t>Warranty expense for the nine months ended September 30, 2012 and 2011 was $68 and $90, respectively. The following table sets forth the changes in the liability for product warranties for the nine months ended September 30, 2012:</w:t>
      </w:r>
    </w:p>
    <w:p>
      <w:pPr>
        <w:spacing w:after="0" w:line="159"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Balance - January 1, 2012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4"/>
              </w:rPr>
              <w:t>$214</w:t>
            </w:r>
          </w:p>
        </w:tc>
        <w:tc>
          <w:tcPr>
            <w:tcW w:w="40" w:type="dxa"/>
            <w:vAlign w:val="bottom"/>
          </w:tcPr>
          <w:p>
            <w:pPr>
              <w:spacing w:after="0"/>
              <w:rPr>
                <w:sz w:val="19"/>
                <w:szCs w:val="19"/>
                <w:color w:val="auto"/>
              </w:rPr>
            </w:pPr>
          </w:p>
        </w:tc>
      </w:tr>
      <w:tr>
        <w:trPr>
          <w:trHeight w:val="459"/>
        </w:trPr>
        <w:tc>
          <w:tcPr>
            <w:tcW w:w="4980" w:type="dxa"/>
            <w:vAlign w:val="bottom"/>
          </w:tcPr>
          <w:p>
            <w:pPr>
              <w:spacing w:after="0"/>
              <w:rPr>
                <w:sz w:val="20"/>
                <w:szCs w:val="20"/>
                <w:color w:val="auto"/>
              </w:rPr>
            </w:pPr>
            <w:r>
              <w:rPr>
                <w:rFonts w:ascii="Arial" w:cs="Arial" w:eastAsia="Arial" w:hAnsi="Arial"/>
                <w:sz w:val="18"/>
                <w:szCs w:val="18"/>
                <w:color w:val="auto"/>
              </w:rPr>
              <w:t>Acquisition of Thermonics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24"/>
                <w:szCs w:val="24"/>
                <w:color w:val="auto"/>
              </w:rPr>
            </w:pPr>
          </w:p>
        </w:tc>
      </w:tr>
      <w:tr>
        <w:trPr>
          <w:trHeight w:val="459"/>
        </w:trPr>
        <w:tc>
          <w:tcPr>
            <w:tcW w:w="4980" w:type="dxa"/>
            <w:vAlign w:val="bottom"/>
          </w:tcPr>
          <w:p>
            <w:pPr>
              <w:spacing w:after="0"/>
              <w:rPr>
                <w:sz w:val="20"/>
                <w:szCs w:val="20"/>
                <w:color w:val="auto"/>
              </w:rPr>
            </w:pPr>
            <w:r>
              <w:rPr>
                <w:rFonts w:ascii="Arial" w:cs="Arial" w:eastAsia="Arial" w:hAnsi="Arial"/>
                <w:sz w:val="18"/>
                <w:szCs w:val="18"/>
                <w:color w:val="auto"/>
              </w:rPr>
              <w:t>Payments made under product warranty</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90"/>
              </w:rPr>
              <w:t>(124)</w:t>
            </w:r>
          </w:p>
        </w:tc>
      </w:tr>
      <w:tr>
        <w:trPr>
          <w:trHeight w:val="421"/>
        </w:trPr>
        <w:tc>
          <w:tcPr>
            <w:tcW w:w="4980" w:type="dxa"/>
            <w:vAlign w:val="bottom"/>
          </w:tcPr>
          <w:p>
            <w:pPr>
              <w:spacing w:after="0"/>
              <w:rPr>
                <w:sz w:val="20"/>
                <w:szCs w:val="20"/>
                <w:color w:val="auto"/>
              </w:rPr>
            </w:pPr>
            <w:r>
              <w:rPr>
                <w:rFonts w:ascii="Arial" w:cs="Arial" w:eastAsia="Arial" w:hAnsi="Arial"/>
                <w:sz w:val="18"/>
                <w:szCs w:val="18"/>
                <w:color w:val="auto"/>
              </w:rPr>
              <w:t>Accruals for product warranty</w:t>
            </w: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24"/>
                <w:szCs w:val="24"/>
                <w:color w:val="auto"/>
              </w:rPr>
            </w:pPr>
          </w:p>
        </w:tc>
      </w:tr>
      <w:tr>
        <w:trPr>
          <w:trHeight w:val="439"/>
        </w:trPr>
        <w:tc>
          <w:tcPr>
            <w:tcW w:w="4980" w:type="dxa"/>
            <w:vAlign w:val="bottom"/>
          </w:tcPr>
          <w:p>
            <w:pPr>
              <w:spacing w:after="0"/>
              <w:rPr>
                <w:sz w:val="20"/>
                <w:szCs w:val="20"/>
                <w:color w:val="auto"/>
              </w:rPr>
            </w:pPr>
            <w:r>
              <w:rPr>
                <w:rFonts w:ascii="Arial" w:cs="Arial" w:eastAsia="Arial" w:hAnsi="Arial"/>
                <w:sz w:val="18"/>
                <w:szCs w:val="18"/>
                <w:color w:val="auto"/>
              </w:rPr>
              <w:t>Balance - September 30, 2012</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225</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liability for product warranties is included in Other Current Liabilities on our balance sheet.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91" w:lineRule="exact"/>
        <w:rPr>
          <w:sz w:val="20"/>
          <w:szCs w:val="20"/>
          <w:color w:val="auto"/>
        </w:rPr>
      </w:pPr>
    </w:p>
    <w:p>
      <w:pPr>
        <w:ind w:left="540" w:right="340"/>
        <w:spacing w:after="0" w:line="332" w:lineRule="auto"/>
        <w:rPr>
          <w:sz w:val="20"/>
          <w:szCs w:val="20"/>
          <w:color w:val="auto"/>
        </w:rPr>
      </w:pPr>
      <w:r>
        <w:rPr>
          <w:rFonts w:ascii="Arial" w:cs="Arial" w:eastAsia="Arial" w:hAnsi="Arial"/>
          <w:sz w:val="16"/>
          <w:szCs w:val="16"/>
          <w:color w:val="auto"/>
        </w:rPr>
        <w:t>As of September 30, 2012, we had outstanding stock options and unvested restricted stock awards granted under stock-based employee compensation plans that are described more fully in Note 15 to the consolidated financial statements in our 2011 Form 10-K.</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STOCK-BASED COMPENSATION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As of September 30, 2012, total compensation expense to be recognized in future periods was $139. The weighted average period over which this expense is expected to be recognized is 1.4 years. All of this expense is related to nonvested shares of restricted stock.</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Restricted Stock Awards</w:t>
      </w:r>
    </w:p>
    <w:p>
      <w:pPr>
        <w:spacing w:after="0" w:line="225" w:lineRule="exact"/>
        <w:rPr>
          <w:sz w:val="20"/>
          <w:szCs w:val="20"/>
          <w:color w:val="auto"/>
        </w:rPr>
      </w:pPr>
    </w:p>
    <w:p>
      <w:pPr>
        <w:ind w:left="540" w:right="420"/>
        <w:spacing w:after="0" w:line="335" w:lineRule="auto"/>
        <w:rPr>
          <w:sz w:val="20"/>
          <w:szCs w:val="20"/>
          <w:color w:val="auto"/>
        </w:rPr>
      </w:pPr>
      <w:r>
        <w:rPr>
          <w:rFonts w:ascii="Arial" w:cs="Arial" w:eastAsia="Arial" w:hAnsi="Arial"/>
          <w:sz w:val="15"/>
          <w:szCs w:val="15"/>
          <w:color w:val="auto"/>
        </w:rPr>
        <w:t>We record compensation expense for restricted stock awards (nonvested shares) based on the quoted market price of our stock at the grant date and amortize the expense over the vesting period. Restricted stock awards generally vest over four years. The following table shows the allocation of the compensation expense we recorded during the three and nine months ended September 30, 2012 and 2011, respectively, related to nonvested shares:</w:t>
      </w:r>
    </w:p>
    <w:p>
      <w:pPr>
        <w:spacing w:after="0" w:line="10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900" w:type="dxa"/>
            <w:vAlign w:val="bottom"/>
            <w:gridSpan w:val="13"/>
          </w:tcPr>
          <w:p>
            <w:pPr>
              <w:jc w:val="right"/>
              <w:ind w:right="32"/>
              <w:spacing w:after="0"/>
              <w:rPr>
                <w:sz w:val="20"/>
                <w:szCs w:val="20"/>
                <w:color w:val="auto"/>
              </w:rPr>
            </w:pPr>
            <w:r>
              <w:rPr>
                <w:rFonts w:ascii="Arial" w:cs="Arial" w:eastAsia="Arial" w:hAnsi="Arial"/>
                <w:sz w:val="14"/>
                <w:szCs w:val="14"/>
                <w:b w:val="1"/>
                <w:bCs w:val="1"/>
                <w:i w:val="1"/>
                <w:iCs w:val="1"/>
                <w:color w:val="auto"/>
              </w:rPr>
              <w:t>Three Months Ended</w:t>
            </w:r>
          </w:p>
        </w:tc>
        <w:tc>
          <w:tcPr>
            <w:tcW w:w="1380" w:type="dxa"/>
            <w:vAlign w:val="bottom"/>
            <w:gridSpan w:val="10"/>
          </w:tcPr>
          <w:p>
            <w:pPr>
              <w:jc w:val="center"/>
              <w:spacing w:after="0"/>
              <w:rPr>
                <w:sz w:val="20"/>
                <w:szCs w:val="20"/>
                <w:color w:val="auto"/>
              </w:rPr>
            </w:pPr>
            <w:r>
              <w:rPr>
                <w:rFonts w:ascii="Arial" w:cs="Arial" w:eastAsia="Arial" w:hAnsi="Arial"/>
                <w:sz w:val="14"/>
                <w:szCs w:val="14"/>
                <w:b w:val="1"/>
                <w:bCs w:val="1"/>
                <w:i w:val="1"/>
                <w:iCs w:val="1"/>
                <w:color w:val="auto"/>
                <w:w w:val="87"/>
              </w:rPr>
              <w:t>Nine Months Ended</w:t>
            </w:r>
          </w:p>
        </w:tc>
      </w:tr>
      <w:tr>
        <w:trPr>
          <w:trHeight w:val="146"/>
        </w:trPr>
        <w:tc>
          <w:tcPr>
            <w:tcW w:w="3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5"/>
          </w:tcPr>
          <w:p>
            <w:pPr>
              <w:ind w:left="120"/>
              <w:spacing w:after="0" w:line="146" w:lineRule="exact"/>
              <w:rPr>
                <w:sz w:val="20"/>
                <w:szCs w:val="20"/>
                <w:color w:val="auto"/>
              </w:rPr>
            </w:pPr>
            <w:r>
              <w:rPr>
                <w:rFonts w:ascii="Arial" w:cs="Arial" w:eastAsia="Arial" w:hAnsi="Arial"/>
                <w:sz w:val="14"/>
                <w:szCs w:val="14"/>
                <w:b w:val="1"/>
                <w:bCs w:val="1"/>
                <w:i w:val="1"/>
                <w:iCs w:val="1"/>
                <w:color w:val="auto"/>
                <w:w w:val="90"/>
              </w:rPr>
              <w:t>Sept. 30,</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4"/>
          </w:tcPr>
          <w:p>
            <w:pPr>
              <w:jc w:val="center"/>
              <w:spacing w:after="0" w:line="146" w:lineRule="exact"/>
              <w:rPr>
                <w:sz w:val="20"/>
                <w:szCs w:val="20"/>
                <w:color w:val="auto"/>
              </w:rPr>
            </w:pPr>
            <w:r>
              <w:rPr>
                <w:rFonts w:ascii="Arial" w:cs="Arial" w:eastAsia="Arial" w:hAnsi="Arial"/>
                <w:sz w:val="14"/>
                <w:szCs w:val="14"/>
                <w:b w:val="1"/>
                <w:bCs w:val="1"/>
                <w:i w:val="1"/>
                <w:iCs w:val="1"/>
                <w:color w:val="auto"/>
                <w:w w:val="79"/>
              </w:rPr>
              <w:t>Sept. 30,</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6"/>
        </w:trPr>
        <w:tc>
          <w:tcPr>
            <w:tcW w:w="3900" w:type="dxa"/>
            <w:vAlign w:val="bottom"/>
          </w:tcPr>
          <w:p>
            <w:pPr>
              <w:spacing w:after="0"/>
              <w:rPr>
                <w:sz w:val="13"/>
                <w:szCs w:val="13"/>
                <w:color w:val="auto"/>
              </w:rPr>
            </w:pPr>
          </w:p>
        </w:tc>
        <w:tc>
          <w:tcPr>
            <w:tcW w:w="800" w:type="dxa"/>
            <w:vAlign w:val="bottom"/>
            <w:gridSpan w:val="2"/>
          </w:tcPr>
          <w:p>
            <w:pPr>
              <w:spacing w:after="0"/>
              <w:rPr>
                <w:sz w:val="13"/>
                <w:szCs w:val="13"/>
                <w:color w:val="auto"/>
              </w:rPr>
            </w:pPr>
          </w:p>
        </w:tc>
        <w:tc>
          <w:tcPr>
            <w:tcW w:w="2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gridSpan w:val="6"/>
          </w:tcPr>
          <w:p>
            <w:pPr>
              <w:jc w:val="right"/>
              <w:ind w:right="32"/>
              <w:spacing w:after="0" w:line="155" w:lineRule="exact"/>
              <w:rPr>
                <w:sz w:val="20"/>
                <w:szCs w:val="20"/>
                <w:color w:val="auto"/>
              </w:rPr>
            </w:pPr>
            <w:r>
              <w:rPr>
                <w:rFonts w:ascii="Arial" w:cs="Arial" w:eastAsia="Arial" w:hAnsi="Arial"/>
                <w:sz w:val="14"/>
                <w:szCs w:val="14"/>
                <w:b w:val="1"/>
                <w:bCs w:val="1"/>
                <w:i w:val="1"/>
                <w:iCs w:val="1"/>
                <w:color w:val="auto"/>
                <w:w w:val="96"/>
              </w:rPr>
              <w:t>2011</w:t>
            </w:r>
          </w:p>
        </w:tc>
        <w:tc>
          <w:tcPr>
            <w:tcW w:w="700" w:type="dxa"/>
            <w:vAlign w:val="bottom"/>
            <w:gridSpan w:val="5"/>
          </w:tcPr>
          <w:p>
            <w:pPr>
              <w:jc w:val="right"/>
              <w:ind w:right="52"/>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280" w:type="dxa"/>
            <w:vAlign w:val="bottom"/>
          </w:tcPr>
          <w:p>
            <w:pPr>
              <w:spacing w:after="0"/>
              <w:rPr>
                <w:sz w:val="13"/>
                <w:szCs w:val="13"/>
                <w:color w:val="auto"/>
              </w:rPr>
            </w:pPr>
          </w:p>
        </w:tc>
        <w:tc>
          <w:tcPr>
            <w:tcW w:w="400" w:type="dxa"/>
            <w:vAlign w:val="bottom"/>
            <w:gridSpan w:val="4"/>
          </w:tcPr>
          <w:p>
            <w:pPr>
              <w:jc w:val="right"/>
              <w:ind w:right="32"/>
              <w:spacing w:after="0" w:line="155" w:lineRule="exact"/>
              <w:rPr>
                <w:sz w:val="20"/>
                <w:szCs w:val="20"/>
                <w:color w:val="auto"/>
              </w:rPr>
            </w:pPr>
            <w:r>
              <w:rPr>
                <w:rFonts w:ascii="Arial" w:cs="Arial" w:eastAsia="Arial" w:hAnsi="Arial"/>
                <w:sz w:val="14"/>
                <w:szCs w:val="14"/>
                <w:b w:val="1"/>
                <w:bCs w:val="1"/>
                <w:i w:val="1"/>
                <w:iCs w:val="1"/>
                <w:color w:val="auto"/>
                <w:w w:val="83"/>
              </w:rPr>
              <w:t>2011</w:t>
            </w:r>
          </w:p>
        </w:tc>
      </w:tr>
      <w:tr>
        <w:trPr>
          <w:trHeight w:val="302"/>
        </w:trPr>
        <w:tc>
          <w:tcPr>
            <w:tcW w:w="3900" w:type="dxa"/>
            <w:vAlign w:val="bottom"/>
          </w:tcPr>
          <w:p>
            <w:pPr>
              <w:spacing w:after="0"/>
              <w:rPr>
                <w:sz w:val="20"/>
                <w:szCs w:val="20"/>
                <w:color w:val="auto"/>
              </w:rPr>
            </w:pPr>
            <w:r>
              <w:rPr>
                <w:rFonts w:ascii="Arial" w:cs="Arial" w:eastAsia="Arial" w:hAnsi="Arial"/>
                <w:sz w:val="18"/>
                <w:szCs w:val="18"/>
                <w:color w:val="auto"/>
              </w:rPr>
              <w:t>Cost of revenues</w:t>
            </w:r>
          </w:p>
        </w:tc>
        <w:tc>
          <w:tcPr>
            <w:tcW w:w="800" w:type="dxa"/>
            <w:vAlign w:val="bottom"/>
            <w:gridSpan w:val="2"/>
          </w:tcPr>
          <w:p>
            <w:pPr>
              <w:spacing w:after="0"/>
              <w:rPr>
                <w:sz w:val="24"/>
                <w:szCs w:val="24"/>
                <w:color w:val="auto"/>
              </w:rPr>
            </w:pPr>
          </w:p>
        </w:tc>
        <w:tc>
          <w:tcPr>
            <w:tcW w:w="2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300" w:type="dxa"/>
            <w:vAlign w:val="bottom"/>
          </w:tcPr>
          <w:p>
            <w:pPr>
              <w:spacing w:after="0"/>
              <w:rPr>
                <w:sz w:val="24"/>
                <w:szCs w:val="24"/>
                <w:color w:val="auto"/>
              </w:rPr>
            </w:pPr>
          </w:p>
        </w:tc>
        <w:tc>
          <w:tcPr>
            <w:tcW w:w="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tcPr>
          <w:p>
            <w:pPr>
              <w:spacing w:after="0"/>
              <w:rPr>
                <w:sz w:val="24"/>
                <w:szCs w:val="24"/>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9</w:t>
            </w:r>
          </w:p>
        </w:tc>
      </w:tr>
      <w:tr>
        <w:trPr>
          <w:trHeight w:val="459"/>
        </w:trPr>
        <w:tc>
          <w:tcPr>
            <w:tcW w:w="3900" w:type="dxa"/>
            <w:vAlign w:val="bottom"/>
          </w:tcPr>
          <w:p>
            <w:pPr>
              <w:spacing w:after="0"/>
              <w:rPr>
                <w:sz w:val="20"/>
                <w:szCs w:val="20"/>
                <w:color w:val="auto"/>
              </w:rPr>
            </w:pPr>
            <w:r>
              <w:rPr>
                <w:rFonts w:ascii="Arial" w:cs="Arial" w:eastAsia="Arial" w:hAnsi="Arial"/>
                <w:sz w:val="18"/>
                <w:szCs w:val="18"/>
                <w:color w:val="auto"/>
              </w:rPr>
              <w:t>Selling expense</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3"/>
          </w:tcPr>
          <w:p>
            <w:pPr>
              <w:jc w:val="right"/>
              <w:ind w:right="28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459"/>
        </w:trPr>
        <w:tc>
          <w:tcPr>
            <w:tcW w:w="3900" w:type="dxa"/>
            <w:vAlign w:val="bottom"/>
          </w:tcPr>
          <w:p>
            <w:pPr>
              <w:spacing w:after="0"/>
              <w:rPr>
                <w:sz w:val="20"/>
                <w:szCs w:val="20"/>
                <w:color w:val="auto"/>
              </w:rPr>
            </w:pPr>
            <w:r>
              <w:rPr>
                <w:rFonts w:ascii="Arial" w:cs="Arial" w:eastAsia="Arial" w:hAnsi="Arial"/>
                <w:sz w:val="18"/>
                <w:szCs w:val="18"/>
                <w:color w:val="auto"/>
              </w:rPr>
              <w:t>Engineering and product development expense</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3"/>
          </w:tcPr>
          <w:p>
            <w:pPr>
              <w:jc w:val="right"/>
              <w:ind w:right="280"/>
              <w:spacing w:after="0"/>
              <w:rPr>
                <w:sz w:val="20"/>
                <w:szCs w:val="20"/>
                <w:color w:val="auto"/>
              </w:rPr>
            </w:pPr>
            <w:r>
              <w:rPr>
                <w:rFonts w:ascii="Arial" w:cs="Arial" w:eastAsia="Arial" w:hAnsi="Arial"/>
                <w:sz w:val="18"/>
                <w:szCs w:val="18"/>
                <w:color w:val="auto"/>
                <w:w w:val="79"/>
              </w:rPr>
              <w:t>19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421"/>
        </w:trPr>
        <w:tc>
          <w:tcPr>
            <w:tcW w:w="39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78"/>
              </w:rPr>
              <w:t>21</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78"/>
              </w:rPr>
              <w:t>18</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62</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w:t>
            </w:r>
          </w:p>
        </w:tc>
      </w:tr>
      <w:tr>
        <w:trPr>
          <w:trHeight w:val="439"/>
        </w:trPr>
        <w:tc>
          <w:tcPr>
            <w:tcW w:w="3900" w:type="dxa"/>
            <w:vAlign w:val="bottom"/>
          </w:tcPr>
          <w:p>
            <w:pPr>
              <w:spacing w:after="0"/>
              <w:rPr>
                <w:sz w:val="24"/>
                <w:szCs w:val="24"/>
                <w:color w:val="auto"/>
              </w:rPr>
            </w:pPr>
          </w:p>
        </w:tc>
        <w:tc>
          <w:tcPr>
            <w:tcW w:w="940" w:type="dxa"/>
            <w:vAlign w:val="bottom"/>
            <w:gridSpan w:val="3"/>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w w:val="78"/>
              </w:rPr>
              <w:t>32</w:t>
            </w:r>
          </w:p>
        </w:tc>
        <w:tc>
          <w:tcPr>
            <w:tcW w:w="260" w:type="dxa"/>
            <w:vAlign w:val="bottom"/>
          </w:tcPr>
          <w:p>
            <w:pPr>
              <w:spacing w:after="0"/>
              <w:rPr>
                <w:sz w:val="24"/>
                <w:szCs w:val="24"/>
                <w:color w:val="auto"/>
              </w:rPr>
            </w:pPr>
          </w:p>
        </w:tc>
        <w:tc>
          <w:tcPr>
            <w:tcW w:w="180" w:type="dxa"/>
            <w:vAlign w:val="bottom"/>
            <w:gridSpan w:val="3"/>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w w:val="78"/>
              </w:rPr>
              <w:t>32</w:t>
            </w:r>
          </w:p>
        </w:tc>
        <w:tc>
          <w:tcPr>
            <w:tcW w:w="5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3"/>
          </w:tcPr>
          <w:p>
            <w:pPr>
              <w:jc w:val="right"/>
              <w:ind w:right="280"/>
              <w:spacing w:after="0"/>
              <w:rPr>
                <w:sz w:val="20"/>
                <w:szCs w:val="20"/>
                <w:color w:val="auto"/>
              </w:rPr>
            </w:pPr>
            <w:r>
              <w:rPr>
                <w:rFonts w:ascii="Arial" w:cs="Arial" w:eastAsia="Arial" w:hAnsi="Arial"/>
                <w:sz w:val="18"/>
                <w:szCs w:val="18"/>
                <w:color w:val="auto"/>
                <w:w w:val="79"/>
              </w:rPr>
              <w:t>93</w:t>
            </w:r>
          </w:p>
        </w:tc>
        <w:tc>
          <w:tcPr>
            <w:tcW w:w="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79"/>
              </w:rPr>
              <w:t>119</w:t>
            </w:r>
          </w:p>
        </w:tc>
      </w:tr>
      <w:tr>
        <w:trPr>
          <w:trHeight w:val="20"/>
        </w:trPr>
        <w:tc>
          <w:tcPr>
            <w:tcW w:w="3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bl>
    <w:p>
      <w:pPr>
        <w:spacing w:after="0" w:line="3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was no compensation expense capitalized in the three or nine months ended September 30, 2012 or 2011.</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activity related to nonvested shares for the nine months ended September 30, 2012:</w:t>
      </w:r>
    </w:p>
    <w:p>
      <w:pPr>
        <w:spacing w:after="0" w:line="22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4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9"/>
        </w:trPr>
        <w:tc>
          <w:tcPr>
            <w:tcW w:w="4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i w:val="1"/>
                <w:iCs w:val="1"/>
                <w:color w:val="auto"/>
              </w:rPr>
              <w:t>Number</w:t>
            </w: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9"/>
              </w:rPr>
              <w:t>Grant Date</w:t>
            </w:r>
          </w:p>
        </w:tc>
      </w:tr>
      <w:tr>
        <w:trPr>
          <w:trHeight w:val="146"/>
        </w:trPr>
        <w:tc>
          <w:tcPr>
            <w:tcW w:w="4120" w:type="dxa"/>
            <w:vAlign w:val="bottom"/>
          </w:tcPr>
          <w:p>
            <w:pPr>
              <w:spacing w:after="0"/>
              <w:rPr>
                <w:sz w:val="12"/>
                <w:szCs w:val="12"/>
                <w:color w:val="auto"/>
              </w:rPr>
            </w:pPr>
          </w:p>
        </w:tc>
        <w:tc>
          <w:tcPr>
            <w:tcW w:w="1260" w:type="dxa"/>
            <w:vAlign w:val="bottom"/>
            <w:gridSpan w:val="4"/>
          </w:tcPr>
          <w:p>
            <w:pPr>
              <w:ind w:left="540"/>
              <w:spacing w:after="0" w:line="146" w:lineRule="exact"/>
              <w:rPr>
                <w:sz w:val="20"/>
                <w:szCs w:val="20"/>
                <w:color w:val="auto"/>
              </w:rPr>
            </w:pPr>
            <w:r>
              <w:rPr>
                <w:rFonts w:ascii="Arial" w:cs="Arial" w:eastAsia="Arial" w:hAnsi="Arial"/>
                <w:sz w:val="14"/>
                <w:szCs w:val="14"/>
                <w:b w:val="1"/>
                <w:bCs w:val="1"/>
                <w:i w:val="1"/>
                <w:iCs w:val="1"/>
                <w:color w:val="auto"/>
              </w:rPr>
              <w:t>of Shares</w:t>
            </w:r>
          </w:p>
        </w:tc>
        <w:tc>
          <w:tcPr>
            <w:tcW w:w="80" w:type="dxa"/>
            <w:vAlign w:val="bottom"/>
          </w:tcPr>
          <w:p>
            <w:pPr>
              <w:spacing w:after="0"/>
              <w:rPr>
                <w:sz w:val="12"/>
                <w:szCs w:val="12"/>
                <w:color w:val="auto"/>
              </w:rPr>
            </w:pPr>
          </w:p>
        </w:tc>
        <w:tc>
          <w:tcPr>
            <w:tcW w:w="620" w:type="dxa"/>
            <w:vAlign w:val="bottom"/>
            <w:gridSpan w:val="2"/>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9"/>
              </w:rPr>
              <w:t>Fair Value</w:t>
            </w:r>
          </w:p>
        </w:tc>
      </w:tr>
      <w:tr>
        <w:trPr>
          <w:trHeight w:val="20"/>
        </w:trPr>
        <w:tc>
          <w:tcPr>
            <w:tcW w:w="412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Nonvested shares outstanding, January 1, 2012</w:t>
            </w:r>
          </w:p>
        </w:tc>
        <w:tc>
          <w:tcPr>
            <w:tcW w:w="6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79"/>
              </w:rPr>
              <w:t>195,000</w:t>
            </w: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20"/>
                <w:szCs w:val="20"/>
                <w:color w:val="auto"/>
              </w:rPr>
            </w:pPr>
          </w:p>
        </w:tc>
      </w:tr>
      <w:tr>
        <w:trPr>
          <w:trHeight w:val="459"/>
        </w:trPr>
        <w:tc>
          <w:tcPr>
            <w:tcW w:w="41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459"/>
        </w:trPr>
        <w:tc>
          <w:tcPr>
            <w:tcW w:w="4120" w:type="dxa"/>
            <w:vAlign w:val="bottom"/>
          </w:tcPr>
          <w:p>
            <w:pPr>
              <w:ind w:left="140"/>
              <w:spacing w:after="0"/>
              <w:rPr>
                <w:sz w:val="20"/>
                <w:szCs w:val="20"/>
                <w:color w:val="auto"/>
              </w:rPr>
            </w:pPr>
            <w:r>
              <w:rPr>
                <w:rFonts w:ascii="Arial" w:cs="Arial" w:eastAsia="Arial" w:hAnsi="Arial"/>
                <w:sz w:val="18"/>
                <w:szCs w:val="18"/>
                <w:color w:val="auto"/>
              </w:rPr>
              <w:t>Vested</w:t>
            </w:r>
          </w:p>
        </w:tc>
        <w:tc>
          <w:tcPr>
            <w:tcW w:w="1260" w:type="dxa"/>
            <w:vAlign w:val="bottom"/>
            <w:gridSpan w:val="4"/>
          </w:tcPr>
          <w:p>
            <w:pPr>
              <w:ind w:left="580"/>
              <w:spacing w:after="0"/>
              <w:rPr>
                <w:sz w:val="20"/>
                <w:szCs w:val="20"/>
                <w:color w:val="auto"/>
              </w:rPr>
            </w:pPr>
            <w:r>
              <w:rPr>
                <w:rFonts w:ascii="Arial" w:cs="Arial" w:eastAsia="Arial" w:hAnsi="Arial"/>
                <w:sz w:val="18"/>
                <w:szCs w:val="18"/>
                <w:color w:val="auto"/>
                <w:w w:val="98"/>
              </w:rPr>
              <w:t>(76,250)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24"/>
                <w:szCs w:val="24"/>
                <w:color w:val="auto"/>
              </w:rPr>
            </w:pPr>
          </w:p>
        </w:tc>
      </w:tr>
      <w:tr>
        <w:trPr>
          <w:trHeight w:val="421"/>
        </w:trPr>
        <w:tc>
          <w:tcPr>
            <w:tcW w:w="412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600" w:type="dxa"/>
            <w:vAlign w:val="bottom"/>
          </w:tcPr>
          <w:p>
            <w:pPr>
              <w:spacing w:after="0"/>
              <w:rPr>
                <w:sz w:val="24"/>
                <w:szCs w:val="2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439"/>
        </w:trPr>
        <w:tc>
          <w:tcPr>
            <w:tcW w:w="4120" w:type="dxa"/>
            <w:vAlign w:val="bottom"/>
          </w:tcPr>
          <w:p>
            <w:pPr>
              <w:spacing w:after="0"/>
              <w:rPr>
                <w:sz w:val="20"/>
                <w:szCs w:val="20"/>
                <w:color w:val="auto"/>
              </w:rPr>
            </w:pPr>
            <w:r>
              <w:rPr>
                <w:rFonts w:ascii="Arial" w:cs="Arial" w:eastAsia="Arial" w:hAnsi="Arial"/>
                <w:sz w:val="18"/>
                <w:szCs w:val="18"/>
                <w:color w:val="auto"/>
                <w:w w:val="98"/>
              </w:rPr>
              <w:t>Nonvested shares outstanding, September 30, 2012</w:t>
            </w:r>
          </w:p>
        </w:tc>
        <w:tc>
          <w:tcPr>
            <w:tcW w:w="600" w:type="dxa"/>
            <w:vAlign w:val="bottom"/>
          </w:tcPr>
          <w:p>
            <w:pPr>
              <w:spacing w:after="0"/>
              <w:rPr>
                <w:sz w:val="24"/>
                <w:szCs w:val="2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118,750</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24"/>
                <w:szCs w:val="24"/>
                <w:color w:val="auto"/>
              </w:rPr>
            </w:pPr>
          </w:p>
        </w:tc>
      </w:tr>
    </w:tbl>
    <w:p>
      <w:pPr>
        <w:sectPr>
          <w:pgSz w:w="11900" w:h="16838" w:orient="portrait"/>
          <w:cols w:equalWidth="0" w:num="1">
            <w:col w:w="11400"/>
          </w:cols>
          <w:pgMar w:left="240" w:top="125" w:right="259" w:bottom="63" w:gutter="0" w:footer="0" w:header="0"/>
        </w:sectPr>
      </w:pPr>
    </w:p>
    <w:bookmarkStart w:id="13" w:name="page14"/>
    <w:bookmarkEnd w:id="13"/>
    <w:p>
      <w:pPr>
        <w:ind w:left="54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stock option activity for the nine months ended September 30, 2012:</w:t>
      </w:r>
    </w:p>
    <w:p>
      <w:pPr>
        <w:spacing w:after="0" w:line="22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4740" w:type="dxa"/>
            <w:vAlign w:val="bottom"/>
          </w:tcPr>
          <w:p>
            <w:pPr>
              <w:spacing w:after="0"/>
              <w:rPr>
                <w:sz w:val="12"/>
                <w:szCs w:val="12"/>
                <w:color w:val="auto"/>
              </w:rPr>
            </w:pPr>
          </w:p>
        </w:tc>
        <w:tc>
          <w:tcPr>
            <w:tcW w:w="6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i w:val="1"/>
                <w:iCs w:val="1"/>
                <w:color w:val="auto"/>
                <w:w w:val="86"/>
              </w:rPr>
              <w:t>Number</w:t>
            </w:r>
          </w:p>
        </w:tc>
        <w:tc>
          <w:tcPr>
            <w:tcW w:w="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6"/>
        </w:trPr>
        <w:tc>
          <w:tcPr>
            <w:tcW w:w="4740" w:type="dxa"/>
            <w:vAlign w:val="bottom"/>
          </w:tcPr>
          <w:p>
            <w:pPr>
              <w:spacing w:after="0"/>
              <w:rPr>
                <w:sz w:val="12"/>
                <w:szCs w:val="12"/>
                <w:color w:val="auto"/>
              </w:rPr>
            </w:pPr>
          </w:p>
        </w:tc>
        <w:tc>
          <w:tcPr>
            <w:tcW w:w="660" w:type="dxa"/>
            <w:vAlign w:val="bottom"/>
            <w:gridSpan w:val="4"/>
          </w:tcPr>
          <w:p>
            <w:pPr>
              <w:jc w:val="center"/>
              <w:ind w:right="180"/>
              <w:spacing w:after="0" w:line="146" w:lineRule="exact"/>
              <w:rPr>
                <w:sz w:val="20"/>
                <w:szCs w:val="20"/>
                <w:color w:val="auto"/>
              </w:rPr>
            </w:pPr>
            <w:r>
              <w:rPr>
                <w:rFonts w:ascii="Arial" w:cs="Arial" w:eastAsia="Arial" w:hAnsi="Arial"/>
                <w:sz w:val="14"/>
                <w:szCs w:val="14"/>
                <w:b w:val="1"/>
                <w:bCs w:val="1"/>
                <w:i w:val="1"/>
                <w:iCs w:val="1"/>
                <w:color w:val="auto"/>
                <w:w w:val="75"/>
              </w:rPr>
              <w:t>of Shares</w:t>
            </w:r>
          </w:p>
        </w:tc>
        <w:tc>
          <w:tcPr>
            <w:tcW w:w="86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Exercise Price</w:t>
            </w:r>
          </w:p>
        </w:tc>
      </w:tr>
      <w:tr>
        <w:trPr>
          <w:trHeight w:val="20"/>
        </w:trPr>
        <w:tc>
          <w:tcPr>
            <w:tcW w:w="47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4740" w:type="dxa"/>
            <w:vAlign w:val="bottom"/>
          </w:tcPr>
          <w:p>
            <w:pPr>
              <w:spacing w:after="0"/>
              <w:rPr>
                <w:sz w:val="20"/>
                <w:szCs w:val="20"/>
                <w:color w:val="auto"/>
              </w:rPr>
            </w:pPr>
            <w:r>
              <w:rPr>
                <w:rFonts w:ascii="Arial" w:cs="Arial" w:eastAsia="Arial" w:hAnsi="Arial"/>
                <w:sz w:val="18"/>
                <w:szCs w:val="18"/>
                <w:color w:val="auto"/>
                <w:w w:val="98"/>
              </w:rPr>
              <w:t>Options outstanding, January 1, 2012 (249,000 exercisable)</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249,000</w:t>
            </w:r>
          </w:p>
        </w:tc>
        <w:tc>
          <w:tcPr>
            <w:tcW w:w="80" w:type="dxa"/>
            <w:vAlign w:val="bottom"/>
          </w:tcPr>
          <w:p>
            <w:pPr>
              <w:spacing w:after="0"/>
              <w:rPr>
                <w:sz w:val="20"/>
                <w:szCs w:val="20"/>
                <w:color w:val="auto"/>
              </w:rPr>
            </w:pPr>
          </w:p>
        </w:tc>
        <w:tc>
          <w:tcPr>
            <w:tcW w:w="860" w:type="dxa"/>
            <w:vAlign w:val="bottom"/>
            <w:gridSpan w:val="2"/>
          </w:tcPr>
          <w:p>
            <w:pPr>
              <w:jc w:val="right"/>
              <w:ind w:right="52"/>
              <w:spacing w:after="0"/>
              <w:rPr>
                <w:sz w:val="20"/>
                <w:szCs w:val="20"/>
                <w:color w:val="auto"/>
              </w:rPr>
            </w:pPr>
            <w:r>
              <w:rPr>
                <w:rFonts w:ascii="Arial" w:cs="Arial" w:eastAsia="Arial" w:hAnsi="Arial"/>
                <w:sz w:val="18"/>
                <w:szCs w:val="18"/>
                <w:color w:val="auto"/>
              </w:rPr>
              <w:t>$3.28</w:t>
            </w:r>
          </w:p>
        </w:tc>
      </w:tr>
      <w:tr>
        <w:trPr>
          <w:trHeight w:val="459"/>
        </w:trPr>
        <w:tc>
          <w:tcPr>
            <w:tcW w:w="4740" w:type="dxa"/>
            <w:vAlign w:val="bottom"/>
          </w:tcPr>
          <w:p>
            <w:pPr>
              <w:ind w:left="140"/>
              <w:spacing w:after="0"/>
              <w:rPr>
                <w:sz w:val="20"/>
                <w:szCs w:val="20"/>
                <w:color w:val="auto"/>
              </w:rPr>
            </w:pPr>
            <w:r>
              <w:rPr>
                <w:rFonts w:ascii="Arial" w:cs="Arial" w:eastAsia="Arial" w:hAnsi="Arial"/>
                <w:sz w:val="18"/>
                <w:szCs w:val="18"/>
                <w:color w:val="auto"/>
              </w:rPr>
              <w:t>Granted</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r>
      <w:tr>
        <w:trPr>
          <w:trHeight w:val="459"/>
        </w:trPr>
        <w:tc>
          <w:tcPr>
            <w:tcW w:w="474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r>
      <w:tr>
        <w:trPr>
          <w:trHeight w:val="421"/>
        </w:trPr>
        <w:tc>
          <w:tcPr>
            <w:tcW w:w="4740" w:type="dxa"/>
            <w:vAlign w:val="bottom"/>
          </w:tcPr>
          <w:p>
            <w:pPr>
              <w:ind w:left="140"/>
              <w:spacing w:after="0"/>
              <w:rPr>
                <w:sz w:val="20"/>
                <w:szCs w:val="20"/>
                <w:color w:val="auto"/>
              </w:rPr>
            </w:pPr>
            <w:r>
              <w:rPr>
                <w:rFonts w:ascii="Arial" w:cs="Arial" w:eastAsia="Arial" w:hAnsi="Arial"/>
                <w:sz w:val="18"/>
                <w:szCs w:val="18"/>
                <w:color w:val="auto"/>
              </w:rPr>
              <w:t>Forfeited/Expired</w:t>
            </w: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w w:val="89"/>
              </w:rPr>
              <w:t>(30,000)</w:t>
            </w:r>
          </w:p>
        </w:tc>
        <w:tc>
          <w:tcPr>
            <w:tcW w:w="860" w:type="dxa"/>
            <w:vAlign w:val="bottom"/>
            <w:gridSpan w:val="2"/>
          </w:tcPr>
          <w:p>
            <w:pPr>
              <w:jc w:val="right"/>
              <w:ind w:right="52"/>
              <w:spacing w:after="0"/>
              <w:rPr>
                <w:sz w:val="20"/>
                <w:szCs w:val="20"/>
                <w:color w:val="auto"/>
              </w:rPr>
            </w:pPr>
            <w:r>
              <w:rPr>
                <w:rFonts w:ascii="Arial" w:cs="Arial" w:eastAsia="Arial" w:hAnsi="Arial"/>
                <w:sz w:val="18"/>
                <w:szCs w:val="18"/>
                <w:color w:val="auto"/>
              </w:rPr>
              <w:t>4.11</w:t>
            </w:r>
          </w:p>
        </w:tc>
      </w:tr>
      <w:tr>
        <w:trPr>
          <w:trHeight w:val="20"/>
        </w:trPr>
        <w:tc>
          <w:tcPr>
            <w:tcW w:w="4740" w:type="dxa"/>
            <w:vAlign w:val="bottom"/>
            <w:tcBorders>
              <w:right w:val="single" w:sz="8" w:color="auto"/>
            </w:tcBorders>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439"/>
        </w:trPr>
        <w:tc>
          <w:tcPr>
            <w:tcW w:w="4740" w:type="dxa"/>
            <w:vAlign w:val="bottom"/>
          </w:tcPr>
          <w:p>
            <w:pPr>
              <w:spacing w:after="0"/>
              <w:rPr>
                <w:sz w:val="20"/>
                <w:szCs w:val="20"/>
                <w:color w:val="auto"/>
              </w:rPr>
            </w:pPr>
            <w:r>
              <w:rPr>
                <w:rFonts w:ascii="Arial" w:cs="Arial" w:eastAsia="Arial" w:hAnsi="Arial"/>
                <w:sz w:val="18"/>
                <w:szCs w:val="18"/>
                <w:color w:val="auto"/>
                <w:w w:val="91"/>
              </w:rPr>
              <w:t>Options outstanding, September 30, 2012 (219,000 exercisable)</w:t>
            </w: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219,000</w:t>
            </w:r>
          </w:p>
        </w:tc>
        <w:tc>
          <w:tcPr>
            <w:tcW w:w="80" w:type="dxa"/>
            <w:vAlign w:val="bottom"/>
          </w:tcPr>
          <w:p>
            <w:pPr>
              <w:spacing w:after="0"/>
              <w:rPr>
                <w:sz w:val="24"/>
                <w:szCs w:val="24"/>
                <w:color w:val="auto"/>
              </w:rPr>
            </w:pPr>
          </w:p>
        </w:tc>
        <w:tc>
          <w:tcPr>
            <w:tcW w:w="860" w:type="dxa"/>
            <w:vAlign w:val="bottom"/>
            <w:gridSpan w:val="2"/>
          </w:tcPr>
          <w:p>
            <w:pPr>
              <w:jc w:val="right"/>
              <w:ind w:right="52"/>
              <w:spacing w:after="0"/>
              <w:rPr>
                <w:sz w:val="20"/>
                <w:szCs w:val="20"/>
                <w:color w:val="auto"/>
              </w:rPr>
            </w:pPr>
            <w:r>
              <w:rPr>
                <w:rFonts w:ascii="Arial" w:cs="Arial" w:eastAsia="Arial" w:hAnsi="Arial"/>
                <w:sz w:val="18"/>
                <w:szCs w:val="18"/>
                <w:color w:val="auto"/>
              </w:rPr>
              <w:t>3.17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191" w:lineRule="exact"/>
        <w:rPr>
          <w:sz w:val="20"/>
          <w:szCs w:val="20"/>
          <w:color w:val="auto"/>
        </w:rPr>
      </w:pPr>
    </w:p>
    <w:p>
      <w:pPr>
        <w:ind w:left="540" w:right="180"/>
        <w:spacing w:after="0" w:line="256" w:lineRule="auto"/>
        <w:rPr>
          <w:sz w:val="20"/>
          <w:szCs w:val="20"/>
          <w:color w:val="auto"/>
        </w:rPr>
      </w:pPr>
      <w:r>
        <w:rPr>
          <w:rFonts w:ascii="Arial" w:cs="Arial" w:eastAsia="Arial" w:hAnsi="Arial"/>
          <w:sz w:val="18"/>
          <w:szCs w:val="18"/>
          <w:color w:val="auto"/>
        </w:rPr>
        <w:t>We have a defined contribution 401(k) plan for our employees who work in the U.S. (the "inTEST 401(k) Plan"). All permanent employees of inTEST Corporation and inTEST Silicon Valley Corp who are at least 18 years of age are eligible to participate in the plan. We match employee contributions dollar for dollar up to 10% of the employee's annual compensation, with a maximum limit of $5. Employer contributions vest over four years. Matching contributions are discretionary.</w:t>
      </w:r>
    </w:p>
    <w:p>
      <w:pPr>
        <w:spacing w:after="0" w:line="197" w:lineRule="exact"/>
        <w:rPr>
          <w:sz w:val="20"/>
          <w:szCs w:val="20"/>
          <w:color w:val="auto"/>
        </w:rPr>
      </w:pPr>
    </w:p>
    <w:p>
      <w:pPr>
        <w:ind w:left="540" w:right="100"/>
        <w:spacing w:after="0" w:line="255" w:lineRule="auto"/>
        <w:rPr>
          <w:sz w:val="20"/>
          <w:szCs w:val="20"/>
          <w:color w:val="auto"/>
        </w:rPr>
      </w:pPr>
      <w:r>
        <w:rPr>
          <w:rFonts w:ascii="Arial" w:cs="Arial" w:eastAsia="Arial" w:hAnsi="Arial"/>
          <w:sz w:val="18"/>
          <w:szCs w:val="18"/>
          <w:color w:val="auto"/>
        </w:rPr>
        <w:t>Temptronic adopted a defined contribution 401(k) plan for its domestic employees in 1988, that was merged into the inTEST 401(k) Plan effective September 1, 2002. The inTEST 401(k) Plan retains the matching provisions of the prior Temptronic plan for all Temptronic employees. Temptronic matches employee contributions $0.50 on the dollar up to 6% of the employees' annual compensation, with a maximum limit of $3. Matching contributions are discretionary. The eligibility and vesting provisions of the prior Temptronic plan have been conformed to those for inTEST Corporation and inTEST Silicon Valley Corporation employees.</w:t>
      </w:r>
    </w:p>
    <w:p>
      <w:pPr>
        <w:spacing w:after="0" w:line="197" w:lineRule="exact"/>
        <w:rPr>
          <w:sz w:val="20"/>
          <w:szCs w:val="20"/>
          <w:color w:val="auto"/>
        </w:rPr>
      </w:pPr>
    </w:p>
    <w:p>
      <w:pPr>
        <w:ind w:left="540" w:right="100"/>
        <w:spacing w:after="0" w:line="287" w:lineRule="auto"/>
        <w:rPr>
          <w:sz w:val="20"/>
          <w:szCs w:val="20"/>
          <w:color w:val="auto"/>
        </w:rPr>
      </w:pPr>
      <w:r>
        <w:rPr>
          <w:rFonts w:ascii="Arial" w:cs="Arial" w:eastAsia="Arial" w:hAnsi="Arial"/>
          <w:sz w:val="16"/>
          <w:szCs w:val="16"/>
          <w:color w:val="auto"/>
        </w:rPr>
        <w:t>In addition to the employer matching for which Temptronic employees are eligible, upon the termination of the Temptronic Equity Participation Plan ("EPP"), we also acknowledged that it was our intention to contribute $3,000 in the aggregate to the inTEST 401(k) Plan as a form of profit sharing (not to exceed $300 per year) for the benefit of Temptronic employees. The amount of these contributions approximates the amount that we had been committed to contribute to the EPP as of its termination date. All such profit sharing contributions are at the discretion of management, and will be allocated to employees annually in the same manner in which the shares held by the EPP had been allocated. The vesting provisions for these contributions are the same as those of the inTEST 401(k) Plan. Accruals for profit sharing contributions totaling $225 were made during the each of the nine months ended September 30, 2012 and 2011, respectively. Through September 30, 2012, we had made a total of $2,078 in profit sharing contributions. We have historically funded these contributions through the use of treasury shares during the quarter subsequent to the quarter in which we record the profit sharing liability, although management has the discretion to use cash to fund these contributions. Our current intention is to use cash to fund these contributions when our stock price is below $3.00 per share.</w:t>
      </w:r>
    </w:p>
    <w:p>
      <w:pPr>
        <w:spacing w:after="0" w:line="177" w:lineRule="exact"/>
        <w:rPr>
          <w:sz w:val="20"/>
          <w:szCs w:val="20"/>
          <w:color w:val="auto"/>
        </w:rPr>
      </w:pPr>
    </w:p>
    <w:p>
      <w:pPr>
        <w:ind w:left="540"/>
        <w:spacing w:after="0" w:line="306" w:lineRule="auto"/>
        <w:rPr>
          <w:sz w:val="20"/>
          <w:szCs w:val="20"/>
          <w:color w:val="auto"/>
        </w:rPr>
      </w:pPr>
      <w:r>
        <w:rPr>
          <w:rFonts w:ascii="Arial" w:cs="Arial" w:eastAsia="Arial" w:hAnsi="Arial"/>
          <w:sz w:val="16"/>
          <w:szCs w:val="16"/>
          <w:color w:val="auto"/>
        </w:rPr>
        <w:t>During the third quarter of 2012, our Board of Directors approved an amendment to the inTEST 401(k) Plan. The amendment will terminate the profit sharing contributions for Temptronic employees effective December 31, 2012. In addition, the amendment will conform the employer matching provisions of the Plan for the Temptronic employees with those currently in place for inTEST Corporation and inTEST Silicon Valley employees.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have three reportable segments, which are also our reporting units: Thermal Products, Mechanical Products and Electrical Products.</w:t>
      </w:r>
    </w:p>
    <w:p>
      <w:pPr>
        <w:spacing w:after="0" w:line="225" w:lineRule="exact"/>
        <w:rPr>
          <w:sz w:val="20"/>
          <w:szCs w:val="20"/>
          <w:color w:val="auto"/>
        </w:rPr>
      </w:pPr>
    </w:p>
    <w:p>
      <w:pPr>
        <w:ind w:left="540" w:right="120"/>
        <w:spacing w:after="0" w:line="256" w:lineRule="auto"/>
        <w:rPr>
          <w:sz w:val="20"/>
          <w:szCs w:val="20"/>
          <w:color w:val="auto"/>
        </w:rPr>
      </w:pPr>
      <w:r>
        <w:rPr>
          <w:rFonts w:ascii="Arial" w:cs="Arial" w:eastAsia="Arial" w:hAnsi="Arial"/>
          <w:sz w:val="18"/>
          <w:szCs w:val="18"/>
          <w:color w:val="auto"/>
        </w:rPr>
        <w:t>The Thermal Products segment includes the operations of Temptronic Corporation, Thermonics (which we acquired in January 2012 as discussed further in Note 3), Sigma Systems Corp., Temptronic GmbH (Germany), and inTEST Pte, Limited (Singapore). Sales of this segment consist primarily of temperature management systems which we design, manufacture and market under our Temptronic, Thermonics and Sigma Systems product lines. In addition, this segment provides post warranty service and support.</w:t>
      </w:r>
    </w:p>
    <w:p>
      <w:pPr>
        <w:spacing w:after="0" w:line="197" w:lineRule="exact"/>
        <w:rPr>
          <w:sz w:val="20"/>
          <w:szCs w:val="20"/>
          <w:color w:val="auto"/>
        </w:rPr>
      </w:pPr>
    </w:p>
    <w:p>
      <w:pPr>
        <w:ind w:left="540" w:right="180"/>
        <w:spacing w:after="0" w:line="259" w:lineRule="auto"/>
        <w:rPr>
          <w:sz w:val="20"/>
          <w:szCs w:val="20"/>
          <w:color w:val="auto"/>
        </w:rPr>
      </w:pPr>
      <w:r>
        <w:rPr>
          <w:rFonts w:ascii="Arial" w:cs="Arial" w:eastAsia="Arial" w:hAnsi="Arial"/>
          <w:sz w:val="18"/>
          <w:szCs w:val="18"/>
          <w:color w:val="auto"/>
        </w:rPr>
        <w:t>The Mechanical Products segment includes the operations of our Mt. Laurel, New Jersey manufacturing facility. Sales of our Mechanical Products segment consist primarily of manipulator and docking hardware products, which we design, manufacture and market. In addition, this segment provides post warranty service and support for various ATE equipment.</w:t>
      </w:r>
    </w:p>
    <w:p>
      <w:pPr>
        <w:spacing w:after="0" w:line="194"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The Electrical Products segment includes the operations of inTEST Silicon Valley Corporation. Sales of this segment consist primarily of tester interface products which we design, manufacture and market.</w:t>
      </w:r>
    </w:p>
    <w:p>
      <w:pPr>
        <w:spacing w:after="0" w:line="186" w:lineRule="exact"/>
        <w:rPr>
          <w:sz w:val="20"/>
          <w:szCs w:val="20"/>
          <w:color w:val="auto"/>
        </w:rPr>
      </w:pPr>
    </w:p>
    <w:p>
      <w:pPr>
        <w:ind w:left="540" w:right="200"/>
        <w:spacing w:after="0" w:line="298" w:lineRule="auto"/>
        <w:rPr>
          <w:sz w:val="20"/>
          <w:szCs w:val="20"/>
          <w:color w:val="auto"/>
        </w:rPr>
      </w:pPr>
      <w:r>
        <w:rPr>
          <w:rFonts w:ascii="Arial" w:cs="Arial" w:eastAsia="Arial" w:hAnsi="Arial"/>
          <w:sz w:val="16"/>
          <w:szCs w:val="16"/>
          <w:color w:val="auto"/>
        </w:rPr>
        <w:t>We operate our business worldwide, and all three segments sell their products both domestically and internationally. All three segments sell to semiconductor manufacturers, third-party test and assembly houses and ATE manufacturers. Our Thermal Products segment also sells into a variety of industries outside of the semiconductor industry, including the automotive, consumer electronics, defense/aerospace and telecommunications industries. Intercompany pricing between segments is either a multiple of cost for component parts or list price for finished goods.</w:t>
      </w:r>
    </w:p>
    <w:p>
      <w:pPr>
        <w:sectPr>
          <w:pgSz w:w="11900" w:h="16838" w:orient="portrait"/>
          <w:cols w:equalWidth="0" w:num="1">
            <w:col w:w="11420"/>
          </w:cols>
          <w:pgMar w:left="240" w:top="131" w:right="239" w:bottom="0" w:gutter="0" w:footer="0" w:header="0"/>
        </w:sectPr>
      </w:pPr>
    </w:p>
    <w:bookmarkStart w:id="14" w:name="page15"/>
    <w:bookmarkEnd w:id="14"/>
    <w:p>
      <w:pPr>
        <w:jc w:val="center"/>
        <w:ind w:right="-171"/>
        <w:spacing w:after="0"/>
        <w:rPr>
          <w:sz w:val="20"/>
          <w:szCs w:val="20"/>
          <w:color w:val="auto"/>
        </w:rPr>
      </w:pPr>
      <w:r>
        <w:rPr>
          <w:rFonts w:ascii="Arial" w:cs="Arial" w:eastAsia="Arial" w:hAnsi="Arial"/>
          <w:sz w:val="18"/>
          <w:szCs w:val="18"/>
          <w:color w:val="auto"/>
        </w:rPr>
        <w:t>- 16 -</w:t>
      </w:r>
    </w:p>
    <w:p>
      <w:pPr>
        <w:spacing w:after="0" w:line="179"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2"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(In thousands, except for share and per share data)</w:t>
      </w:r>
    </w:p>
    <w:p>
      <w:pPr>
        <w:sectPr>
          <w:pgSz w:w="11900" w:h="16838" w:orient="portrait"/>
          <w:cols w:equalWidth="0" w:num="1">
            <w:col w:w="11252"/>
          </w:cols>
          <w:pgMar w:left="248" w:top="131" w:right="399" w:bottom="0" w:gutter="0" w:footer="0" w:header="0"/>
        </w:sectPr>
      </w:pPr>
    </w:p>
    <w:p>
      <w:pPr>
        <w:spacing w:after="0" w:line="172" w:lineRule="exact"/>
        <w:rPr>
          <w:sz w:val="20"/>
          <w:szCs w:val="20"/>
          <w:color w:val="auto"/>
        </w:rPr>
      </w:pPr>
    </w:p>
    <w:p>
      <w:pPr>
        <w:ind w:left="332" w:hanging="332"/>
        <w:spacing w:after="0"/>
        <w:tabs>
          <w:tab w:leader="none" w:pos="33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w:t>
      </w:r>
      <w:r>
        <w:rPr>
          <w:rFonts w:ascii="Arial" w:cs="Arial" w:eastAsia="Arial" w:hAnsi="Arial"/>
          <w:sz w:val="18"/>
          <w:szCs w:val="18"/>
          <w:color w:val="auto"/>
        </w:rPr>
        <w:t>(Continued)</w:t>
      </w:r>
    </w:p>
    <w:p>
      <w:pPr>
        <w:spacing w:after="0" w:line="200" w:lineRule="exact"/>
        <w:rPr>
          <w:rFonts w:ascii="Arial" w:cs="Arial" w:eastAsia="Arial" w:hAnsi="Arial"/>
          <w:sz w:val="18"/>
          <w:szCs w:val="18"/>
          <w:b w:val="1"/>
          <w:bCs w:val="1"/>
          <w:color w:val="auto"/>
        </w:rPr>
      </w:pPr>
    </w:p>
    <w:p>
      <w:pPr>
        <w:spacing w:after="0" w:line="328" w:lineRule="exact"/>
        <w:rPr>
          <w:rFonts w:ascii="Arial" w:cs="Arial" w:eastAsia="Arial" w:hAnsi="Arial"/>
          <w:sz w:val="18"/>
          <w:szCs w:val="18"/>
          <w:b w:val="1"/>
          <w:bCs w:val="1"/>
          <w:color w:val="auto"/>
        </w:rPr>
      </w:pPr>
    </w:p>
    <w:p>
      <w:pPr>
        <w:ind w:left="552"/>
        <w:spacing w:after="0"/>
        <w:rPr>
          <w:rFonts w:ascii="Arial" w:cs="Arial" w:eastAsia="Arial" w:hAnsi="Arial"/>
          <w:sz w:val="18"/>
          <w:szCs w:val="18"/>
          <w:b w:val="1"/>
          <w:bCs w:val="1"/>
          <w:color w:val="auto"/>
        </w:rPr>
      </w:pPr>
      <w:r>
        <w:rPr>
          <w:rFonts w:ascii="Arial" w:cs="Arial" w:eastAsia="Arial" w:hAnsi="Arial"/>
          <w:sz w:val="15"/>
          <w:szCs w:val="15"/>
          <w:b w:val="1"/>
          <w:bCs w:val="1"/>
          <w:i w:val="1"/>
          <w:iCs w:val="1"/>
          <w:color w:val="auto"/>
        </w:rPr>
        <w:t>Net revenues from unaffiliated customers: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40" w:type="dxa"/>
            <w:vAlign w:val="bottom"/>
            <w:gridSpan w:val="8"/>
          </w:tcPr>
          <w:p>
            <w:pPr>
              <w:jc w:val="center"/>
              <w:ind w:right="260"/>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1400" w:type="dxa"/>
            <w:vAlign w:val="bottom"/>
            <w:gridSpan w:val="7"/>
          </w:tcPr>
          <w:p>
            <w:pPr>
              <w:jc w:val="center"/>
              <w:ind w:left="52"/>
              <w:spacing w:after="0"/>
              <w:rPr>
                <w:sz w:val="20"/>
                <w:szCs w:val="20"/>
                <w:color w:val="auto"/>
              </w:rPr>
            </w:pPr>
            <w:r>
              <w:rPr>
                <w:rFonts w:ascii="Arial" w:cs="Arial" w:eastAsia="Arial" w:hAnsi="Arial"/>
                <w:sz w:val="14"/>
                <w:szCs w:val="14"/>
                <w:b w:val="1"/>
                <w:bCs w:val="1"/>
                <w:i w:val="1"/>
                <w:iCs w:val="1"/>
                <w:color w:val="auto"/>
                <w:w w:val="85"/>
              </w:rPr>
              <w:t>Nine Months Ended</w:t>
            </w:r>
          </w:p>
        </w:tc>
      </w:tr>
      <w:tr>
        <w:trPr>
          <w:trHeight w:val="146"/>
        </w:trPr>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center"/>
              <w:ind w:left="52"/>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center"/>
              <w:ind w:left="52"/>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56"/>
        </w:trPr>
        <w:tc>
          <w:tcPr>
            <w:tcW w:w="180" w:type="dxa"/>
            <w:vAlign w:val="bottom"/>
            <w:gridSpan w:val="2"/>
          </w:tcPr>
          <w:p>
            <w:pPr>
              <w:spacing w:after="0"/>
              <w:rPr>
                <w:sz w:val="13"/>
                <w:szCs w:val="13"/>
                <w:color w:val="auto"/>
              </w:rPr>
            </w:pPr>
          </w:p>
        </w:tc>
        <w:tc>
          <w:tcPr>
            <w:tcW w:w="280" w:type="dxa"/>
            <w:vAlign w:val="bottom"/>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2012</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3"/>
          </w:tcPr>
          <w:p>
            <w:pPr>
              <w:jc w:val="right"/>
              <w:ind w:right="200"/>
              <w:spacing w:after="0" w:line="155" w:lineRule="exact"/>
              <w:rPr>
                <w:sz w:val="20"/>
                <w:szCs w:val="20"/>
                <w:color w:val="auto"/>
              </w:rPr>
            </w:pPr>
            <w:r>
              <w:rPr>
                <w:rFonts w:ascii="Arial" w:cs="Arial" w:eastAsia="Arial" w:hAnsi="Arial"/>
                <w:sz w:val="14"/>
                <w:szCs w:val="14"/>
                <w:b w:val="1"/>
                <w:bCs w:val="1"/>
                <w:i w:val="1"/>
                <w:iCs w:val="1"/>
                <w:color w:val="auto"/>
                <w:w w:val="76"/>
              </w:rPr>
              <w:t>2011</w:t>
            </w:r>
          </w:p>
        </w:tc>
        <w:tc>
          <w:tcPr>
            <w:tcW w:w="1060" w:type="dxa"/>
            <w:vAlign w:val="bottom"/>
            <w:gridSpan w:val="4"/>
          </w:tcPr>
          <w:p>
            <w:pPr>
              <w:jc w:val="right"/>
              <w:ind w:right="460"/>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3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2011</w:t>
            </w: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4312" w:space="720"/>
            <w:col w:w="6220"/>
          </w:cols>
          <w:pgMar w:left="248" w:top="131" w:right="399" w:bottom="0" w:gutter="0" w:footer="0" w:header="0"/>
          <w:type w:val="continuous"/>
        </w:sectPr>
      </w:pPr>
    </w:p>
    <w:p>
      <w:pPr>
        <w:spacing w:after="0" w:line="87" w:lineRule="exact"/>
        <w:rPr>
          <w:sz w:val="20"/>
          <w:szCs w:val="20"/>
          <w:color w:val="auto"/>
        </w:rPr>
      </w:pPr>
    </w:p>
    <w:tbl>
      <w:tblPr>
        <w:tblLayout w:type="fixed"/>
        <w:tblInd w:w="552" w:type="dxa"/>
        <w:tblCellMar>
          <w:top w:w="0" w:type="dxa"/>
          <w:left w:w="0" w:type="dxa"/>
          <w:bottom w:w="0" w:type="dxa"/>
          <w:right w:w="0" w:type="dxa"/>
        </w:tblCellMar>
      </w:tblP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Thermal Products</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w w:val="89"/>
              </w:rPr>
              <w:t>$ 6,037</w:t>
            </w:r>
          </w:p>
        </w:tc>
        <w:tc>
          <w:tcPr>
            <w:tcW w:w="140" w:type="dxa"/>
            <w:vAlign w:val="bottom"/>
          </w:tcPr>
          <w:p>
            <w:pPr>
              <w:spacing w:after="0"/>
              <w:rPr>
                <w:sz w:val="19"/>
                <w:szCs w:val="19"/>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$ 7,572</w:t>
            </w:r>
          </w:p>
        </w:tc>
        <w:tc>
          <w:tcPr>
            <w:tcW w:w="240" w:type="dxa"/>
            <w:vAlign w:val="bottom"/>
          </w:tcPr>
          <w:p>
            <w:pPr>
              <w:spacing w:after="0"/>
              <w:rPr>
                <w:sz w:val="19"/>
                <w:szCs w:val="19"/>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color w:val="auto"/>
                <w:w w:val="86"/>
              </w:rPr>
              <w:t>$18,651</w:t>
            </w:r>
          </w:p>
        </w:tc>
        <w:tc>
          <w:tcPr>
            <w:tcW w:w="240" w:type="dxa"/>
            <w:vAlign w:val="bottom"/>
          </w:tcPr>
          <w:p>
            <w:pPr>
              <w:spacing w:after="0"/>
              <w:rPr>
                <w:sz w:val="19"/>
                <w:szCs w:val="19"/>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color w:val="auto"/>
                <w:w w:val="86"/>
              </w:rPr>
              <w:t>$19,593</w:t>
            </w:r>
          </w:p>
        </w:tc>
        <w:tc>
          <w:tcPr>
            <w:tcW w:w="60" w:type="dxa"/>
            <w:vAlign w:val="bottom"/>
          </w:tcPr>
          <w:p>
            <w:pPr>
              <w:spacing w:after="0"/>
              <w:rPr>
                <w:sz w:val="19"/>
                <w:szCs w:val="19"/>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Mechanical Products</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2,677</w:t>
            </w:r>
          </w:p>
        </w:tc>
        <w:tc>
          <w:tcPr>
            <w:tcW w:w="140" w:type="dxa"/>
            <w:vAlign w:val="bottom"/>
          </w:tcPr>
          <w:p>
            <w:pPr>
              <w:spacing w:after="0"/>
              <w:rPr>
                <w:sz w:val="24"/>
                <w:szCs w:val="24"/>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3,172</w:t>
            </w:r>
          </w:p>
        </w:tc>
        <w:tc>
          <w:tcPr>
            <w:tcW w:w="240" w:type="dxa"/>
            <w:vAlign w:val="bottom"/>
          </w:tcPr>
          <w:p>
            <w:pPr>
              <w:spacing w:after="0"/>
              <w:rPr>
                <w:sz w:val="24"/>
                <w:szCs w:val="24"/>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8,277</w:t>
            </w:r>
          </w:p>
        </w:tc>
        <w:tc>
          <w:tcPr>
            <w:tcW w:w="240" w:type="dxa"/>
            <w:vAlign w:val="bottom"/>
          </w:tcPr>
          <w:p>
            <w:pPr>
              <w:spacing w:after="0"/>
              <w:rPr>
                <w:sz w:val="24"/>
                <w:szCs w:val="24"/>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13,299</w:t>
            </w:r>
          </w:p>
        </w:tc>
        <w:tc>
          <w:tcPr>
            <w:tcW w:w="60" w:type="dxa"/>
            <w:vAlign w:val="bottom"/>
          </w:tcPr>
          <w:p>
            <w:pPr>
              <w:spacing w:after="0"/>
              <w:rPr>
                <w:sz w:val="24"/>
                <w:szCs w:val="24"/>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Electrical Products</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2,086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79"/>
              </w:rPr>
              <w:t>941</w:t>
            </w:r>
          </w:p>
        </w:tc>
        <w:tc>
          <w:tcPr>
            <w:tcW w:w="240" w:type="dxa"/>
            <w:vAlign w:val="bottom"/>
          </w:tcPr>
          <w:p>
            <w:pPr>
              <w:spacing w:after="0"/>
              <w:rPr>
                <w:sz w:val="24"/>
                <w:szCs w:val="24"/>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8,189</w:t>
            </w:r>
          </w:p>
        </w:tc>
        <w:tc>
          <w:tcPr>
            <w:tcW w:w="240" w:type="dxa"/>
            <w:vAlign w:val="bottom"/>
          </w:tcPr>
          <w:p>
            <w:pPr>
              <w:spacing w:after="0"/>
              <w:rPr>
                <w:sz w:val="24"/>
                <w:szCs w:val="24"/>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4,327</w:t>
            </w:r>
          </w:p>
        </w:tc>
        <w:tc>
          <w:tcPr>
            <w:tcW w:w="60" w:type="dxa"/>
            <w:vAlign w:val="bottom"/>
          </w:tcPr>
          <w:p>
            <w:pPr>
              <w:spacing w:after="0"/>
              <w:rPr>
                <w:sz w:val="24"/>
                <w:szCs w:val="24"/>
                <w:color w:val="auto"/>
              </w:rPr>
            </w:pPr>
          </w:p>
        </w:tc>
      </w:tr>
      <w:tr>
        <w:trPr>
          <w:trHeight w:val="421"/>
        </w:trPr>
        <w:tc>
          <w:tcPr>
            <w:tcW w:w="4460" w:type="dxa"/>
            <w:vAlign w:val="bottom"/>
          </w:tcPr>
          <w:p>
            <w:pPr>
              <w:spacing w:after="0"/>
              <w:rPr>
                <w:sz w:val="20"/>
                <w:szCs w:val="20"/>
                <w:color w:val="auto"/>
              </w:rPr>
            </w:pPr>
            <w:r>
              <w:rPr>
                <w:rFonts w:ascii="Arial" w:cs="Arial" w:eastAsia="Arial" w:hAnsi="Arial"/>
                <w:sz w:val="18"/>
                <w:szCs w:val="18"/>
                <w:color w:val="auto"/>
              </w:rPr>
              <w:t>Intersegment sales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3"/>
              </w:rPr>
              <w:t>(34)</w:t>
            </w:r>
          </w:p>
        </w:tc>
      </w:tr>
      <w:tr>
        <w:trPr>
          <w:trHeight w:val="20"/>
        </w:trPr>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460" w:type="dxa"/>
            <w:vAlign w:val="bottom"/>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10,799</w:t>
            </w:r>
          </w:p>
        </w:tc>
        <w:tc>
          <w:tcPr>
            <w:tcW w:w="140" w:type="dxa"/>
            <w:vAlign w:val="bottom"/>
          </w:tcPr>
          <w:p>
            <w:pPr>
              <w:spacing w:after="0"/>
              <w:rPr>
                <w:sz w:val="24"/>
                <w:szCs w:val="24"/>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11,681</w:t>
            </w:r>
          </w:p>
        </w:tc>
        <w:tc>
          <w:tcPr>
            <w:tcW w:w="240" w:type="dxa"/>
            <w:vAlign w:val="bottom"/>
          </w:tcPr>
          <w:p>
            <w:pPr>
              <w:spacing w:after="0"/>
              <w:rPr>
                <w:sz w:val="24"/>
                <w:szCs w:val="24"/>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35,106</w:t>
            </w:r>
          </w:p>
        </w:tc>
        <w:tc>
          <w:tcPr>
            <w:tcW w:w="240" w:type="dxa"/>
            <w:vAlign w:val="bottom"/>
          </w:tcPr>
          <w:p>
            <w:pPr>
              <w:spacing w:after="0"/>
              <w:rPr>
                <w:sz w:val="24"/>
                <w:szCs w:val="24"/>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37,185</w:t>
            </w:r>
          </w:p>
        </w:tc>
        <w:tc>
          <w:tcPr>
            <w:tcW w:w="60" w:type="dxa"/>
            <w:vAlign w:val="bottom"/>
          </w:tcPr>
          <w:p>
            <w:pPr>
              <w:spacing w:after="0"/>
              <w:rPr>
                <w:sz w:val="24"/>
                <w:szCs w:val="24"/>
                <w:color w:val="auto"/>
              </w:rPr>
            </w:pPr>
          </w:p>
        </w:tc>
      </w:tr>
      <w:tr>
        <w:trPr>
          <w:trHeight w:val="410"/>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Intersegment sales:</w:t>
            </w: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Thermal Products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4"/>
                <w:szCs w:val="24"/>
                <w:color w:val="auto"/>
              </w:rPr>
            </w:pPr>
          </w:p>
        </w:tc>
        <w:tc>
          <w:tcPr>
            <w:tcW w:w="400" w:type="dxa"/>
            <w:vAlign w:val="bottom"/>
            <w:gridSpan w:val="5"/>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32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Mechanical Products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4"/>
                <w:szCs w:val="24"/>
                <w:color w:val="auto"/>
              </w:rPr>
            </w:pPr>
          </w:p>
        </w:tc>
      </w:tr>
      <w:tr>
        <w:trPr>
          <w:trHeight w:val="421"/>
        </w:trPr>
        <w:tc>
          <w:tcPr>
            <w:tcW w:w="4460" w:type="dxa"/>
            <w:vAlign w:val="bottom"/>
          </w:tcPr>
          <w:p>
            <w:pPr>
              <w:spacing w:after="0"/>
              <w:rPr>
                <w:sz w:val="20"/>
                <w:szCs w:val="20"/>
                <w:color w:val="auto"/>
              </w:rPr>
            </w:pPr>
            <w:r>
              <w:rPr>
                <w:rFonts w:ascii="Arial" w:cs="Arial" w:eastAsia="Arial" w:hAnsi="Arial"/>
                <w:sz w:val="18"/>
                <w:szCs w:val="18"/>
                <w:color w:val="auto"/>
              </w:rPr>
              <w:t>Electrical Products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4"/>
                <w:szCs w:val="24"/>
                <w:color w:val="auto"/>
              </w:rPr>
            </w:pPr>
          </w:p>
        </w:tc>
      </w:tr>
      <w:tr>
        <w:trPr>
          <w:trHeight w:val="439"/>
        </w:trPr>
        <w:tc>
          <w:tcPr>
            <w:tcW w:w="4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$ 1</w:t>
            </w:r>
          </w:p>
        </w:tc>
        <w:tc>
          <w:tcPr>
            <w:tcW w:w="140" w:type="dxa"/>
            <w:vAlign w:val="bottom"/>
          </w:tcPr>
          <w:p>
            <w:pPr>
              <w:spacing w:after="0"/>
              <w:rPr>
                <w:sz w:val="24"/>
                <w:szCs w:val="24"/>
                <w:color w:val="auto"/>
              </w:rPr>
            </w:pPr>
          </w:p>
        </w:tc>
        <w:tc>
          <w:tcPr>
            <w:tcW w:w="4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3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30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24"/>
                <w:szCs w:val="24"/>
                <w:color w:val="auto"/>
              </w:rPr>
            </w:pPr>
          </w:p>
        </w:tc>
      </w:tr>
      <w:tr>
        <w:trPr>
          <w:trHeight w:val="410"/>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w w:val="99"/>
              </w:rPr>
              <w:t>Earnings (loss) before income tax expense (benefit):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Thermal Products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895</w:t>
            </w:r>
          </w:p>
        </w:tc>
        <w:tc>
          <w:tcPr>
            <w:tcW w:w="140" w:type="dxa"/>
            <w:vAlign w:val="bottom"/>
          </w:tcPr>
          <w:p>
            <w:pPr>
              <w:spacing w:after="0"/>
              <w:rPr>
                <w:sz w:val="24"/>
                <w:szCs w:val="24"/>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$2,346</w:t>
            </w:r>
          </w:p>
        </w:tc>
        <w:tc>
          <w:tcPr>
            <w:tcW w:w="240" w:type="dxa"/>
            <w:vAlign w:val="bottom"/>
          </w:tcPr>
          <w:p>
            <w:pPr>
              <w:spacing w:after="0"/>
              <w:rPr>
                <w:sz w:val="24"/>
                <w:szCs w:val="24"/>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$2,267</w:t>
            </w:r>
          </w:p>
        </w:tc>
        <w:tc>
          <w:tcPr>
            <w:tcW w:w="240" w:type="dxa"/>
            <w:vAlign w:val="bottom"/>
          </w:tcPr>
          <w:p>
            <w:pPr>
              <w:spacing w:after="0"/>
              <w:rPr>
                <w:sz w:val="24"/>
                <w:szCs w:val="24"/>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$4,939</w:t>
            </w:r>
          </w:p>
        </w:tc>
        <w:tc>
          <w:tcPr>
            <w:tcW w:w="60" w:type="dxa"/>
            <w:vAlign w:val="bottom"/>
          </w:tcPr>
          <w:p>
            <w:pPr>
              <w:spacing w:after="0"/>
              <w:rPr>
                <w:sz w:val="24"/>
                <w:szCs w:val="24"/>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Mechanical Products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(324)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79"/>
              </w:rPr>
              <w:t>218</w:t>
            </w:r>
          </w:p>
        </w:tc>
        <w:tc>
          <w:tcPr>
            <w:tcW w:w="240" w:type="dxa"/>
            <w:vAlign w:val="bottom"/>
          </w:tcPr>
          <w:p>
            <w:pPr>
              <w:spacing w:after="0"/>
              <w:rPr>
                <w:sz w:val="24"/>
                <w:szCs w:val="24"/>
                <w:color w:val="auto"/>
              </w:rPr>
            </w:pPr>
          </w:p>
        </w:tc>
        <w:tc>
          <w:tcPr>
            <w:tcW w:w="800" w:type="dxa"/>
            <w:vAlign w:val="bottom"/>
            <w:gridSpan w:val="6"/>
          </w:tcPr>
          <w:p>
            <w:pPr>
              <w:jc w:val="right"/>
              <w:ind w:right="180"/>
              <w:spacing w:after="0"/>
              <w:rPr>
                <w:sz w:val="20"/>
                <w:szCs w:val="20"/>
                <w:color w:val="auto"/>
              </w:rPr>
            </w:pPr>
            <w:r>
              <w:rPr>
                <w:rFonts w:ascii="Arial" w:cs="Arial" w:eastAsia="Arial" w:hAnsi="Arial"/>
                <w:sz w:val="18"/>
                <w:szCs w:val="18"/>
                <w:color w:val="auto"/>
              </w:rPr>
              <w:t>(1,256)</w:t>
            </w: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1,330</w:t>
            </w:r>
          </w:p>
        </w:tc>
        <w:tc>
          <w:tcPr>
            <w:tcW w:w="60" w:type="dxa"/>
            <w:vAlign w:val="bottom"/>
          </w:tcPr>
          <w:p>
            <w:pPr>
              <w:spacing w:after="0"/>
              <w:rPr>
                <w:sz w:val="24"/>
                <w:szCs w:val="24"/>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Electrical Products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(65)</w:t>
            </w: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2,115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6"/>
              </w:rPr>
              <w:t>615</w:t>
            </w:r>
          </w:p>
        </w:tc>
        <w:tc>
          <w:tcPr>
            <w:tcW w:w="60" w:type="dxa"/>
            <w:vAlign w:val="bottom"/>
          </w:tcPr>
          <w:p>
            <w:pPr>
              <w:spacing w:after="0"/>
              <w:rPr>
                <w:sz w:val="24"/>
                <w:szCs w:val="24"/>
                <w:color w:val="auto"/>
              </w:rPr>
            </w:pPr>
          </w:p>
        </w:tc>
      </w:tr>
      <w:tr>
        <w:trPr>
          <w:trHeight w:val="421"/>
        </w:trPr>
        <w:tc>
          <w:tcPr>
            <w:tcW w:w="4460" w:type="dxa"/>
            <w:vAlign w:val="bottom"/>
          </w:tcPr>
          <w:p>
            <w:pPr>
              <w:spacing w:after="0"/>
              <w:rPr>
                <w:sz w:val="20"/>
                <w:szCs w:val="20"/>
                <w:color w:val="auto"/>
              </w:rPr>
            </w:pPr>
            <w:r>
              <w:rPr>
                <w:rFonts w:ascii="Arial" w:cs="Arial" w:eastAsia="Arial" w:hAnsi="Arial"/>
                <w:sz w:val="18"/>
                <w:szCs w:val="18"/>
                <w:color w:val="auto"/>
              </w:rPr>
              <w:t>Corporate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(79)</w:t>
            </w:r>
          </w:p>
        </w:tc>
        <w:tc>
          <w:tcPr>
            <w:tcW w:w="800" w:type="dxa"/>
            <w:vAlign w:val="bottom"/>
            <w:gridSpan w:val="6"/>
          </w:tcPr>
          <w:p>
            <w:pPr>
              <w:jc w:val="right"/>
              <w:ind w:right="180"/>
              <w:spacing w:after="0"/>
              <w:rPr>
                <w:sz w:val="20"/>
                <w:szCs w:val="20"/>
                <w:color w:val="auto"/>
              </w:rPr>
            </w:pPr>
            <w:r>
              <w:rPr>
                <w:rFonts w:ascii="Arial" w:cs="Arial" w:eastAsia="Arial" w:hAnsi="Arial"/>
                <w:sz w:val="18"/>
                <w:szCs w:val="18"/>
                <w:color w:val="auto"/>
              </w:rPr>
              <w:t>(191)</w:t>
            </w:r>
          </w:p>
        </w:tc>
        <w:tc>
          <w:tcPr>
            <w:tcW w:w="620" w:type="dxa"/>
            <w:vAlign w:val="bottom"/>
            <w:gridSpan w:val="6"/>
          </w:tcPr>
          <w:p>
            <w:pPr>
              <w:jc w:val="right"/>
              <w:spacing w:after="0"/>
              <w:rPr>
                <w:sz w:val="20"/>
                <w:szCs w:val="20"/>
                <w:color w:val="auto"/>
              </w:rPr>
            </w:pPr>
            <w:r>
              <w:rPr>
                <w:rFonts w:ascii="Arial" w:cs="Arial" w:eastAsia="Arial" w:hAnsi="Arial"/>
                <w:sz w:val="18"/>
                <w:szCs w:val="18"/>
                <w:color w:val="auto"/>
              </w:rPr>
              <w:t>(414)</w:t>
            </w:r>
          </w:p>
        </w:tc>
      </w:tr>
      <w:tr>
        <w:trPr>
          <w:trHeight w:val="20"/>
        </w:trPr>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460" w:type="dxa"/>
            <w:vAlign w:val="bottom"/>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1,012</w:t>
            </w:r>
          </w:p>
        </w:tc>
        <w:tc>
          <w:tcPr>
            <w:tcW w:w="140" w:type="dxa"/>
            <w:vAlign w:val="bottom"/>
          </w:tcPr>
          <w:p>
            <w:pPr>
              <w:spacing w:after="0"/>
              <w:rPr>
                <w:sz w:val="24"/>
                <w:szCs w:val="24"/>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2,420</w:t>
            </w:r>
          </w:p>
        </w:tc>
        <w:tc>
          <w:tcPr>
            <w:tcW w:w="240" w:type="dxa"/>
            <w:vAlign w:val="bottom"/>
          </w:tcPr>
          <w:p>
            <w:pPr>
              <w:spacing w:after="0"/>
              <w:rPr>
                <w:sz w:val="24"/>
                <w:szCs w:val="24"/>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2,935</w:t>
            </w:r>
          </w:p>
        </w:tc>
        <w:tc>
          <w:tcPr>
            <w:tcW w:w="240" w:type="dxa"/>
            <w:vAlign w:val="bottom"/>
          </w:tcPr>
          <w:p>
            <w:pPr>
              <w:spacing w:after="0"/>
              <w:rPr>
                <w:sz w:val="24"/>
                <w:szCs w:val="24"/>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6,470</w:t>
            </w:r>
          </w:p>
        </w:tc>
        <w:tc>
          <w:tcPr>
            <w:tcW w:w="60" w:type="dxa"/>
            <w:vAlign w:val="bottom"/>
          </w:tcPr>
          <w:p>
            <w:pPr>
              <w:spacing w:after="0"/>
              <w:rPr>
                <w:sz w:val="24"/>
                <w:szCs w:val="24"/>
                <w:color w:val="auto"/>
              </w:rPr>
            </w:pPr>
          </w:p>
        </w:tc>
      </w:tr>
      <w:tr>
        <w:trPr>
          <w:trHeight w:val="410"/>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Net earnings (loss):</w:t>
            </w: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Thermal Products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587</w:t>
            </w:r>
          </w:p>
        </w:tc>
        <w:tc>
          <w:tcPr>
            <w:tcW w:w="140" w:type="dxa"/>
            <w:vAlign w:val="bottom"/>
          </w:tcPr>
          <w:p>
            <w:pPr>
              <w:spacing w:after="0"/>
              <w:rPr>
                <w:sz w:val="24"/>
                <w:szCs w:val="24"/>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$5,024</w:t>
            </w:r>
          </w:p>
        </w:tc>
        <w:tc>
          <w:tcPr>
            <w:tcW w:w="240" w:type="dxa"/>
            <w:vAlign w:val="bottom"/>
          </w:tcPr>
          <w:p>
            <w:pPr>
              <w:spacing w:after="0"/>
              <w:rPr>
                <w:sz w:val="24"/>
                <w:szCs w:val="24"/>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$1,510</w:t>
            </w:r>
          </w:p>
        </w:tc>
        <w:tc>
          <w:tcPr>
            <w:tcW w:w="240" w:type="dxa"/>
            <w:vAlign w:val="bottom"/>
          </w:tcPr>
          <w:p>
            <w:pPr>
              <w:spacing w:after="0"/>
              <w:rPr>
                <w:sz w:val="24"/>
                <w:szCs w:val="24"/>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$6,942</w:t>
            </w:r>
          </w:p>
        </w:tc>
        <w:tc>
          <w:tcPr>
            <w:tcW w:w="60" w:type="dxa"/>
            <w:vAlign w:val="bottom"/>
          </w:tcPr>
          <w:p>
            <w:pPr>
              <w:spacing w:after="0"/>
              <w:rPr>
                <w:sz w:val="24"/>
                <w:szCs w:val="24"/>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Mechanical Products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(213)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79"/>
              </w:rPr>
              <w:t>466</w:t>
            </w:r>
          </w:p>
        </w:tc>
        <w:tc>
          <w:tcPr>
            <w:tcW w:w="240" w:type="dxa"/>
            <w:vAlign w:val="bottom"/>
          </w:tcPr>
          <w:p>
            <w:pPr>
              <w:spacing w:after="0"/>
              <w:rPr>
                <w:sz w:val="24"/>
                <w:szCs w:val="24"/>
                <w:color w:val="auto"/>
              </w:rPr>
            </w:pPr>
          </w:p>
        </w:tc>
        <w:tc>
          <w:tcPr>
            <w:tcW w:w="800" w:type="dxa"/>
            <w:vAlign w:val="bottom"/>
            <w:gridSpan w:val="6"/>
          </w:tcPr>
          <w:p>
            <w:pPr>
              <w:jc w:val="right"/>
              <w:ind w:right="180"/>
              <w:spacing w:after="0"/>
              <w:rPr>
                <w:sz w:val="20"/>
                <w:szCs w:val="20"/>
                <w:color w:val="auto"/>
              </w:rPr>
            </w:pPr>
            <w:r>
              <w:rPr>
                <w:rFonts w:ascii="Arial" w:cs="Arial" w:eastAsia="Arial" w:hAnsi="Arial"/>
                <w:sz w:val="18"/>
                <w:szCs w:val="18"/>
                <w:color w:val="auto"/>
              </w:rPr>
              <w:t>(837)</w:t>
            </w: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1,869</w:t>
            </w:r>
          </w:p>
        </w:tc>
        <w:tc>
          <w:tcPr>
            <w:tcW w:w="60" w:type="dxa"/>
            <w:vAlign w:val="bottom"/>
          </w:tcPr>
          <w:p>
            <w:pPr>
              <w:spacing w:after="0"/>
              <w:rPr>
                <w:sz w:val="24"/>
                <w:szCs w:val="24"/>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Electrical Products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24"/>
                <w:szCs w:val="24"/>
                <w:color w:val="auto"/>
              </w:rPr>
            </w:pPr>
          </w:p>
        </w:tc>
        <w:tc>
          <w:tcPr>
            <w:tcW w:w="880" w:type="dxa"/>
            <w:vAlign w:val="bottom"/>
            <w:gridSpan w:val="7"/>
          </w:tcPr>
          <w:p>
            <w:pPr>
              <w:jc w:val="right"/>
              <w:ind w:right="180"/>
              <w:spacing w:after="0"/>
              <w:rPr>
                <w:sz w:val="20"/>
                <w:szCs w:val="20"/>
                <w:color w:val="auto"/>
              </w:rPr>
            </w:pPr>
            <w:r>
              <w:rPr>
                <w:rFonts w:ascii="Arial" w:cs="Arial" w:eastAsia="Arial" w:hAnsi="Arial"/>
                <w:sz w:val="18"/>
                <w:szCs w:val="18"/>
                <w:color w:val="auto"/>
              </w:rPr>
              <w:t>(138)</w:t>
            </w: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1,409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6"/>
              </w:rPr>
              <w:t>865</w:t>
            </w:r>
          </w:p>
        </w:tc>
        <w:tc>
          <w:tcPr>
            <w:tcW w:w="60" w:type="dxa"/>
            <w:vAlign w:val="bottom"/>
          </w:tcPr>
          <w:p>
            <w:pPr>
              <w:spacing w:after="0"/>
              <w:rPr>
                <w:sz w:val="24"/>
                <w:szCs w:val="24"/>
                <w:color w:val="auto"/>
              </w:rPr>
            </w:pPr>
          </w:p>
        </w:tc>
      </w:tr>
      <w:tr>
        <w:trPr>
          <w:trHeight w:val="421"/>
        </w:trPr>
        <w:tc>
          <w:tcPr>
            <w:tcW w:w="4460" w:type="dxa"/>
            <w:vAlign w:val="bottom"/>
          </w:tcPr>
          <w:p>
            <w:pPr>
              <w:spacing w:after="0"/>
              <w:rPr>
                <w:sz w:val="20"/>
                <w:szCs w:val="20"/>
                <w:color w:val="auto"/>
              </w:rPr>
            </w:pPr>
            <w:r>
              <w:rPr>
                <w:rFonts w:ascii="Arial" w:cs="Arial" w:eastAsia="Arial" w:hAnsi="Arial"/>
                <w:sz w:val="18"/>
                <w:szCs w:val="18"/>
                <w:color w:val="auto"/>
              </w:rPr>
              <w:t>Corporate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680" w:type="dxa"/>
            <w:vAlign w:val="bottom"/>
            <w:gridSpan w:val="5"/>
          </w:tcPr>
          <w:p>
            <w:pPr>
              <w:jc w:val="right"/>
              <w:ind w:right="180"/>
              <w:spacing w:after="0"/>
              <w:rPr>
                <w:sz w:val="20"/>
                <w:szCs w:val="20"/>
                <w:color w:val="auto"/>
              </w:rPr>
            </w:pPr>
            <w:r>
              <w:rPr>
                <w:rFonts w:ascii="Arial" w:cs="Arial" w:eastAsia="Arial" w:hAnsi="Arial"/>
                <w:sz w:val="18"/>
                <w:szCs w:val="18"/>
                <w:color w:val="auto"/>
              </w:rPr>
              <w:t>(170)</w:t>
            </w:r>
          </w:p>
        </w:tc>
        <w:tc>
          <w:tcPr>
            <w:tcW w:w="800" w:type="dxa"/>
            <w:vAlign w:val="bottom"/>
            <w:gridSpan w:val="6"/>
          </w:tcPr>
          <w:p>
            <w:pPr>
              <w:jc w:val="right"/>
              <w:ind w:right="180"/>
              <w:spacing w:after="0"/>
              <w:rPr>
                <w:sz w:val="20"/>
                <w:szCs w:val="20"/>
                <w:color w:val="auto"/>
              </w:rPr>
            </w:pPr>
            <w:r>
              <w:rPr>
                <w:rFonts w:ascii="Arial" w:cs="Arial" w:eastAsia="Arial" w:hAnsi="Arial"/>
                <w:sz w:val="18"/>
                <w:szCs w:val="18"/>
                <w:color w:val="auto"/>
              </w:rPr>
              <w:t>(127)</w:t>
            </w:r>
          </w:p>
        </w:tc>
        <w:tc>
          <w:tcPr>
            <w:tcW w:w="620" w:type="dxa"/>
            <w:vAlign w:val="bottom"/>
            <w:gridSpan w:val="6"/>
          </w:tcPr>
          <w:p>
            <w:pPr>
              <w:jc w:val="right"/>
              <w:spacing w:after="0"/>
              <w:rPr>
                <w:sz w:val="20"/>
                <w:szCs w:val="20"/>
                <w:color w:val="auto"/>
              </w:rPr>
            </w:pPr>
            <w:r>
              <w:rPr>
                <w:rFonts w:ascii="Arial" w:cs="Arial" w:eastAsia="Arial" w:hAnsi="Arial"/>
                <w:sz w:val="18"/>
                <w:szCs w:val="18"/>
                <w:color w:val="auto"/>
              </w:rPr>
              <w:t>(582)</w:t>
            </w:r>
          </w:p>
        </w:tc>
      </w:tr>
      <w:tr>
        <w:trPr>
          <w:trHeight w:val="20"/>
        </w:trPr>
        <w:tc>
          <w:tcPr>
            <w:tcW w:w="4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460" w:type="dxa"/>
            <w:vAlign w:val="bottom"/>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$ 664</w:t>
            </w:r>
          </w:p>
        </w:tc>
        <w:tc>
          <w:tcPr>
            <w:tcW w:w="140" w:type="dxa"/>
            <w:vAlign w:val="bottom"/>
          </w:tcPr>
          <w:p>
            <w:pPr>
              <w:spacing w:after="0"/>
              <w:rPr>
                <w:sz w:val="24"/>
                <w:szCs w:val="24"/>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5,182</w:t>
            </w:r>
          </w:p>
        </w:tc>
        <w:tc>
          <w:tcPr>
            <w:tcW w:w="240" w:type="dxa"/>
            <w:vAlign w:val="bottom"/>
          </w:tcPr>
          <w:p>
            <w:pPr>
              <w:spacing w:after="0"/>
              <w:rPr>
                <w:sz w:val="24"/>
                <w:szCs w:val="24"/>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1,955</w:t>
            </w:r>
          </w:p>
        </w:tc>
        <w:tc>
          <w:tcPr>
            <w:tcW w:w="240" w:type="dxa"/>
            <w:vAlign w:val="bottom"/>
          </w:tcPr>
          <w:p>
            <w:pPr>
              <w:spacing w:after="0"/>
              <w:rPr>
                <w:sz w:val="24"/>
                <w:szCs w:val="24"/>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9,094</w:t>
            </w:r>
          </w:p>
        </w:tc>
        <w:tc>
          <w:tcPr>
            <w:tcW w:w="60" w:type="dxa"/>
            <w:vAlign w:val="bottom"/>
          </w:tcPr>
          <w:p>
            <w:pPr>
              <w:spacing w:after="0"/>
              <w:rPr>
                <w:sz w:val="24"/>
                <w:szCs w:val="24"/>
                <w:color w:val="auto"/>
              </w:rPr>
            </w:pPr>
          </w:p>
        </w:tc>
      </w:tr>
      <w:tr>
        <w:trPr>
          <w:trHeight w:val="20"/>
        </w:trPr>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52"/>
          </w:cols>
          <w:pgMar w:left="248" w:top="131" w:right="399" w:bottom="0" w:gutter="0" w:footer="0" w:header="0"/>
          <w:type w:val="continuous"/>
        </w:sectPr>
      </w:pPr>
    </w:p>
    <w:p>
      <w:pPr>
        <w:spacing w:after="0" w:line="237" w:lineRule="exact"/>
        <w:rPr>
          <w:sz w:val="20"/>
          <w:szCs w:val="20"/>
          <w:color w:val="auto"/>
        </w:rPr>
      </w:pPr>
    </w:p>
    <w:p>
      <w:pPr>
        <w:ind w:left="552"/>
        <w:spacing w:after="0"/>
        <w:rPr>
          <w:sz w:val="20"/>
          <w:szCs w:val="20"/>
          <w:color w:val="auto"/>
        </w:rPr>
      </w:pPr>
      <w:r>
        <w:rPr>
          <w:rFonts w:ascii="Arial" w:cs="Arial" w:eastAsia="Arial" w:hAnsi="Arial"/>
          <w:sz w:val="15"/>
          <w:szCs w:val="15"/>
          <w:b w:val="1"/>
          <w:bCs w:val="1"/>
          <w:i w:val="1"/>
          <w:iCs w:val="1"/>
          <w:color w:val="auto"/>
        </w:rPr>
        <w:t>Identifiable assets: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i w:val="1"/>
          <w:iCs w:val="1"/>
          <w:color w:val="auto"/>
        </w:rPr>
        <w:t>Sept. 30,</w:t>
      </w:r>
      <w:r>
        <w:rPr>
          <w:sz w:val="20"/>
          <w:szCs w:val="20"/>
          <w:color w:val="auto"/>
        </w:rPr>
        <w:tab/>
      </w:r>
      <w:r>
        <w:rPr>
          <w:rFonts w:ascii="Arial" w:cs="Arial" w:eastAsia="Arial" w:hAnsi="Arial"/>
          <w:sz w:val="12"/>
          <w:szCs w:val="12"/>
          <w:b w:val="1"/>
          <w:bCs w:val="1"/>
          <w:i w:val="1"/>
          <w:iCs w:val="1"/>
          <w:color w:val="auto"/>
        </w:rPr>
        <w:t>Dec. 31,</w:t>
      </w:r>
    </w:p>
    <w:p>
      <w:pPr>
        <w:spacing w:after="0" w:line="28" w:lineRule="exact"/>
        <w:rPr>
          <w:sz w:val="20"/>
          <w:szCs w:val="20"/>
          <w:color w:val="auto"/>
        </w:rPr>
      </w:pPr>
    </w:p>
    <w:p>
      <w:pPr>
        <w:ind w:left="100"/>
        <w:spacing w:after="0"/>
        <w:tabs>
          <w:tab w:leader="none" w:pos="880" w:val="left"/>
        </w:tabs>
        <w:rPr>
          <w:sz w:val="20"/>
          <w:szCs w:val="20"/>
          <w:color w:val="auto"/>
        </w:rPr>
      </w:pPr>
      <w:r>
        <w:rPr>
          <w:rFonts w:ascii="Arial" w:cs="Arial" w:eastAsia="Arial" w:hAnsi="Arial"/>
          <w:sz w:val="14"/>
          <w:szCs w:val="14"/>
          <w:b w:val="1"/>
          <w:bCs w:val="1"/>
          <w:i w:val="1"/>
          <w:iCs w:val="1"/>
          <w:color w:val="auto"/>
        </w:rPr>
        <w:t>2012</w:t>
      </w:r>
      <w:r>
        <w:rPr>
          <w:sz w:val="20"/>
          <w:szCs w:val="20"/>
          <w:color w:val="auto"/>
        </w:rPr>
        <w:tab/>
      </w:r>
      <w:r>
        <w:rPr>
          <w:rFonts w:ascii="Arial" w:cs="Arial" w:eastAsia="Arial" w:hAnsi="Arial"/>
          <w:sz w:val="14"/>
          <w:szCs w:val="14"/>
          <w:b w:val="1"/>
          <w:bCs w:val="1"/>
          <w:i w:val="1"/>
          <w:i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-8890</wp:posOffset>
            </wp:positionV>
            <wp:extent cx="8420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42010" cy="8890"/>
                    </a:xfrm>
                    <a:prstGeom prst="rect">
                      <a:avLst/>
                    </a:prstGeom>
                    <a:noFill/>
                  </pic:spPr>
                </pic:pic>
              </a:graphicData>
            </a:graphic>
          </wp:anchor>
        </w:drawing>
      </w:r>
    </w:p>
    <w:p>
      <w:pPr>
        <w:spacing w:after="0" w:line="112" w:lineRule="exact"/>
        <w:rPr>
          <w:sz w:val="20"/>
          <w:szCs w:val="20"/>
          <w:color w:val="auto"/>
        </w:rPr>
      </w:pPr>
    </w:p>
    <w:p>
      <w:pPr>
        <w:sectPr>
          <w:pgSz w:w="11900" w:h="16838" w:orient="portrait"/>
          <w:cols w:equalWidth="0" w:num="2">
            <w:col w:w="5872" w:space="720"/>
            <w:col w:w="4660"/>
          </w:cols>
          <w:pgMar w:left="248" w:top="131" w:right="399" w:bottom="0" w:gutter="0" w:footer="0" w:header="0"/>
          <w:type w:val="continuous"/>
        </w:sectPr>
      </w:pPr>
    </w:p>
    <w:tbl>
      <w:tblPr>
        <w:tblLayout w:type="fixed"/>
        <w:tblInd w:w="552" w:type="dxa"/>
        <w:tblCellMar>
          <w:top w:w="0" w:type="dxa"/>
          <w:left w:w="0" w:type="dxa"/>
          <w:bottom w:w="0" w:type="dxa"/>
          <w:right w:w="0" w:type="dxa"/>
        </w:tblCellMar>
      </w:tblPr>
      <w:tr>
        <w:trPr>
          <w:trHeight w:val="222"/>
        </w:trPr>
        <w:tc>
          <w:tcPr>
            <w:tcW w:w="6040" w:type="dxa"/>
            <w:vAlign w:val="bottom"/>
          </w:tcPr>
          <w:p>
            <w:pPr>
              <w:spacing w:after="0"/>
              <w:rPr>
                <w:sz w:val="20"/>
                <w:szCs w:val="20"/>
                <w:color w:val="auto"/>
              </w:rPr>
            </w:pPr>
            <w:r>
              <w:rPr>
                <w:rFonts w:ascii="Arial" w:cs="Arial" w:eastAsia="Arial" w:hAnsi="Arial"/>
                <w:sz w:val="18"/>
                <w:szCs w:val="18"/>
                <w:color w:val="auto"/>
              </w:rPr>
              <w:t>Thermal Products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$21,950</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$20,030</w:t>
            </w:r>
          </w:p>
        </w:tc>
      </w:tr>
      <w:tr>
        <w:trPr>
          <w:trHeight w:val="459"/>
        </w:trPr>
        <w:tc>
          <w:tcPr>
            <w:tcW w:w="6040" w:type="dxa"/>
            <w:vAlign w:val="bottom"/>
          </w:tcPr>
          <w:p>
            <w:pPr>
              <w:spacing w:after="0"/>
              <w:rPr>
                <w:sz w:val="20"/>
                <w:szCs w:val="20"/>
                <w:color w:val="auto"/>
              </w:rPr>
            </w:pPr>
            <w:r>
              <w:rPr>
                <w:rFonts w:ascii="Arial" w:cs="Arial" w:eastAsia="Arial" w:hAnsi="Arial"/>
                <w:sz w:val="18"/>
                <w:szCs w:val="18"/>
                <w:color w:val="auto"/>
              </w:rPr>
              <w:t>Mechanical Products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6,344</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8,240</w:t>
            </w:r>
          </w:p>
        </w:tc>
      </w:tr>
      <w:tr>
        <w:trPr>
          <w:trHeight w:val="421"/>
        </w:trPr>
        <w:tc>
          <w:tcPr>
            <w:tcW w:w="6040" w:type="dxa"/>
            <w:vAlign w:val="bottom"/>
          </w:tcPr>
          <w:p>
            <w:pPr>
              <w:spacing w:after="0"/>
              <w:rPr>
                <w:sz w:val="20"/>
                <w:szCs w:val="20"/>
                <w:color w:val="auto"/>
              </w:rPr>
            </w:pPr>
            <w:r>
              <w:rPr>
                <w:rFonts w:ascii="Arial" w:cs="Arial" w:eastAsia="Arial" w:hAnsi="Arial"/>
                <w:sz w:val="18"/>
                <w:szCs w:val="18"/>
                <w:color w:val="auto"/>
              </w:rPr>
              <w:t>Electrical Products</w:t>
            </w:r>
          </w:p>
        </w:tc>
        <w:tc>
          <w:tcPr>
            <w:tcW w:w="4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5,374</w:t>
            </w:r>
          </w:p>
        </w:tc>
        <w:tc>
          <w:tcPr>
            <w:tcW w:w="260" w:type="dxa"/>
            <w:vAlign w:val="bottom"/>
            <w:gridSpan w:val="2"/>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w:t>
            </w:r>
          </w:p>
        </w:tc>
      </w:tr>
      <w:tr>
        <w:trPr>
          <w:trHeight w:val="439"/>
        </w:trPr>
        <w:tc>
          <w:tcPr>
            <w:tcW w:w="6040" w:type="dxa"/>
            <w:vAlign w:val="bottom"/>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33,668</w:t>
            </w:r>
          </w:p>
        </w:tc>
        <w:tc>
          <w:tcPr>
            <w:tcW w:w="220" w:type="dxa"/>
            <w:vAlign w:val="bottom"/>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31,237</w:t>
            </w:r>
          </w:p>
        </w:tc>
      </w:tr>
    </w:tbl>
    <w:p>
      <w:pPr>
        <w:spacing w:after="0" w:line="397" w:lineRule="exact"/>
        <w:rPr>
          <w:sz w:val="20"/>
          <w:szCs w:val="20"/>
          <w:color w:val="auto"/>
        </w:rPr>
      </w:pPr>
    </w:p>
    <w:p>
      <w:pPr>
        <w:ind w:left="532"/>
        <w:spacing w:after="0" w:line="268"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pacing w:after="0" w:line="185" w:lineRule="exact"/>
        <w:rPr>
          <w:sz w:val="20"/>
          <w:szCs w:val="20"/>
          <w:color w:val="auto"/>
        </w:rPr>
      </w:pPr>
    </w:p>
    <w:tbl>
      <w:tblPr>
        <w:tblLayout w:type="fixed"/>
        <w:tblInd w:w="5032" w:type="dxa"/>
        <w:tblCellMar>
          <w:top w:w="0" w:type="dxa"/>
          <w:left w:w="0" w:type="dxa"/>
          <w:bottom w:w="0" w:type="dxa"/>
          <w:right w:w="0" w:type="dxa"/>
        </w:tblCellMar>
      </w:tblPr>
      <w:tr>
        <w:trPr>
          <w:trHeight w:val="161"/>
        </w:trPr>
        <w:tc>
          <w:tcPr>
            <w:tcW w:w="1400" w:type="dxa"/>
            <w:vAlign w:val="bottom"/>
            <w:gridSpan w:val="3"/>
          </w:tcPr>
          <w:p>
            <w:pPr>
              <w:jc w:val="center"/>
              <w:ind w:right="220"/>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1360" w:type="dxa"/>
            <w:vAlign w:val="bottom"/>
            <w:gridSpan w:val="3"/>
          </w:tcPr>
          <w:p>
            <w:pPr>
              <w:jc w:val="center"/>
              <w:ind w:left="172"/>
              <w:spacing w:after="0"/>
              <w:rPr>
                <w:sz w:val="20"/>
                <w:szCs w:val="20"/>
                <w:color w:val="auto"/>
              </w:rPr>
            </w:pPr>
            <w:r>
              <w:rPr>
                <w:rFonts w:ascii="Arial" w:cs="Arial" w:eastAsia="Arial" w:hAnsi="Arial"/>
                <w:sz w:val="14"/>
                <w:szCs w:val="14"/>
                <w:b w:val="1"/>
                <w:bCs w:val="1"/>
                <w:i w:val="1"/>
                <w:iCs w:val="1"/>
                <w:color w:val="auto"/>
                <w:w w:val="85"/>
              </w:rPr>
              <w:t>Nine Months Ended</w:t>
            </w:r>
          </w:p>
        </w:tc>
      </w:tr>
      <w:tr>
        <w:trPr>
          <w:trHeight w:val="146"/>
        </w:trPr>
        <w:tc>
          <w:tcPr>
            <w:tcW w:w="12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100" w:type="dxa"/>
            <w:vAlign w:val="bottom"/>
          </w:tcPr>
          <w:p>
            <w:pPr>
              <w:spacing w:after="0"/>
              <w:rPr>
                <w:sz w:val="12"/>
                <w:szCs w:val="12"/>
                <w:color w:val="auto"/>
              </w:rPr>
            </w:pPr>
          </w:p>
        </w:tc>
      </w:tr>
    </w:tbl>
    <w:p>
      <w:pPr>
        <w:spacing w:after="0" w:line="16" w:lineRule="exact"/>
        <w:rPr>
          <w:sz w:val="20"/>
          <w:szCs w:val="20"/>
          <w:color w:val="auto"/>
        </w:rPr>
      </w:pPr>
    </w:p>
    <w:p>
      <w:pPr>
        <w:sectPr>
          <w:pgSz w:w="11900" w:h="16838" w:orient="portrait"/>
          <w:cols w:equalWidth="0" w:num="1">
            <w:col w:w="11252"/>
          </w:cols>
          <w:pgMar w:left="248" w:top="131" w:right="399" w:bottom="0" w:gutter="0" w:footer="0" w:header="0"/>
          <w:type w:val="continuous"/>
        </w:sectPr>
      </w:pPr>
    </w:p>
    <w:p>
      <w:pPr>
        <w:ind w:left="552"/>
        <w:spacing w:after="0"/>
        <w:tabs>
          <w:tab w:leader="none" w:pos="5192" w:val="left"/>
          <w:tab w:leader="none" w:pos="5992" w:val="left"/>
          <w:tab w:leader="none" w:pos="6792" w:val="left"/>
          <w:tab w:leader="none" w:pos="7592" w:val="left"/>
        </w:tabs>
        <w:rPr>
          <w:sz w:val="20"/>
          <w:szCs w:val="20"/>
          <w:color w:val="auto"/>
        </w:rPr>
      </w:pPr>
      <w:r>
        <w:rPr>
          <w:rFonts w:ascii="Arial" w:cs="Arial" w:eastAsia="Arial" w:hAnsi="Arial"/>
          <w:sz w:val="18"/>
          <w:szCs w:val="18"/>
          <w:b w:val="1"/>
          <w:bCs w:val="1"/>
          <w:i w:val="1"/>
          <w:iCs w:val="1"/>
          <w:color w:val="auto"/>
        </w:rPr>
        <w:t>Net revenues from unaffiliated customers:</w:t>
      </w:r>
      <w:r>
        <w:rPr>
          <w:sz w:val="20"/>
          <w:szCs w:val="20"/>
          <w:color w:val="auto"/>
        </w:rPr>
        <w:tab/>
      </w:r>
      <w:r>
        <w:rPr>
          <w:rFonts w:ascii="Arial" w:cs="Arial" w:eastAsia="Arial" w:hAnsi="Arial"/>
          <w:sz w:val="27"/>
          <w:szCs w:val="27"/>
          <w:b w:val="1"/>
          <w:bCs w:val="1"/>
          <w:i w:val="1"/>
          <w:iCs w:val="1"/>
          <w:u w:val="single" w:color="auto"/>
          <w:color w:val="auto"/>
          <w:vertAlign w:val="superscript"/>
        </w:rPr>
        <w:t>2012</w:t>
      </w:r>
      <w:r>
        <w:rPr>
          <w:sz w:val="20"/>
          <w:szCs w:val="20"/>
          <w:color w:val="auto"/>
        </w:rPr>
        <w:tab/>
      </w:r>
      <w:r>
        <w:rPr>
          <w:rFonts w:ascii="Arial" w:cs="Arial" w:eastAsia="Arial" w:hAnsi="Arial"/>
          <w:sz w:val="27"/>
          <w:szCs w:val="27"/>
          <w:b w:val="1"/>
          <w:bCs w:val="1"/>
          <w:i w:val="1"/>
          <w:iCs w:val="1"/>
          <w:u w:val="single" w:color="auto"/>
          <w:color w:val="auto"/>
          <w:vertAlign w:val="superscript"/>
        </w:rPr>
        <w:t>2011</w:t>
      </w:r>
      <w:r>
        <w:rPr>
          <w:sz w:val="20"/>
          <w:szCs w:val="20"/>
          <w:color w:val="auto"/>
        </w:rPr>
        <w:tab/>
      </w:r>
      <w:r>
        <w:rPr>
          <w:rFonts w:ascii="Arial" w:cs="Arial" w:eastAsia="Arial" w:hAnsi="Arial"/>
          <w:sz w:val="27"/>
          <w:szCs w:val="27"/>
          <w:b w:val="1"/>
          <w:bCs w:val="1"/>
          <w:i w:val="1"/>
          <w:iCs w:val="1"/>
          <w:u w:val="single" w:color="auto"/>
          <w:color w:val="auto"/>
          <w:vertAlign w:val="superscript"/>
        </w:rPr>
        <w:t>2012</w:t>
      </w:r>
      <w:r>
        <w:rPr>
          <w:sz w:val="20"/>
          <w:szCs w:val="20"/>
          <w:color w:val="auto"/>
        </w:rPr>
        <w:tab/>
      </w:r>
      <w:r>
        <w:rPr>
          <w:rFonts w:ascii="Arial" w:cs="Arial" w:eastAsia="Arial" w:hAnsi="Arial"/>
          <w:sz w:val="17"/>
          <w:szCs w:val="17"/>
          <w:b w:val="1"/>
          <w:bCs w:val="1"/>
          <w:i w:val="1"/>
          <w:iCs w:val="1"/>
          <w:u w:val="single" w:color="auto"/>
          <w:color w:val="auto"/>
          <w:vertAlign w:val="superscript"/>
        </w:rPr>
        <w:t>2011</w:t>
      </w:r>
    </w:p>
    <w:p>
      <w:pPr>
        <w:sectPr>
          <w:pgSz w:w="11900" w:h="16838" w:orient="portrait"/>
          <w:cols w:equalWidth="0" w:num="1">
            <w:col w:w="11252"/>
          </w:cols>
          <w:pgMar w:left="248" w:top="131" w:right="399" w:bottom="0" w:gutter="0" w:footer="0" w:header="0"/>
          <w:type w:val="continuous"/>
        </w:sectPr>
      </w:pPr>
    </w:p>
    <w:bookmarkStart w:id="15" w:name="page16"/>
    <w:bookmarkEnd w:id="15"/>
    <w:tbl>
      <w:tblPr>
        <w:tblLayout w:type="fixed"/>
        <w:tblInd w:w="560" w:type="dxa"/>
        <w:tblCellMar>
          <w:top w:w="0" w:type="dxa"/>
          <w:left w:w="0" w:type="dxa"/>
          <w:bottom w:w="0" w:type="dxa"/>
          <w:right w:w="0" w:type="dxa"/>
        </w:tblCellMar>
      </w:tblP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U.S.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4,123</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$ 4,797</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w w:val="92"/>
              </w:rPr>
              <w:t>$12,052</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w w:val="86"/>
              </w:rPr>
              <w:t>$13,820</w:t>
            </w:r>
          </w:p>
        </w:tc>
        <w:tc>
          <w:tcPr>
            <w:tcW w:w="0" w:type="dxa"/>
            <w:vAlign w:val="bottom"/>
          </w:tcPr>
          <w:p>
            <w:pPr>
              <w:spacing w:after="0"/>
              <w:rPr>
                <w:sz w:val="1"/>
                <w:szCs w:val="1"/>
                <w:color w:val="auto"/>
              </w:rPr>
            </w:pPr>
          </w:p>
        </w:tc>
      </w:tr>
      <w:tr>
        <w:trPr>
          <w:trHeight w:val="421"/>
        </w:trPr>
        <w:tc>
          <w:tcPr>
            <w:tcW w:w="4460" w:type="dxa"/>
            <w:vAlign w:val="bottom"/>
          </w:tcPr>
          <w:p>
            <w:pPr>
              <w:spacing w:after="0"/>
              <w:rPr>
                <w:sz w:val="20"/>
                <w:szCs w:val="20"/>
                <w:color w:val="auto"/>
              </w:rPr>
            </w:pPr>
            <w:r>
              <w:rPr>
                <w:rFonts w:ascii="Arial" w:cs="Arial" w:eastAsia="Arial" w:hAnsi="Arial"/>
                <w:sz w:val="18"/>
                <w:szCs w:val="18"/>
                <w:color w:val="auto"/>
              </w:rPr>
              <w:t>Foreign</w:t>
            </w: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6,676</w:t>
            </w:r>
          </w:p>
        </w:tc>
        <w:tc>
          <w:tcPr>
            <w:tcW w:w="28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w:t>
            </w:r>
          </w:p>
        </w:tc>
        <w:tc>
          <w:tcPr>
            <w:tcW w:w="18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23,054</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23,365</w:t>
            </w:r>
          </w:p>
        </w:tc>
        <w:tc>
          <w:tcPr>
            <w:tcW w:w="0" w:type="dxa"/>
            <w:vAlign w:val="bottom"/>
          </w:tcPr>
          <w:p>
            <w:pPr>
              <w:spacing w:after="0"/>
              <w:rPr>
                <w:sz w:val="1"/>
                <w:szCs w:val="1"/>
                <w:color w:val="auto"/>
              </w:rPr>
            </w:pPr>
          </w:p>
        </w:tc>
      </w:tr>
      <w:tr>
        <w:trPr>
          <w:trHeight w:val="439"/>
        </w:trPr>
        <w:tc>
          <w:tcPr>
            <w:tcW w:w="44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10,799</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11,681</w:t>
            </w:r>
          </w:p>
        </w:tc>
        <w:tc>
          <w:tcPr>
            <w:tcW w:w="62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35,106</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37,185</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7"/>
          </w:tcPr>
          <w:p>
            <w:pPr>
              <w:jc w:val="center"/>
              <w:ind w:right="280"/>
              <w:spacing w:after="0"/>
              <w:rPr>
                <w:sz w:val="20"/>
                <w:szCs w:val="20"/>
                <w:color w:val="auto"/>
              </w:rPr>
            </w:pPr>
            <w:r>
              <w:rPr>
                <w:rFonts w:ascii="Arial" w:cs="Arial" w:eastAsia="Arial" w:hAnsi="Arial"/>
                <w:sz w:val="14"/>
                <w:szCs w:val="14"/>
                <w:b w:val="1"/>
                <w:bCs w:val="1"/>
                <w:i w:val="1"/>
                <w:iCs w:val="1"/>
                <w:color w:val="auto"/>
                <w:w w:val="83"/>
              </w:rPr>
              <w:t>Sept. 30,</w:t>
            </w:r>
          </w:p>
        </w:tc>
        <w:tc>
          <w:tcPr>
            <w:tcW w:w="580" w:type="dxa"/>
            <w:vAlign w:val="bottom"/>
            <w:gridSpan w:val="4"/>
          </w:tcPr>
          <w:p>
            <w:pPr>
              <w:jc w:val="center"/>
              <w:ind w:right="120"/>
              <w:spacing w:after="0"/>
              <w:rPr>
                <w:sz w:val="20"/>
                <w:szCs w:val="20"/>
                <w:color w:val="auto"/>
              </w:rPr>
            </w:pPr>
            <w:r>
              <w:rPr>
                <w:rFonts w:ascii="Arial" w:cs="Arial" w:eastAsia="Arial" w:hAnsi="Arial"/>
                <w:sz w:val="14"/>
                <w:szCs w:val="14"/>
                <w:b w:val="1"/>
                <w:bCs w:val="1"/>
                <w:i w:val="1"/>
                <w:iCs w:val="1"/>
                <w:color w:val="auto"/>
                <w:w w:val="86"/>
              </w:rPr>
              <w:t>Dec. 31,</w:t>
            </w:r>
          </w:p>
        </w:tc>
        <w:tc>
          <w:tcPr>
            <w:tcW w:w="0" w:type="dxa"/>
            <w:vAlign w:val="bottom"/>
          </w:tcPr>
          <w:p>
            <w:pPr>
              <w:spacing w:after="0"/>
              <w:rPr>
                <w:sz w:val="1"/>
                <w:szCs w:val="1"/>
                <w:color w:val="auto"/>
              </w:rPr>
            </w:pPr>
          </w:p>
        </w:tc>
      </w:tr>
      <w:tr>
        <w:trPr>
          <w:trHeight w:val="163"/>
        </w:trPr>
        <w:tc>
          <w:tcPr>
            <w:tcW w:w="44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Long-lived assets:</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gridSpan w:val="4"/>
          </w:tcPr>
          <w:p>
            <w:pPr>
              <w:jc w:val="right"/>
              <w:ind w:right="32"/>
              <w:spacing w:after="0" w:line="143" w:lineRule="exact"/>
              <w:rPr>
                <w:sz w:val="20"/>
                <w:szCs w:val="20"/>
                <w:color w:val="auto"/>
              </w:rPr>
            </w:pPr>
            <w:r>
              <w:rPr>
                <w:rFonts w:ascii="Arial" w:cs="Arial" w:eastAsia="Arial" w:hAnsi="Arial"/>
                <w:sz w:val="14"/>
                <w:szCs w:val="14"/>
                <w:b w:val="1"/>
                <w:bCs w:val="1"/>
                <w:i w:val="1"/>
                <w:iCs w:val="1"/>
                <w:color w:val="auto"/>
              </w:rPr>
              <w:t>2012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3"/>
          </w:tcPr>
          <w:p>
            <w:pPr>
              <w:jc w:val="right"/>
              <w:ind w:right="52"/>
              <w:spacing w:after="0" w:line="143" w:lineRule="exact"/>
              <w:rPr>
                <w:sz w:val="20"/>
                <w:szCs w:val="20"/>
                <w:color w:val="auto"/>
              </w:rPr>
            </w:pPr>
            <w:r>
              <w:rPr>
                <w:rFonts w:ascii="Arial" w:cs="Arial" w:eastAsia="Arial" w:hAnsi="Arial"/>
                <w:sz w:val="14"/>
                <w:szCs w:val="14"/>
                <w:b w:val="1"/>
                <w:bCs w:val="1"/>
                <w:i w:val="1"/>
                <w:iCs w:val="1"/>
                <w:color w:val="auto"/>
              </w:rPr>
              <w:t>2011</w:t>
            </w: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44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gridSpan w:val="3"/>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gridSpan w:val="2"/>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U.S.</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  995</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  836</w:t>
            </w:r>
          </w:p>
        </w:tc>
        <w:tc>
          <w:tcPr>
            <w:tcW w:w="0" w:type="dxa"/>
            <w:vAlign w:val="bottom"/>
          </w:tcPr>
          <w:p>
            <w:pPr>
              <w:spacing w:after="0"/>
              <w:rPr>
                <w:sz w:val="1"/>
                <w:szCs w:val="1"/>
                <w:color w:val="auto"/>
              </w:rPr>
            </w:pPr>
          </w:p>
        </w:tc>
      </w:tr>
      <w:tr>
        <w:trPr>
          <w:trHeight w:val="421"/>
        </w:trPr>
        <w:tc>
          <w:tcPr>
            <w:tcW w:w="4460" w:type="dxa"/>
            <w:vAlign w:val="bottom"/>
          </w:tcPr>
          <w:p>
            <w:pPr>
              <w:spacing w:after="0"/>
              <w:rPr>
                <w:sz w:val="20"/>
                <w:szCs w:val="20"/>
                <w:color w:val="auto"/>
              </w:rPr>
            </w:pPr>
            <w:r>
              <w:rPr>
                <w:rFonts w:ascii="Arial" w:cs="Arial" w:eastAsia="Arial" w:hAnsi="Arial"/>
                <w:sz w:val="18"/>
                <w:szCs w:val="18"/>
                <w:color w:val="auto"/>
              </w:rPr>
              <w:t>Foreign</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gridSpan w:val="3"/>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439"/>
        </w:trPr>
        <w:tc>
          <w:tcPr>
            <w:tcW w:w="4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1,246</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 - - - - - - - - - - - - - - - - - - - - - - -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Risk Factors and Forward-Looking Statements</w:t>
      </w:r>
    </w:p>
    <w:p>
      <w:pPr>
        <w:spacing w:after="0" w:line="231"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In addition to historical information, this discussion and analysis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or "anticipates" or similar terminology. See Part I, Item 1 - "Business - Cautionary Statement Regarding Forward-Looking Statements" in our Annual Report on Form 10-K for the year ended December 31, 2011 filed with the Securities and Exchange Commission on March 30, 2012 (the "2011 Form 10-K")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w:t>
      </w:r>
    </w:p>
    <w:p>
      <w:pPr>
        <w:spacing w:after="0" w:line="172" w:lineRule="exact"/>
        <w:rPr>
          <w:sz w:val="20"/>
          <w:szCs w:val="20"/>
          <w:color w:val="auto"/>
        </w:rPr>
      </w:pPr>
    </w:p>
    <w:p>
      <w:pPr>
        <w:ind w:left="540" w:right="20"/>
        <w:spacing w:after="0" w:line="298" w:lineRule="auto"/>
        <w:rPr>
          <w:sz w:val="20"/>
          <w:szCs w:val="20"/>
          <w:color w:val="auto"/>
        </w:rPr>
      </w:pPr>
      <w:r>
        <w:rPr>
          <w:rFonts w:ascii="Arial" w:cs="Arial" w:eastAsia="Arial" w:hAnsi="Arial"/>
          <w:sz w:val="16"/>
          <w:szCs w:val="16"/>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 in our 2011 Form 10-K. Material changes to such risk factors may be reported in subsequent Quarterly Reports on Form 10-Q in Part II, Item 1A. There have been no such changes from the risk factors set forth in our 2011 Form 10-K.</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Overview</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540" w:right="40"/>
        <w:spacing w:after="0" w:line="286"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Demand for ATE is driven by semiconductor manufacturers that are opening new, or expanding existing, semiconductor fabrication facilities or upgrading existing equipment, which in turn is dependent upon the current and anticipated market demand for semiconductors and products incorporating semiconductors. In the past, the semiconductor industry has been highly cyclical with recurring periods of oversupply, which often have a severe impact on the semiconductor industry's demand for ATE, including the products we manufacture. This can cause wide fluctuations in both our orders and net revenues and, depending on our ability to react quickly to these shifts in demand, can significantly impact our results of operations. These industry cycles are difficult to predict and in recent years have become more volatile and, in certain cases, shorter in duration. Because the industry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78" w:lineRule="exact"/>
        <w:rPr>
          <w:sz w:val="20"/>
          <w:szCs w:val="20"/>
          <w:color w:val="auto"/>
        </w:rPr>
      </w:pPr>
    </w:p>
    <w:p>
      <w:pPr>
        <w:ind w:left="540" w:right="40"/>
        <w:spacing w:after="0" w:line="288" w:lineRule="auto"/>
        <w:rPr>
          <w:sz w:val="20"/>
          <w:szCs w:val="20"/>
          <w:color w:val="auto"/>
        </w:rPr>
      </w:pPr>
      <w:r>
        <w:rPr>
          <w:rFonts w:ascii="Arial" w:cs="Arial" w:eastAsia="Arial" w:hAnsi="Arial"/>
          <w:sz w:val="16"/>
          <w:szCs w:val="16"/>
          <w:color w:val="auto"/>
        </w:rPr>
        <w:t>We believe that purchases of most of our products are typically made from semiconductor manufacturers' capital expenditure budgets. Certain portions of our business, however, are generally less dependent upon the capital expenditure budgets of the end users. For example, purchases of certain related ATE interface products, such as sockets and interface boards, which must be replaced periodically, are typically made from the end users' operating budgets. In addition, purchases of certain of our products, such as docking hardware, for the purpose of upgrading or improving the utilization, performance and efficiency of existing ATE, tend to be counter cyclical to sales of new ATE. Moreover, we believe a portion of our sales of thermal products results from the increasing need for temperature testing of circuit boards and specialized components that do not have the design or quantity to be tested in an electronic device handler. In addition, we market our Thermostream temperature management systems in industries outside semiconductor test, such as the automotive, consumer electronics, defense/aerospace and telecommunications industries. We believe that these industries usually are less cyclical than the ATE industry.</w:t>
      </w:r>
    </w:p>
    <w:p>
      <w:pPr>
        <w:spacing w:after="0" w:line="174" w:lineRule="exact"/>
        <w:rPr>
          <w:sz w:val="20"/>
          <w:szCs w:val="20"/>
          <w:color w:val="auto"/>
        </w:rPr>
      </w:pPr>
    </w:p>
    <w:p>
      <w:pPr>
        <w:ind w:left="540" w:right="180"/>
        <w:spacing w:after="0" w:line="291" w:lineRule="auto"/>
        <w:rPr>
          <w:sz w:val="20"/>
          <w:szCs w:val="20"/>
          <w:color w:val="auto"/>
        </w:rPr>
      </w:pPr>
      <w:r>
        <w:rPr>
          <w:rFonts w:ascii="Arial" w:cs="Arial" w:eastAsia="Arial" w:hAnsi="Arial"/>
          <w:sz w:val="16"/>
          <w:szCs w:val="16"/>
          <w:color w:val="auto"/>
        </w:rPr>
        <w:t>While the majority of our orders and net revenues are derived from the ATE market, our operating results do not always follow the overall trend in the ATE market in any given period. We believe that these anomalies may be driven by a variety of changes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industry,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20"/>
          </w:cols>
          <w:pgMar w:left="240" w:top="131" w:right="239" w:bottom="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smaller quantities (which prevents us from acquiring component materials in larger volumes at lower cost and increasing unit costs), (ii) the practice of OEM manufacturers to specify other suppliers as primary vendors, with less frequent opportunities to compete for such designations, (iii) the role of third-party test and assembly houses in the ATE market and their requirement of products with a greater range of use at the lowest cost, and (iv) customer supply line management groups demanding lower prices and spreading purchases across multiple vendors. These shifts in market practices have had, and may continue to have, varying levels of impact on our operating results, which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Net Revenues and Orders</w:t>
      </w:r>
    </w:p>
    <w:p>
      <w:pPr>
        <w:spacing w:after="0" w:line="225" w:lineRule="exact"/>
        <w:rPr>
          <w:sz w:val="20"/>
          <w:szCs w:val="20"/>
          <w:color w:val="auto"/>
        </w:rPr>
      </w:pPr>
    </w:p>
    <w:p>
      <w:pPr>
        <w:ind w:left="540" w:right="540"/>
        <w:spacing w:after="0" w:line="268" w:lineRule="auto"/>
        <w:rPr>
          <w:sz w:val="20"/>
          <w:szCs w:val="20"/>
          <w:color w:val="auto"/>
        </w:rPr>
      </w:pPr>
      <w:r>
        <w:rPr>
          <w:rFonts w:ascii="Arial" w:cs="Arial" w:eastAsia="Arial" w:hAnsi="Arial"/>
          <w:sz w:val="18"/>
          <w:szCs w:val="18"/>
          <w:color w:val="auto"/>
        </w:rPr>
        <w:t>The following table sets forth, for the periods indicated, a breakdown of the net revenues from unaffiliated customers both by product segment and geographic area (based on the location to which the goods are shipped).</w:t>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00"/>
        <w:spacing w:after="0"/>
        <w:rPr>
          <w:sz w:val="20"/>
          <w:szCs w:val="20"/>
          <w:color w:val="auto"/>
        </w:rPr>
      </w:pPr>
      <w:r>
        <w:rPr>
          <w:rFonts w:ascii="Arial" w:cs="Arial" w:eastAsia="Arial" w:hAnsi="Arial"/>
          <w:sz w:val="15"/>
          <w:szCs w:val="15"/>
          <w:b w:val="1"/>
          <w:bCs w:val="1"/>
          <w:i w:val="1"/>
          <w:iCs w:val="1"/>
          <w:color w:val="auto"/>
        </w:rPr>
        <w:t>Net revenues from unaffiliated customers: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i w:val="1"/>
                <w:iCs w:val="1"/>
                <w:color w:val="auto"/>
                <w:w w:val="89"/>
              </w:rPr>
              <w:t>(in 000's)</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7"/>
          </w:tcPr>
          <w:p>
            <w:pPr>
              <w:ind w:left="120"/>
              <w:spacing w:after="0" w:line="155" w:lineRule="exact"/>
              <w:rPr>
                <w:sz w:val="20"/>
                <w:szCs w:val="20"/>
                <w:color w:val="auto"/>
              </w:rPr>
            </w:pPr>
            <w:r>
              <w:rPr>
                <w:rFonts w:ascii="Arial" w:cs="Arial" w:eastAsia="Arial" w:hAnsi="Arial"/>
                <w:sz w:val="14"/>
                <w:szCs w:val="14"/>
                <w:b w:val="1"/>
                <w:bCs w:val="1"/>
                <w:i w:val="1"/>
                <w:iCs w:val="1"/>
                <w:color w:val="auto"/>
                <w:w w:val="96"/>
              </w:rPr>
              <w:t>Three Months Ended</w:t>
            </w:r>
          </w:p>
        </w:tc>
        <w:tc>
          <w:tcPr>
            <w:tcW w:w="2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auto"/>
            </w:tcBorders>
            <w:gridSpan w:val="8"/>
          </w:tcPr>
          <w:p>
            <w:pPr>
              <w:jc w:val="center"/>
              <w:spacing w:after="0" w:line="155" w:lineRule="exact"/>
              <w:rPr>
                <w:sz w:val="20"/>
                <w:szCs w:val="20"/>
                <w:color w:val="auto"/>
              </w:rPr>
            </w:pPr>
            <w:r>
              <w:rPr>
                <w:rFonts w:ascii="Arial" w:cs="Arial" w:eastAsia="Arial" w:hAnsi="Arial"/>
                <w:sz w:val="14"/>
                <w:szCs w:val="14"/>
                <w:b w:val="1"/>
                <w:bCs w:val="1"/>
                <w:i w:val="1"/>
                <w:iCs w:val="1"/>
                <w:color w:val="auto"/>
                <w:w w:val="87"/>
              </w:rPr>
              <w:t>Nine Months Ended</w:t>
            </w:r>
          </w:p>
        </w:tc>
      </w:tr>
      <w:tr>
        <w:trPr>
          <w:trHeight w:val="156"/>
        </w:trPr>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bottom w:val="single" w:sz="8" w:color="auto"/>
            </w:tcBorders>
            <w:gridSpan w:val="4"/>
          </w:tcPr>
          <w:p>
            <w:pPr>
              <w:ind w:left="120"/>
              <w:spacing w:after="0" w:line="155" w:lineRule="exact"/>
              <w:rPr>
                <w:sz w:val="20"/>
                <w:szCs w:val="20"/>
                <w:color w:val="auto"/>
              </w:rPr>
            </w:pPr>
            <w:r>
              <w:rPr>
                <w:rFonts w:ascii="Arial" w:cs="Arial" w:eastAsia="Arial" w:hAnsi="Arial"/>
                <w:sz w:val="14"/>
                <w:szCs w:val="14"/>
                <w:b w:val="1"/>
                <w:bCs w:val="1"/>
                <w:i w:val="1"/>
                <w:iCs w:val="1"/>
                <w:color w:val="auto"/>
              </w:rPr>
              <w:t>Sept. 30,</w:t>
            </w:r>
          </w:p>
        </w:tc>
        <w:tc>
          <w:tcPr>
            <w:tcW w:w="220" w:type="dxa"/>
            <w:vAlign w:val="bottom"/>
          </w:tcPr>
          <w:p>
            <w:pPr>
              <w:spacing w:after="0"/>
              <w:rPr>
                <w:sz w:val="13"/>
                <w:szCs w:val="13"/>
                <w:color w:val="auto"/>
              </w:rPr>
            </w:pPr>
          </w:p>
        </w:tc>
        <w:tc>
          <w:tcPr>
            <w:tcW w:w="480" w:type="dxa"/>
            <w:vAlign w:val="bottom"/>
            <w:tcBorders>
              <w:bottom w:val="single" w:sz="8" w:color="auto"/>
            </w:tcBorders>
            <w:gridSpan w:val="3"/>
          </w:tcPr>
          <w:p>
            <w:pPr>
              <w:spacing w:after="0" w:line="155" w:lineRule="exact"/>
              <w:rPr>
                <w:sz w:val="20"/>
                <w:szCs w:val="20"/>
                <w:color w:val="auto"/>
              </w:rPr>
            </w:pPr>
            <w:r>
              <w:rPr>
                <w:rFonts w:ascii="Arial" w:cs="Arial" w:eastAsia="Arial" w:hAnsi="Arial"/>
                <w:sz w:val="14"/>
                <w:szCs w:val="14"/>
                <w:b w:val="1"/>
                <w:bCs w:val="1"/>
                <w:i w:val="1"/>
                <w:iCs w:val="1"/>
                <w:color w:val="auto"/>
                <w:w w:val="82"/>
              </w:rPr>
              <w:t>June 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center"/>
              <w:ind w:right="220"/>
              <w:spacing w:after="0" w:line="155" w:lineRule="exact"/>
              <w:rPr>
                <w:sz w:val="20"/>
                <w:szCs w:val="20"/>
                <w:color w:val="auto"/>
              </w:rPr>
            </w:pPr>
            <w:r>
              <w:rPr>
                <w:rFonts w:ascii="Arial" w:cs="Arial" w:eastAsia="Arial" w:hAnsi="Arial"/>
                <w:sz w:val="14"/>
                <w:szCs w:val="14"/>
                <w:b w:val="1"/>
                <w:bCs w:val="1"/>
                <w:i w:val="1"/>
                <w:iCs w:val="1"/>
                <w:color w:val="auto"/>
                <w:w w:val="83"/>
              </w:rPr>
              <w:t>Sept. 30,</w:t>
            </w:r>
          </w:p>
        </w:tc>
        <w:tc>
          <w:tcPr>
            <w:tcW w:w="100" w:type="dxa"/>
            <w:vAlign w:val="bottom"/>
          </w:tcPr>
          <w:p>
            <w:pPr>
              <w:spacing w:after="0"/>
              <w:rPr>
                <w:sz w:val="13"/>
                <w:szCs w:val="13"/>
                <w:color w:val="auto"/>
              </w:rPr>
            </w:pPr>
          </w:p>
        </w:tc>
      </w:tr>
      <w:tr>
        <w:trPr>
          <w:trHeight w:val="156"/>
        </w:trPr>
        <w:tc>
          <w:tcPr>
            <w:tcW w:w="2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w w:val="76"/>
              </w:rPr>
              <w:t>2012</w:t>
            </w:r>
          </w:p>
        </w:tc>
        <w:tc>
          <w:tcPr>
            <w:tcW w:w="300" w:type="dxa"/>
            <w:vAlign w:val="bottom"/>
          </w:tcPr>
          <w:p>
            <w:pPr>
              <w:spacing w:after="0"/>
              <w:rPr>
                <w:sz w:val="13"/>
                <w:szCs w:val="13"/>
                <w:color w:val="auto"/>
              </w:rPr>
            </w:pPr>
          </w:p>
        </w:tc>
        <w:tc>
          <w:tcPr>
            <w:tcW w:w="580" w:type="dxa"/>
            <w:vAlign w:val="bottom"/>
            <w:gridSpan w:val="3"/>
          </w:tcPr>
          <w:p>
            <w:pPr>
              <w:jc w:val="right"/>
              <w:ind w:right="220"/>
              <w:spacing w:after="0" w:line="155" w:lineRule="exact"/>
              <w:rPr>
                <w:sz w:val="20"/>
                <w:szCs w:val="20"/>
                <w:color w:val="auto"/>
              </w:rPr>
            </w:pPr>
            <w:r>
              <w:rPr>
                <w:rFonts w:ascii="Arial" w:cs="Arial" w:eastAsia="Arial" w:hAnsi="Arial"/>
                <w:sz w:val="14"/>
                <w:szCs w:val="14"/>
                <w:b w:val="1"/>
                <w:bCs w:val="1"/>
                <w:i w:val="1"/>
                <w:iCs w:val="1"/>
                <w:color w:val="auto"/>
              </w:rPr>
              <w:t>2011</w:t>
            </w:r>
          </w:p>
        </w:tc>
        <w:tc>
          <w:tcPr>
            <w:tcW w:w="4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gridSpan w:val="5"/>
          </w:tcPr>
          <w:p>
            <w:pPr>
              <w:jc w:val="right"/>
              <w:ind w:right="20"/>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800" w:type="dxa"/>
            <w:vAlign w:val="bottom"/>
            <w:gridSpan w:val="4"/>
          </w:tcPr>
          <w:p>
            <w:pPr>
              <w:jc w:val="right"/>
              <w:ind w:right="100"/>
              <w:spacing w:after="0" w:line="155" w:lineRule="exact"/>
              <w:rPr>
                <w:sz w:val="20"/>
                <w:szCs w:val="20"/>
                <w:color w:val="auto"/>
              </w:rPr>
            </w:pPr>
            <w:r>
              <w:rPr>
                <w:rFonts w:ascii="Arial" w:cs="Arial" w:eastAsia="Arial" w:hAnsi="Arial"/>
                <w:sz w:val="14"/>
                <w:szCs w:val="14"/>
                <w:b w:val="1"/>
                <w:bCs w:val="1"/>
                <w:i w:val="1"/>
                <w:iCs w:val="1"/>
                <w:color w:val="auto"/>
              </w:rPr>
              <w:t>2011</w:t>
            </w:r>
          </w:p>
        </w:tc>
      </w:tr>
      <w:tr>
        <w:trPr>
          <w:trHeight w:val="20"/>
        </w:trPr>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5540" w:space="720"/>
            <w:col w:w="5140"/>
          </w:cols>
          <w:pgMar w:left="240" w:top="125" w:right="259" w:bottom="0" w:gutter="0" w:footer="0" w:header="0"/>
          <w:type w:val="continuous"/>
        </w:sectPr>
      </w:pPr>
    </w:p>
    <w:p>
      <w:pPr>
        <w:spacing w:after="0" w:line="87"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5140" w:type="dxa"/>
            <w:vAlign w:val="bottom"/>
          </w:tcPr>
          <w:p>
            <w:pPr>
              <w:spacing w:after="0"/>
              <w:rPr>
                <w:sz w:val="20"/>
                <w:szCs w:val="20"/>
                <w:color w:val="auto"/>
              </w:rPr>
            </w:pPr>
            <w:r>
              <w:rPr>
                <w:rFonts w:ascii="Arial" w:cs="Arial" w:eastAsia="Arial" w:hAnsi="Arial"/>
                <w:sz w:val="18"/>
                <w:szCs w:val="18"/>
                <w:color w:val="auto"/>
              </w:rPr>
              <w:t>Thermal Products</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w w:val="74"/>
              </w:rPr>
              <w:t>$ 6,037</w:t>
            </w:r>
          </w:p>
        </w:tc>
        <w:tc>
          <w:tcPr>
            <w:tcW w:w="80" w:type="dxa"/>
            <w:vAlign w:val="bottom"/>
          </w:tcPr>
          <w:p>
            <w:pPr>
              <w:spacing w:after="0"/>
              <w:rPr>
                <w:sz w:val="19"/>
                <w:szCs w:val="19"/>
                <w:color w:val="auto"/>
              </w:rPr>
            </w:pPr>
          </w:p>
        </w:tc>
        <w:tc>
          <w:tcPr>
            <w:tcW w:w="560" w:type="dxa"/>
            <w:vAlign w:val="bottom"/>
            <w:gridSpan w:val="6"/>
          </w:tcPr>
          <w:p>
            <w:pPr>
              <w:jc w:val="right"/>
              <w:spacing w:after="0"/>
              <w:rPr>
                <w:sz w:val="20"/>
                <w:szCs w:val="20"/>
                <w:color w:val="auto"/>
              </w:rPr>
            </w:pPr>
            <w:r>
              <w:rPr>
                <w:rFonts w:ascii="Arial" w:cs="Arial" w:eastAsia="Arial" w:hAnsi="Arial"/>
                <w:sz w:val="18"/>
                <w:szCs w:val="18"/>
                <w:color w:val="auto"/>
                <w:w w:val="93"/>
              </w:rPr>
              <w:t>$ 7,572</w:t>
            </w:r>
          </w:p>
        </w:tc>
        <w:tc>
          <w:tcPr>
            <w:tcW w:w="100" w:type="dxa"/>
            <w:vAlign w:val="bottom"/>
          </w:tcPr>
          <w:p>
            <w:pPr>
              <w:spacing w:after="0"/>
              <w:rPr>
                <w:sz w:val="19"/>
                <w:szCs w:val="19"/>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w w:val="93"/>
              </w:rPr>
              <w:t>$ 6,503</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98"/>
              </w:rPr>
              <w:t>$18,651</w:t>
            </w:r>
          </w:p>
        </w:tc>
        <w:tc>
          <w:tcPr>
            <w:tcW w:w="300" w:type="dxa"/>
            <w:vAlign w:val="bottom"/>
          </w:tcPr>
          <w:p>
            <w:pPr>
              <w:spacing w:after="0"/>
              <w:rPr>
                <w:sz w:val="19"/>
                <w:szCs w:val="19"/>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6"/>
                <w:szCs w:val="16"/>
                <w:color w:val="auto"/>
                <w:w w:val="76"/>
              </w:rPr>
              <w:t>$19,593</w:t>
            </w:r>
          </w:p>
        </w:tc>
      </w:tr>
      <w:tr>
        <w:trPr>
          <w:trHeight w:val="459"/>
        </w:trPr>
        <w:tc>
          <w:tcPr>
            <w:tcW w:w="5140" w:type="dxa"/>
            <w:vAlign w:val="bottom"/>
          </w:tcPr>
          <w:p>
            <w:pPr>
              <w:spacing w:after="0"/>
              <w:rPr>
                <w:sz w:val="20"/>
                <w:szCs w:val="20"/>
                <w:color w:val="auto"/>
              </w:rPr>
            </w:pPr>
            <w:r>
              <w:rPr>
                <w:rFonts w:ascii="Arial" w:cs="Arial" w:eastAsia="Arial" w:hAnsi="Arial"/>
                <w:sz w:val="18"/>
                <w:szCs w:val="18"/>
                <w:color w:val="auto"/>
              </w:rPr>
              <w:t>Mechanical Products</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2,677</w:t>
            </w:r>
          </w:p>
        </w:tc>
        <w:tc>
          <w:tcPr>
            <w:tcW w:w="80" w:type="dxa"/>
            <w:vAlign w:val="bottom"/>
          </w:tcPr>
          <w:p>
            <w:pPr>
              <w:spacing w:after="0"/>
              <w:rPr>
                <w:sz w:val="24"/>
                <w:szCs w:val="24"/>
                <w:color w:val="auto"/>
              </w:rPr>
            </w:pPr>
          </w:p>
        </w:tc>
        <w:tc>
          <w:tcPr>
            <w:tcW w:w="560" w:type="dxa"/>
            <w:vAlign w:val="bottom"/>
            <w:gridSpan w:val="6"/>
          </w:tcPr>
          <w:p>
            <w:pPr>
              <w:jc w:val="right"/>
              <w:spacing w:after="0"/>
              <w:rPr>
                <w:sz w:val="20"/>
                <w:szCs w:val="20"/>
                <w:color w:val="auto"/>
              </w:rPr>
            </w:pPr>
            <w:r>
              <w:rPr>
                <w:rFonts w:ascii="Arial" w:cs="Arial" w:eastAsia="Arial" w:hAnsi="Arial"/>
                <w:sz w:val="18"/>
                <w:szCs w:val="18"/>
                <w:color w:val="auto"/>
              </w:rPr>
              <w:t>3,172</w:t>
            </w:r>
          </w:p>
        </w:tc>
        <w:tc>
          <w:tcPr>
            <w:tcW w:w="10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3,086</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8,277</w:t>
            </w:r>
          </w:p>
        </w:tc>
        <w:tc>
          <w:tcPr>
            <w:tcW w:w="300" w:type="dxa"/>
            <w:vAlign w:val="bottom"/>
          </w:tcPr>
          <w:p>
            <w:pPr>
              <w:spacing w:after="0"/>
              <w:rPr>
                <w:sz w:val="24"/>
                <w:szCs w:val="24"/>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79"/>
              </w:rPr>
              <w:t>13,299</w:t>
            </w:r>
          </w:p>
        </w:tc>
      </w:tr>
      <w:tr>
        <w:trPr>
          <w:trHeight w:val="459"/>
        </w:trPr>
        <w:tc>
          <w:tcPr>
            <w:tcW w:w="5140" w:type="dxa"/>
            <w:vAlign w:val="bottom"/>
          </w:tcPr>
          <w:p>
            <w:pPr>
              <w:spacing w:after="0"/>
              <w:rPr>
                <w:sz w:val="20"/>
                <w:szCs w:val="20"/>
                <w:color w:val="auto"/>
              </w:rPr>
            </w:pPr>
            <w:r>
              <w:rPr>
                <w:rFonts w:ascii="Arial" w:cs="Arial" w:eastAsia="Arial" w:hAnsi="Arial"/>
                <w:sz w:val="18"/>
                <w:szCs w:val="18"/>
                <w:color w:val="auto"/>
              </w:rPr>
              <w:t>Electrical Products</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2,086</w:t>
            </w:r>
          </w:p>
        </w:tc>
        <w:tc>
          <w:tcPr>
            <w:tcW w:w="80" w:type="dxa"/>
            <w:vAlign w:val="bottom"/>
          </w:tcPr>
          <w:p>
            <w:pPr>
              <w:spacing w:after="0"/>
              <w:rPr>
                <w:sz w:val="24"/>
                <w:szCs w:val="24"/>
                <w:color w:val="auto"/>
              </w:rPr>
            </w:pPr>
          </w:p>
        </w:tc>
        <w:tc>
          <w:tcPr>
            <w:tcW w:w="560" w:type="dxa"/>
            <w:vAlign w:val="bottom"/>
            <w:gridSpan w:val="6"/>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3,987</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8,189</w:t>
            </w:r>
          </w:p>
        </w:tc>
        <w:tc>
          <w:tcPr>
            <w:tcW w:w="300" w:type="dxa"/>
            <w:vAlign w:val="bottom"/>
          </w:tcPr>
          <w:p>
            <w:pPr>
              <w:spacing w:after="0"/>
              <w:rPr>
                <w:sz w:val="24"/>
                <w:szCs w:val="24"/>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4,327</w:t>
            </w:r>
          </w:p>
        </w:tc>
      </w:tr>
      <w:tr>
        <w:trPr>
          <w:trHeight w:val="421"/>
        </w:trPr>
        <w:tc>
          <w:tcPr>
            <w:tcW w:w="5140" w:type="dxa"/>
            <w:vAlign w:val="bottom"/>
          </w:tcPr>
          <w:p>
            <w:pPr>
              <w:spacing w:after="0"/>
              <w:rPr>
                <w:sz w:val="20"/>
                <w:szCs w:val="20"/>
                <w:color w:val="auto"/>
              </w:rPr>
            </w:pPr>
            <w:r>
              <w:rPr>
                <w:rFonts w:ascii="Arial" w:cs="Arial" w:eastAsia="Arial" w:hAnsi="Arial"/>
                <w:sz w:val="18"/>
                <w:szCs w:val="18"/>
                <w:color w:val="auto"/>
              </w:rPr>
              <w:t>Intersegment sales</w:t>
            </w:r>
          </w:p>
        </w:tc>
        <w:tc>
          <w:tcPr>
            <w:tcW w:w="500" w:type="dxa"/>
            <w:vAlign w:val="bottom"/>
            <w:gridSpan w:val="4"/>
          </w:tcPr>
          <w:p>
            <w:pPr>
              <w:jc w:val="right"/>
              <w:ind w:right="40"/>
              <w:spacing w:after="0"/>
              <w:rPr>
                <w:sz w:val="20"/>
                <w:szCs w:val="20"/>
                <w:color w:val="auto"/>
              </w:rPr>
            </w:pPr>
            <w:r>
              <w:rPr>
                <w:rFonts w:ascii="Arial" w:cs="Arial" w:eastAsia="Arial" w:hAnsi="Arial"/>
                <w:sz w:val="18"/>
                <w:szCs w:val="18"/>
                <w:color w:val="auto"/>
              </w:rPr>
              <w:t>(1)</w:t>
            </w:r>
          </w:p>
        </w:tc>
        <w:tc>
          <w:tcPr>
            <w:tcW w:w="660" w:type="dxa"/>
            <w:vAlign w:val="bottom"/>
            <w:gridSpan w:val="7"/>
          </w:tcPr>
          <w:p>
            <w:pPr>
              <w:jc w:val="right"/>
              <w:ind w:right="40"/>
              <w:spacing w:after="0"/>
              <w:rPr>
                <w:sz w:val="20"/>
                <w:szCs w:val="20"/>
                <w:color w:val="auto"/>
              </w:rPr>
            </w:pPr>
            <w:r>
              <w:rPr>
                <w:rFonts w:ascii="Arial" w:cs="Arial" w:eastAsia="Arial" w:hAnsi="Arial"/>
                <w:sz w:val="18"/>
                <w:szCs w:val="18"/>
                <w:color w:val="auto"/>
              </w:rPr>
              <w:t>(4)</w:t>
            </w: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5"/>
          </w:tcPr>
          <w:p>
            <w:pPr>
              <w:jc w:val="right"/>
              <w:ind w:right="240"/>
              <w:spacing w:after="0"/>
              <w:rPr>
                <w:sz w:val="20"/>
                <w:szCs w:val="20"/>
                <w:color w:val="auto"/>
              </w:rPr>
            </w:pPr>
            <w:r>
              <w:rPr>
                <w:rFonts w:ascii="Arial" w:cs="Arial" w:eastAsia="Arial" w:hAnsi="Arial"/>
                <w:sz w:val="18"/>
                <w:szCs w:val="18"/>
                <w:color w:val="auto"/>
              </w:rPr>
              <w:t>(11)</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5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514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15"/>
                <w:szCs w:val="15"/>
                <w:u w:val="single" w:color="auto"/>
                <w:color w:val="auto"/>
                <w:w w:val="73"/>
              </w:rPr>
              <w:t>$</w:t>
            </w:r>
            <w:r>
              <w:rPr>
                <w:rFonts w:ascii="Arial" w:cs="Arial" w:eastAsia="Arial" w:hAnsi="Arial"/>
                <w:sz w:val="15"/>
                <w:szCs w:val="15"/>
                <w:color w:val="auto"/>
                <w:w w:val="73"/>
              </w:rPr>
              <w:t>10,799</w:t>
            </w:r>
          </w:p>
        </w:tc>
        <w:tc>
          <w:tcPr>
            <w:tcW w:w="80" w:type="dxa"/>
            <w:vAlign w:val="bottom"/>
          </w:tcPr>
          <w:p>
            <w:pPr>
              <w:spacing w:after="0"/>
              <w:rPr>
                <w:sz w:val="24"/>
                <w:szCs w:val="24"/>
                <w:color w:val="auto"/>
              </w:rPr>
            </w:pPr>
          </w:p>
        </w:tc>
        <w:tc>
          <w:tcPr>
            <w:tcW w:w="660" w:type="dxa"/>
            <w:vAlign w:val="bottom"/>
            <w:gridSpan w:val="7"/>
          </w:tcPr>
          <w:p>
            <w:pPr>
              <w:jc w:val="right"/>
              <w:ind w:righ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11,681</w:t>
            </w:r>
          </w:p>
        </w:tc>
        <w:tc>
          <w:tcPr>
            <w:tcW w:w="58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13,576</w:t>
            </w:r>
          </w:p>
        </w:tc>
        <w:tc>
          <w:tcPr>
            <w:tcW w:w="66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35,106</w:t>
            </w:r>
          </w:p>
        </w:tc>
        <w:tc>
          <w:tcPr>
            <w:tcW w:w="300" w:type="dxa"/>
            <w:vAlign w:val="bottom"/>
          </w:tcPr>
          <w:p>
            <w:pPr>
              <w:spacing w:after="0"/>
              <w:rPr>
                <w:sz w:val="24"/>
                <w:szCs w:val="24"/>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6"/>
                <w:szCs w:val="16"/>
                <w:u w:val="single" w:color="auto"/>
                <w:color w:val="auto"/>
                <w:w w:val="76"/>
              </w:rPr>
              <w:t>$</w:t>
            </w:r>
            <w:r>
              <w:rPr>
                <w:rFonts w:ascii="Arial" w:cs="Arial" w:eastAsia="Arial" w:hAnsi="Arial"/>
                <w:sz w:val="16"/>
                <w:szCs w:val="16"/>
                <w:color w:val="auto"/>
                <w:w w:val="76"/>
              </w:rPr>
              <w:t>37,185</w:t>
            </w:r>
          </w:p>
        </w:tc>
      </w:tr>
      <w:tr>
        <w:trPr>
          <w:trHeight w:val="262"/>
        </w:trPr>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rPr>
              <w:t>Intersegment sales:</w:t>
            </w:r>
          </w:p>
        </w:tc>
        <w:tc>
          <w:tcPr>
            <w:tcW w:w="1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459"/>
        </w:trPr>
        <w:tc>
          <w:tcPr>
            <w:tcW w:w="5140" w:type="dxa"/>
            <w:vAlign w:val="bottom"/>
          </w:tcPr>
          <w:p>
            <w:pPr>
              <w:spacing w:after="0"/>
              <w:rPr>
                <w:sz w:val="20"/>
                <w:szCs w:val="20"/>
                <w:color w:val="auto"/>
              </w:rPr>
            </w:pPr>
            <w:r>
              <w:rPr>
                <w:rFonts w:ascii="Arial" w:cs="Arial" w:eastAsia="Arial" w:hAnsi="Arial"/>
                <w:sz w:val="18"/>
                <w:szCs w:val="18"/>
                <w:color w:val="auto"/>
              </w:rPr>
              <w:t>Thermal Products</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4"/>
                <w:szCs w:val="24"/>
                <w:color w:val="auto"/>
              </w:rPr>
            </w:pPr>
          </w:p>
        </w:tc>
        <w:tc>
          <w:tcPr>
            <w:tcW w:w="660" w:type="dxa"/>
            <w:vAlign w:val="bottom"/>
            <w:gridSpan w:val="7"/>
          </w:tcPr>
          <w:p>
            <w:pPr>
              <w:jc w:val="right"/>
              <w:ind w:right="80"/>
              <w:spacing w:after="0"/>
              <w:rPr>
                <w:sz w:val="20"/>
                <w:szCs w:val="20"/>
                <w:color w:val="auto"/>
              </w:rPr>
            </w:pPr>
            <w:r>
              <w:rPr>
                <w:rFonts w:ascii="Arial" w:cs="Arial" w:eastAsia="Arial" w:hAnsi="Arial"/>
                <w:sz w:val="18"/>
                <w:szCs w:val="18"/>
                <w:color w:val="auto"/>
              </w:rPr>
              <w:t>$  -</w:t>
            </w: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 -</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4"/>
                <w:szCs w:val="24"/>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  -</w:t>
            </w:r>
          </w:p>
        </w:tc>
      </w:tr>
      <w:tr>
        <w:trPr>
          <w:trHeight w:val="459"/>
        </w:trPr>
        <w:tc>
          <w:tcPr>
            <w:tcW w:w="5140" w:type="dxa"/>
            <w:vAlign w:val="bottom"/>
          </w:tcPr>
          <w:p>
            <w:pPr>
              <w:spacing w:after="0"/>
              <w:rPr>
                <w:sz w:val="20"/>
                <w:szCs w:val="20"/>
                <w:color w:val="auto"/>
              </w:rPr>
            </w:pPr>
            <w:r>
              <w:rPr>
                <w:rFonts w:ascii="Arial" w:cs="Arial" w:eastAsia="Arial" w:hAnsi="Arial"/>
                <w:sz w:val="18"/>
                <w:szCs w:val="18"/>
                <w:color w:val="auto"/>
              </w:rPr>
              <w:t>Mechanical Products</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60" w:type="dxa"/>
            <w:vAlign w:val="bottom"/>
            <w:gridSpan w:val="6"/>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4"/>
                <w:szCs w:val="24"/>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r>
      <w:tr>
        <w:trPr>
          <w:trHeight w:val="421"/>
        </w:trPr>
        <w:tc>
          <w:tcPr>
            <w:tcW w:w="5140" w:type="dxa"/>
            <w:vAlign w:val="bottom"/>
          </w:tcPr>
          <w:p>
            <w:pPr>
              <w:spacing w:after="0"/>
              <w:rPr>
                <w:sz w:val="20"/>
                <w:szCs w:val="20"/>
                <w:color w:val="auto"/>
              </w:rPr>
            </w:pPr>
            <w:r>
              <w:rPr>
                <w:rFonts w:ascii="Arial" w:cs="Arial" w:eastAsia="Arial" w:hAnsi="Arial"/>
                <w:sz w:val="18"/>
                <w:szCs w:val="18"/>
                <w:color w:val="auto"/>
              </w:rPr>
              <w:t>Electrical Products</w:t>
            </w:r>
          </w:p>
        </w:tc>
        <w:tc>
          <w:tcPr>
            <w:tcW w:w="200" w:type="dxa"/>
            <w:vAlign w:val="bottom"/>
            <w:gridSpan w:val="2"/>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360" w:type="dxa"/>
            <w:vAlign w:val="bottom"/>
            <w:gridSpan w:val="5"/>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400" w:type="dxa"/>
            <w:vAlign w:val="bottom"/>
            <w:gridSpan w:val="4"/>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0"/>
        </w:trPr>
        <w:tc>
          <w:tcPr>
            <w:tcW w:w="5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39"/>
        </w:trPr>
        <w:tc>
          <w:tcPr>
            <w:tcW w:w="514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$ 1</w:t>
            </w:r>
          </w:p>
        </w:tc>
        <w:tc>
          <w:tcPr>
            <w:tcW w:w="80" w:type="dxa"/>
            <w:vAlign w:val="bottom"/>
          </w:tcPr>
          <w:p>
            <w:pPr>
              <w:spacing w:after="0"/>
              <w:rPr>
                <w:sz w:val="24"/>
                <w:szCs w:val="24"/>
                <w:color w:val="auto"/>
              </w:rPr>
            </w:pPr>
          </w:p>
        </w:tc>
        <w:tc>
          <w:tcPr>
            <w:tcW w:w="560" w:type="dxa"/>
            <w:vAlign w:val="bottom"/>
            <w:gridSpan w:val="6"/>
          </w:tcPr>
          <w:p>
            <w:pPr>
              <w:jc w:val="right"/>
              <w:spacing w:after="0"/>
              <w:rPr>
                <w:sz w:val="20"/>
                <w:szCs w:val="20"/>
                <w:color w:val="auto"/>
              </w:rPr>
            </w:pPr>
            <w:r>
              <w:rPr>
                <w:rFonts w:ascii="Arial" w:cs="Arial" w:eastAsia="Arial" w:hAnsi="Arial"/>
                <w:sz w:val="18"/>
                <w:szCs w:val="18"/>
                <w:color w:val="auto"/>
              </w:rPr>
              <w:t>$ 4</w:t>
            </w:r>
          </w:p>
        </w:tc>
        <w:tc>
          <w:tcPr>
            <w:tcW w:w="10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 -</w:t>
            </w:r>
          </w:p>
        </w:tc>
        <w:tc>
          <w:tcPr>
            <w:tcW w:w="6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w:t>
            </w:r>
          </w:p>
        </w:tc>
      </w:tr>
      <w:tr>
        <w:trPr>
          <w:trHeight w:val="255"/>
        </w:trPr>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w w:val="95"/>
              </w:rPr>
              <w:t>Net revenues from unaffiliated customers (net of intersegment</w:t>
            </w:r>
          </w:p>
        </w:tc>
        <w:tc>
          <w:tcPr>
            <w:tcW w:w="1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22"/>
        </w:trPr>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rPr>
              <w:t>sales):</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59"/>
        </w:trPr>
        <w:tc>
          <w:tcPr>
            <w:tcW w:w="5140" w:type="dxa"/>
            <w:vAlign w:val="bottom"/>
          </w:tcPr>
          <w:p>
            <w:pPr>
              <w:spacing w:after="0"/>
              <w:rPr>
                <w:sz w:val="20"/>
                <w:szCs w:val="20"/>
                <w:color w:val="auto"/>
              </w:rPr>
            </w:pPr>
            <w:r>
              <w:rPr>
                <w:rFonts w:ascii="Arial" w:cs="Arial" w:eastAsia="Arial" w:hAnsi="Arial"/>
                <w:sz w:val="18"/>
                <w:szCs w:val="18"/>
                <w:color w:val="auto"/>
              </w:rPr>
              <w:t>Thermal Products</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w w:val="74"/>
              </w:rPr>
              <w:t>$ 6,037</w:t>
            </w:r>
          </w:p>
        </w:tc>
        <w:tc>
          <w:tcPr>
            <w:tcW w:w="80" w:type="dxa"/>
            <w:vAlign w:val="bottom"/>
          </w:tcPr>
          <w:p>
            <w:pPr>
              <w:spacing w:after="0"/>
              <w:rPr>
                <w:sz w:val="24"/>
                <w:szCs w:val="24"/>
                <w:color w:val="auto"/>
              </w:rPr>
            </w:pPr>
          </w:p>
        </w:tc>
        <w:tc>
          <w:tcPr>
            <w:tcW w:w="560" w:type="dxa"/>
            <w:vAlign w:val="bottom"/>
            <w:gridSpan w:val="6"/>
          </w:tcPr>
          <w:p>
            <w:pPr>
              <w:jc w:val="right"/>
              <w:spacing w:after="0"/>
              <w:rPr>
                <w:sz w:val="20"/>
                <w:szCs w:val="20"/>
                <w:color w:val="auto"/>
              </w:rPr>
            </w:pPr>
            <w:r>
              <w:rPr>
                <w:rFonts w:ascii="Arial" w:cs="Arial" w:eastAsia="Arial" w:hAnsi="Arial"/>
                <w:sz w:val="18"/>
                <w:szCs w:val="18"/>
                <w:color w:val="auto"/>
                <w:w w:val="93"/>
              </w:rPr>
              <w:t>$ 7,572</w:t>
            </w:r>
          </w:p>
        </w:tc>
        <w:tc>
          <w:tcPr>
            <w:tcW w:w="10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w w:val="93"/>
              </w:rPr>
              <w:t>$ 6,503</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98"/>
              </w:rPr>
              <w:t>$18,651</w:t>
            </w:r>
          </w:p>
        </w:tc>
        <w:tc>
          <w:tcPr>
            <w:tcW w:w="300" w:type="dxa"/>
            <w:vAlign w:val="bottom"/>
          </w:tcPr>
          <w:p>
            <w:pPr>
              <w:spacing w:after="0"/>
              <w:rPr>
                <w:sz w:val="24"/>
                <w:szCs w:val="24"/>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6"/>
                <w:szCs w:val="16"/>
                <w:color w:val="auto"/>
                <w:w w:val="76"/>
              </w:rPr>
              <w:t>$19,593</w:t>
            </w:r>
          </w:p>
        </w:tc>
      </w:tr>
      <w:tr>
        <w:trPr>
          <w:trHeight w:val="459"/>
        </w:trPr>
        <w:tc>
          <w:tcPr>
            <w:tcW w:w="5140" w:type="dxa"/>
            <w:vAlign w:val="bottom"/>
          </w:tcPr>
          <w:p>
            <w:pPr>
              <w:spacing w:after="0"/>
              <w:rPr>
                <w:sz w:val="20"/>
                <w:szCs w:val="20"/>
                <w:color w:val="auto"/>
              </w:rPr>
            </w:pPr>
            <w:r>
              <w:rPr>
                <w:rFonts w:ascii="Arial" w:cs="Arial" w:eastAsia="Arial" w:hAnsi="Arial"/>
                <w:sz w:val="18"/>
                <w:szCs w:val="18"/>
                <w:color w:val="auto"/>
              </w:rPr>
              <w:t>Mechanical Products</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2,677</w:t>
            </w:r>
          </w:p>
        </w:tc>
        <w:tc>
          <w:tcPr>
            <w:tcW w:w="80" w:type="dxa"/>
            <w:vAlign w:val="bottom"/>
          </w:tcPr>
          <w:p>
            <w:pPr>
              <w:spacing w:after="0"/>
              <w:rPr>
                <w:sz w:val="24"/>
                <w:szCs w:val="24"/>
                <w:color w:val="auto"/>
              </w:rPr>
            </w:pPr>
          </w:p>
        </w:tc>
        <w:tc>
          <w:tcPr>
            <w:tcW w:w="560" w:type="dxa"/>
            <w:vAlign w:val="bottom"/>
            <w:gridSpan w:val="6"/>
          </w:tcPr>
          <w:p>
            <w:pPr>
              <w:jc w:val="right"/>
              <w:spacing w:after="0"/>
              <w:rPr>
                <w:sz w:val="20"/>
                <w:szCs w:val="20"/>
                <w:color w:val="auto"/>
              </w:rPr>
            </w:pPr>
            <w:r>
              <w:rPr>
                <w:rFonts w:ascii="Arial" w:cs="Arial" w:eastAsia="Arial" w:hAnsi="Arial"/>
                <w:sz w:val="18"/>
                <w:szCs w:val="18"/>
                <w:color w:val="auto"/>
              </w:rPr>
              <w:t>3,169</w:t>
            </w:r>
          </w:p>
        </w:tc>
        <w:tc>
          <w:tcPr>
            <w:tcW w:w="10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3,086</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8,267</w:t>
            </w:r>
          </w:p>
        </w:tc>
        <w:tc>
          <w:tcPr>
            <w:tcW w:w="300" w:type="dxa"/>
            <w:vAlign w:val="bottom"/>
          </w:tcPr>
          <w:p>
            <w:pPr>
              <w:spacing w:after="0"/>
              <w:rPr>
                <w:sz w:val="24"/>
                <w:szCs w:val="24"/>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79"/>
              </w:rPr>
              <w:t>13,292</w:t>
            </w:r>
          </w:p>
        </w:tc>
      </w:tr>
      <w:tr>
        <w:trPr>
          <w:trHeight w:val="421"/>
        </w:trPr>
        <w:tc>
          <w:tcPr>
            <w:tcW w:w="5140" w:type="dxa"/>
            <w:vAlign w:val="bottom"/>
          </w:tcPr>
          <w:p>
            <w:pPr>
              <w:spacing w:after="0"/>
              <w:rPr>
                <w:sz w:val="20"/>
                <w:szCs w:val="20"/>
                <w:color w:val="auto"/>
              </w:rPr>
            </w:pPr>
            <w:r>
              <w:rPr>
                <w:rFonts w:ascii="Arial" w:cs="Arial" w:eastAsia="Arial" w:hAnsi="Arial"/>
                <w:sz w:val="18"/>
                <w:szCs w:val="18"/>
                <w:color w:val="auto"/>
              </w:rPr>
              <w:t>Electrical Products</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2,085</w:t>
            </w:r>
          </w:p>
        </w:tc>
        <w:tc>
          <w:tcPr>
            <w:tcW w:w="8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3,987</w:t>
            </w:r>
          </w:p>
        </w:tc>
        <w:tc>
          <w:tcPr>
            <w:tcW w:w="20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8,188</w:t>
            </w:r>
          </w:p>
        </w:tc>
        <w:tc>
          <w:tcPr>
            <w:tcW w:w="300" w:type="dxa"/>
            <w:vAlign w:val="bottom"/>
          </w:tcPr>
          <w:p>
            <w:pPr>
              <w:spacing w:after="0"/>
              <w:rPr>
                <w:sz w:val="24"/>
                <w:szCs w:val="24"/>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4,300</w:t>
            </w:r>
          </w:p>
        </w:tc>
      </w:tr>
      <w:tr>
        <w:trPr>
          <w:trHeight w:val="20"/>
        </w:trPr>
        <w:tc>
          <w:tcPr>
            <w:tcW w:w="5140" w:type="dxa"/>
            <w:vAlign w:val="bottom"/>
            <w:tcBorders>
              <w:right w:val="single" w:sz="8" w:color="auto"/>
            </w:tcBorders>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39"/>
        </w:trPr>
        <w:tc>
          <w:tcPr>
            <w:tcW w:w="514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15"/>
                <w:szCs w:val="15"/>
                <w:u w:val="single" w:color="auto"/>
                <w:color w:val="auto"/>
                <w:w w:val="73"/>
              </w:rPr>
              <w:t>$</w:t>
            </w:r>
            <w:r>
              <w:rPr>
                <w:rFonts w:ascii="Arial" w:cs="Arial" w:eastAsia="Arial" w:hAnsi="Arial"/>
                <w:sz w:val="15"/>
                <w:szCs w:val="15"/>
                <w:color w:val="auto"/>
                <w:w w:val="73"/>
              </w:rPr>
              <w:t>10,799</w:t>
            </w:r>
          </w:p>
        </w:tc>
        <w:tc>
          <w:tcPr>
            <w:tcW w:w="80" w:type="dxa"/>
            <w:vAlign w:val="bottom"/>
          </w:tcPr>
          <w:p>
            <w:pPr>
              <w:spacing w:after="0"/>
              <w:rPr>
                <w:sz w:val="24"/>
                <w:szCs w:val="24"/>
                <w:color w:val="auto"/>
              </w:rPr>
            </w:pPr>
          </w:p>
        </w:tc>
        <w:tc>
          <w:tcPr>
            <w:tcW w:w="660" w:type="dxa"/>
            <w:vAlign w:val="bottom"/>
            <w:gridSpan w:val="7"/>
          </w:tcPr>
          <w:p>
            <w:pPr>
              <w:jc w:val="right"/>
              <w:ind w:righ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11,681</w:t>
            </w:r>
          </w:p>
        </w:tc>
        <w:tc>
          <w:tcPr>
            <w:tcW w:w="58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13,576</w:t>
            </w:r>
          </w:p>
        </w:tc>
        <w:tc>
          <w:tcPr>
            <w:tcW w:w="66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35,106</w:t>
            </w:r>
          </w:p>
        </w:tc>
        <w:tc>
          <w:tcPr>
            <w:tcW w:w="300" w:type="dxa"/>
            <w:vAlign w:val="bottom"/>
          </w:tcPr>
          <w:p>
            <w:pPr>
              <w:spacing w:after="0"/>
              <w:rPr>
                <w:sz w:val="24"/>
                <w:szCs w:val="24"/>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6"/>
                <w:szCs w:val="16"/>
                <w:u w:val="single" w:color="auto"/>
                <w:color w:val="auto"/>
                <w:w w:val="76"/>
              </w:rPr>
              <w:t>$</w:t>
            </w:r>
            <w:r>
              <w:rPr>
                <w:rFonts w:ascii="Arial" w:cs="Arial" w:eastAsia="Arial" w:hAnsi="Arial"/>
                <w:sz w:val="16"/>
                <w:szCs w:val="16"/>
                <w:color w:val="auto"/>
                <w:w w:val="76"/>
              </w:rPr>
              <w:t>37,185</w:t>
            </w:r>
          </w:p>
        </w:tc>
      </w:tr>
      <w:tr>
        <w:trPr>
          <w:trHeight w:val="262"/>
        </w:trPr>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1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459"/>
        </w:trPr>
        <w:tc>
          <w:tcPr>
            <w:tcW w:w="5140" w:type="dxa"/>
            <w:vAlign w:val="bottom"/>
          </w:tcPr>
          <w:p>
            <w:pPr>
              <w:spacing w:after="0"/>
              <w:rPr>
                <w:sz w:val="20"/>
                <w:szCs w:val="20"/>
                <w:color w:val="auto"/>
              </w:rPr>
            </w:pPr>
            <w:r>
              <w:rPr>
                <w:rFonts w:ascii="Arial" w:cs="Arial" w:eastAsia="Arial" w:hAnsi="Arial"/>
                <w:sz w:val="18"/>
                <w:szCs w:val="18"/>
                <w:color w:val="auto"/>
              </w:rPr>
              <w:t>U.S.</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w w:val="74"/>
              </w:rPr>
              <w:t>$ 4,123</w:t>
            </w:r>
          </w:p>
        </w:tc>
        <w:tc>
          <w:tcPr>
            <w:tcW w:w="80" w:type="dxa"/>
            <w:vAlign w:val="bottom"/>
          </w:tcPr>
          <w:p>
            <w:pPr>
              <w:spacing w:after="0"/>
              <w:rPr>
                <w:sz w:val="24"/>
                <w:szCs w:val="24"/>
                <w:color w:val="auto"/>
              </w:rPr>
            </w:pPr>
          </w:p>
        </w:tc>
        <w:tc>
          <w:tcPr>
            <w:tcW w:w="560" w:type="dxa"/>
            <w:vAlign w:val="bottom"/>
            <w:gridSpan w:val="6"/>
          </w:tcPr>
          <w:p>
            <w:pPr>
              <w:jc w:val="right"/>
              <w:spacing w:after="0"/>
              <w:rPr>
                <w:sz w:val="20"/>
                <w:szCs w:val="20"/>
                <w:color w:val="auto"/>
              </w:rPr>
            </w:pPr>
            <w:r>
              <w:rPr>
                <w:rFonts w:ascii="Arial" w:cs="Arial" w:eastAsia="Arial" w:hAnsi="Arial"/>
                <w:sz w:val="18"/>
                <w:szCs w:val="18"/>
                <w:color w:val="auto"/>
                <w:w w:val="93"/>
              </w:rPr>
              <w:t>$ 4,797</w:t>
            </w:r>
          </w:p>
        </w:tc>
        <w:tc>
          <w:tcPr>
            <w:tcW w:w="10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w w:val="93"/>
              </w:rPr>
              <w:t>$ 3,733</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98"/>
              </w:rPr>
              <w:t>$12,052</w:t>
            </w:r>
          </w:p>
        </w:tc>
        <w:tc>
          <w:tcPr>
            <w:tcW w:w="300" w:type="dxa"/>
            <w:vAlign w:val="bottom"/>
          </w:tcPr>
          <w:p>
            <w:pPr>
              <w:spacing w:after="0"/>
              <w:rPr>
                <w:sz w:val="24"/>
                <w:szCs w:val="24"/>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6"/>
                <w:szCs w:val="16"/>
                <w:color w:val="auto"/>
                <w:w w:val="76"/>
              </w:rPr>
              <w:t>$13,820</w:t>
            </w:r>
          </w:p>
        </w:tc>
      </w:tr>
      <w:tr>
        <w:trPr>
          <w:trHeight w:val="421"/>
        </w:trPr>
        <w:tc>
          <w:tcPr>
            <w:tcW w:w="5140" w:type="dxa"/>
            <w:vAlign w:val="bottom"/>
          </w:tcPr>
          <w:p>
            <w:pPr>
              <w:spacing w:after="0"/>
              <w:rPr>
                <w:sz w:val="20"/>
                <w:szCs w:val="20"/>
                <w:color w:val="auto"/>
              </w:rPr>
            </w:pPr>
            <w:r>
              <w:rPr>
                <w:rFonts w:ascii="Arial" w:cs="Arial" w:eastAsia="Arial" w:hAnsi="Arial"/>
                <w:sz w:val="18"/>
                <w:szCs w:val="18"/>
                <w:color w:val="auto"/>
              </w:rPr>
              <w:t>Foreign</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6,676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5"/>
          </w:tcPr>
          <w:p>
            <w:pPr>
              <w:jc w:val="right"/>
              <w:spacing w:after="0"/>
              <w:rPr>
                <w:sz w:val="20"/>
                <w:szCs w:val="20"/>
                <w:color w:val="auto"/>
              </w:rPr>
            </w:pPr>
            <w:r>
              <w:rPr>
                <w:rFonts w:ascii="Arial" w:cs="Arial" w:eastAsia="Arial" w:hAnsi="Arial"/>
                <w:sz w:val="18"/>
                <w:szCs w:val="18"/>
                <w:color w:val="auto"/>
              </w:rPr>
              <w:t>6,884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9,843</w:t>
            </w:r>
          </w:p>
        </w:tc>
        <w:tc>
          <w:tcPr>
            <w:tcW w:w="20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79"/>
              </w:rPr>
              <w:t>23,054</w:t>
            </w:r>
          </w:p>
        </w:tc>
        <w:tc>
          <w:tcPr>
            <w:tcW w:w="300" w:type="dxa"/>
            <w:vAlign w:val="bottom"/>
          </w:tcPr>
          <w:p>
            <w:pPr>
              <w:spacing w:after="0"/>
              <w:rPr>
                <w:sz w:val="24"/>
                <w:szCs w:val="24"/>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79"/>
              </w:rPr>
              <w:t>23,365</w:t>
            </w:r>
          </w:p>
        </w:tc>
      </w:tr>
      <w:tr>
        <w:trPr>
          <w:trHeight w:val="20"/>
        </w:trPr>
        <w:tc>
          <w:tcPr>
            <w:tcW w:w="5140" w:type="dxa"/>
            <w:vAlign w:val="bottom"/>
            <w:tcBorders>
              <w:right w:val="single" w:sz="8" w:color="auto"/>
            </w:tcBorders>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5"/>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39"/>
        </w:trPr>
        <w:tc>
          <w:tcPr>
            <w:tcW w:w="514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15"/>
                <w:szCs w:val="15"/>
                <w:u w:val="single" w:color="auto"/>
                <w:color w:val="auto"/>
                <w:w w:val="73"/>
              </w:rPr>
              <w:t>$</w:t>
            </w:r>
            <w:r>
              <w:rPr>
                <w:rFonts w:ascii="Arial" w:cs="Arial" w:eastAsia="Arial" w:hAnsi="Arial"/>
                <w:sz w:val="15"/>
                <w:szCs w:val="15"/>
                <w:color w:val="auto"/>
                <w:w w:val="73"/>
              </w:rPr>
              <w:t>10,799</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6"/>
          </w:tcPr>
          <w:p>
            <w:pPr>
              <w:jc w:val="right"/>
              <w:ind w:right="80"/>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11,681</w:t>
            </w:r>
          </w:p>
        </w:tc>
        <w:tc>
          <w:tcPr>
            <w:tcW w:w="58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13,576</w:t>
            </w:r>
          </w:p>
        </w:tc>
        <w:tc>
          <w:tcPr>
            <w:tcW w:w="66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35,106</w:t>
            </w:r>
          </w:p>
        </w:tc>
        <w:tc>
          <w:tcPr>
            <w:tcW w:w="300" w:type="dxa"/>
            <w:vAlign w:val="bottom"/>
          </w:tcPr>
          <w:p>
            <w:pPr>
              <w:spacing w:after="0"/>
              <w:rPr>
                <w:sz w:val="24"/>
                <w:szCs w:val="24"/>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6"/>
                <w:szCs w:val="16"/>
                <w:u w:val="single" w:color="auto"/>
                <w:color w:val="auto"/>
                <w:w w:val="76"/>
              </w:rPr>
              <w:t>$</w:t>
            </w:r>
            <w:r>
              <w:rPr>
                <w:rFonts w:ascii="Arial" w:cs="Arial" w:eastAsia="Arial" w:hAnsi="Arial"/>
                <w:sz w:val="16"/>
                <w:szCs w:val="16"/>
                <w:color w:val="auto"/>
                <w:w w:val="76"/>
              </w:rPr>
              <w:t>37,185</w:t>
            </w:r>
          </w:p>
        </w:tc>
      </w:tr>
      <w:tr>
        <w:trPr>
          <w:trHeight w:val="20"/>
        </w:trPr>
        <w:tc>
          <w:tcPr>
            <w:tcW w:w="5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397"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Our consolidated net revenues for the quarter ended September 30, 2012 decreased $882,000 or 8% as compared to the same period in 2011. For the quarter ended September 30, 2012, net revenues (net of intersegment sales) of our Thermal and Mechanical Products segments decreased $1.5 million or 20% and $492,000 or 16%, respectively, while the net revenues (net of intersegment sales) of our Electrical Products segment increased $1.1 million or 122% as compared to the same period in 2011. During the quarter ended September 30, 2012, the net revenues of our Thermal Products segment included $1.4 million of net revenues attributable to Thermonics, Inc. ("Thermonics"), which we acquired on January 16, 2012 as discussed further under "Acquisition" below. Adjusted to eliminate the impact of the net revenues attributable to Thermonics, the net revenues (net of intersegment sales) of our Thermal Products segment for the third quarter of 2012 would have decreased $2.9 million or 39% as compared to the same period in 2011. Net revenues from customers in various industries outside of the ATE industry and those net revenues as a percentage of our total consolidated net revenues were $1.1 million or 10%, respectively, for the quarter ended September 30, 2012, compared to $1.8 million or 14%, respectively, for the quarter ended June 30, 2012, and $3.6 million or 31%, respectively, for the quarter ended September 30, 2011. Adjusted to eliminate the impact of the net revenues attributable to Thermonics, the net revenues from customers in various industries outside of the ATE industry and those net revenues as a percentage of our total consolidated net revenues were $1.1 million or 12%, respectively, for the quarter ended September 30, 2012 and $1.8 million or 15%, respectively, for the quarter ended June 30, 2012.</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00"/>
          </w:cols>
          <w:pgMar w:left="240" w:top="125" w:right="259" w:bottom="0" w:gutter="0" w:footer="0" w:header="0"/>
          <w:type w:val="continuous"/>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40"/>
        <w:spacing w:after="0" w:line="288" w:lineRule="auto"/>
        <w:rPr>
          <w:sz w:val="20"/>
          <w:szCs w:val="20"/>
          <w:color w:val="auto"/>
        </w:rPr>
      </w:pPr>
      <w:r>
        <w:rPr>
          <w:rFonts w:ascii="Arial" w:cs="Arial" w:eastAsia="Arial" w:hAnsi="Arial"/>
          <w:sz w:val="16"/>
          <w:szCs w:val="16"/>
          <w:color w:val="auto"/>
        </w:rPr>
        <w:t>During the first nine months of 2012, the level of demand experienced by our Thermal and Mechanical Products segments was less than that experienced during the same period in 2011. We believe the decline in the level of net revenues of our Thermal Products segment (when adjusted to eliminate the impact of the acquisition of Thermonics) reflects in part that this segment, which has historically lagged our other two product segments in regard to experiencing the impact of both increases and decreases in the levels of demand within the ATE industry, is now being impacted by the decline in demand in the ATE industry which we began to see impacting our Mechanical Products segment during the second quarter of 2011. In addition, our Thermal Products segment sells to industries outside of the ATE industry. This diversification has, in the past, helped to balance the impact of changing levels of demand in the ATE industry. However, in the first nine months of 2012, we have experienced weakened levels of demand in certain of these industries as well, which contributed to the overall level of decrease experienced by this product segment in the first nine months of 2012 as compared to the same period in 2011.</w:t>
      </w:r>
    </w:p>
    <w:p>
      <w:pPr>
        <w:spacing w:after="0" w:line="174" w:lineRule="exact"/>
        <w:rPr>
          <w:sz w:val="20"/>
          <w:szCs w:val="20"/>
          <w:color w:val="auto"/>
        </w:rPr>
      </w:pPr>
    </w:p>
    <w:p>
      <w:pPr>
        <w:ind w:left="540" w:right="40"/>
        <w:spacing w:after="0" w:line="288" w:lineRule="auto"/>
        <w:rPr>
          <w:sz w:val="20"/>
          <w:szCs w:val="20"/>
          <w:color w:val="auto"/>
        </w:rPr>
      </w:pPr>
      <w:r>
        <w:rPr>
          <w:rFonts w:ascii="Arial" w:cs="Arial" w:eastAsia="Arial" w:hAnsi="Arial"/>
          <w:sz w:val="16"/>
          <w:szCs w:val="16"/>
          <w:color w:val="auto"/>
        </w:rPr>
        <w:t>We believe the decrease in the level of net revenues in our Mechanical Products segment reflects reduced demand within the ATE industry, which we had begun to see reflected in the level of our orders for this segment during the second quarter of 2011. This decline in demand was partially offset by increased demand during the first quarter of 2012 from one particular major customer that recently completed an acquisition and, as a result, has had higher than typical demand for certain of our equipment as a part of the process of integrating their post-acquisition operations. This same major customer also purchases products from our Electrical Products segment and we believe this also is responsible for a portion of the increase in the net revenues of our Electrical Products segment during the first nine months of 2012 as compared to the same period in 2011. We also attribute the increase in the net revenues of our Electrical Products segment to a significant increase in demand from one particular major OEM customer. However, the level of demand from this OEM customer weakened significantly during the third quarter of 2012 which we expect will result in a decline in the net revenues of our Electrical Products segment in the fourth quarter of 2012 as compared to the third quarter of 2012.</w:t>
      </w:r>
    </w:p>
    <w:p>
      <w:pPr>
        <w:spacing w:after="0" w:line="174" w:lineRule="exact"/>
        <w:rPr>
          <w:sz w:val="20"/>
          <w:szCs w:val="20"/>
          <w:color w:val="auto"/>
        </w:rPr>
      </w:pPr>
    </w:p>
    <w:p>
      <w:pPr>
        <w:ind w:left="540" w:right="40"/>
        <w:spacing w:after="0" w:line="289" w:lineRule="auto"/>
        <w:rPr>
          <w:sz w:val="20"/>
          <w:szCs w:val="20"/>
          <w:color w:val="auto"/>
        </w:rPr>
      </w:pPr>
      <w:r>
        <w:rPr>
          <w:rFonts w:ascii="Arial" w:cs="Arial" w:eastAsia="Arial" w:hAnsi="Arial"/>
          <w:sz w:val="16"/>
          <w:szCs w:val="16"/>
          <w:color w:val="auto"/>
        </w:rPr>
        <w:t>Total orders for the quarter ended September 30, 2012 were $8.7 million compared to $11.8 million for the quarter ended June 30, 2012 and $10.5 million for the quarter ended September 30, 2011. Orders for the third quarter of 2012 include $1.2 million attributable to Thermonics. For the quarter ended September 30, 2012, orders for our Thermal, Mechanical and Electrical Products segments were $5.7 million, $1.7 million and $1.3 million, respectively, compared to $6.4 million, $2.3 million and $3.1 million for the quarter ended June 30, 2012, respectively, and $7.4 million, $2.3 million and $827,000 for the quarter ended September 30, 2011, respectively. Orders from customers in various industries outside of the ATE industry and those orders as a percentage of our total consolidated orders were $1.5 million or 17%, respectively, for the quarter ended September 30, 2012, compared to $1.2 million or 10%, respectively, for the quarter ended June 30, 2012, and $4.3 million or 41%, respectively, for the quarter ended September 30, 2011.We cannot be certain what the level of our orders or net revenues will be in any future period for any of our product segments.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Backlog</w:t>
      </w:r>
    </w:p>
    <w:p>
      <w:pPr>
        <w:spacing w:after="0" w:line="225"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color w:val="auto"/>
        </w:rPr>
        <w:t>At September 30, 2012, our backlog of unfilled orders for all products was approximately $3.2 million compared with approximately $5.2 million at June 30, 2012 and $6.1 million at September 30, 2011. Our backlog at September 30, 2012 included approximately $545,000 that was attributable to Thermonics compared with approximately $744,000 at June 30, 2012. Our backlog includes customer orders which we have accepted, substantially all of which we expect to deliver in 2012.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Acquisition</w:t>
      </w:r>
    </w:p>
    <w:p>
      <w:pPr>
        <w:spacing w:after="0" w:line="225"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On January 16, 2012, Temptronic Corporation acquired substantially all of the assets and certain liabilities of Thermonics, a division of Test Enterprises, Inc., pursuant to the Asset Purchase Agreement dated December 9, 2011. Thermonics is engaged in the business of designing, manufacturing, selling and distributing temperature forcing systems used in the testing of various products under temperature controlled situations. The acquisition of the Thermonics business broadens the product line of inTEST's Thermal Products segment. The purchase price for the assets was approximately $3.8 million in cash, plus the assumption of specified liabilities. For further discussion of the acquisition, see Note 3 to our consolidated financial statements.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540" w:right="140"/>
        <w:spacing w:after="0" w:line="294" w:lineRule="auto"/>
        <w:rPr>
          <w:sz w:val="20"/>
          <w:szCs w:val="20"/>
          <w:color w:val="auto"/>
        </w:rPr>
      </w:pPr>
      <w:r>
        <w:rPr>
          <w:rFonts w:ascii="Arial" w:cs="Arial" w:eastAsia="Arial" w:hAnsi="Arial"/>
          <w:sz w:val="16"/>
          <w:szCs w:val="16"/>
          <w:color w:val="auto"/>
        </w:rPr>
        <w:t>Our three product segments each have multiple products that we design, manufacture and sell to our customers. The gross margin on each product we offer is affected by a number of factors including the amount of intellectual property (such as patented technology) utilized in the product, the number of units ordered by the customer at one time, or the amount of inTEST designed and fabricated material included in our product compared with the amount of third-party designed and fabricated material included in our product. The weight of each of these factors, as well as the current market conditions, determines the ultimate sales price we can obtain for our products and the resulting gross margin.</w:t>
      </w:r>
    </w:p>
    <w:p>
      <w:pPr>
        <w:spacing w:after="0" w:line="170"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94" w:lineRule="exact"/>
        <w:rPr>
          <w:sz w:val="20"/>
          <w:szCs w:val="20"/>
          <w:color w:val="auto"/>
        </w:rPr>
      </w:pPr>
    </w:p>
    <w:p>
      <w:pPr>
        <w:ind w:left="540" w:right="100"/>
        <w:spacing w:after="0" w:line="294" w:lineRule="auto"/>
        <w:rPr>
          <w:sz w:val="20"/>
          <w:szCs w:val="20"/>
          <w:color w:val="auto"/>
        </w:rPr>
      </w:pPr>
      <w:r>
        <w:rPr>
          <w:rFonts w:ascii="Arial" w:cs="Arial" w:eastAsia="Arial" w:hAnsi="Arial"/>
          <w:sz w:val="16"/>
          <w:szCs w:val="16"/>
          <w:color w:val="auto"/>
        </w:rPr>
        <w:t>We sell most of our products to semiconductor manufacturers and third-party test and assembly houses (end user sales) and to ATE manufacturers (OEM sales) who ultimately resell our equipment with theirs to semiconductor manufacturers. Our Thermal Products segment also sells into a variety of other industries including the automotive, consumer electronics, defense/aerospace and telecommunications industries. The mix of customers during any given period will affect our gross margin due to differing sales discounts and commissions. For the nine months ended September 30, 2012 and 2011, our OEM sales as a percentage of net revenues were 16% and 13%, respectively.</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OEM sales generally have a lower gross margin than end user sales, as OEM sales historically have had a more significant discount. Our current net</w:t>
      </w:r>
    </w:p>
    <w:p>
      <w:pPr>
        <w:sectPr>
          <w:pgSz w:w="11900" w:h="16838" w:orient="portrait"/>
          <w:cols w:equalWidth="0" w:num="1">
            <w:col w:w="11420"/>
          </w:cols>
          <w:pgMar w:left="240" w:top="125" w:right="239" w:bottom="0" w:gutter="0" w:footer="0" w:header="0"/>
        </w:sectPr>
      </w:pPr>
    </w:p>
    <w:bookmarkStart w:id="18" w:name="page19"/>
    <w:bookmarkEnd w:id="18"/>
    <w:p>
      <w:pPr>
        <w:ind w:left="540" w:right="60"/>
        <w:spacing w:after="0" w:line="256" w:lineRule="auto"/>
        <w:rPr>
          <w:sz w:val="20"/>
          <w:szCs w:val="20"/>
          <w:color w:val="auto"/>
        </w:rPr>
      </w:pPr>
      <w:r>
        <w:rPr>
          <w:rFonts w:ascii="Arial" w:cs="Arial" w:eastAsia="Arial" w:hAnsi="Arial"/>
          <w:sz w:val="18"/>
          <w:szCs w:val="18"/>
          <w:color w:val="auto"/>
        </w:rPr>
        <w:t>operating margins on most OEM sales, however, are only slightly less than margins on end user sales because of the payment of third party sales commissions on most end user sales. We have also continued to experience demands from our OEM customers' supply line managers to reduce our sales prices to them. If we cannot further reduce our manufacturing and operating costs, these pricing pressures will continue to reduce our gross and operating margins.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1" w:lineRule="exact"/>
        <w:rPr>
          <w:sz w:val="20"/>
          <w:szCs w:val="20"/>
          <w:color w:val="auto"/>
        </w:rPr>
      </w:pPr>
    </w:p>
    <w:p>
      <w:pPr>
        <w:ind w:left="540" w:right="120"/>
        <w:spacing w:after="0" w:line="291" w:lineRule="auto"/>
        <w:rPr>
          <w:sz w:val="20"/>
          <w:szCs w:val="20"/>
          <w:color w:val="auto"/>
        </w:rPr>
      </w:pPr>
      <w:r>
        <w:rPr>
          <w:rFonts w:ascii="Arial" w:cs="Arial" w:eastAsia="Arial" w:hAnsi="Arial"/>
          <w:sz w:val="16"/>
          <w:szCs w:val="16"/>
          <w:color w:val="auto"/>
        </w:rPr>
        <w:t>All of our products are used by semiconductor manufacturers in conjunction with ATE in the testing of ICs. In addition, some of the products manufactured by our Thermal Products segment are used in industries outside of the semiconductor industry, including the automotive, consumer electronics, defense/aerospace and telecommunications industries. The results of operations for each product segment are generally affected by the same factors. Separate discussions and analyses for each product segment would be repetitive and obscure any unique factors that affected the results of operations of our different product segments. The discussion and analysis that follows, therefore, is presented on a consolidated basis and includes discussion of factors unique to each product segment where significant to an understanding of that segment.</w:t>
      </w:r>
    </w:p>
    <w:p>
      <w:pPr>
        <w:spacing w:after="0" w:line="174"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The following table sets forth, for the periods indicated, the principal items included in the Consolidated Statements of Operations as a percentage of total net revenues.</w:t>
      </w:r>
    </w:p>
    <w:p>
      <w:pPr>
        <w:spacing w:after="0" w:line="14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10"/>
          </w:tcPr>
          <w:p>
            <w:pPr>
              <w:jc w:val="right"/>
              <w:ind w:right="520"/>
              <w:spacing w:after="0"/>
              <w:rPr>
                <w:sz w:val="20"/>
                <w:szCs w:val="20"/>
                <w:color w:val="auto"/>
              </w:rPr>
            </w:pPr>
            <w:r>
              <w:rPr>
                <w:rFonts w:ascii="Arial" w:cs="Arial" w:eastAsia="Arial" w:hAnsi="Arial"/>
                <w:sz w:val="14"/>
                <w:szCs w:val="14"/>
                <w:b w:val="1"/>
                <w:bCs w:val="1"/>
                <w:i w:val="1"/>
                <w:iCs w:val="1"/>
                <w:color w:val="auto"/>
                <w:w w:val="88"/>
              </w:rPr>
              <w:t>Percentage of Net Revenues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6"/>
        </w:trPr>
        <w:tc>
          <w:tcPr>
            <w:tcW w:w="3740" w:type="dxa"/>
            <w:vAlign w:val="bottom"/>
          </w:tcPr>
          <w:p>
            <w:pPr>
              <w:spacing w:after="0"/>
              <w:rPr>
                <w:sz w:val="13"/>
                <w:szCs w:val="13"/>
                <w:color w:val="auto"/>
              </w:rPr>
            </w:pPr>
          </w:p>
        </w:tc>
        <w:tc>
          <w:tcPr>
            <w:tcW w:w="1820" w:type="dxa"/>
            <w:vAlign w:val="bottom"/>
            <w:gridSpan w:val="10"/>
          </w:tcPr>
          <w:p>
            <w:pPr>
              <w:jc w:val="right"/>
              <w:ind w:right="420"/>
              <w:spacing w:after="0" w:line="155" w:lineRule="exact"/>
              <w:rPr>
                <w:sz w:val="20"/>
                <w:szCs w:val="20"/>
                <w:color w:val="auto"/>
              </w:rPr>
            </w:pPr>
            <w:r>
              <w:rPr>
                <w:rFonts w:ascii="Arial" w:cs="Arial" w:eastAsia="Arial" w:hAnsi="Arial"/>
                <w:sz w:val="14"/>
                <w:szCs w:val="14"/>
                <w:b w:val="1"/>
                <w:bCs w:val="1"/>
                <w:i w:val="1"/>
                <w:iCs w:val="1"/>
                <w:color w:val="auto"/>
                <w:w w:val="82"/>
              </w:rPr>
              <w:t>Quarters Ended Sept. 30,</w:t>
            </w:r>
          </w:p>
        </w:tc>
        <w:tc>
          <w:tcPr>
            <w:tcW w:w="1780" w:type="dxa"/>
            <w:vAlign w:val="bottom"/>
            <w:gridSpan w:val="9"/>
          </w:tcPr>
          <w:p>
            <w:pPr>
              <w:jc w:val="right"/>
              <w:ind w:right="140"/>
              <w:spacing w:after="0" w:line="155" w:lineRule="exact"/>
              <w:rPr>
                <w:sz w:val="20"/>
                <w:szCs w:val="20"/>
                <w:color w:val="auto"/>
              </w:rPr>
            </w:pPr>
            <w:r>
              <w:rPr>
                <w:rFonts w:ascii="Arial" w:cs="Arial" w:eastAsia="Arial" w:hAnsi="Arial"/>
                <w:sz w:val="14"/>
                <w:szCs w:val="14"/>
                <w:b w:val="1"/>
                <w:bCs w:val="1"/>
                <w:i w:val="1"/>
                <w:iCs w:val="1"/>
                <w:color w:val="auto"/>
                <w:w w:val="84"/>
              </w:rPr>
              <w:t>Nine Months Ended Sept. 30,</w:t>
            </w:r>
          </w:p>
        </w:tc>
      </w:tr>
      <w:tr>
        <w:trPr>
          <w:trHeight w:val="156"/>
        </w:trPr>
        <w:tc>
          <w:tcPr>
            <w:tcW w:w="3740" w:type="dxa"/>
            <w:vAlign w:val="bottom"/>
          </w:tcPr>
          <w:p>
            <w:pPr>
              <w:spacing w:after="0"/>
              <w:rPr>
                <w:sz w:val="13"/>
                <w:szCs w:val="13"/>
                <w:color w:val="auto"/>
              </w:rPr>
            </w:pPr>
          </w:p>
        </w:tc>
        <w:tc>
          <w:tcPr>
            <w:tcW w:w="36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1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4"/>
          </w:tcPr>
          <w:p>
            <w:pPr>
              <w:jc w:val="right"/>
              <w:ind w:right="140"/>
              <w:spacing w:after="0" w:line="155" w:lineRule="exact"/>
              <w:rPr>
                <w:sz w:val="20"/>
                <w:szCs w:val="20"/>
                <w:color w:val="auto"/>
              </w:rPr>
            </w:pPr>
            <w:r>
              <w:rPr>
                <w:rFonts w:ascii="Arial" w:cs="Arial" w:eastAsia="Arial" w:hAnsi="Arial"/>
                <w:sz w:val="14"/>
                <w:szCs w:val="14"/>
                <w:b w:val="1"/>
                <w:bCs w:val="1"/>
                <w:i w:val="1"/>
                <w:iCs w:val="1"/>
                <w:color w:val="auto"/>
              </w:rPr>
              <w:t>2011</w:t>
            </w:r>
          </w:p>
        </w:tc>
        <w:tc>
          <w:tcPr>
            <w:tcW w:w="400" w:type="dxa"/>
            <w:vAlign w:val="bottom"/>
          </w:tcPr>
          <w:p>
            <w:pPr>
              <w:spacing w:after="0"/>
              <w:rPr>
                <w:sz w:val="13"/>
                <w:szCs w:val="13"/>
                <w:color w:val="auto"/>
              </w:rPr>
            </w:pPr>
          </w:p>
        </w:tc>
        <w:tc>
          <w:tcPr>
            <w:tcW w:w="44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1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gridSpan w:val="3"/>
          </w:tcPr>
          <w:p>
            <w:pPr>
              <w:jc w:val="right"/>
              <w:ind w:right="160"/>
              <w:spacing w:after="0" w:line="155" w:lineRule="exact"/>
              <w:rPr>
                <w:sz w:val="20"/>
                <w:szCs w:val="20"/>
                <w:color w:val="auto"/>
              </w:rPr>
            </w:pPr>
            <w:r>
              <w:rPr>
                <w:rFonts w:ascii="Arial" w:cs="Arial" w:eastAsia="Arial" w:hAnsi="Arial"/>
                <w:sz w:val="14"/>
                <w:szCs w:val="14"/>
                <w:b w:val="1"/>
                <w:bCs w:val="1"/>
                <w:i w:val="1"/>
                <w:iCs w:val="1"/>
                <w:color w:val="auto"/>
                <w:w w:val="83"/>
              </w:rPr>
              <w:t>2011</w:t>
            </w:r>
          </w:p>
        </w:tc>
        <w:tc>
          <w:tcPr>
            <w:tcW w:w="160" w:type="dxa"/>
            <w:vAlign w:val="bottom"/>
          </w:tcPr>
          <w:p>
            <w:pPr>
              <w:spacing w:after="0"/>
              <w:rPr>
                <w:sz w:val="13"/>
                <w:szCs w:val="13"/>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5"/>
        </w:trPr>
        <w:tc>
          <w:tcPr>
            <w:tcW w:w="3740" w:type="dxa"/>
            <w:vAlign w:val="bottom"/>
          </w:tcPr>
          <w:p>
            <w:pPr>
              <w:spacing w:after="0"/>
              <w:rPr>
                <w:sz w:val="20"/>
                <w:szCs w:val="20"/>
                <w:color w:val="auto"/>
              </w:rPr>
            </w:pPr>
            <w:r>
              <w:rPr>
                <w:rFonts w:ascii="Arial" w:cs="Arial" w:eastAsia="Arial" w:hAnsi="Arial"/>
                <w:sz w:val="18"/>
                <w:szCs w:val="18"/>
                <w:color w:val="auto"/>
              </w:rPr>
              <w:t>Net revenues</w:t>
            </w:r>
          </w:p>
        </w:tc>
        <w:tc>
          <w:tcPr>
            <w:tcW w:w="780" w:type="dxa"/>
            <w:vAlign w:val="bottom"/>
            <w:gridSpan w:val="5"/>
          </w:tcPr>
          <w:p>
            <w:pPr>
              <w:jc w:val="right"/>
              <w:ind w:right="140"/>
              <w:spacing w:after="0"/>
              <w:rPr>
                <w:sz w:val="20"/>
                <w:szCs w:val="20"/>
                <w:color w:val="auto"/>
              </w:rPr>
            </w:pPr>
            <w:r>
              <w:rPr>
                <w:rFonts w:ascii="Arial" w:cs="Arial" w:eastAsia="Arial" w:hAnsi="Arial"/>
                <w:sz w:val="18"/>
                <w:szCs w:val="18"/>
                <w:color w:val="auto"/>
              </w:rPr>
              <w:t>100.0%</w:t>
            </w:r>
          </w:p>
        </w:tc>
        <w:tc>
          <w:tcPr>
            <w:tcW w:w="1040" w:type="dxa"/>
            <w:vAlign w:val="bottom"/>
            <w:gridSpan w:val="5"/>
          </w:tcPr>
          <w:p>
            <w:pPr>
              <w:jc w:val="right"/>
              <w:ind w:right="260"/>
              <w:spacing w:after="0"/>
              <w:rPr>
                <w:sz w:val="20"/>
                <w:szCs w:val="20"/>
                <w:color w:val="auto"/>
              </w:rPr>
            </w:pPr>
            <w:r>
              <w:rPr>
                <w:rFonts w:ascii="Arial" w:cs="Arial" w:eastAsia="Arial" w:hAnsi="Arial"/>
                <w:sz w:val="18"/>
                <w:szCs w:val="18"/>
                <w:color w:val="auto"/>
              </w:rPr>
              <w:t>100.0%</w:t>
            </w:r>
          </w:p>
        </w:tc>
        <w:tc>
          <w:tcPr>
            <w:tcW w:w="1180" w:type="dxa"/>
            <w:vAlign w:val="bottom"/>
            <w:gridSpan w:val="5"/>
          </w:tcPr>
          <w:p>
            <w:pPr>
              <w:jc w:val="right"/>
              <w:ind w:right="420"/>
              <w:spacing w:after="0"/>
              <w:rPr>
                <w:sz w:val="20"/>
                <w:szCs w:val="20"/>
                <w:color w:val="auto"/>
              </w:rPr>
            </w:pPr>
            <w:r>
              <w:rPr>
                <w:rFonts w:ascii="Arial" w:cs="Arial" w:eastAsia="Arial" w:hAnsi="Arial"/>
                <w:sz w:val="18"/>
                <w:szCs w:val="18"/>
                <w:color w:val="auto"/>
              </w:rPr>
              <w:t>100.0%</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94"/>
              </w:rPr>
              <w:t>100.0%</w:t>
            </w:r>
          </w:p>
        </w:tc>
      </w:tr>
      <w:tr>
        <w:trPr>
          <w:trHeight w:val="421"/>
        </w:trPr>
        <w:tc>
          <w:tcPr>
            <w:tcW w:w="3740" w:type="dxa"/>
            <w:vAlign w:val="bottom"/>
          </w:tcPr>
          <w:p>
            <w:pPr>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55.</w:t>
            </w:r>
            <w:r>
              <w:rPr>
                <w:rFonts w:ascii="Arial" w:cs="Arial" w:eastAsia="Arial" w:hAnsi="Arial"/>
                <w:sz w:val="18"/>
                <w:szCs w:val="18"/>
                <w:u w:val="single" w:color="auto"/>
                <w:color w:val="auto"/>
              </w:rPr>
              <w:t>9</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47.5</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4"/>
          </w:tcPr>
          <w:p>
            <w:pPr>
              <w:jc w:val="right"/>
              <w:ind w:right="560"/>
              <w:spacing w:after="0"/>
              <w:rPr>
                <w:sz w:val="20"/>
                <w:szCs w:val="20"/>
                <w:color w:val="auto"/>
              </w:rPr>
            </w:pPr>
            <w:r>
              <w:rPr>
                <w:rFonts w:ascii="Arial" w:cs="Arial" w:eastAsia="Arial" w:hAnsi="Arial"/>
                <w:sz w:val="18"/>
                <w:szCs w:val="18"/>
                <w:color w:val="auto"/>
              </w:rPr>
              <w:t>55.</w:t>
            </w:r>
            <w:r>
              <w:rPr>
                <w:rFonts w:ascii="Arial" w:cs="Arial" w:eastAsia="Arial" w:hAnsi="Arial"/>
                <w:sz w:val="18"/>
                <w:szCs w:val="18"/>
                <w:u w:val="single" w:color="auto"/>
                <w:color w:val="auto"/>
              </w:rPr>
              <w:t>7</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51.5</w:t>
            </w:r>
          </w:p>
        </w:tc>
        <w:tc>
          <w:tcPr>
            <w:tcW w:w="160" w:type="dxa"/>
            <w:vAlign w:val="bottom"/>
          </w:tcPr>
          <w:p>
            <w:pPr>
              <w:spacing w:after="0"/>
              <w:rPr>
                <w:sz w:val="24"/>
                <w:szCs w:val="24"/>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r>
      <w:tr>
        <w:trPr>
          <w:trHeight w:val="439"/>
        </w:trPr>
        <w:tc>
          <w:tcPr>
            <w:tcW w:w="3740" w:type="dxa"/>
            <w:vAlign w:val="bottom"/>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44.</w:t>
            </w:r>
            <w:r>
              <w:rPr>
                <w:rFonts w:ascii="Arial" w:cs="Arial" w:eastAsia="Arial" w:hAnsi="Arial"/>
                <w:sz w:val="18"/>
                <w:szCs w:val="18"/>
                <w:u w:val="single" w:color="auto"/>
                <w:color w:val="auto"/>
              </w:rPr>
              <w:t>1</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52.5</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4"/>
          </w:tcPr>
          <w:p>
            <w:pPr>
              <w:jc w:val="right"/>
              <w:ind w:right="560"/>
              <w:spacing w:after="0"/>
              <w:rPr>
                <w:sz w:val="20"/>
                <w:szCs w:val="20"/>
                <w:color w:val="auto"/>
              </w:rPr>
            </w:pPr>
            <w:r>
              <w:rPr>
                <w:rFonts w:ascii="Arial" w:cs="Arial" w:eastAsia="Arial" w:hAnsi="Arial"/>
                <w:sz w:val="18"/>
                <w:szCs w:val="18"/>
                <w:color w:val="auto"/>
              </w:rPr>
              <w:t>44.</w:t>
            </w:r>
            <w:r>
              <w:rPr>
                <w:rFonts w:ascii="Arial" w:cs="Arial" w:eastAsia="Arial" w:hAnsi="Arial"/>
                <w:sz w:val="18"/>
                <w:szCs w:val="18"/>
                <w:u w:val="single" w:color="auto"/>
                <w:color w:val="auto"/>
              </w:rPr>
              <w:t>3</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48.5</w:t>
            </w:r>
          </w:p>
        </w:tc>
        <w:tc>
          <w:tcPr>
            <w:tcW w:w="160" w:type="dxa"/>
            <w:vAlign w:val="bottom"/>
          </w:tcPr>
          <w:p>
            <w:pPr>
              <w:spacing w:after="0"/>
              <w:rPr>
                <w:sz w:val="24"/>
                <w:szCs w:val="24"/>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r>
      <w:tr>
        <w:trPr>
          <w:trHeight w:val="478"/>
        </w:trPr>
        <w:tc>
          <w:tcPr>
            <w:tcW w:w="3740" w:type="dxa"/>
            <w:vAlign w:val="bottom"/>
          </w:tcPr>
          <w:p>
            <w:pPr>
              <w:spacing w:after="0"/>
              <w:rPr>
                <w:sz w:val="20"/>
                <w:szCs w:val="20"/>
                <w:color w:val="auto"/>
              </w:rPr>
            </w:pPr>
            <w:r>
              <w:rPr>
                <w:rFonts w:ascii="Arial" w:cs="Arial" w:eastAsia="Arial" w:hAnsi="Arial"/>
                <w:sz w:val="18"/>
                <w:szCs w:val="18"/>
                <w:color w:val="auto"/>
              </w:rPr>
              <w:t>Selling expense</w:t>
            </w:r>
          </w:p>
        </w:tc>
        <w:tc>
          <w:tcPr>
            <w:tcW w:w="12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12.2</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12.5</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4"/>
          </w:tcPr>
          <w:p>
            <w:pPr>
              <w:jc w:val="right"/>
              <w:ind w:right="560"/>
              <w:spacing w:after="0"/>
              <w:rPr>
                <w:sz w:val="20"/>
                <w:szCs w:val="20"/>
                <w:color w:val="auto"/>
              </w:rPr>
            </w:pPr>
            <w:r>
              <w:rPr>
                <w:rFonts w:ascii="Arial" w:cs="Arial" w:eastAsia="Arial" w:hAnsi="Arial"/>
                <w:sz w:val="18"/>
                <w:szCs w:val="18"/>
                <w:color w:val="auto"/>
              </w:rPr>
              <w:t>12.2</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24"/>
                <w:szCs w:val="24"/>
                <w:color w:val="auto"/>
              </w:rPr>
            </w:pPr>
          </w:p>
        </w:tc>
      </w:tr>
      <w:tr>
        <w:trPr>
          <w:trHeight w:val="459"/>
        </w:trPr>
        <w:tc>
          <w:tcPr>
            <w:tcW w:w="3740" w:type="dxa"/>
            <w:vAlign w:val="bottom"/>
          </w:tcPr>
          <w:p>
            <w:pPr>
              <w:spacing w:after="0"/>
              <w:rPr>
                <w:sz w:val="20"/>
                <w:szCs w:val="20"/>
                <w:color w:val="auto"/>
              </w:rPr>
            </w:pPr>
            <w:r>
              <w:rPr>
                <w:rFonts w:ascii="Arial" w:cs="Arial" w:eastAsia="Arial" w:hAnsi="Arial"/>
                <w:sz w:val="18"/>
                <w:szCs w:val="18"/>
                <w:color w:val="auto"/>
                <w:w w:val="98"/>
              </w:rPr>
              <w:t>Engineering and product development expense</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24"/>
                <w:szCs w:val="24"/>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6.9</w:t>
            </w:r>
          </w:p>
        </w:tc>
        <w:tc>
          <w:tcPr>
            <w:tcW w:w="400" w:type="dxa"/>
            <w:vAlign w:val="bottom"/>
          </w:tcPr>
          <w:p>
            <w:pPr>
              <w:spacing w:after="0"/>
              <w:rPr>
                <w:sz w:val="24"/>
                <w:szCs w:val="24"/>
                <w:color w:val="auto"/>
              </w:rPr>
            </w:pPr>
          </w:p>
        </w:tc>
        <w:tc>
          <w:tcPr>
            <w:tcW w:w="1180" w:type="dxa"/>
            <w:vAlign w:val="bottom"/>
            <w:gridSpan w:val="5"/>
          </w:tcPr>
          <w:p>
            <w:pPr>
              <w:jc w:val="right"/>
              <w:ind w:right="560"/>
              <w:spacing w:after="0"/>
              <w:rPr>
                <w:sz w:val="20"/>
                <w:szCs w:val="20"/>
                <w:color w:val="auto"/>
              </w:rPr>
            </w:pPr>
            <w:r>
              <w:rPr>
                <w:rFonts w:ascii="Arial" w:cs="Arial" w:eastAsia="Arial" w:hAnsi="Arial"/>
                <w:sz w:val="18"/>
                <w:szCs w:val="18"/>
                <w:color w:val="auto"/>
              </w:rPr>
              <w:t>8.3</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24"/>
                <w:szCs w:val="24"/>
                <w:color w:val="auto"/>
              </w:rPr>
            </w:pPr>
          </w:p>
        </w:tc>
      </w:tr>
      <w:tr>
        <w:trPr>
          <w:trHeight w:val="459"/>
        </w:trPr>
        <w:tc>
          <w:tcPr>
            <w:tcW w:w="374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13.4</w:t>
            </w:r>
          </w:p>
        </w:tc>
        <w:tc>
          <w:tcPr>
            <w:tcW w:w="300" w:type="dxa"/>
            <w:vAlign w:val="bottom"/>
          </w:tcPr>
          <w:p>
            <w:pPr>
              <w:spacing w:after="0"/>
              <w:rPr>
                <w:sz w:val="24"/>
                <w:szCs w:val="24"/>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12.4</w:t>
            </w:r>
          </w:p>
        </w:tc>
        <w:tc>
          <w:tcPr>
            <w:tcW w:w="400" w:type="dxa"/>
            <w:vAlign w:val="bottom"/>
          </w:tcPr>
          <w:p>
            <w:pPr>
              <w:spacing w:after="0"/>
              <w:rPr>
                <w:sz w:val="24"/>
                <w:szCs w:val="24"/>
                <w:color w:val="auto"/>
              </w:rPr>
            </w:pPr>
          </w:p>
        </w:tc>
        <w:tc>
          <w:tcPr>
            <w:tcW w:w="1180" w:type="dxa"/>
            <w:vAlign w:val="bottom"/>
            <w:gridSpan w:val="5"/>
          </w:tcPr>
          <w:p>
            <w:pPr>
              <w:jc w:val="right"/>
              <w:ind w:right="560"/>
              <w:spacing w:after="0"/>
              <w:rPr>
                <w:sz w:val="20"/>
                <w:szCs w:val="20"/>
                <w:color w:val="auto"/>
              </w:rPr>
            </w:pPr>
            <w:r>
              <w:rPr>
                <w:rFonts w:ascii="Arial" w:cs="Arial" w:eastAsia="Arial" w:hAnsi="Arial"/>
                <w:sz w:val="18"/>
                <w:szCs w:val="18"/>
                <w:color w:val="auto"/>
              </w:rPr>
              <w:t>14.5</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24"/>
                <w:szCs w:val="24"/>
                <w:color w:val="auto"/>
              </w:rPr>
            </w:pPr>
          </w:p>
        </w:tc>
      </w:tr>
      <w:tr>
        <w:trPr>
          <w:trHeight w:val="421"/>
        </w:trPr>
        <w:tc>
          <w:tcPr>
            <w:tcW w:w="3740" w:type="dxa"/>
            <w:vAlign w:val="bottom"/>
          </w:tcPr>
          <w:p>
            <w:pPr>
              <w:spacing w:after="0"/>
              <w:rPr>
                <w:sz w:val="20"/>
                <w:szCs w:val="20"/>
                <w:color w:val="auto"/>
              </w:rPr>
            </w:pPr>
            <w:r>
              <w:rPr>
                <w:rFonts w:ascii="Arial" w:cs="Arial" w:eastAsia="Arial" w:hAnsi="Arial"/>
                <w:sz w:val="18"/>
                <w:szCs w:val="18"/>
                <w:color w:val="auto"/>
              </w:rPr>
              <w:t>Restructuring and other charges</w:t>
            </w:r>
          </w:p>
        </w:tc>
        <w:tc>
          <w:tcPr>
            <w:tcW w:w="260" w:type="dxa"/>
            <w:vAlign w:val="bottom"/>
            <w:gridSpan w:val="2"/>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87"/>
              </w:rPr>
              <w:t>0.</w:t>
            </w:r>
            <w:r>
              <w:rPr>
                <w:rFonts w:ascii="Arial" w:cs="Arial" w:eastAsia="Arial" w:hAnsi="Arial"/>
                <w:sz w:val="18"/>
                <w:szCs w:val="18"/>
                <w:u w:val="single" w:color="auto"/>
                <w:color w:val="auto"/>
                <w:w w:val="87"/>
              </w:rPr>
              <w:t>0</w:t>
            </w:r>
          </w:p>
        </w:tc>
        <w:tc>
          <w:tcPr>
            <w:tcW w:w="30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860" w:type="dxa"/>
            <w:vAlign w:val="bottom"/>
            <w:gridSpan w:val="3"/>
          </w:tcPr>
          <w:p>
            <w:pPr>
              <w:jc w:val="right"/>
              <w:ind w:right="56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w:t>
            </w:r>
          </w:p>
        </w:tc>
        <w:tc>
          <w:tcPr>
            <w:tcW w:w="160" w:type="dxa"/>
            <w:vAlign w:val="bottom"/>
          </w:tcPr>
          <w:p>
            <w:pPr>
              <w:spacing w:after="0"/>
              <w:rPr>
                <w:sz w:val="24"/>
                <w:szCs w:val="24"/>
                <w:color w:val="auto"/>
              </w:rPr>
            </w:pPr>
          </w:p>
        </w:tc>
      </w:tr>
      <w:tr>
        <w:trPr>
          <w:trHeight w:val="20"/>
        </w:trPr>
        <w:tc>
          <w:tcPr>
            <w:tcW w:w="3740" w:type="dxa"/>
            <w:vAlign w:val="bottom"/>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r>
      <w:tr>
        <w:trPr>
          <w:trHeight w:val="478"/>
        </w:trPr>
        <w:tc>
          <w:tcPr>
            <w:tcW w:w="3740" w:type="dxa"/>
            <w:vAlign w:val="bottom"/>
          </w:tcPr>
          <w:p>
            <w:pPr>
              <w:spacing w:after="0"/>
              <w:rPr>
                <w:sz w:val="20"/>
                <w:szCs w:val="20"/>
                <w:color w:val="auto"/>
              </w:rPr>
            </w:pPr>
            <w:r>
              <w:rPr>
                <w:rFonts w:ascii="Arial" w:cs="Arial" w:eastAsia="Arial" w:hAnsi="Arial"/>
                <w:sz w:val="18"/>
                <w:szCs w:val="18"/>
                <w:color w:val="auto"/>
              </w:rPr>
              <w:t>Operating income</w:t>
            </w:r>
          </w:p>
        </w:tc>
        <w:tc>
          <w:tcPr>
            <w:tcW w:w="260" w:type="dxa"/>
            <w:vAlign w:val="bottom"/>
            <w:gridSpan w:val="2"/>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87"/>
              </w:rPr>
              <w:t>9.2</w:t>
            </w:r>
          </w:p>
        </w:tc>
        <w:tc>
          <w:tcPr>
            <w:tcW w:w="30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5"/>
              </w:rPr>
              <w:t>20.7</w:t>
            </w:r>
          </w:p>
        </w:tc>
        <w:tc>
          <w:tcPr>
            <w:tcW w:w="40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860" w:type="dxa"/>
            <w:vAlign w:val="bottom"/>
            <w:gridSpan w:val="3"/>
          </w:tcPr>
          <w:p>
            <w:pPr>
              <w:jc w:val="right"/>
              <w:ind w:right="560"/>
              <w:spacing w:after="0"/>
              <w:rPr>
                <w:sz w:val="20"/>
                <w:szCs w:val="20"/>
                <w:color w:val="auto"/>
              </w:rPr>
            </w:pPr>
            <w:r>
              <w:rPr>
                <w:rFonts w:ascii="Arial" w:cs="Arial" w:eastAsia="Arial" w:hAnsi="Arial"/>
                <w:sz w:val="18"/>
                <w:szCs w:val="18"/>
                <w:color w:val="auto"/>
              </w:rPr>
              <w:t>8.3</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24"/>
                <w:szCs w:val="24"/>
                <w:color w:val="auto"/>
              </w:rPr>
            </w:pPr>
          </w:p>
        </w:tc>
      </w:tr>
      <w:tr>
        <w:trPr>
          <w:trHeight w:val="421"/>
        </w:trPr>
        <w:tc>
          <w:tcPr>
            <w:tcW w:w="3740" w:type="dxa"/>
            <w:vAlign w:val="bottom"/>
          </w:tcPr>
          <w:p>
            <w:pPr>
              <w:spacing w:after="0"/>
              <w:rPr>
                <w:sz w:val="20"/>
                <w:szCs w:val="20"/>
                <w:color w:val="auto"/>
              </w:rPr>
            </w:pPr>
            <w:r>
              <w:rPr>
                <w:rFonts w:ascii="Arial" w:cs="Arial" w:eastAsia="Arial" w:hAnsi="Arial"/>
                <w:sz w:val="18"/>
                <w:szCs w:val="18"/>
                <w:color w:val="auto"/>
              </w:rPr>
              <w:t>Other income</w:t>
            </w:r>
          </w:p>
        </w:tc>
        <w:tc>
          <w:tcPr>
            <w:tcW w:w="260" w:type="dxa"/>
            <w:vAlign w:val="bottom"/>
            <w:gridSpan w:val="2"/>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87"/>
              </w:rPr>
              <w:t>0.</w:t>
            </w:r>
            <w:r>
              <w:rPr>
                <w:rFonts w:ascii="Arial" w:cs="Arial" w:eastAsia="Arial" w:hAnsi="Arial"/>
                <w:sz w:val="18"/>
                <w:szCs w:val="18"/>
                <w:u w:val="single" w:color="auto"/>
                <w:color w:val="auto"/>
                <w:w w:val="87"/>
              </w:rPr>
              <w:t>2</w:t>
            </w:r>
          </w:p>
        </w:tc>
        <w:tc>
          <w:tcPr>
            <w:tcW w:w="30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w:t>
            </w:r>
          </w:p>
        </w:tc>
        <w:tc>
          <w:tcPr>
            <w:tcW w:w="40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860" w:type="dxa"/>
            <w:vAlign w:val="bottom"/>
            <w:gridSpan w:val="3"/>
          </w:tcPr>
          <w:p>
            <w:pPr>
              <w:jc w:val="right"/>
              <w:ind w:right="5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w:t>
            </w:r>
          </w:p>
        </w:tc>
        <w:tc>
          <w:tcPr>
            <w:tcW w:w="160" w:type="dxa"/>
            <w:vAlign w:val="bottom"/>
          </w:tcPr>
          <w:p>
            <w:pPr>
              <w:spacing w:after="0"/>
              <w:rPr>
                <w:sz w:val="24"/>
                <w:szCs w:val="24"/>
                <w:color w:val="auto"/>
              </w:rPr>
            </w:pPr>
          </w:p>
        </w:tc>
      </w:tr>
      <w:tr>
        <w:trPr>
          <w:trHeight w:val="20"/>
        </w:trPr>
        <w:tc>
          <w:tcPr>
            <w:tcW w:w="3740" w:type="dxa"/>
            <w:vAlign w:val="bottom"/>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r>
      <w:tr>
        <w:trPr>
          <w:trHeight w:val="478"/>
        </w:trPr>
        <w:tc>
          <w:tcPr>
            <w:tcW w:w="3740" w:type="dxa"/>
            <w:vAlign w:val="bottom"/>
          </w:tcPr>
          <w:p>
            <w:pPr>
              <w:spacing w:after="0"/>
              <w:rPr>
                <w:sz w:val="20"/>
                <w:szCs w:val="20"/>
                <w:color w:val="auto"/>
              </w:rPr>
            </w:pPr>
            <w:r>
              <w:rPr>
                <w:rFonts w:ascii="Arial" w:cs="Arial" w:eastAsia="Arial" w:hAnsi="Arial"/>
                <w:sz w:val="18"/>
                <w:szCs w:val="18"/>
                <w:color w:val="auto"/>
              </w:rPr>
              <w:t>Earnings before income tax expense (benefit)</w:t>
            </w:r>
          </w:p>
        </w:tc>
        <w:tc>
          <w:tcPr>
            <w:tcW w:w="260" w:type="dxa"/>
            <w:vAlign w:val="bottom"/>
            <w:gridSpan w:val="2"/>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87"/>
              </w:rPr>
              <w:t>9.4</w:t>
            </w:r>
          </w:p>
        </w:tc>
        <w:tc>
          <w:tcPr>
            <w:tcW w:w="30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5"/>
              </w:rPr>
              <w:t>20.7</w:t>
            </w:r>
          </w:p>
        </w:tc>
        <w:tc>
          <w:tcPr>
            <w:tcW w:w="40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860" w:type="dxa"/>
            <w:vAlign w:val="bottom"/>
            <w:gridSpan w:val="3"/>
          </w:tcPr>
          <w:p>
            <w:pPr>
              <w:jc w:val="right"/>
              <w:ind w:right="560"/>
              <w:spacing w:after="0"/>
              <w:rPr>
                <w:sz w:val="20"/>
                <w:szCs w:val="20"/>
                <w:color w:val="auto"/>
              </w:rPr>
            </w:pPr>
            <w:r>
              <w:rPr>
                <w:rFonts w:ascii="Arial" w:cs="Arial" w:eastAsia="Arial" w:hAnsi="Arial"/>
                <w:sz w:val="18"/>
                <w:szCs w:val="18"/>
                <w:color w:val="auto"/>
              </w:rPr>
              <w:t>8.4</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24"/>
                <w:szCs w:val="24"/>
                <w:color w:val="auto"/>
              </w:rPr>
            </w:pPr>
          </w:p>
        </w:tc>
      </w:tr>
      <w:tr>
        <w:trPr>
          <w:trHeight w:val="421"/>
        </w:trPr>
        <w:tc>
          <w:tcPr>
            <w:tcW w:w="37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60" w:type="dxa"/>
            <w:vAlign w:val="bottom"/>
            <w:gridSpan w:val="2"/>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87"/>
              </w:rPr>
              <w:t>3.</w:t>
            </w:r>
            <w:r>
              <w:rPr>
                <w:rFonts w:ascii="Arial" w:cs="Arial" w:eastAsia="Arial" w:hAnsi="Arial"/>
                <w:sz w:val="18"/>
                <w:szCs w:val="18"/>
                <w:u w:val="single" w:color="auto"/>
                <w:color w:val="auto"/>
                <w:w w:val="87"/>
              </w:rPr>
              <w:t>2</w:t>
            </w:r>
          </w:p>
        </w:tc>
        <w:tc>
          <w:tcPr>
            <w:tcW w:w="300" w:type="dxa"/>
            <w:vAlign w:val="bottom"/>
          </w:tcPr>
          <w:p>
            <w:pPr>
              <w:spacing w:after="0"/>
              <w:rPr>
                <w:sz w:val="24"/>
                <w:szCs w:val="24"/>
                <w:color w:val="auto"/>
              </w:rPr>
            </w:pPr>
          </w:p>
        </w:tc>
        <w:tc>
          <w:tcPr>
            <w:tcW w:w="1040" w:type="dxa"/>
            <w:vAlign w:val="bottom"/>
            <w:gridSpan w:val="5"/>
          </w:tcPr>
          <w:p>
            <w:pPr>
              <w:jc w:val="right"/>
              <w:ind w:right="340"/>
              <w:spacing w:after="0"/>
              <w:rPr>
                <w:sz w:val="20"/>
                <w:szCs w:val="20"/>
                <w:color w:val="auto"/>
              </w:rPr>
            </w:pPr>
            <w:r>
              <w:rPr>
                <w:rFonts w:ascii="Arial" w:cs="Arial" w:eastAsia="Arial" w:hAnsi="Arial"/>
                <w:sz w:val="18"/>
                <w:szCs w:val="18"/>
                <w:color w:val="auto"/>
              </w:rPr>
              <w:t>(23.6)</w:t>
            </w:r>
          </w:p>
        </w:tc>
        <w:tc>
          <w:tcPr>
            <w:tcW w:w="1180" w:type="dxa"/>
            <w:vAlign w:val="bottom"/>
            <w:gridSpan w:val="5"/>
          </w:tcPr>
          <w:p>
            <w:pPr>
              <w:jc w:val="right"/>
              <w:ind w:right="56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8</w:t>
            </w:r>
          </w:p>
        </w:tc>
        <w:tc>
          <w:tcPr>
            <w:tcW w:w="600" w:type="dxa"/>
            <w:vAlign w:val="bottom"/>
            <w:gridSpan w:val="4"/>
          </w:tcPr>
          <w:p>
            <w:pPr>
              <w:jc w:val="right"/>
              <w:ind w:right="100"/>
              <w:spacing w:after="0"/>
              <w:rPr>
                <w:sz w:val="20"/>
                <w:szCs w:val="20"/>
                <w:color w:val="auto"/>
              </w:rPr>
            </w:pPr>
            <w:r>
              <w:rPr>
                <w:rFonts w:ascii="Arial" w:cs="Arial" w:eastAsia="Arial" w:hAnsi="Arial"/>
                <w:sz w:val="18"/>
                <w:szCs w:val="18"/>
                <w:color w:val="auto"/>
              </w:rPr>
              <w:t>(7.1)</w:t>
            </w:r>
          </w:p>
        </w:tc>
      </w:tr>
      <w:tr>
        <w:trPr>
          <w:trHeight w:val="20"/>
        </w:trPr>
        <w:tc>
          <w:tcPr>
            <w:tcW w:w="3740" w:type="dxa"/>
            <w:vAlign w:val="bottom"/>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9"/>
        </w:trPr>
        <w:tc>
          <w:tcPr>
            <w:tcW w:w="3740" w:type="dxa"/>
            <w:vAlign w:val="bottom"/>
          </w:tcPr>
          <w:p>
            <w:pPr>
              <w:spacing w:after="0"/>
              <w:rPr>
                <w:sz w:val="20"/>
                <w:szCs w:val="20"/>
                <w:color w:val="auto"/>
              </w:rPr>
            </w:pPr>
            <w:r>
              <w:rPr>
                <w:rFonts w:ascii="Arial" w:cs="Arial" w:eastAsia="Arial" w:hAnsi="Arial"/>
                <w:sz w:val="18"/>
                <w:szCs w:val="18"/>
                <w:color w:val="auto"/>
              </w:rPr>
              <w:t>Net earnings</w:t>
            </w:r>
          </w:p>
        </w:tc>
        <w:tc>
          <w:tcPr>
            <w:tcW w:w="260" w:type="dxa"/>
            <w:vAlign w:val="bottom"/>
            <w:gridSpan w:val="2"/>
          </w:tcPr>
          <w:p>
            <w:pPr>
              <w:spacing w:after="0"/>
              <w:rPr>
                <w:sz w:val="24"/>
                <w:szCs w:val="24"/>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w w:val="87"/>
              </w:rPr>
              <w:t>6.2%</w:t>
            </w:r>
          </w:p>
        </w:tc>
        <w:tc>
          <w:tcPr>
            <w:tcW w:w="1040" w:type="dxa"/>
            <w:vAlign w:val="bottom"/>
            <w:gridSpan w:val="5"/>
          </w:tcPr>
          <w:p>
            <w:pPr>
              <w:jc w:val="right"/>
              <w:ind w:right="260"/>
              <w:spacing w:after="0"/>
              <w:rPr>
                <w:sz w:val="20"/>
                <w:szCs w:val="20"/>
                <w:color w:val="auto"/>
              </w:rPr>
            </w:pPr>
            <w:r>
              <w:rPr>
                <w:rFonts w:ascii="Arial" w:cs="Arial" w:eastAsia="Arial" w:hAnsi="Arial"/>
                <w:sz w:val="18"/>
                <w:szCs w:val="18"/>
                <w:color w:val="auto"/>
              </w:rPr>
              <w:t>44.3%</w:t>
            </w:r>
          </w:p>
        </w:tc>
        <w:tc>
          <w:tcPr>
            <w:tcW w:w="1180" w:type="dxa"/>
            <w:vAlign w:val="bottom"/>
            <w:gridSpan w:val="5"/>
          </w:tcPr>
          <w:p>
            <w:pPr>
              <w:jc w:val="right"/>
              <w:ind w:right="420"/>
              <w:spacing w:after="0"/>
              <w:rPr>
                <w:sz w:val="20"/>
                <w:szCs w:val="20"/>
                <w:color w:val="auto"/>
              </w:rPr>
            </w:pPr>
            <w:r>
              <w:rPr>
                <w:rFonts w:ascii="Arial" w:cs="Arial" w:eastAsia="Arial" w:hAnsi="Arial"/>
                <w:sz w:val="18"/>
                <w:szCs w:val="18"/>
                <w:color w:val="auto"/>
              </w:rPr>
              <w:t>5.6%</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24.5%</w:t>
            </w: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- 21 -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Quarter Ended September 30, 2012 Compared to Quarter Ended September 30, 2011</w:t>
      </w:r>
    </w:p>
    <w:p>
      <w:pPr>
        <w:spacing w:after="0" w:line="225" w:lineRule="exact"/>
        <w:rPr>
          <w:sz w:val="20"/>
          <w:szCs w:val="20"/>
          <w:color w:val="auto"/>
        </w:rPr>
      </w:pPr>
    </w:p>
    <w:p>
      <w:pPr>
        <w:ind w:left="540" w:right="100"/>
        <w:spacing w:after="0" w:line="291"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were $10.8 million for the quarter ended September 30, 2012 compared to $11.7 million for the same period in 2011,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$882,000 or 8%. Net revenues (net of intersegment sales) of our Thermal and Mechanical Products segments decreased $1.5 million or 20% and $492,000 or 16%, respectively, while the net revenues (net of intersegment sales) of our Electrical Products segment increased $1.1 million or 122% as compared to the same period in 2011. During the quarter ended September 30, 2012, the net revenues of our Thermal Products segment included $1.4 million of net revenues attributable to Thermonics. We believe the decrease in our consolidated net revenues during the third quarter of 2012 primarily reflects the factors previously discussed in the Overview.</w:t>
      </w:r>
    </w:p>
    <w:p>
      <w:pPr>
        <w:spacing w:after="0" w:line="174"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During the quarter ended September 30, 2012, our net revenues from customers in the U.S. decreased 14% while our net revenues from foreign customers decreased 3%, respectively, as compared to the same period in 2011. The impact of changes in foreign currency exchange rates on the decrease in net revenues from foreign customers was less than 1%.</w:t>
      </w:r>
    </w:p>
    <w:p>
      <w:pPr>
        <w:spacing w:after="0" w:line="194" w:lineRule="exact"/>
        <w:rPr>
          <w:sz w:val="20"/>
          <w:szCs w:val="20"/>
          <w:color w:val="auto"/>
        </w:rPr>
      </w:pPr>
    </w:p>
    <w:p>
      <w:pPr>
        <w:ind w:left="540"/>
        <w:spacing w:after="0" w:line="306" w:lineRule="auto"/>
        <w:rPr>
          <w:sz w:val="20"/>
          <w:szCs w:val="20"/>
          <w:color w:val="auto"/>
        </w:rPr>
      </w:pPr>
      <w:r>
        <w:rPr>
          <w:rFonts w:ascii="Arial" w:cs="Arial" w:eastAsia="Arial" w:hAnsi="Arial"/>
          <w:sz w:val="15"/>
          <w:szCs w:val="15"/>
          <w:i w:val="1"/>
          <w:iCs w:val="1"/>
          <w:color w:val="auto"/>
        </w:rPr>
        <w:t xml:space="preserve">Gross Margin. </w:t>
      </w:r>
      <w:r>
        <w:rPr>
          <w:rFonts w:ascii="Arial" w:cs="Arial" w:eastAsia="Arial" w:hAnsi="Arial"/>
          <w:sz w:val="15"/>
          <w:szCs w:val="15"/>
          <w:color w:val="auto"/>
        </w:rPr>
        <w:t>Gross margin was 44% for the third quarter of 2012 compared to 53% for the same period in 2011. The decrease in gross margin was</w:t>
      </w:r>
      <w:r>
        <w:rPr>
          <w:rFonts w:ascii="Arial" w:cs="Arial" w:eastAsia="Arial" w:hAnsi="Arial"/>
          <w:sz w:val="15"/>
          <w:szCs w:val="15"/>
          <w:i w:val="1"/>
          <w:iCs w:val="1"/>
          <w:color w:val="auto"/>
        </w:rPr>
        <w:t xml:space="preserve"> </w:t>
      </w:r>
      <w:r>
        <w:rPr>
          <w:rFonts w:ascii="Arial" w:cs="Arial" w:eastAsia="Arial" w:hAnsi="Arial"/>
          <w:sz w:val="15"/>
          <w:szCs w:val="15"/>
          <w:color w:val="auto"/>
        </w:rPr>
        <w:t>largely the result of an increase in our component material costs as a percentage of net revenues. Total component material costs represented 37% of net revenues for the third quarter of 2012 as compared to 31% for the same quarter in 2011. The increase in component material costs reflects changes in product and customer mix, primarily in our Mechanical and Electrical Products segments. For our Mechanical Products segment, a greater percentage of this segment's total net revenues for the third quarter of 2012 were generated by sales of our manipulator products and certain other distributor products which have lower margins than our docking hardware products. For our Electrical Products segment, a greater percentage of this segment's total net revenues for the third quarter of 2012 were generated by sales to OEM customers where our margins are typically lower than for similar sales to End User customers. To a lesser extent, the decrease in gross margin is also the result of an increase in our charges for excess and obsolete inventory, which increased $83,000 in absolute dollar terms during the third quarter of 2012 as compared to the same period in 2011. This increase indicates that more inventory items are falling into our standard excess and obsolete criteria in 2012, largely as a result of the continued reduced levels of demand in the ATE industry. For the quarter ended September 30, 2012, our fixed operating costs were relatively unchanged at $1.6 million. As a percentage of net revenues, these costs increased slightly from 14% of net revenues for the third quarter of 2011 to 15% of net revenues for the third quarter of 2012, reflecting that</w:t>
      </w:r>
    </w:p>
    <w:p>
      <w:pPr>
        <w:sectPr>
          <w:pgSz w:w="11900" w:h="16838" w:orient="portrait"/>
          <w:cols w:equalWidth="0" w:num="1">
            <w:col w:w="11380"/>
          </w:cols>
          <w:pgMar w:left="240" w:top="131" w:right="279" w:bottom="0" w:gutter="0" w:footer="0" w:header="0"/>
        </w:sectPr>
      </w:pPr>
    </w:p>
    <w:bookmarkStart w:id="19" w:name="page20"/>
    <w:bookmarkEnd w:id="19"/>
    <w:p>
      <w:pPr>
        <w:spacing w:after="0" w:line="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these costs were not as fully absorbed by the lower net revenue levels in the third quarter of 2012.</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 xml:space="preserve">Selling Expense. </w:t>
      </w:r>
      <w:r>
        <w:rPr>
          <w:rFonts w:ascii="Arial" w:cs="Arial" w:eastAsia="Arial" w:hAnsi="Arial"/>
          <w:sz w:val="16"/>
          <w:szCs w:val="16"/>
          <w:color w:val="auto"/>
        </w:rPr>
        <w:t>Selling expense was $1.3 million for the third quarter of 2012 compared to $1.5 million for the same period in 2011, a decrease of</w:t>
      </w:r>
    </w:p>
    <w:p>
      <w:pPr>
        <w:spacing w:after="0" w:line="38" w:lineRule="exact"/>
        <w:rPr>
          <w:sz w:val="20"/>
          <w:szCs w:val="20"/>
          <w:color w:val="auto"/>
        </w:rPr>
      </w:pPr>
    </w:p>
    <w:p>
      <w:pPr>
        <w:ind w:left="540" w:right="340"/>
        <w:spacing w:after="0" w:line="261" w:lineRule="auto"/>
        <w:rPr>
          <w:sz w:val="20"/>
          <w:szCs w:val="20"/>
          <w:color w:val="auto"/>
        </w:rPr>
      </w:pPr>
      <w:r>
        <w:rPr>
          <w:rFonts w:ascii="Arial" w:cs="Arial" w:eastAsia="Arial" w:hAnsi="Arial"/>
          <w:sz w:val="18"/>
          <w:szCs w:val="18"/>
          <w:color w:val="auto"/>
        </w:rPr>
        <w:t>$139,000 or 10%. The decrease primarily represents lower levels of commissions in our Thermal and Mechanical Products segments as a result of the lower net revenue levels in the third quarter of 2012 as compared to the third quarter of 2011.</w:t>
      </w:r>
    </w:p>
    <w:p>
      <w:pPr>
        <w:spacing w:after="0" w:line="192" w:lineRule="exact"/>
        <w:rPr>
          <w:sz w:val="20"/>
          <w:szCs w:val="20"/>
          <w:color w:val="auto"/>
        </w:rPr>
      </w:pPr>
    </w:p>
    <w:p>
      <w:pPr>
        <w:ind w:left="540" w:right="140"/>
        <w:spacing w:after="0" w:line="256"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$1.0 million for the third quarter of 2012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$809,000 for the same period in 2011, an increase of $197,000 or 24%. The increase in engineering and product development expense reflects higher spending on materials used in new product development projects and, to a lesser extent, an increased use of third party consultants and the hiring of additional staff in our Thermal and Electrical Products segments.</w:t>
      </w:r>
    </w:p>
    <w:p>
      <w:pPr>
        <w:spacing w:after="0" w:line="197"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 was relatively unchanged at $1.4 million for both the third quarter of 2012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2011. Reductions in the level of accruals for profit based bonuses were offset by higher levels of intangible asset amortization as a result of the Thermonics acquisition, as well as increased professional fees.</w:t>
      </w:r>
    </w:p>
    <w:p>
      <w:pPr>
        <w:spacing w:after="0" w:line="194" w:lineRule="exact"/>
        <w:rPr>
          <w:sz w:val="20"/>
          <w:szCs w:val="20"/>
          <w:color w:val="auto"/>
        </w:rPr>
      </w:pPr>
    </w:p>
    <w:p>
      <w:pPr>
        <w:ind w:left="540" w:right="60"/>
        <w:spacing w:after="0" w:line="268"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Other income was $23,000 for the third quarter of 2012 compared to $5,000 for the same period in 2011. The increase primarily represents</w:t>
      </w:r>
      <w:r>
        <w:rPr>
          <w:rFonts w:ascii="Arial" w:cs="Arial" w:eastAsia="Arial" w:hAnsi="Arial"/>
          <w:sz w:val="18"/>
          <w:szCs w:val="18"/>
          <w:i w:val="1"/>
          <w:iCs w:val="1"/>
          <w:color w:val="auto"/>
        </w:rPr>
        <w:t xml:space="preserve"> </w:t>
      </w:r>
      <w:r>
        <w:rPr>
          <w:rFonts w:ascii="Arial" w:cs="Arial" w:eastAsia="Arial" w:hAnsi="Arial"/>
          <w:sz w:val="18"/>
          <w:szCs w:val="18"/>
          <w:color w:val="auto"/>
        </w:rPr>
        <w:t>higher levels of foreign currency transaction gains.</w:t>
      </w:r>
    </w:p>
    <w:p>
      <w:pPr>
        <w:spacing w:after="0" w:line="186"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quarter ended September 30, 2012, we recorded income tax expense of $348,000 compared to an income tax benefit of $2.8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same period in 2011. On a quarterly basis, we record income tax expense or benefit based on the expected annualized effective tax rate for the various taxing jurisdictions in which we operate our businesses. During the past several years, due to our history of operating losses in both our domestic and certain of our foreign operations, we had recorded a full valuation allowance against the deferred tax assets of these operations, including net operating loss carryforwards, where we believed it was more likely than not that we would not have sufficient taxable income to utilize these assets before they expire. During the third and fourth quarters of 2011, we reversed $3.1 million of the valuation allowance which had been recorded against the deferred tax assets of these operations. The reversal of this amount of the valuation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allowance was based on our current assessment that it is now more likely than not that we will be able to fully utilize these assets in the near future. Some of the key factors we considered in making our assessment included our profitability in both 2011 and 2010 and our level of certainty with regard to our forecasts of near term future profitability for the operations to which these assets relate.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Nine Months Ended September 30, 2012 Compared to Nine Months Ended September 30, 2011</w:t>
      </w:r>
    </w:p>
    <w:p>
      <w:pPr>
        <w:spacing w:after="0" w:line="225"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were $35.1 million for the nine months ended September 30, 2012 compared to $37.2 million for the same period in 2011,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$2.1 million or 6%. Net revenues (net of intersegment sales) of our Thermal and Mechanical Products segments decreased $942,000 or 5% and $5.0 million or 38%, respectively, while the net revenues (net of intersegment sales) of our Electrical Products segment increased $3.9 million or 90% as compared to the same period in 2011. During the nine months ended September 30, 2012, the net revenues of our Thermal Products segment included $3.5 million of net revenues attributable to Thermonics. We believe the decrease in our consolidated net revenues during the first nine months of 2012 primarily reflects the factors previously discussed in the Overview.</w:t>
      </w:r>
    </w:p>
    <w:p>
      <w:pPr>
        <w:spacing w:after="0" w:line="174"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During the nine months ended September 30, 2012, our net revenues from customers in the U.S. decreased 13% while our net revenues from foreign customers decreased 1% as compared to the same period in 2011. The impact of changes in foreign currency exchange rates on the change in net revenues from foreign customers was less than 1%.</w:t>
      </w:r>
    </w:p>
    <w:p>
      <w:pPr>
        <w:spacing w:after="0" w:line="194" w:lineRule="exact"/>
        <w:rPr>
          <w:sz w:val="20"/>
          <w:szCs w:val="20"/>
          <w:color w:val="auto"/>
        </w:rPr>
      </w:pPr>
    </w:p>
    <w:p>
      <w:pPr>
        <w:ind w:left="540"/>
        <w:spacing w:after="0" w:line="285"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was 44% for the first nine months of 2012 compared to 49% for the same period in 2011. The decrease in gross margin was</w:t>
      </w:r>
      <w:r>
        <w:rPr>
          <w:rFonts w:ascii="Arial" w:cs="Arial" w:eastAsia="Arial" w:hAnsi="Arial"/>
          <w:sz w:val="16"/>
          <w:szCs w:val="16"/>
          <w:i w:val="1"/>
          <w:iCs w:val="1"/>
          <w:color w:val="auto"/>
        </w:rPr>
        <w:t xml:space="preserve"> </w:t>
      </w:r>
      <w:r>
        <w:rPr>
          <w:rFonts w:ascii="Arial" w:cs="Arial" w:eastAsia="Arial" w:hAnsi="Arial"/>
          <w:sz w:val="16"/>
          <w:szCs w:val="16"/>
          <w:color w:val="auto"/>
        </w:rPr>
        <w:t>partly the result of an increase in our component material costs as a percentage of net revenues. Total component material costs represented 37% of net revenues for the first nine months of 2012 as compared to 35% for the same period in 2011. The increase in component material costs primarily reflects changes in customer mix in our Electrical Products segments. During the first nine months of 2012, a greater percentage of this segment's total net revenues were generated by sales to OEM customers where our margins are typically lower than for similar sales to End User customers. To a lesser extent, the decrease in gross margin is also the result of an increase in our charges for excess and obsolete inventory and our fixed operating costs for the first nine months of 2012 as compared to the same period in 2011. Our charges for excess and obsolete inventory increased $244,000 in absolute dollar terms during the first nine months of 2012 as compared to the same period in 2011. This increase indicates that more inventory items are falling into our standard excess and obsolete criteria in 2012, largely as a result of the continued reduced levels of demand in the ATE industry. For the nine months ended September 30, 2012, our fixed operating costs increased $163,000 in absolute dollar terms as compared to the same period in 2011. This increase primarily reflects increased salaries and benefits expense representing increased levels of staff in our Thermal Products segment. In addition, we had higher levels of depreciation reflecting a higher fixed asset base at September 30, 2012 as compared to September 30, 2011. These increases were partially offset by decreases in facilities related costs such as rent and utilities, reflecting that we have now completed the relocation of all three of our domestic operations to smaller facilities.</w:t>
      </w:r>
    </w:p>
    <w:p>
      <w:pPr>
        <w:spacing w:after="0" w:line="182" w:lineRule="exact"/>
        <w:rPr>
          <w:sz w:val="20"/>
          <w:szCs w:val="20"/>
          <w:color w:val="auto"/>
        </w:rPr>
      </w:pPr>
    </w:p>
    <w:p>
      <w:pPr>
        <w:ind w:left="540" w:right="140"/>
        <w:spacing w:after="0" w:line="256"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$4.3 million for the first nine months of 2012 compared to $4.4 million for the same period in 2011,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$150,000 or 3%. The decrease primarily represents lower levels of commissions in our Mechanical Products segment as a result of the lower net revenue levels in the first nine months of 2012 as compared to the same period in 2011. This decrease was partially offset by increases in advertising expense in our Mechanical and Electrical Products segments.</w:t>
      </w:r>
    </w:p>
    <w:p>
      <w:pPr>
        <w:spacing w:after="0" w:line="197" w:lineRule="exact"/>
        <w:rPr>
          <w:sz w:val="20"/>
          <w:szCs w:val="20"/>
          <w:color w:val="auto"/>
        </w:rPr>
      </w:pPr>
    </w:p>
    <w:p>
      <w:pPr>
        <w:ind w:left="540" w:right="340"/>
        <w:spacing w:after="0" w:line="298" w:lineRule="auto"/>
        <w:rPr>
          <w:sz w:val="20"/>
          <w:szCs w:val="20"/>
          <w:color w:val="auto"/>
        </w:rPr>
      </w:pPr>
      <w:r>
        <w:rPr>
          <w:rFonts w:ascii="Arial" w:cs="Arial" w:eastAsia="Arial" w:hAnsi="Arial"/>
          <w:sz w:val="16"/>
          <w:szCs w:val="16"/>
          <w:i w:val="1"/>
          <w:iCs w:val="1"/>
          <w:color w:val="auto"/>
        </w:rPr>
        <w:t xml:space="preserve">Engineering and Product Development Expense. </w:t>
      </w:r>
      <w:r>
        <w:rPr>
          <w:rFonts w:ascii="Arial" w:cs="Arial" w:eastAsia="Arial" w:hAnsi="Arial"/>
          <w:sz w:val="16"/>
          <w:szCs w:val="16"/>
          <w:color w:val="auto"/>
        </w:rPr>
        <w:t>Engineering and product development expense was $2.9 million for the first nine months of 2012</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$2.4 million for the same period in 2011, an increase of $466,000 or 19%. The increase in engineering and product development expense reflects higher spending on materials used in new product development projects and an increase in the use of third party consultants, primarily in our Thermal Products segment, and the hiring of additional staff in our Thermal and Electrical Products segments.</w:t>
      </w:r>
    </w:p>
    <w:p>
      <w:pPr>
        <w:spacing w:after="0" w:line="167" w:lineRule="exact"/>
        <w:rPr>
          <w:sz w:val="20"/>
          <w:szCs w:val="20"/>
          <w:color w:val="auto"/>
        </w:rPr>
      </w:pPr>
    </w:p>
    <w:p>
      <w:pPr>
        <w:ind w:left="540" w:right="80"/>
        <w:spacing w:after="0" w:line="306"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$5.1 million for the first nine months of 2012 compared to $4.7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period in 2011, an increase of $353,000 or 7%. During the first nine months of 2012, we recorded $337,000 in costs associated with the acquisition of Thermonics which was completed on January 16, 2012; there were no similar costs recorded in the first nine months of 2011. In addition,</w:t>
      </w:r>
    </w:p>
    <w:p>
      <w:pPr>
        <w:sectPr>
          <w:pgSz w:w="11900" w:h="16863" w:orient="portrait"/>
          <w:cols w:equalWidth="0" w:num="1">
            <w:col w:w="11420"/>
          </w:cols>
          <w:pgMar w:left="240" w:top="131" w:right="239" w:bottom="0" w:gutter="0" w:footer="0" w:header="0"/>
        </w:sectPr>
      </w:pPr>
    </w:p>
    <w:bookmarkStart w:id="20" w:name="page21"/>
    <w:bookmarkEnd w:id="20"/>
    <w:p>
      <w:pPr>
        <w:ind w:left="540" w:right="200"/>
        <w:spacing w:after="0" w:line="298" w:lineRule="auto"/>
        <w:rPr>
          <w:sz w:val="20"/>
          <w:szCs w:val="20"/>
          <w:color w:val="auto"/>
        </w:rPr>
      </w:pPr>
      <w:r>
        <w:rPr>
          <w:rFonts w:ascii="Arial" w:cs="Arial" w:eastAsia="Arial" w:hAnsi="Arial"/>
          <w:sz w:val="16"/>
          <w:szCs w:val="16"/>
          <w:color w:val="auto"/>
        </w:rPr>
        <w:t>amortization expense related to our intangible assets increased $269,000 during the first nine months of 2012 as compared to the same period in 2011. This increase represents amortization of the intangible assets acquired as a part of the Thermonics transaction. These increases were partially offset by a decrease in accruals for profit-related bonuses in our Corporate, Mechanical Products and Thermal Products segments, reflecting the lower level of net earnings in the first nine months of 2012 as compared to the same period of 2011.</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120"/>
        <w:spacing w:after="0" w:line="306" w:lineRule="auto"/>
        <w:rPr>
          <w:sz w:val="20"/>
          <w:szCs w:val="20"/>
          <w:color w:val="auto"/>
        </w:rPr>
      </w:pPr>
      <w:r>
        <w:rPr>
          <w:rFonts w:ascii="Arial" w:cs="Arial" w:eastAsia="Arial" w:hAnsi="Arial"/>
          <w:sz w:val="16"/>
          <w:szCs w:val="16"/>
          <w:i w:val="1"/>
          <w:iCs w:val="1"/>
          <w:color w:val="auto"/>
        </w:rPr>
        <w:t xml:space="preserve">Restructuring and Other Charges. </w:t>
      </w:r>
      <w:r>
        <w:rPr>
          <w:rFonts w:ascii="Arial" w:cs="Arial" w:eastAsia="Arial" w:hAnsi="Arial"/>
          <w:sz w:val="16"/>
          <w:szCs w:val="16"/>
          <w:color w:val="auto"/>
        </w:rPr>
        <w:t>Restructuring and other charges were $359,000 for the first nine months of 2012; there were no similar charges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nine months of 2011. The restructuring and other charges recorded during the first quarter of 2012 represent facility closure costs related to the closure of the Sunnyvale, California facility occupied by Thermonics at the time of our acquisition of this operation.</w:t>
      </w:r>
    </w:p>
    <w:p>
      <w:pPr>
        <w:spacing w:after="0" w:line="161" w:lineRule="exact"/>
        <w:rPr>
          <w:sz w:val="20"/>
          <w:szCs w:val="20"/>
          <w:color w:val="auto"/>
        </w:rPr>
      </w:pPr>
    </w:p>
    <w:p>
      <w:pPr>
        <w:jc w:val="both"/>
        <w:ind w:left="540" w:right="100"/>
        <w:spacing w:after="0" w:line="370" w:lineRule="auto"/>
        <w:rPr>
          <w:sz w:val="20"/>
          <w:szCs w:val="20"/>
          <w:color w:val="auto"/>
        </w:rPr>
      </w:pPr>
      <w:r>
        <w:rPr>
          <w:rFonts w:ascii="Arial" w:cs="Arial" w:eastAsia="Arial" w:hAnsi="Arial"/>
          <w:sz w:val="15"/>
          <w:szCs w:val="15"/>
          <w:i w:val="1"/>
          <w:iCs w:val="1"/>
          <w:color w:val="auto"/>
        </w:rPr>
        <w:t xml:space="preserve">Other Income. </w:t>
      </w:r>
      <w:r>
        <w:rPr>
          <w:rFonts w:ascii="Arial" w:cs="Arial" w:eastAsia="Arial" w:hAnsi="Arial"/>
          <w:sz w:val="15"/>
          <w:szCs w:val="15"/>
          <w:color w:val="auto"/>
        </w:rPr>
        <w:t>Other income was $36,000 for the first nine months of 2012 compared to other income of $71,000 for the same period in 2011. During the</w:t>
      </w:r>
      <w:r>
        <w:rPr>
          <w:rFonts w:ascii="Arial" w:cs="Arial" w:eastAsia="Arial" w:hAnsi="Arial"/>
          <w:sz w:val="15"/>
          <w:szCs w:val="15"/>
          <w:i w:val="1"/>
          <w:iCs w:val="1"/>
          <w:color w:val="auto"/>
        </w:rPr>
        <w:t xml:space="preserve"> </w:t>
      </w:r>
      <w:r>
        <w:rPr>
          <w:rFonts w:ascii="Arial" w:cs="Arial" w:eastAsia="Arial" w:hAnsi="Arial"/>
          <w:sz w:val="15"/>
          <w:szCs w:val="15"/>
          <w:color w:val="auto"/>
        </w:rPr>
        <w:t>first nine months of 2011, we recorded a gain on sale of property and equipment; there was no similar gain recorded during the first nine months of 2012.</w:t>
      </w:r>
    </w:p>
    <w:p>
      <w:pPr>
        <w:spacing w:after="0" w:line="116" w:lineRule="exact"/>
        <w:rPr>
          <w:sz w:val="20"/>
          <w:szCs w:val="20"/>
          <w:color w:val="auto"/>
        </w:rPr>
      </w:pPr>
    </w:p>
    <w:p>
      <w:pPr>
        <w:ind w:left="540"/>
        <w:spacing w:after="0" w:line="287"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nine months ended September 30, 2012, we recorded income tax expense of $980,000 compared to an income tax benefit of</w:t>
      </w:r>
      <w:r>
        <w:rPr>
          <w:rFonts w:ascii="Arial" w:cs="Arial" w:eastAsia="Arial" w:hAnsi="Arial"/>
          <w:sz w:val="16"/>
          <w:szCs w:val="16"/>
          <w:i w:val="1"/>
          <w:iCs w:val="1"/>
          <w:color w:val="auto"/>
        </w:rPr>
        <w:t xml:space="preserve"> </w:t>
      </w:r>
      <w:r>
        <w:rPr>
          <w:rFonts w:ascii="Arial" w:cs="Arial" w:eastAsia="Arial" w:hAnsi="Arial"/>
          <w:sz w:val="16"/>
          <w:szCs w:val="16"/>
          <w:color w:val="auto"/>
        </w:rPr>
        <w:t>$2.6 million for the same period in 2011. On a quarterly basis, we record income tax expense or benefit based on the expected annualized effective tax rate for the various taxing jurisdictions in which we operate our businesses. During the past several years, due to our history of operating losses in both our domestic and certain of our foreign operations, we had recorded a full valuation allowance against the deferred tax assets of these operations, including net operating loss carryforwards, where we believed it was more likely than not that we would not have sufficient taxable income to utilize these assets before they expire. During the third and fourth quarters of 2011, we reversed $3.1 million of the valuation allowance which had been recorded against the deferred tax assets of these operations. The reversal of this amount of the valuation allowance was based on our current assessment that it is now more likely than not that we will be able to fully utilize these assets in the near future. Some of the key factors we considered in making our assessment included our profitability in both 2011 and 2010 and our level of certainty with regard to our forecasts of near term future profitability for the operations to which these assets relate.</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31" w:lineRule="exact"/>
        <w:rPr>
          <w:sz w:val="20"/>
          <w:szCs w:val="20"/>
          <w:color w:val="auto"/>
        </w:rPr>
      </w:pPr>
    </w:p>
    <w:p>
      <w:pPr>
        <w:ind w:left="540" w:right="20"/>
        <w:spacing w:after="0" w:line="286" w:lineRule="auto"/>
        <w:rPr>
          <w:sz w:val="20"/>
          <w:szCs w:val="20"/>
          <w:color w:val="auto"/>
        </w:rPr>
      </w:pPr>
      <w:r>
        <w:rPr>
          <w:rFonts w:ascii="Arial" w:cs="Arial" w:eastAsia="Arial" w:hAnsi="Arial"/>
          <w:sz w:val="16"/>
          <w:szCs w:val="16"/>
          <w:color w:val="auto"/>
        </w:rPr>
        <w:t>Net cash provided by operations for the nine months ended September 30, 2012 was $4.8 million compared to $5.8 million for the same period in 2011. The decrease in net cash provided by operations reflects in part the lower level of net earnings in the first nine months of 2012 as compared to 2011. During the first nine months of 2012, we recorded deferred income tax expense of $489,000. In contrast, as previously discussed, during the third quarter of 2011, we reversed $2.9 million of the valuation allowance that had been recorded against our deferred tax assets in prior periods. Adjusted to eliminate the impact of the Thermonics acquisition, inventories decreased $926,000 during the first nine months of 2012 compared to an increase of $1.2 million during the same period in 2011, and accounts receivable decreased $465,000 during the first nine months of 2012 compared to an increase of $601,000 during the same period in 2011. These decreases primarily reflect the reduced business activity in our Thermal and Mechanical Products segments in 2012 as compared to 2011. Customer deposits decreased $239,000 during the first nine months of 2012 compared to an increase of $341,000 during the same time period in 2011. Depreciation and amortization was $696,000 for the first nine months of 2012 compared to $304,000 for the same period in 2011. The increase in 2012 as compared to 2011 primarily reflects higher levels of depreciation and amortization related to fixed assets and intangible assets acquired as a part of the Thermonics transaction completed in January 2012.</w:t>
      </w:r>
    </w:p>
    <w:p>
      <w:pPr>
        <w:spacing w:after="0" w:line="181" w:lineRule="exact"/>
        <w:rPr>
          <w:sz w:val="20"/>
          <w:szCs w:val="20"/>
          <w:color w:val="auto"/>
        </w:rPr>
      </w:pPr>
    </w:p>
    <w:p>
      <w:pPr>
        <w:jc w:val="both"/>
        <w:ind w:left="540" w:right="100"/>
        <w:spacing w:after="0" w:line="259" w:lineRule="auto"/>
        <w:rPr>
          <w:sz w:val="20"/>
          <w:szCs w:val="20"/>
          <w:color w:val="auto"/>
        </w:rPr>
      </w:pPr>
      <w:r>
        <w:rPr>
          <w:rFonts w:ascii="Arial" w:cs="Arial" w:eastAsia="Arial" w:hAnsi="Arial"/>
          <w:sz w:val="18"/>
          <w:szCs w:val="18"/>
          <w:color w:val="auto"/>
        </w:rPr>
        <w:t>During the first nine months of 2012, we paid $3.8 million to acquire Thermonics, as discussed further in the Overview and in Note 3 to our consolidated financial statements. We have no significant commitments for capital expenditures for the balance of 2012, however, depending upon changes in market demand, we may make such purchases as we deem necessary and appropriate.</w:t>
      </w:r>
    </w:p>
    <w:p>
      <w:pPr>
        <w:spacing w:after="0" w:line="194" w:lineRule="exact"/>
        <w:rPr>
          <w:sz w:val="20"/>
          <w:szCs w:val="20"/>
          <w:color w:val="auto"/>
        </w:rPr>
      </w:pPr>
    </w:p>
    <w:p>
      <w:pPr>
        <w:ind w:left="540" w:right="120"/>
        <w:spacing w:after="0" w:line="256" w:lineRule="auto"/>
        <w:rPr>
          <w:sz w:val="20"/>
          <w:szCs w:val="20"/>
          <w:color w:val="auto"/>
        </w:rPr>
      </w:pPr>
      <w:r>
        <w:rPr>
          <w:rFonts w:ascii="Arial" w:cs="Arial" w:eastAsia="Arial" w:hAnsi="Arial"/>
          <w:sz w:val="18"/>
          <w:szCs w:val="18"/>
          <w:color w:val="auto"/>
        </w:rPr>
        <w:t>As of September 30, 2012, we had cash and cash equivalents of $14.7 million. We currently expect our cash and cash equivalents and projected future cash flow to be sufficient to support our short term working capital requirements. We do not currently have any available credit facilities under which we can borrow to help fund our working capital requirements. We cannot be certain that, if needed, we would be able to obtain any credit facilities or under what terms such credit facilities would be available.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31"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See the Notes to the consolidated financial statements for information concerning the implementation and impact of new or recently adopted accounting standards.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31" w:lineRule="exact"/>
        <w:rPr>
          <w:sz w:val="20"/>
          <w:szCs w:val="20"/>
          <w:color w:val="auto"/>
        </w:rPr>
      </w:pPr>
    </w:p>
    <w:p>
      <w:pPr>
        <w:ind w:left="540" w:right="20"/>
        <w:spacing w:after="0" w:line="288"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deferred income tax valuation allowances and product warranty reserves.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September 30, 2012, there have been no significant changes to the accounting policies that we have deemed critical. These policies are more fully described in our 2011 Form 10-K.</w:t>
      </w:r>
    </w:p>
    <w:p>
      <w:pPr>
        <w:sectPr>
          <w:pgSz w:w="11900" w:h="16838" w:orient="portrait"/>
          <w:cols w:equalWidth="0" w:num="1">
            <w:col w:w="11420"/>
          </w:cols>
          <w:pgMar w:left="240" w:top="131" w:right="239" w:bottom="0" w:gutter="0" w:footer="0" w:header="0"/>
        </w:sectPr>
      </w:pPr>
    </w:p>
    <w:bookmarkStart w:id="21" w:name="page22"/>
    <w:bookmarkEnd w:id="21"/>
    <w:p>
      <w:pPr>
        <w:spacing w:after="0" w:line="42"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31" w:lineRule="exact"/>
        <w:rPr>
          <w:sz w:val="20"/>
          <w:szCs w:val="20"/>
          <w:color w:val="auto"/>
        </w:rPr>
      </w:pPr>
    </w:p>
    <w:p>
      <w:pPr>
        <w:ind w:left="540" w:right="180"/>
        <w:spacing w:after="0" w:line="259" w:lineRule="auto"/>
        <w:rPr>
          <w:sz w:val="20"/>
          <w:szCs w:val="20"/>
          <w:color w:val="auto"/>
        </w:rPr>
      </w:pPr>
      <w:r>
        <w:rPr>
          <w:rFonts w:ascii="Arial" w:cs="Arial" w:eastAsia="Arial" w:hAnsi="Arial"/>
          <w:sz w:val="18"/>
          <w:szCs w:val="18"/>
          <w:color w:val="auto"/>
        </w:rPr>
        <w:t>There were no off-balance sheet arrangements during the nine months ended September 30, 2012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540" w:right="140"/>
        <w:spacing w:after="0" w:line="258" w:lineRule="auto"/>
        <w:rPr>
          <w:sz w:val="20"/>
          <w:szCs w:val="20"/>
          <w:color w:val="auto"/>
        </w:rPr>
      </w:pPr>
      <w:r>
        <w:rPr>
          <w:rFonts w:ascii="Arial" w:cs="Arial" w:eastAsia="Arial" w:hAnsi="Arial"/>
          <w:sz w:val="18"/>
          <w:szCs w:val="18"/>
          <w:b w:val="1"/>
          <w:bCs w:val="1"/>
          <w:color w:val="auto"/>
        </w:rPr>
        <w:t>CEO and CFO Certifications</w:t>
      </w:r>
      <w:r>
        <w:rPr>
          <w:rFonts w:ascii="Arial" w:cs="Arial" w:eastAsia="Arial" w:hAnsi="Arial"/>
          <w:sz w:val="18"/>
          <w:szCs w:val="18"/>
          <w:color w:val="auto"/>
        </w:rPr>
        <w:t>. Included with this Quarterly Report as Exhibits 31.1 and 31.2 are two certifications, one by each of our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our Chief Financial Officer (the "Section 302 Certifications"). This Item 4 contains information concerning the evaluations of our disclosure controls and procedures that are referred to in the Section 302 Certifications. This information should be read in conjunction with the Section 302 Certifications for a more complete understanding of the topics addressed therein.</w:t>
      </w:r>
    </w:p>
    <w:p>
      <w:pPr>
        <w:spacing w:after="0" w:line="190" w:lineRule="exact"/>
        <w:rPr>
          <w:sz w:val="20"/>
          <w:szCs w:val="20"/>
          <w:color w:val="auto"/>
        </w:rPr>
      </w:pPr>
    </w:p>
    <w:p>
      <w:pPr>
        <w:ind w:left="540" w:right="160"/>
        <w:spacing w:after="0" w:line="262" w:lineRule="auto"/>
        <w:rPr>
          <w:sz w:val="20"/>
          <w:szCs w:val="20"/>
          <w:color w:val="auto"/>
        </w:rPr>
      </w:pPr>
      <w:r>
        <w:rPr>
          <w:rFonts w:ascii="Arial" w:cs="Arial" w:eastAsia="Arial" w:hAnsi="Arial"/>
          <w:sz w:val="18"/>
          <w:szCs w:val="18"/>
          <w:b w:val="1"/>
          <w:bCs w:val="1"/>
          <w:color w:val="auto"/>
        </w:rPr>
        <w:t>Evaluation of Our Disclosure Controls and Procedures</w:t>
      </w:r>
      <w:r>
        <w:rPr>
          <w:rFonts w:ascii="Arial" w:cs="Arial" w:eastAsia="Arial" w:hAnsi="Arial"/>
          <w:sz w:val="18"/>
          <w:szCs w:val="18"/>
          <w:color w:val="auto"/>
        </w:rPr>
        <w:t>. The SEC requires that as of the end of the quarter covered by this Report, our CEO and CFO</w:t>
      </w:r>
      <w:r>
        <w:rPr>
          <w:rFonts w:ascii="Arial" w:cs="Arial" w:eastAsia="Arial" w:hAnsi="Arial"/>
          <w:sz w:val="18"/>
          <w:szCs w:val="18"/>
          <w:b w:val="1"/>
          <w:bCs w:val="1"/>
          <w:color w:val="auto"/>
        </w:rPr>
        <w:t xml:space="preserve"> </w:t>
      </w:r>
      <w:r>
        <w:rPr>
          <w:rFonts w:ascii="Arial" w:cs="Arial" w:eastAsia="Arial" w:hAnsi="Arial"/>
          <w:sz w:val="18"/>
          <w:szCs w:val="18"/>
          <w:color w:val="auto"/>
        </w:rPr>
        <w:t>must evaluate the effectiveness of the design and operation of our disclosure controls and procedures and report on the effectiveness of the design and operation of our disclosure controls and procedures.</w:t>
      </w:r>
    </w:p>
    <w:p>
      <w:pPr>
        <w:spacing w:after="0" w:line="192" w:lineRule="exact"/>
        <w:rPr>
          <w:sz w:val="20"/>
          <w:szCs w:val="20"/>
          <w:color w:val="auto"/>
        </w:rPr>
      </w:pPr>
    </w:p>
    <w:p>
      <w:pPr>
        <w:ind w:left="540" w:right="20"/>
        <w:spacing w:after="0" w:line="255" w:lineRule="auto"/>
        <w:rPr>
          <w:sz w:val="20"/>
          <w:szCs w:val="20"/>
          <w:color w:val="auto"/>
        </w:rPr>
      </w:pPr>
      <w:r>
        <w:rPr>
          <w:rFonts w:ascii="Arial" w:cs="Arial" w:eastAsia="Arial" w:hAnsi="Arial"/>
          <w:sz w:val="18"/>
          <w:szCs w:val="18"/>
          <w:color w:val="auto"/>
        </w:rPr>
        <w:t>"Disclosure controls and procedures" mean the controls and other procedures that are designed with the objective of ensuring that information required to be disclosed in our reports filed under the Securities Exchange Act of 1934 (the "Exchange Act"), such as this Report, is recorded, processed, summarized and reported within the time periods specified in the rules and forms promulgated by the SEC. Disclosure controls and procedures are also designed with the objective of ensuring that such information is accumulated and communicated to our management, including the CEO and CFO, as appropriate, to allow timely decisions regarding required disclosure.</w:t>
      </w:r>
    </w:p>
    <w:p>
      <w:pPr>
        <w:spacing w:after="0" w:line="191"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b w:val="1"/>
          <w:bCs w:val="1"/>
          <w:color w:val="auto"/>
        </w:rPr>
        <w:t>Limitations on the Effectiveness of Controls</w:t>
      </w:r>
      <w:r>
        <w:rPr>
          <w:rFonts w:ascii="Arial" w:cs="Arial" w:eastAsia="Arial" w:hAnsi="Arial"/>
          <w:sz w:val="16"/>
          <w:szCs w:val="16"/>
          <w:color w:val="auto"/>
        </w:rPr>
        <w:t>. Our management, including the CEO and CFO, does not expect that our disclosure controls and</w:t>
      </w:r>
      <w:r>
        <w:rPr>
          <w:rFonts w:ascii="Arial" w:cs="Arial" w:eastAsia="Arial" w:hAnsi="Arial"/>
          <w:sz w:val="16"/>
          <w:szCs w:val="16"/>
          <w:b w:val="1"/>
          <w:bCs w:val="1"/>
          <w:color w:val="auto"/>
        </w:rPr>
        <w:t xml:space="preserve"> </w:t>
      </w:r>
      <w:r>
        <w:rPr>
          <w:rFonts w:ascii="Arial" w:cs="Arial" w:eastAsia="Arial" w:hAnsi="Arial"/>
          <w:sz w:val="16"/>
          <w:szCs w:val="16"/>
          <w:color w:val="auto"/>
        </w:rPr>
        <w:t>procedures or our internal control over financial reporting will prevent all error and all fraud. A control system, no matter how well conceived and operated, can provide only reasonable, as opposed to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an entity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CONTROLS AND PROCEDURES </w:t>
      </w:r>
      <w:r>
        <w:rPr>
          <w:rFonts w:ascii="Arial" w:cs="Arial" w:eastAsia="Arial" w:hAnsi="Arial"/>
          <w:sz w:val="18"/>
          <w:szCs w:val="18"/>
          <w:color w:val="auto"/>
        </w:rPr>
        <w:t>(Continued)</w:t>
      </w:r>
    </w:p>
    <w:p>
      <w:pPr>
        <w:spacing w:after="0" w:line="191" w:lineRule="exact"/>
        <w:rPr>
          <w:sz w:val="20"/>
          <w:szCs w:val="20"/>
          <w:color w:val="auto"/>
        </w:rPr>
      </w:pPr>
    </w:p>
    <w:p>
      <w:pPr>
        <w:ind w:left="540" w:right="40"/>
        <w:spacing w:after="0" w:line="294" w:lineRule="auto"/>
        <w:rPr>
          <w:sz w:val="20"/>
          <w:szCs w:val="20"/>
          <w:color w:val="auto"/>
        </w:rPr>
      </w:pPr>
      <w:r>
        <w:rPr>
          <w:rFonts w:ascii="Arial" w:cs="Arial" w:eastAsia="Arial" w:hAnsi="Arial"/>
          <w:sz w:val="16"/>
          <w:szCs w:val="16"/>
          <w:color w:val="auto"/>
        </w:rPr>
        <w:t>any system of controls also is based in part upon certain assumptions about the likelihood of future events, and there can be no assurance that any design will succeed in achieving its stated goals under all potential future conditions; over time, a system of controls may become inadequate because of changes in conditions, or the degree of compliance with the policies or procedures may deteriorate.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64" w:lineRule="exact"/>
        <w:rPr>
          <w:sz w:val="20"/>
          <w:szCs w:val="20"/>
          <w:color w:val="auto"/>
        </w:rPr>
      </w:pPr>
    </w:p>
    <w:p>
      <w:pPr>
        <w:jc w:val="both"/>
        <w:ind w:left="540" w:right="240"/>
        <w:spacing w:after="0" w:line="258" w:lineRule="auto"/>
        <w:rPr>
          <w:sz w:val="20"/>
          <w:szCs w:val="20"/>
          <w:color w:val="auto"/>
        </w:rPr>
      </w:pPr>
      <w:r>
        <w:rPr>
          <w:rFonts w:ascii="Arial" w:cs="Arial" w:eastAsia="Arial" w:hAnsi="Arial"/>
          <w:sz w:val="18"/>
          <w:szCs w:val="18"/>
          <w:b w:val="1"/>
          <w:bCs w:val="1"/>
          <w:color w:val="auto"/>
        </w:rPr>
        <w:t>CEO/CFO Conclusions about the Effectiveness of the Disclosure Controls and Procedures</w:t>
      </w:r>
      <w:r>
        <w:rPr>
          <w:rFonts w:ascii="Arial" w:cs="Arial" w:eastAsia="Arial" w:hAnsi="Arial"/>
          <w:sz w:val="18"/>
          <w:szCs w:val="18"/>
          <w:color w:val="auto"/>
        </w:rPr>
        <w:t>. As required by Rule 13a-15(b), inTEST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 - - - - - - - - - - - - - - - - - - - - - - - -</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1" w:lineRule="exact"/>
        <w:rPr>
          <w:sz w:val="20"/>
          <w:szCs w:val="20"/>
          <w:color w:val="auto"/>
        </w:rPr>
      </w:pPr>
    </w:p>
    <w:p>
      <w:pPr>
        <w:jc w:val="both"/>
        <w:ind w:left="540"/>
        <w:spacing w:after="0" w:line="268"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1"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Annual Report on Form 10-K for the year ended December 31, 2011.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ectPr>
          <w:pgSz w:w="11900" w:h="16880" w:orient="portrait"/>
          <w:cols w:equalWidth="0" w:num="1">
            <w:col w:w="11400"/>
          </w:cols>
          <w:pgMar w:left="240" w:top="125" w:right="259" w:bottom="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1"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Index to Exhibits immediately following the signature page, which Index to Exhibits is incorporated herein by reference.</w:t>
      </w:r>
    </w:p>
    <w:p>
      <w:pPr>
        <w:spacing w:after="0" w:line="13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 - - - - - - - - - - - - - - - - - - - - - - - - - - - - - -</w:t>
      </w:r>
    </w:p>
    <w:p>
      <w:pPr>
        <w:spacing w:after="0" w:line="19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- 26 -</w:t>
      </w:r>
    </w:p>
    <w:p>
      <w:pPr>
        <w:spacing w:after="0" w:line="200" w:lineRule="exact"/>
        <w:rPr>
          <w:sz w:val="20"/>
          <w:szCs w:val="20"/>
          <w:color w:val="auto"/>
        </w:rPr>
      </w:pPr>
    </w:p>
    <w:p>
      <w:pPr>
        <w:spacing w:after="0" w:line="37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3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2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inTEST Corporation</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November 14, 2012</w:t>
            </w:r>
          </w:p>
        </w:tc>
        <w:tc>
          <w:tcPr>
            <w:tcW w:w="3420" w:type="dxa"/>
            <w:vAlign w:val="bottom"/>
            <w:gridSpan w:val="3"/>
          </w:tcPr>
          <w:p>
            <w:pPr>
              <w:spacing w:after="0"/>
              <w:rPr>
                <w:sz w:val="20"/>
                <w:szCs w:val="20"/>
                <w:color w:val="auto"/>
              </w:rPr>
            </w:pPr>
            <w:r>
              <w:rPr>
                <w:rFonts w:ascii="Arial" w:cs="Arial" w:eastAsia="Arial" w:hAnsi="Arial"/>
                <w:sz w:val="18"/>
                <w:szCs w:val="18"/>
                <w:color w:val="auto"/>
              </w:rPr>
              <w:t>/s/ Robert E. Matthiessen</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Robert E. Matthiessen</w:t>
            </w:r>
          </w:p>
        </w:tc>
        <w:tc>
          <w:tcPr>
            <w:tcW w:w="1640" w:type="dxa"/>
            <w:vAlign w:val="bottom"/>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November 14, 2012</w:t>
            </w:r>
          </w:p>
        </w:tc>
        <w:tc>
          <w:tcPr>
            <w:tcW w:w="3420" w:type="dxa"/>
            <w:vAlign w:val="bottom"/>
            <w:gridSpan w:val="3"/>
          </w:tcPr>
          <w:p>
            <w:pPr>
              <w:spacing w:after="0"/>
              <w:rPr>
                <w:sz w:val="20"/>
                <w:szCs w:val="20"/>
                <w:color w:val="auto"/>
              </w:rPr>
            </w:pPr>
            <w:r>
              <w:rPr>
                <w:rFonts w:ascii="Arial" w:cs="Arial" w:eastAsia="Arial" w:hAnsi="Arial"/>
                <w:sz w:val="18"/>
                <w:szCs w:val="18"/>
                <w:color w:val="auto"/>
              </w:rPr>
              <w:t>/s/ Hugh T. Regan, Jr.</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Hugh T. Regan, Jr.</w:t>
            </w:r>
          </w:p>
        </w:tc>
        <w:tc>
          <w:tcPr>
            <w:tcW w:w="1900" w:type="dxa"/>
            <w:vAlign w:val="bottom"/>
            <w:gridSpan w:val="2"/>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i w:val="1"/>
                <w:iCs w:val="1"/>
                <w:color w:val="auto"/>
                <w:w w:val="88"/>
              </w:rPr>
              <w:t>Secretary, Treasurer and Chief Financial Officer</w:t>
            </w:r>
          </w:p>
        </w:tc>
      </w:tr>
      <w:tr>
        <w:trPr>
          <w:trHeight w:val="797"/>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20" w:type="dxa"/>
            <w:vAlign w:val="bottom"/>
            <w:gridSpan w:val="3"/>
          </w:tcPr>
          <w:p>
            <w:pPr>
              <w:ind w:left="2820"/>
              <w:spacing w:after="0"/>
              <w:rPr>
                <w:sz w:val="20"/>
                <w:szCs w:val="20"/>
                <w:color w:val="auto"/>
              </w:rPr>
            </w:pPr>
            <w:r>
              <w:rPr>
                <w:rFonts w:ascii="Arial" w:cs="Arial" w:eastAsia="Arial" w:hAnsi="Arial"/>
                <w:sz w:val="18"/>
                <w:szCs w:val="18"/>
                <w:color w:val="auto"/>
              </w:rPr>
              <w:t>- 27 -</w:t>
            </w:r>
          </w:p>
        </w:tc>
      </w:tr>
    </w:tbl>
    <w:p>
      <w:pPr>
        <w:spacing w:after="0" w:line="200" w:lineRule="exact"/>
        <w:rPr>
          <w:sz w:val="20"/>
          <w:szCs w:val="20"/>
          <w:color w:val="auto"/>
        </w:rPr>
      </w:pPr>
    </w:p>
    <w:p>
      <w:pPr>
        <w:spacing w:after="0" w:line="35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 - - - - - - - - - - - - - - - - - - - - - - - - - - - - - -</w:t>
      </w:r>
    </w:p>
    <w:p>
      <w:pPr>
        <w:spacing w:after="0" w:line="200" w:lineRule="exact"/>
        <w:rPr>
          <w:sz w:val="20"/>
          <w:szCs w:val="20"/>
          <w:color w:val="auto"/>
        </w:rPr>
      </w:pPr>
    </w:p>
    <w:p>
      <w:pPr>
        <w:spacing w:after="0" w:line="37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00" w:lineRule="exact"/>
        <w:rPr>
          <w:sz w:val="20"/>
          <w:szCs w:val="20"/>
          <w:color w:val="auto"/>
        </w:rPr>
      </w:pPr>
    </w:p>
    <w:p>
      <w:pPr>
        <w:spacing w:after="0" w:line="382" w:lineRule="exact"/>
        <w:rPr>
          <w:sz w:val="20"/>
          <w:szCs w:val="20"/>
          <w:color w:val="auto"/>
        </w:rPr>
      </w:pPr>
    </w:p>
    <w:p>
      <w:pPr>
        <w:ind w:left="400" w:right="5220" w:hanging="394"/>
        <w:spacing w:after="0" w:line="259" w:lineRule="auto"/>
        <w:rPr>
          <w:sz w:val="20"/>
          <w:szCs w:val="20"/>
          <w:color w:val="auto"/>
        </w:rPr>
      </w:pPr>
      <w:r>
        <w:rPr>
          <w:rFonts w:ascii="Arial" w:cs="Arial" w:eastAsia="Arial" w:hAnsi="Arial"/>
          <w:sz w:val="18"/>
          <w:szCs w:val="18"/>
          <w:color w:val="auto"/>
        </w:rPr>
        <w:t>3.1* Articles of Incorporation: Previously filed by the Company as an Exhibit to the Company's Registration Statement on Form S-1, File No. 333-26457, and incorporated herein by reference.</w:t>
      </w:r>
    </w:p>
    <w:p>
      <w:pPr>
        <w:spacing w:after="0" w:line="194" w:lineRule="exact"/>
        <w:rPr>
          <w:sz w:val="20"/>
          <w:szCs w:val="20"/>
          <w:color w:val="auto"/>
        </w:rPr>
      </w:pPr>
    </w:p>
    <w:p>
      <w:pPr>
        <w:jc w:val="both"/>
        <w:ind w:left="400" w:right="4660" w:hanging="394"/>
        <w:spacing w:after="0" w:line="259" w:lineRule="auto"/>
        <w:rPr>
          <w:sz w:val="20"/>
          <w:szCs w:val="20"/>
          <w:color w:val="auto"/>
        </w:rPr>
      </w:pPr>
      <w:r>
        <w:rPr>
          <w:rFonts w:ascii="Arial" w:cs="Arial" w:eastAsia="Arial" w:hAnsi="Arial"/>
          <w:sz w:val="18"/>
          <w:szCs w:val="18"/>
          <w:color w:val="auto"/>
        </w:rPr>
        <w:t>3.2* ByLaws of inTEST Corporation, as amended on October 30, 2007: Previously filed as Exhibit 3.2 of the Company's Form 8-K on November 5, 2007 and incorporated 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Chief Executive Officer pursuant to Rule 13a-14(a).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Chief Financial Officer pursuant to Rule 13a-14(a).</w:t>
      </w:r>
    </w:p>
    <w:p>
      <w:pPr>
        <w:spacing w:after="0" w:line="225" w:lineRule="exact"/>
        <w:rPr>
          <w:sz w:val="20"/>
          <w:szCs w:val="20"/>
          <w:color w:val="auto"/>
        </w:rPr>
      </w:pPr>
    </w:p>
    <w:p>
      <w:pPr>
        <w:ind w:left="440" w:right="4920" w:hanging="438"/>
        <w:spacing w:after="0" w:line="332" w:lineRule="auto"/>
        <w:rPr>
          <w:sz w:val="20"/>
          <w:szCs w:val="20"/>
          <w:color w:val="auto"/>
        </w:rPr>
      </w:pPr>
      <w:r>
        <w:rPr>
          <w:rFonts w:ascii="Arial" w:cs="Arial" w:eastAsia="Arial" w:hAnsi="Arial"/>
          <w:sz w:val="16"/>
          <w:szCs w:val="16"/>
          <w:color w:val="auto"/>
        </w:rPr>
        <w:t>32.1 Certification of Chief Executive Officer pursuant to 18 U.S.C. Section 1350, as adopted pursuant to Section 906 of the Sarbanes-Oxley Act of 2002.</w:t>
      </w:r>
    </w:p>
    <w:p>
      <w:pPr>
        <w:spacing w:after="0" w:line="139" w:lineRule="exact"/>
        <w:rPr>
          <w:sz w:val="20"/>
          <w:szCs w:val="20"/>
          <w:color w:val="auto"/>
        </w:rPr>
      </w:pPr>
    </w:p>
    <w:p>
      <w:pPr>
        <w:ind w:left="440" w:right="4980" w:hanging="438"/>
        <w:spacing w:after="0" w:line="332" w:lineRule="auto"/>
        <w:rPr>
          <w:sz w:val="20"/>
          <w:szCs w:val="20"/>
          <w:color w:val="auto"/>
        </w:rPr>
      </w:pPr>
      <w:r>
        <w:rPr>
          <w:rFonts w:ascii="Arial" w:cs="Arial" w:eastAsia="Arial" w:hAnsi="Arial"/>
          <w:sz w:val="16"/>
          <w:szCs w:val="16"/>
          <w:color w:val="auto"/>
        </w:rPr>
        <w:t>32.2 Certification of Chief Financial Officer pursuant to 18 U.S.C. Section 1350, as adopted pursuant to Section 906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 Indicates document previously filed.</w:t>
      </w:r>
    </w:p>
    <w:p>
      <w:pPr>
        <w:sectPr>
          <w:pgSz w:w="11900" w:h="16838" w:orient="portrait"/>
          <w:cols w:equalWidth="0" w:num="1">
            <w:col w:w="10940"/>
          </w:cols>
          <w:pgMar w:left="240" w:top="125" w:right="719" w:bottom="778"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- 28 -</w:t>
      </w:r>
    </w:p>
    <w:p>
      <w:pPr>
        <w:sectPr>
          <w:pgSz w:w="11900" w:h="16838" w:orient="portrait"/>
          <w:cols w:equalWidth="0" w:num="1">
            <w:col w:w="10940"/>
          </w:cols>
          <w:pgMar w:left="240" w:top="125" w:right="719" w:bottom="778"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22"/>
          <w:szCs w:val="22"/>
          <w:b w:val="1"/>
          <w:bCs w:val="1"/>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Robert E. Matthiessen, certify that:</w:t>
      </w:r>
    </w:p>
    <w:p>
      <w:pPr>
        <w:spacing w:after="0" w:line="185" w:lineRule="exact"/>
        <w:rPr>
          <w:sz w:val="20"/>
          <w:szCs w:val="20"/>
          <w:color w:val="auto"/>
        </w:rPr>
      </w:pPr>
    </w:p>
    <w:p>
      <w:pPr>
        <w:ind w:left="760" w:hanging="31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14, 2012</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Robert E. Matthiessen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22"/>
          <w:szCs w:val="22"/>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Hugh T. Regan, Jr., certify that:</w:t>
      </w:r>
    </w:p>
    <w:p>
      <w:pPr>
        <w:spacing w:after="0" w:line="185" w:lineRule="exact"/>
        <w:rPr>
          <w:sz w:val="20"/>
          <w:szCs w:val="20"/>
          <w:color w:val="auto"/>
        </w:rPr>
      </w:pPr>
    </w:p>
    <w:p>
      <w:pPr>
        <w:ind w:left="760" w:hanging="31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14, 2012</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11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24"/>
          <w:szCs w:val="2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60"/>
        <w:spacing w:after="0" w:line="270" w:lineRule="auto"/>
        <w:rPr>
          <w:sz w:val="20"/>
          <w:szCs w:val="20"/>
          <w:color w:val="auto"/>
        </w:rPr>
      </w:pPr>
      <w:r>
        <w:rPr>
          <w:rFonts w:ascii="Arial" w:cs="Arial" w:eastAsia="Arial" w:hAnsi="Arial"/>
          <w:sz w:val="23"/>
          <w:szCs w:val="23"/>
          <w:color w:val="auto"/>
        </w:rPr>
        <w:t>In connection with the Quarterly Report of inTEST Corporation (the "Company") on Form 10-Q for the period ending September 30, 2012 as filed with the Securities and Exchange Commission on the date hereof (the "Report"), I, Robert E. Matthiessen, President and Chief Executive Officer of the Company, certify, pursuant to 18 U.S.C. Section 1350, as adopted pursuant to Section 906 of the Sarbanes-Oxley Act of 2002, that:</w:t>
      </w:r>
    </w:p>
    <w:p>
      <w:pPr>
        <w:spacing w:after="0" w:line="228" w:lineRule="exact"/>
        <w:rPr>
          <w:sz w:val="20"/>
          <w:szCs w:val="20"/>
          <w:color w:val="auto"/>
        </w:rPr>
      </w:pPr>
    </w:p>
    <w:p>
      <w:pPr>
        <w:ind w:right="520" w:firstLine="8"/>
        <w:spacing w:after="0" w:line="275" w:lineRule="auto"/>
        <w:tabs>
          <w:tab w:leader="none" w:pos="344" w:val="left"/>
        </w:tabs>
        <w:numPr>
          <w:ilvl w:val="0"/>
          <w:numId w:val="8"/>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8"/>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November 14, 2012</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Robert E. Matthiessen</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Robert E. Matthiessen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President and Chief Executive Officer</w:t>
      </w:r>
    </w:p>
    <w:p>
      <w:pPr>
        <w:sectPr>
          <w:pgSz w:w="11900" w:h="16838" w:orient="portrait"/>
          <w:cols w:equalWidth="0" w:num="1">
            <w:col w:w="11420"/>
          </w:cols>
          <w:pgMar w:left="240" w:top="11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24"/>
          <w:szCs w:val="2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286" w:lineRule="auto"/>
        <w:rPr>
          <w:sz w:val="20"/>
          <w:szCs w:val="20"/>
          <w:color w:val="auto"/>
        </w:rPr>
      </w:pPr>
      <w:r>
        <w:rPr>
          <w:rFonts w:ascii="Arial" w:cs="Arial" w:eastAsia="Arial" w:hAnsi="Arial"/>
          <w:sz w:val="22"/>
          <w:szCs w:val="22"/>
          <w:color w:val="auto"/>
        </w:rPr>
        <w:t>In connection with the Quarterly Report of inTEST Corporation (the "Company") on Form 10-Q for the period ending September 30, 2012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212" w:lineRule="exact"/>
        <w:rPr>
          <w:sz w:val="20"/>
          <w:szCs w:val="20"/>
          <w:color w:val="auto"/>
        </w:rPr>
      </w:pPr>
    </w:p>
    <w:p>
      <w:pPr>
        <w:ind w:right="520" w:firstLine="8"/>
        <w:spacing w:after="0" w:line="275" w:lineRule="auto"/>
        <w:tabs>
          <w:tab w:leader="none" w:pos="344" w:val="left"/>
        </w:tabs>
        <w:numPr>
          <w:ilvl w:val="0"/>
          <w:numId w:val="9"/>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9"/>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November 14, 2012</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Hugh T. Regan, Jr.</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Hugh T. Regan, Jr.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Secretary, Treasurer and Chief Financial Officer</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9"/>
    </w:lvl>
  </w:abstractNum>
  <w:abstractNum w:abstractNumId="4">
    <w:nsid w:val="41B71EFB"/>
    <w:multiLevelType w:val="hybridMultilevel"/>
    <w:lvl w:ilvl="0">
      <w:lvlJc w:val="left"/>
      <w:lvlText w:val="(%1)"/>
      <w:numFmt w:val="decimal"/>
      <w:start w:val="12"/>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2019-12-09T11:39:07Z</dcterms:created>
  <dcterms:modified xsi:type="dcterms:W3CDTF">2019-12-09T11:39:07Z</dcterms:modified>
</cp:coreProperties>
</file>