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8" w:lineRule="exact"/>
        <w:rPr>
          <w:sz w:val="24"/>
          <w:szCs w:val="24"/>
          <w:color w:val="auto"/>
        </w:rPr>
      </w:pPr>
    </w:p>
    <w:p>
      <w:pPr>
        <w:ind w:left="3820" w:right="1720" w:hanging="3812"/>
        <w:spacing w:after="0" w:line="266" w:lineRule="auto"/>
        <w:tabs>
          <w:tab w:leader="none" w:pos="2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2020</w:t>
      </w:r>
      <w:r>
        <w:rPr>
          <w:rFonts w:ascii="Arial" w:cs="Arial" w:eastAsia="Arial" w:hAnsi="Arial"/>
          <w:sz w:val="18"/>
          <w:szCs w:val="18"/>
          <w:color w:val="auto"/>
        </w:rPr>
        <w:t xml:space="preserve"> or</w:t>
      </w:r>
    </w:p>
    <w:p>
      <w:pPr>
        <w:spacing w:after="0" w:line="176"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2640"/>
        <w:spacing w:after="0"/>
        <w:tabs>
          <w:tab w:leader="none" w:pos="6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3063240</wp:posOffset>
            </wp:positionH>
            <wp:positionV relativeFrom="paragraph">
              <wp:posOffset>-20320</wp:posOffset>
            </wp:positionV>
            <wp:extent cx="24022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2205" cy="8255"/>
                    </a:xfrm>
                    <a:prstGeom prst="rect">
                      <a:avLst/>
                    </a:prstGeom>
                    <a:noFill/>
                  </pic:spPr>
                </pic:pic>
              </a:graphicData>
            </a:graphic>
          </wp:anchor>
        </w:drawing>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0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80" w:type="dxa"/>
            <w:vAlign w:val="bottom"/>
          </w:tcPr>
          <w:p>
            <w:pPr>
              <w:spacing w:after="0"/>
              <w:rPr>
                <w:sz w:val="18"/>
                <w:szCs w:val="18"/>
                <w:color w:val="auto"/>
              </w:rPr>
            </w:pPr>
          </w:p>
        </w:tc>
        <w:tc>
          <w:tcPr>
            <w:tcW w:w="402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426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Common Stock, par value $0.01 per share</w:t>
            </w: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rPr>
              <w:t>INTT</w:t>
            </w:r>
          </w:p>
        </w:tc>
        <w:tc>
          <w:tcPr>
            <w:tcW w:w="5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NYSE American</w:t>
            </w:r>
          </w:p>
        </w:tc>
      </w:tr>
    </w:tbl>
    <w:p>
      <w:pPr>
        <w:spacing w:after="0" w:line="202" w:lineRule="exact"/>
        <w:rPr>
          <w:sz w:val="24"/>
          <w:szCs w:val="24"/>
          <w:color w:val="auto"/>
        </w:rPr>
      </w:pPr>
    </w:p>
    <w:p>
      <w:pPr>
        <w:ind w:right="1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80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ab/>
        <w:t>NO</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184"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476" w:right="45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6040" w:space="720"/>
            <w:col w:w="4360"/>
          </w:cols>
          <w:pgMar w:left="320" w:top="476" w:right="45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80" w:space="80"/>
            <w:col w:w="9060"/>
          </w:cols>
          <w:pgMar w:left="320" w:top="476" w:right="459" w:bottom="1440" w:gutter="0" w:footer="0" w:header="0"/>
          <w:type w:val="continuous"/>
        </w:sectPr>
      </w:pPr>
    </w:p>
    <w:p>
      <w:pPr>
        <w:spacing w:after="0" w:line="1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ab/>
        <w:t>NO</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October 31, 2020:  10,529,123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920" w:type="dxa"/>
            <w:vAlign w:val="bottom"/>
          </w:tcPr>
          <w:p>
            <w:pPr>
              <w:ind w:left="3780"/>
              <w:spacing w:after="0"/>
              <w:rPr>
                <w:sz w:val="20"/>
                <w:szCs w:val="20"/>
                <w:color w:val="auto"/>
              </w:rPr>
            </w:pPr>
            <w:r>
              <w:rPr>
                <w:rFonts w:ascii="Arial" w:cs="Arial" w:eastAsia="Arial" w:hAnsi="Arial"/>
                <w:sz w:val="18"/>
                <w:szCs w:val="18"/>
                <w:b w:val="1"/>
                <w:bCs w:val="1"/>
                <w:color w:val="auto"/>
              </w:rPr>
              <w:t>inTEST CORPORATION</w:t>
            </w:r>
          </w:p>
        </w:tc>
        <w:tc>
          <w:tcPr>
            <w:tcW w:w="4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9920" w:type="dxa"/>
            <w:vAlign w:val="bottom"/>
          </w:tcPr>
          <w:p>
            <w:pPr>
              <w:ind w:left="4500"/>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Financial Statements</w:t>
            </w: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Balance Sheets as of September 30, 2020 (Unaudited) and December 31, 2019</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8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6"/>
              </w:rPr>
              <w:t>Unaudited Consolidated Statements of Operations for the three months and nine months ended September 30, 2020 and 2019</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02"/>
        </w:trPr>
        <w:tc>
          <w:tcPr>
            <w:tcW w:w="840" w:type="dxa"/>
            <w:vAlign w:val="bottom"/>
            <w:shd w:val="clear" w:color="auto" w:fill="CCEEFF"/>
          </w:tcPr>
          <w:p>
            <w:pPr>
              <w:spacing w:after="0"/>
              <w:rPr>
                <w:sz w:val="17"/>
                <w:szCs w:val="17"/>
                <w:color w:val="auto"/>
              </w:rPr>
            </w:pPr>
          </w:p>
        </w:tc>
        <w:tc>
          <w:tcPr>
            <w:tcW w:w="9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Unaudited Consolidated Statements of Comprehensive Earnings (Loss) for the three months and nine months ended September 30,</w:t>
            </w:r>
          </w:p>
        </w:tc>
        <w:tc>
          <w:tcPr>
            <w:tcW w:w="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3</w:t>
            </w:r>
          </w:p>
        </w:tc>
      </w:tr>
      <w:tr>
        <w:trPr>
          <w:trHeight w:val="230"/>
        </w:trPr>
        <w:tc>
          <w:tcPr>
            <w:tcW w:w="840" w:type="dxa"/>
            <w:vAlign w:val="bottom"/>
            <w:shd w:val="clear" w:color="auto" w:fill="CCEEFF"/>
          </w:tcPr>
          <w:p>
            <w:pPr>
              <w:spacing w:after="0"/>
              <w:rPr>
                <w:sz w:val="20"/>
                <w:szCs w:val="20"/>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 and 2019</w:t>
            </w:r>
          </w:p>
        </w:tc>
        <w:tc>
          <w:tcPr>
            <w:tcW w:w="48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0"/>
              </w:rPr>
              <w:t>Unaudited Consolidated Statements of Stockholders' Equity for the three months and nine months ended September 30, 2020 and 2019</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Unaudited Consolidated Statements of Cash Flows for the nine months ended September 30, 2020 and 2019</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8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Controls and Procedures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Legal Proceedings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Risk Factors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Mine Safety Disclosures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Other Information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8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9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Exhibits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07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10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560"/>
        </w:trPr>
        <w:tc>
          <w:tcPr>
            <w:tcW w:w="8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$211 and $211, respectively</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9,533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9,296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24,895</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property and equipment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(5,742)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(5,273)</w:t>
            </w:r>
          </w:p>
        </w:tc>
      </w:tr>
      <w:tr>
        <w:trPr>
          <w:trHeight w:val="209"/>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Right-of-use assets,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4,842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12,727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62,789</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59,715</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3,794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14,881</w:t>
            </w: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$0.01 par value; 20,000,000 shares authorized; 10,562,200 and 10,413,982 shares issued,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17,490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18,005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Treasury stock, at cost; 33,077 shares</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62,789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59,715</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 w:name="page4"/>
    <w:bookmarkEnd w:id="3"/>
    <w:p>
      <w:pPr>
        <w:spacing w:after="0" w:line="20" w:lineRule="exact"/>
        <w:framePr w:w="160" w:h="160" w:wrap="auto" w:vAnchor="page" w:hAnchor="page" w:x="5860" w:y="9200"/>
        <w:rPr>
          <w:rFonts w:ascii="Arial" w:cs="Arial" w:eastAsia="Arial" w:hAnsi="Arial"/>
          <w:sz w:val="13"/>
          <w:szCs w:val="13"/>
          <w:color w:val="auto"/>
        </w:rPr>
      </w:pPr>
      <w:r>
        <w:rPr>
          <w:rFonts w:ascii="Arial" w:cs="Arial" w:eastAsia="Arial" w:hAnsi="Arial"/>
          <w:sz w:val="13"/>
          <w:szCs w:val="13"/>
          <w:color w:val="auto"/>
        </w:rPr>
        <w:t>2</w:t>
      </w: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rFonts w:ascii="Arial" w:cs="Arial" w:eastAsia="Arial" w:hAnsi="Arial"/>
          <w:sz w:val="13"/>
          <w:szCs w:val="13"/>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5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14,443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7,993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7,427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21,564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24,286</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22,760</w:t>
            </w: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3,753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10,549</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6,023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20,807</w:t>
            </w: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(loss)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 (benefit)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earnings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10,269,995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10,421,383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10,247,779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10,405,892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common shares and common share equivalents outstanding -</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10,287,562</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10,429,536</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10,247,779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10,423,121</w:t>
            </w:r>
          </w:p>
        </w:tc>
      </w:tr>
    </w:tbl>
    <w:p>
      <w:pPr>
        <w:spacing w:after="0" w:line="202"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40" w:type="dxa"/>
            <w:vAlign w:val="bottom"/>
            <w:gridSpan w:val="4"/>
          </w:tcPr>
          <w:p>
            <w:pPr>
              <w:jc w:val="right"/>
              <w:ind w:right="1"/>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40" w:type="dxa"/>
            <w:vAlign w:val="bottom"/>
            <w:gridSpan w:val="4"/>
          </w:tcPr>
          <w:p>
            <w:pPr>
              <w:jc w:val="right"/>
              <w:ind w:right="261"/>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3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6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458</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w:t>
            </w:r>
          </w:p>
        </w:tc>
      </w:tr>
      <w:tr>
        <w:trPr>
          <w:trHeight w:val="216"/>
        </w:trPr>
        <w:tc>
          <w:tcPr>
            <w:tcW w:w="3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currency translation adjustments</w:t>
            </w:r>
          </w:p>
        </w:tc>
        <w:tc>
          <w:tcPr>
            <w:tcW w:w="2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101</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r>
      <w:tr>
        <w:trPr>
          <w:trHeight w:val="210"/>
        </w:trPr>
        <w:tc>
          <w:tcPr>
            <w:tcW w:w="316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 (loss)</w:t>
            </w:r>
          </w:p>
        </w:tc>
        <w:tc>
          <w:tcPr>
            <w:tcW w:w="36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559</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4960" w:type="dxa"/>
            <w:vAlign w:val="bottom"/>
            <w:gridSpan w:val="5"/>
          </w:tcPr>
          <w:p>
            <w:pPr>
              <w:jc w:val="center"/>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282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 30, 2020</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2140" w:type="dxa"/>
            <w:vAlign w:val="bottom"/>
            <w:gridSpan w:val="6"/>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10,413,982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(13,767)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10,450,060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Balance, June 30,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10,459,150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26,576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17,032</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44,179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155,110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(52,060)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10,562,200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26,660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17,490</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44,823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 30, 2019</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2140" w:type="dxa"/>
            <w:vAlign w:val="bottom"/>
            <w:gridSpan w:val="6"/>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10,523,035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80,300</w:t>
            </w:r>
          </w:p>
        </w:tc>
        <w:tc>
          <w:tcPr>
            <w:tcW w:w="1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9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10,603,335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16,821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44,118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35,380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(12,325)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Balance, June 30, 2019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10,626,390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26,908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16,634</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44,203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Amortization of deferred compensation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related to stock-based awards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(39,158)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10,604,132</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26,971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17,281</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44,769</w:t>
            </w: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4960" w:type="dxa"/>
            <w:vAlign w:val="bottom"/>
            <w:gridSpan w:val="16"/>
          </w:tcPr>
          <w:p>
            <w:pPr>
              <w:jc w:val="right"/>
              <w:ind w:right="287"/>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(loss) to net cash provided by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2,378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of earnout for 2018 related to Ambrell acquisition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exchange loss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Proceeds from sale of demonstration equipment, net of gain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 benefit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accounts receivable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(1,551)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Restricted certificates of deposit</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wages and benefits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professional fees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sales commissions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(9,131)</w:t>
            </w:r>
          </w:p>
        </w:tc>
      </w:tr>
      <w:tr>
        <w:trPr>
          <w:trHeight w:val="209"/>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 loans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Paycheck Protection Program loans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rates on cash</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all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(9,836)</w:t>
            </w:r>
          </w:p>
        </w:tc>
      </w:tr>
      <w:tr>
        <w:trPr>
          <w:trHeight w:val="230"/>
        </w:trPr>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7,612</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17,861</w:t>
            </w:r>
          </w:p>
        </w:tc>
      </w:tr>
      <w:tr>
        <w:trPr>
          <w:trHeight w:val="210"/>
        </w:trPr>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w:t>
            </w: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60" w:type="dxa"/>
            <w:vAlign w:val="bottom"/>
          </w:tcPr>
          <w:p>
            <w:pPr>
              <w:spacing w:after="0"/>
              <w:rPr>
                <w:sz w:val="18"/>
                <w:szCs w:val="18"/>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Cash payments for:</w:t>
            </w: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Domestic and foreign income taxes</w:t>
            </w:r>
          </w:p>
        </w:tc>
        <w:tc>
          <w:tcPr>
            <w:tcW w:w="33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8" w:name="page9"/>
    <w:bookmarkEnd w:id="8"/>
    <w:p>
      <w:pPr>
        <w:jc w:val="center"/>
        <w:ind w:right="-3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652" w:hanging="652"/>
        <w:spacing w:after="0"/>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652"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which are also our reportable segments: Thermal Products ("Thermal") and Electromechanical Solutions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 owned subsidiaries.</w:t>
      </w:r>
    </w:p>
    <w:p>
      <w:pPr>
        <w:spacing w:after="0" w:line="194" w:lineRule="exact"/>
        <w:rPr>
          <w:rFonts w:ascii="Arial" w:cs="Arial" w:eastAsia="Arial" w:hAnsi="Arial"/>
          <w:sz w:val="18"/>
          <w:szCs w:val="18"/>
          <w:b w:val="1"/>
          <w:bCs w:val="1"/>
          <w:color w:val="auto"/>
        </w:rPr>
      </w:pPr>
    </w:p>
    <w:p>
      <w:pPr>
        <w:ind w:left="652"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energy, industrial and telecommunications markets. As a result of the acquisition of Ambrell Corporation (“Ambrell”) in May 2017, our Thermal segment also sells into the consumer products packaging, fiber optics and other sectors within the broader industrial market, and into the wafer processing sector within the broader semiconductor market.</w:t>
      </w:r>
    </w:p>
    <w:p>
      <w:pPr>
        <w:spacing w:after="0" w:line="194" w:lineRule="exact"/>
        <w:rPr>
          <w:rFonts w:ascii="Arial" w:cs="Arial" w:eastAsia="Arial" w:hAnsi="Arial"/>
          <w:sz w:val="18"/>
          <w:szCs w:val="18"/>
          <w:b w:val="1"/>
          <w:bCs w:val="1"/>
          <w:color w:val="auto"/>
        </w:rPr>
      </w:pPr>
    </w:p>
    <w:p>
      <w:pPr>
        <w:ind w:left="652"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rFonts w:ascii="Arial" w:cs="Arial" w:eastAsia="Arial" w:hAnsi="Arial"/>
          <w:sz w:val="18"/>
          <w:szCs w:val="18"/>
          <w:b w:val="1"/>
          <w:bCs w:val="1"/>
          <w:color w:val="auto"/>
        </w:rPr>
      </w:pPr>
    </w:p>
    <w:p>
      <w:pPr>
        <w:ind w:left="652"/>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ATE and wafer processing sectors within the broader semiconductor market), and “Non-Semiconductor” (which includes all of the other markets we serve). Starting in the second quarter of 2019, we began referring to the broader semiconductor market, including the ATE and wafer processing sectors within that market, as the “Semi Market.” All other markets are designated as “Multimarket.” The Semi Market, which is the principal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6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rFonts w:ascii="Arial" w:cs="Arial" w:eastAsia="Arial" w:hAnsi="Arial"/>
          <w:sz w:val="18"/>
          <w:szCs w:val="18"/>
          <w:b w:val="1"/>
          <w:bCs w:val="1"/>
          <w:color w:val="auto"/>
        </w:rPr>
      </w:pPr>
    </w:p>
    <w:p>
      <w:pPr>
        <w:ind w:left="652"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Our business has been, and will continue to be, adversely affected by the ongoing COVID-19 pandemic. As of the date of this filing, COVID-19 continues to cause significant disruptions in the normal business environment, both domestically and globally, and we believe the situation will remain challenging until the spread of the virus can be contained. Since March 17, 2020, several states, including all of the states in which we have manufacturing facilities, have instituted “shelter-in place” orders as well as guidance in response to COVID-19 and the need to contain it. As of the date of this filing, all of the states in which we operate have re-opened to varying degrees. However, some of these states have paused their re-opening plans or reversed actions they had taken with respect to their re-opening plans because of increased spread. Despite these changes, all of our operations continue to be deemed “critical and essential business operations” under the various governmental COVID-19 mandates which has allowed us to continue to operate our business with certain modifications as discussed below.</w:t>
      </w:r>
    </w:p>
    <w:p>
      <w:pPr>
        <w:spacing w:after="0" w:line="1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0" w:right="379" w:bottom="1440" w:gutter="0" w:footer="0" w:header="0"/>
        </w:sectPr>
      </w:pPr>
    </w:p>
    <w:bookmarkStart w:id="9" w:name="page10"/>
    <w:bookmarkEnd w:id="9"/>
    <w:p>
      <w:pPr>
        <w:ind w:right="40"/>
        <w:spacing w:after="0" w:line="286" w:lineRule="auto"/>
        <w:rPr>
          <w:sz w:val="20"/>
          <w:szCs w:val="20"/>
          <w:color w:val="auto"/>
        </w:rPr>
      </w:pPr>
      <w:r>
        <w:rPr>
          <w:rFonts w:ascii="Arial" w:cs="Arial" w:eastAsia="Arial" w:hAnsi="Arial"/>
          <w:sz w:val="16"/>
          <w:szCs w:val="16"/>
          <w:color w:val="auto"/>
        </w:rPr>
        <w:t>Although our net revenues from all of the markets we serve have been significantly affected by COVID-19, the impact of COVID-19 on our net revenues from the Semi Market has been intensified because it began during a time when our business operations were also being negatively affected by a global downturn in the Semi Market. The Semi Market, from which approximately half of our net revenues are derived, entered a cyclical downturn in the beginning of 2019. This downturn resulted in significant declines in our net revenues from the Semi Market during 2020 as compared to 2019, particularly during the first half of the year, and was the primary factor causing the net loss we recorded in the first nine months of 2020 of $515. Our net revenues from the Semi Market for the first nine months of 2020 totaled $19,256 compared to $24,878 in the first nine months of 2019. During the first quarter of 2020, before the spread of COVID-19, we had started to see indications that the downturn was coming to an end and that the beginning of the next cyclical upturn in the Semi Market was about to commence. However, COVID-19 impacted this timing and, as a result, the recovery in the Semi Market was delayed. Although we saw increasing order rates from our customers in the Semi Market during the second quarter of 2020, this trend did not continue for all of the products we sell into this market during the third quarter of 2020. While the broader Semi Market appears to have entered the next cyclical upturn, we serve only a portion of that broader market. Furthermore, because we sell to a limited number of customers in the ATE and wafer processing sectors within the broader Semi Market, the trend in our orders and net revenues does not always follow the overall trend in these sectors of the broader Semi Market. Accordingly, there can be no assurance that the trend in our orders from customers in the Semi Market will follow the trend in the broader Semi Market, in particular, if the spread of COVID-19 is not further contained and one or more of our significant customers is negatively impacted.</w:t>
      </w:r>
    </w:p>
    <w:p>
      <w:pPr>
        <w:spacing w:after="0" w:line="16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addition, the aftermarket service and support that we provide to our customers has been, and we expect may continue to be, adversely impacted by COVID-19 due to travel restrictions which continue to exist in some locations and limitations on visitors allowed into customer facilities, which has resulted in some of these activities being reduced or suspended. The net revenues associated with these aftermarket service and support activities typically range from 8% to 10% of our consolidated net revenues. Although these net revenues returned to a more typical range during the third quarter of 2020, if the spread of COVID-19 worsens, these revenues may be reduced in future periods.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2019, we made adjustments to reduce our fixed cost structure, which included staff reductions and limits on all discretionary spending. As a result of the delay in the Semi Market recovery discussed above and the impact of COVID-19 on our operations, we have taken actions to further reduce our fixed cost structure with the goal of limiting future losses and maintaining an adequate level of liquidity to operate our business. To date, these additional actions have included further staff reductions, the temporary closure of our EMS manufacturing facility in Fremont, California for approximately three weeks beginning in late March and the temporary closure of our Thermal segment manufacturing facility in Mansfield, Massachusetts for a two-week period at the beginning of April. As discussed further in Note 9, on April 10, 2020, we entered into a Loan and Security Agreement (the “Agreement”) with M&amp;T Bank (“M&amp;T”). Under the terms of the Agreement, M&amp;T has provided us with a $7,500 revolving credit facility. This revolving credit facility was put in place to provide us with additional liquidity in response to the current business environment as a result of COVID-19.</w:t>
      </w:r>
    </w:p>
    <w:p>
      <w:pPr>
        <w:spacing w:after="0" w:line="19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As of the date of the filing of this report, all of our facilities are open, although a significant number of our employees are working remotely as discussed below. As discussed further in Note 3, we are in the process of closing our manufacturing operation in Fremont, California. We expect that action to be substantially completed during the fourth quarter of 2020. While we do not currently have any further plans for other facility closures, if the current pace of the spread of COVID-19 cannot be sufficiently slowed and the spread of the virus is not contained, our business operations could be further interrupted. If the spread of the virus cannot be contained, government and health authorities may announce new or extend existing restrictions, which could require us to make further adjustments to our operations in order to comply with any such restrictions. These adjustments to our operations could include additional facility closures in the future if demand slows down, which could have a material negative impact on our business, results of operations, financial condition and cash flows. The funds we may be able to draw down under the Agreement may not be sufficient to prevent the need to take further actions, such as staff reductions, facility closures or other salary and benefits adjustments for remaining employees. As a result of our current level of working capital as well as the availability of the revolving credit facility under the Agreement, we currently expect to have sufficient liquidity to operate our business throughout the balance of 2020, as further described in this report.</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Generally, global supply chains and the timely availability of products have been, and will continue to be, materially disrupted by quarantines, factory slowdowns or shutdowns, border closings and travel restrictions resulting from COVID-19. We have experienced, and expect that we may continue to experience, extended delivery lead times, price increases and/or lack of availability from our normal suppliers for the materials needed to produce our products in a timely manner and/or with the level of margins we typically expect to achieve. We are working to mitigate and address these delays and price increases, but there can be no assurance that we will not experience delays or price increases in the future which could have a material negative impact on our business, results of operations and financial condition.</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implemented workplace safeguards designed to protect the health and well-being of our employees. A significant number of employees have been authorized to work from home and have been provided with the tools and technology necessary to do so. However, the process of working remotely may result in those employees not being as effective or responsive to our customers’ needs as they would be under more normal conditions. This could result in lost business opportunities or have other negative impacts on our business. Remaining employees in our facilities are following World Health Organization (“WHO”) and Centers for Disease Control and Prevention (“CDC”) recommended safety practices, as well as state and local directives, but there can be no assurances that we can successfully avoid one or more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6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10" w:name="page11"/>
    <w:bookmarkEnd w:id="10"/>
    <w:p>
      <w:pPr>
        <w:ind w:left="652"/>
        <w:spacing w:after="0" w:line="275" w:lineRule="auto"/>
        <w:rPr>
          <w:sz w:val="20"/>
          <w:szCs w:val="20"/>
          <w:color w:val="auto"/>
        </w:rPr>
      </w:pPr>
      <w:r>
        <w:rPr>
          <w:rFonts w:ascii="Arial" w:cs="Arial" w:eastAsia="Arial" w:hAnsi="Arial"/>
          <w:sz w:val="17"/>
          <w:szCs w:val="17"/>
          <w:color w:val="auto"/>
        </w:rPr>
        <w:t>The duration of any business disruption and related financial impact cannot be reasonably estimated at this time but may materially affect our ability to operate our business and result in additional costs. The extent to which COVID-19 may impact our operating results, financial condition, and liquidity will depend on future developments, which are highly uncertain and cannot be predicted as of the date of the filing of this report, including new information that may emerge concerning the severity of COVID-19 and steps taken to contain COVID-19 or treat its impact, among others. The adverse effects of COVID-19 on our business could be material in future periods.</w:t>
      </w:r>
    </w:p>
    <w:p>
      <w:pPr>
        <w:spacing w:after="0" w:line="200" w:lineRule="exact"/>
        <w:rPr>
          <w:sz w:val="20"/>
          <w:szCs w:val="20"/>
          <w:color w:val="auto"/>
        </w:rPr>
      </w:pPr>
    </w:p>
    <w:p>
      <w:pPr>
        <w:spacing w:after="0" w:line="215" w:lineRule="exact"/>
        <w:rPr>
          <w:sz w:val="20"/>
          <w:szCs w:val="20"/>
          <w:color w:val="auto"/>
        </w:rPr>
      </w:pPr>
    </w:p>
    <w:p>
      <w:pPr>
        <w:ind w:left="652" w:right="5900" w:hanging="652"/>
        <w:spacing w:after="0" w:line="503" w:lineRule="auto"/>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652"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77" w:lineRule="exact"/>
        <w:rPr>
          <w:rFonts w:ascii="Arial" w:cs="Arial" w:eastAsia="Arial" w:hAnsi="Arial"/>
          <w:sz w:val="18"/>
          <w:szCs w:val="18"/>
          <w:b w:val="1"/>
          <w:bCs w:val="1"/>
          <w:color w:val="auto"/>
        </w:rPr>
      </w:pPr>
    </w:p>
    <w:p>
      <w:pPr>
        <w:ind w:left="65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2019 (“2019 Form 10-K”) filed on March 23, 2020 with the Securities and Exchange Commission ("SEC").</w:t>
      </w:r>
    </w:p>
    <w:p>
      <w:pPr>
        <w:spacing w:after="0" w:line="192"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rFonts w:ascii="Arial" w:cs="Arial" w:eastAsia="Arial" w:hAnsi="Arial"/>
          <w:sz w:val="18"/>
          <w:szCs w:val="18"/>
          <w:b w:val="1"/>
          <w:bCs w:val="1"/>
          <w:color w:val="auto"/>
        </w:rPr>
      </w:pPr>
    </w:p>
    <w:p>
      <w:pPr>
        <w:ind w:left="652" w:right="4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nine months ended September 30, 2020 other than those described in Note 1 under “COVID-19 Pandemic” and Note 3.</w:t>
      </w:r>
    </w:p>
    <w:p>
      <w:pPr>
        <w:spacing w:after="0" w:line="183"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rFonts w:ascii="Arial" w:cs="Arial" w:eastAsia="Arial" w:hAnsi="Arial"/>
          <w:sz w:val="18"/>
          <w:szCs w:val="18"/>
          <w:b w:val="1"/>
          <w:bCs w:val="1"/>
          <w:color w:val="auto"/>
        </w:rPr>
      </w:pPr>
    </w:p>
    <w:p>
      <w:pPr>
        <w:ind w:left="652"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rFonts w:ascii="Arial" w:cs="Arial" w:eastAsia="Arial" w:hAnsi="Arial"/>
          <w:sz w:val="18"/>
          <w:szCs w:val="18"/>
          <w:b w:val="1"/>
          <w:bCs w:val="1"/>
          <w:color w:val="auto"/>
        </w:rPr>
      </w:pPr>
    </w:p>
    <w:p>
      <w:pPr>
        <w:ind w:left="652" w:right="1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guidance in Accounting Standards Codification (“ASC”) Topic 420 (Exit or Disposal Cost Obligations),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(Leases), ASC Topic 360 (Property, Plant and Equipment) and ASC Topic 350 (Intangibles - Goodwill and Other).</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account for goodwill and intangible assets in accordance with ASC Topic 350.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85"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5"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7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7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12" w:name="page13"/>
    <w:bookmarkEnd w:id="12"/>
    <w:p>
      <w:pPr>
        <w:ind w:right="300"/>
        <w:spacing w:after="0" w:line="279"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3"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We are a global supplier of precision-engineered solutions for use in manufacturing and testing across a wide range of markets including automotive, defense/aerospace, energy, industrial, semiconductor and telecommunications. We sell thermal management products including ThermoStreams, ThermoChambers and process chillers, which we sell under our Temptronic, Sigma and Thermonics product lines, and Ambrell’s precision induction heating systems, including EKOHEAT and EASYHEAT products. We sell semiconductor ATE interface solutions which include manipulators, docking hardware and electrical interface products. We provide post-warranty service and support for the equipment we sell. We sell semiconductor ATE interface solutions and certain thermal management products to the Semi Market. We also sell our thermal management products to various other markets including the automotive, defense/aerospace, energy, industrial and telecommunications markets.</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13 for further information about our revenue from contracts with customers.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account for leases in accordance with ASC Topic 842 which was effective for us as of January 1, 2019. Upon adoption of ASC Topic 842, we elected the package of practical expedients which included the grandfathering of the lease classification that had been made under prior guidance and, accordingly, we did not re-evaluate any of our leases for classification purposes in connection with the implementation of ASC Topic 842. All of our lease contracts are still being treated as operating leases. We do not currently have any lease contracts that meet the criteria to be categorized as finance leases. We did not elect the hindsight practical expedient and, therefore, did not reevaluate the lease terms that we used under prior guidance. The implementation of ASC Topic 842 had a significant impact on our consolidated balance sheet as a result of recording ROU assets and lease liabilities for all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ASC Topic 842 did not have a significant impact on our pattern of expense recognition for any of our multi-year leases.</w:t>
      </w:r>
    </w:p>
    <w:p>
      <w:pPr>
        <w:spacing w:after="0" w:line="16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the economic benefits from the use of the asset as well as decision-making authority over how the asset will be used. Leases are classified as either operating leases or finance leases based on the guidance in ASC Topic 842. Operating leases are included in operating ROU assets and operating lease liabilities in our consolidated balance sheets. Finance leases are included in property and equipment and finance lease liabilities. We do not have embedded leases nor do we have any initial direct costs related to our lease contracts.</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in our consolidated statements of cash flows.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disclosures regarding our leases.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Proceeds</w:t>
      </w:r>
    </w:p>
    <w:p>
      <w:pPr>
        <w:spacing w:after="0" w:line="225"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In connection with leasing a new facility in Rochester, New York, which our subsidiary, Ambrell, occupied in May 2018, we entered into agreements with the city of Rochester and the state of New York under which we received grants totaling $463 to help offset a portion of the cost of the leasehold improvements we have made to this facility. In exchange for the funds we received under these agreements, we are required to create and maintain specified levels of employment in this location through various dates ending in 2023. If we fail to meet these employment targets, we may be required to repay a proportionate share of the proceeds. As of September 30, 2020, $423 of the total proceeds received could still be required to be repaid if we do not meet the targets. We have recorded this amount as a contingent liability which is included in other liabilities on our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$32 at September 30, 2020.</w:t>
      </w:r>
    </w:p>
    <w:p>
      <w:pPr>
        <w:spacing w:after="0" w:line="166"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As of December 31, 2019, we were not in compliance with the employment targets as specified in the grant agreement with the city of Rochester. We applied for and received a waiver of this requirement for the year ended December 31, 2019. As of September 30, 2020, we are still not in compliance with these employment targets. We have until December 31, 2020 to come into compliance with the targets as outlined in the waiver received for the year ended December 31, 2019. If we do not achieve compliance, we will need to apply for an additional waiver or we may be required to repay a proportionate share of the proceeds.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left="660" w:right="100"/>
        <w:spacing w:after="0" w:line="263"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Three Months Ended</w:t>
            </w:r>
          </w:p>
        </w:tc>
        <w:tc>
          <w:tcPr>
            <w:tcW w:w="27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27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10,269,995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10,421,383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10,247,779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10,405,892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Unvested shares of restricted stock and employee stock</w:t>
            </w: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17,567</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8,153</w:t>
            </w: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17,229</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44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Weighted average common shares and common share</w:t>
            </w: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10,287,562</w:t>
            </w: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10,429,536</w:t>
            </w: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10,247,779</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10,423,121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560" w:type="dxa"/>
            <w:vAlign w:val="bottom"/>
          </w:tcPr>
          <w:p>
            <w:pPr>
              <w:ind w:left="160"/>
              <w:spacing w:after="0" w:line="190" w:lineRule="exact"/>
              <w:rPr>
                <w:sz w:val="20"/>
                <w:szCs w:val="20"/>
                <w:color w:val="auto"/>
              </w:rPr>
            </w:pPr>
            <w:r>
              <w:rPr>
                <w:rFonts w:ascii="Arial" w:cs="Arial" w:eastAsia="Arial" w:hAnsi="Arial"/>
                <w:sz w:val="18"/>
                <w:szCs w:val="18"/>
                <w:color w:val="auto"/>
              </w:rPr>
              <w:t>equivalents outstanding - diluted</w:t>
            </w:r>
          </w:p>
        </w:tc>
        <w:tc>
          <w:tcPr>
            <w:tcW w:w="14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 w:type="dxa"/>
            <w:vAlign w:val="bottom"/>
          </w:tcPr>
          <w:p>
            <w:pPr>
              <w:spacing w:after="0"/>
              <w:rPr>
                <w:sz w:val="15"/>
                <w:szCs w:val="15"/>
                <w:color w:val="auto"/>
              </w:rPr>
            </w:pPr>
          </w:p>
        </w:tc>
        <w:tc>
          <w:tcPr>
            <w:tcW w:w="4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Average number of potentially dilutive securities excluded</w:t>
            </w: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631,392</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657,969</w:t>
            </w: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722,538</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501,964</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from calculation</w:t>
            </w:r>
          </w:p>
        </w:tc>
        <w:tc>
          <w:tcPr>
            <w:tcW w:w="1440" w:type="dxa"/>
            <w:vAlign w:val="bottom"/>
            <w:gridSpan w:val="2"/>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66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5" w:name="page16"/>
    <w:bookmarkEnd w:id="15"/>
    <w:p>
      <w:pPr>
        <w:ind w:left="652"/>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652" w:right="180"/>
        <w:spacing w:after="0" w:line="290"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are currently evaluating the impact the adoption of these amendments will have on our consolidated financial statements.</w:t>
      </w:r>
    </w:p>
    <w:p>
      <w:pPr>
        <w:spacing w:after="0" w:line="165"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In December 2019, the FASB issued amendments to the accounting for income taxes, which add new guidance to simplify the accounting for income taxes by removing certain exceptions to the general principles in ASC Topic 740 (Income Taxes) and changing the accounting for certain income tax transactions. The amendments are effective for us as of January 1, 2021. Early adoption is permitted. We plan to adopt the amendments when they become effective for us on January 1, 2021. We do not expect these amendments to have a material impact on our consolidated financial statements.</w:t>
      </w:r>
    </w:p>
    <w:p>
      <w:pPr>
        <w:spacing w:after="0" w:line="200" w:lineRule="exact"/>
        <w:rPr>
          <w:sz w:val="20"/>
          <w:szCs w:val="20"/>
          <w:color w:val="auto"/>
        </w:rPr>
      </w:pPr>
    </w:p>
    <w:p>
      <w:pPr>
        <w:spacing w:after="0" w:line="227" w:lineRule="exact"/>
        <w:rPr>
          <w:sz w:val="20"/>
          <w:szCs w:val="20"/>
          <w:color w:val="auto"/>
        </w:rPr>
      </w:pPr>
    </w:p>
    <w:p>
      <w:pPr>
        <w:ind w:left="652" w:hanging="652"/>
        <w:spacing w:after="0"/>
        <w:tabs>
          <w:tab w:leader="none" w:pos="6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EMS Segment Restructuring and Facility Consolidation</w:t>
      </w:r>
    </w:p>
    <w:p>
      <w:pPr>
        <w:spacing w:after="0" w:line="225" w:lineRule="exact"/>
        <w:rPr>
          <w:rFonts w:ascii="Arial" w:cs="Arial" w:eastAsia="Arial" w:hAnsi="Arial"/>
          <w:sz w:val="18"/>
          <w:szCs w:val="18"/>
          <w:b w:val="1"/>
          <w:bCs w:val="1"/>
          <w:color w:val="auto"/>
        </w:rPr>
      </w:pPr>
    </w:p>
    <w:p>
      <w:pPr>
        <w:ind w:left="652"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21, 2020, we notified employees in our Fremont, California facility of a plan to consolidate all manufacturing for our EMS segment into our manufacturing operation located in Mt. Laurel, New Jersey. Currently, our interface products are manufactured in the Fremont facility, and our manipulator and docking hardware products are manufactured in the Mt. Laurel facility. The consolidation of manufacturing operations will result in the closure of the Fremont facility and the termination of certain employees at that location. The consolidation is being undertaken to better serve customers through streamlined operations and reduce the fixed annual operating costs for the EMS segment. The consolidation is expected to be substantially completed during the fourth quarter of 2020. A small engineering and sales office will be maintained in northern California after the consolidation of manufacturing operations has been completed.</w:t>
      </w:r>
    </w:p>
    <w:p>
      <w:pPr>
        <w:spacing w:after="0" w:line="177" w:lineRule="exact"/>
        <w:rPr>
          <w:rFonts w:ascii="Arial" w:cs="Arial" w:eastAsia="Arial" w:hAnsi="Arial"/>
          <w:sz w:val="18"/>
          <w:szCs w:val="18"/>
          <w:b w:val="1"/>
          <w:bCs w:val="1"/>
          <w:color w:val="auto"/>
        </w:rPr>
      </w:pPr>
    </w:p>
    <w:p>
      <w:pPr>
        <w:ind w:left="652"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As a result of this action, we expect to incur cash charges for severance and other one-time termination benefits ranging from $50 to $100. In addition, we expect to incur cash charges for other costs related to the facility consolidation, including moving costs and production start-up costs, ranging from $300 to $400. Most of these costs are expected to be incurred during the fourth quarter of 2020. Costs incurred through September 30, 2020 related to these actions were $14. The costs are included in general and administrative expense on our statement of operations. The cash payments are expected to be made during the fourth quarter of 2020 and the first quarter of 2021. In addition, we intend to try to sublease our facility located in Fremont, California. When manufacturing operations cease in the Fremont facility we expect to record an impairment charge related to the ROU asset for the lease of the Fremont facility as we do not currently expect to sublet the facility for the full remaining term of the lease. We currently estimate the amount of this charge will range from $700 to $800. This impairment charge is expected to be recorded in the fourth quarter of 2020 and will be a non-cash charge As of September 30, 2020, the ROU asset related to this facility totaled $1,174.</w:t>
      </w:r>
    </w:p>
    <w:p>
      <w:pPr>
        <w:spacing w:after="0" w:line="16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Changes in the amount of the liability for accrued restructuring for the nine months ended September 30, 2020 are as follows:</w:t>
      </w:r>
    </w:p>
    <w:p>
      <w:pPr>
        <w:sectPr>
          <w:pgSz w:w="11900" w:h="16838" w:orient="portrait"/>
          <w:cols w:equalWidth="0" w:num="1">
            <w:col w:w="11232"/>
          </w:cols>
          <w:pgMar w:left="328" w:top="584" w:right="339" w:bottom="1440" w:gutter="0" w:footer="0" w:header="0"/>
        </w:sectPr>
      </w:pP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Balance -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-121920</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652"/>
        <w:spacing w:after="0"/>
        <w:rPr>
          <w:sz w:val="20"/>
          <w:szCs w:val="20"/>
          <w:color w:val="auto"/>
        </w:rPr>
      </w:pPr>
      <w:r>
        <w:rPr>
          <w:rFonts w:ascii="Arial" w:cs="Arial" w:eastAsia="Arial" w:hAnsi="Arial"/>
          <w:sz w:val="16"/>
          <w:szCs w:val="16"/>
          <w:color w:val="auto"/>
        </w:rPr>
        <w:t>Accruals for other associated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20320</wp:posOffset>
            </wp:positionV>
            <wp:extent cx="64122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Cash payments</w:t>
      </w:r>
    </w:p>
    <w:p>
      <w:pPr>
        <w:spacing w:after="0" w:line="4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Balance September 30, 2020</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6"/>
          <w:szCs w:val="16"/>
          <w:b w:val="1"/>
          <w:bCs w:val="1"/>
          <w:i w:val="1"/>
          <w:iCs w:val="1"/>
          <w:u w:val="single" w:color="auto"/>
          <w:color w:val="auto"/>
        </w:rPr>
        <w:t>Executive Management Changes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2"/>
          </w:tcPr>
          <w:p>
            <w:pPr>
              <w:jc w:val="right"/>
              <w:ind w:right="50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8412" w:space="720"/>
            <w:col w:w="2100"/>
          </w:cols>
          <w:pgMar w:left="328" w:top="584" w:right="339" w:bottom="1440" w:gutter="0" w:footer="0" w:header="0"/>
          <w:type w:val="continuous"/>
        </w:sectPr>
      </w:pPr>
    </w:p>
    <w:p>
      <w:pPr>
        <w:spacing w:after="0" w:line="48" w:lineRule="exact"/>
        <w:rPr>
          <w:sz w:val="20"/>
          <w:szCs w:val="20"/>
          <w:color w:val="auto"/>
        </w:rPr>
      </w:pPr>
    </w:p>
    <w:p>
      <w:pPr>
        <w:ind w:left="652" w:right="260"/>
        <w:spacing w:after="0" w:line="255" w:lineRule="auto"/>
        <w:rPr>
          <w:sz w:val="20"/>
          <w:szCs w:val="20"/>
          <w:color w:val="auto"/>
        </w:rPr>
      </w:pPr>
      <w:r>
        <w:rPr>
          <w:rFonts w:ascii="Arial" w:cs="Arial" w:eastAsia="Arial" w:hAnsi="Arial"/>
          <w:sz w:val="18"/>
          <w:szCs w:val="18"/>
          <w:color w:val="auto"/>
        </w:rPr>
        <w:t>On August 6, 2020, our Board of Directors accepted the resignation of James Pelrin as President and Chief Executive Officer (“CEO”) and as a director. In connection with his resignation, we entered into a Separation and Consulting Agreement (the “Separation Agreement”) with Mr. Pelrin dated August 6, 2020 pursuant to which Mr. Pelrin has agreed to provide consulting services for three months, subject to an extension of up to an additional three months at our option. The Separation Agreement also provides that Mr. Pelrin is entitled to severance and other benefits. The full text of the Separation Agreement is included as Exhibit 10.1 to our Current Report on Form 8-K (“8-K”) filed on August 11, 2020 with the SEC.</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type w:val="continuous"/>
        </w:sectPr>
      </w:pPr>
    </w:p>
    <w:bookmarkStart w:id="16" w:name="page17"/>
    <w:bookmarkEnd w:id="16"/>
    <w:p>
      <w:pPr>
        <w:ind w:left="660" w:right="240"/>
        <w:spacing w:after="0" w:line="257" w:lineRule="auto"/>
        <w:rPr>
          <w:sz w:val="20"/>
          <w:szCs w:val="20"/>
          <w:color w:val="auto"/>
        </w:rPr>
      </w:pPr>
      <w:r>
        <w:rPr>
          <w:rFonts w:ascii="Arial" w:cs="Arial" w:eastAsia="Arial" w:hAnsi="Arial"/>
          <w:sz w:val="18"/>
          <w:szCs w:val="18"/>
          <w:color w:val="auto"/>
        </w:rPr>
        <w:t>On August 6, 2020, our Board of Directors approved, effective as of August 24, 2020 (the “Start Date”), the appointment of Richard N. Grant, Jr. to the position of President and CEO and to fill the vacancy on our Board of Directors left by Mr. Pelrin’s resignation. We entered into a letter agreement with Mr. Grant, subject to his appointment as our President, CEO and a director, which appointments occurred on August 6, 2020 and became effective as of the Start Date. The full text of the letter agreement is included as Exhibit 10.2 to our 8-K filed on August 11, 2020 with the SEC.</w:t>
      </w:r>
    </w:p>
    <w:p>
      <w:pPr>
        <w:spacing w:after="0" w:line="188" w:lineRule="exact"/>
        <w:rPr>
          <w:sz w:val="20"/>
          <w:szCs w:val="20"/>
          <w:color w:val="auto"/>
        </w:rPr>
      </w:pPr>
    </w:p>
    <w:p>
      <w:pPr>
        <w:ind w:left="660" w:right="240"/>
        <w:spacing w:after="0" w:line="288" w:lineRule="auto"/>
        <w:rPr>
          <w:sz w:val="20"/>
          <w:szCs w:val="20"/>
          <w:color w:val="auto"/>
        </w:rPr>
      </w:pPr>
      <w:r>
        <w:rPr>
          <w:rFonts w:ascii="Arial" w:cs="Arial" w:eastAsia="Arial" w:hAnsi="Arial"/>
          <w:sz w:val="16"/>
          <w:szCs w:val="16"/>
          <w:color w:val="auto"/>
        </w:rPr>
        <w:t>Total costs incurred during the nine months ended September 30, 2020 related to these executive management changes were $495, which consisted of $224 for the executive management search firm, $128 for legal fees related to the transition, and $143 for severance and consulting fees paid to our former CEO. These costs were partially offset by the reversal of $117 of expense related to stock-based compensation awards forfeited at his termination date by our former CEO. All of these costs were included in general and administrative expense in our consolidated statement of operations and were accrued and paid during the nine months ended September 30, 2020. We expect to incur an additional $20 in consulting fees during the fourth quarter of 2020 related to these actions. In addition, in connection with these actions, we are reducing the administrative footprint in our Mansfield, Massachusetts corporate office associated with the reestablishment of the Mt. Laurel, New Jersey office as our corporate headquarters. We expect to record a non-cash impairment charge in the range of $100 to $200 during the fourth quarter of 2020 related to the ROU asset associated with the lease of the corporate space in Mansfield. As of September 30, 2020, the ROU asset related to this space totaled $242. We do not expect to incur any additional costs related to these actions after December 31, 2020.</w:t>
      </w: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660"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our goodwill and intangible assets are allocated to our Thermal segment.</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2"/>
              </w:rPr>
              <w:t>Goodwill totaled $13,738 at both September 30, 2020 and December 31, 2019 and was comprised of the following:</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Sigma</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Thermonics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Ambrell</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Changes in the amount of the carrying value of finite-lived intangible assets for the nine months ended September 30, 2020 are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2020</w:t>
            </w:r>
          </w:p>
        </w:tc>
        <w:tc>
          <w:tcPr>
            <w:tcW w:w="38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Amortization</w:t>
            </w: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r>
      <w:tr>
        <w:trPr>
          <w:trHeight w:val="25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2020</w:t>
            </w:r>
          </w:p>
        </w:tc>
        <w:tc>
          <w:tcPr>
            <w:tcW w:w="3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further detail about our intangible assets as of September 30, 2020 and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September 30, 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4,633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18,790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6,063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0" w:type="dxa"/>
            <w:vAlign w:val="bottom"/>
            <w:vMerge w:val="restart"/>
          </w:tcPr>
          <w:p>
            <w:pPr>
              <w:jc w:val="right"/>
              <w:ind w:right="51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584" w:right="2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December 31, 2019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10,480</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3,805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r>
      <w:tr>
        <w:trPr>
          <w:trHeight w:val="216"/>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5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18,790</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5,136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Total amortization expense for our finite-lived intangible assets was $307 and $927 for the three months and nine months ended September 30, 2020, respectively, and $312 and $944 for the three months and nine months ended September 30, 2019, respectively. The following table sets forth the estimated annual amortization expense for each of the next five years: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4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2021</w:t>
            </w:r>
          </w:p>
        </w:tc>
        <w:tc>
          <w:tcPr>
            <w:tcW w:w="4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2023</w:t>
            </w:r>
          </w:p>
        </w:tc>
        <w:tc>
          <w:tcPr>
            <w:tcW w:w="4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Assessment for Impairment of Goodwill and Long-Lived Assets</w:t>
      </w:r>
    </w:p>
    <w:p>
      <w:pPr>
        <w:spacing w:after="0" w:line="225"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As discussed in Note 2, goodwill is assessed for impairment annually in the fourth quarter on a reporting unit basis, or more frequently when events and circumstances occur indicating that the recorded goodwill may be impaired. Long-lived assets are assessed for impairment whenever events or changes in business circumstances indicate that the carrying amount of the assets may not be fully recoverable or that the useful lives of these assets are no longer appropriate. As a result of recent market conditions and trends, including the significant ongoing impact of COVID-19 on the global economy, we performed a qualitative review of facts and circumstances to determine whether it was more likely than not that our goodwill or long-lived assets were impaired and if, as a result, a quantitative impairment assessment was required to be performed as of September 30, 2020. Our review included identifying and weighting the significant factors that have impacted our business operations in recent months, both positively and negatively. We considered the nature of these factors, including whether they were ongoing and related to our core business and markets, or non-recurring and reflected macro-economic or global events that are not directly related to our core business and markets. As a result of our qualitative review, we determined that is was more likely than not that our goodwill and long-lived assets were not impaired and, therefore, no quantitative assessment for impairment was required and, thus not performed, as of September 30, 2020. During the fourth quarter of 2020, we will perform our annual impairment assessment related to our goodwill. As a result of the ongoing uncertainty surrounding the impact of COVID-19 on our operations, we may perform additional qualitative reviews of goodwill and long-lived assets for impairment at various points in 2021. There can be no assurance that we will be able to continue to conclude that it is more likely than not that our goodwill and long-lived assets are not impaired. We may determine that we need to perform a quantitative assessment for impairment at some point in the future. Such a quantitative assessment could result in a determination that an impairment exists which would result in recording an impairment charge. The amount of any such impairment charge could be material. Any future impairment charge recorded could materially adversely impact our balance sheet and results of operations and could result in our being unable to borrow funds that would otherwise be available under our revolving credit facility discussed in Note 9.</w:t>
      </w:r>
    </w:p>
    <w:p>
      <w:pPr>
        <w:spacing w:after="0" w:line="1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0" w:right="259" w:bottom="1440" w:gutter="0" w:footer="0" w:header="0"/>
        </w:sectPr>
      </w:pPr>
    </w:p>
    <w:bookmarkStart w:id="18" w:name="page19"/>
    <w:bookmarkEnd w:id="18"/>
    <w:p>
      <w:pPr>
        <w:ind w:left="652" w:hanging="652"/>
        <w:spacing w:after="0"/>
        <w:tabs>
          <w:tab w:leader="none" w:pos="6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rFonts w:ascii="Arial" w:cs="Arial" w:eastAsia="Arial" w:hAnsi="Arial"/>
          <w:sz w:val="18"/>
          <w:szCs w:val="18"/>
          <w:b w:val="1"/>
          <w:bCs w:val="1"/>
          <w:color w:val="auto"/>
        </w:rPr>
      </w:pPr>
    </w:p>
    <w:p>
      <w:pPr>
        <w:ind w:left="652"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following tables provide additional information about our revenue from contracts with customers, including revenue by customer and product type and revenue by market. See also Note 13 for information about revenue by operating segment and geographic region.</w:t>
      </w:r>
    </w:p>
    <w:p>
      <w:pPr>
        <w:spacing w:after="0" w:line="142"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End user</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12,651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13,167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34,518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42,310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4,736</w:t>
            </w:r>
          </w:p>
        </w:tc>
      </w:tr>
      <w:tr>
        <w:trPr>
          <w:trHeight w:val="20"/>
        </w:trPr>
        <w:tc>
          <w:tcPr>
            <w:tcW w:w="5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14,443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38,948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47,046</w:t>
            </w: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Thermal process</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5,574</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4,635</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Service/other</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1,633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5,192</w:t>
            </w:r>
          </w:p>
        </w:tc>
      </w:tr>
      <w:tr>
        <w:trPr>
          <w:trHeight w:val="20"/>
        </w:trPr>
        <w:tc>
          <w:tcPr>
            <w:tcW w:w="5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47,046</w:t>
            </w:r>
          </w:p>
        </w:tc>
      </w:tr>
      <w:tr>
        <w:trPr>
          <w:trHeight w:val="197"/>
        </w:trPr>
        <w:tc>
          <w:tcPr>
            <w:tcW w:w="5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Semi Market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7,387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19,256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24,878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Defense/aerospace</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Multi Markets</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r>
      <w:tr>
        <w:trPr>
          <w:trHeight w:val="20"/>
        </w:trPr>
        <w:tc>
          <w:tcPr>
            <w:tcW w:w="5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47,046</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There was no change in the amount of the allowance for doubtful accounts for the nine months ended September 30, 2020.</w:t>
      </w:r>
    </w:p>
    <w:p>
      <w:pPr>
        <w:spacing w:after="0" w:line="200" w:lineRule="exact"/>
        <w:rPr>
          <w:sz w:val="20"/>
          <w:szCs w:val="20"/>
          <w:color w:val="auto"/>
        </w:rPr>
      </w:pPr>
    </w:p>
    <w:p>
      <w:pPr>
        <w:spacing w:after="0" w:line="264" w:lineRule="exact"/>
        <w:rPr>
          <w:sz w:val="20"/>
          <w:szCs w:val="20"/>
          <w:color w:val="auto"/>
        </w:rPr>
      </w:pPr>
    </w:p>
    <w:p>
      <w:pPr>
        <w:ind w:left="652" w:hanging="652"/>
        <w:spacing w:after="0"/>
        <w:tabs>
          <w:tab w:leader="none" w:pos="6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rFonts w:ascii="Arial" w:cs="Arial" w:eastAsia="Arial" w:hAnsi="Arial"/>
          <w:sz w:val="18"/>
          <w:szCs w:val="18"/>
          <w:b w:val="1"/>
          <w:bCs w:val="1"/>
          <w:color w:val="auto"/>
        </w:rPr>
      </w:pPr>
    </w:p>
    <w:p>
      <w:pPr>
        <w:ind w:left="65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2020, no customer accounted for 10% or more of our consolidated net revenues. During the nine months ended September 30, 2019, Texas Instruments Incorporated accounted for 11% of our consolidated net revenues. While both of our segments sold to this customer, these revenues were primarily generated by our EMS segment. No other customers accounted for 10% or more of our consolidated net revenues during the nine months ended September 30, 2019.</w:t>
      </w:r>
    </w:p>
    <w:p>
      <w:pPr>
        <w:spacing w:after="0" w:line="200" w:lineRule="exact"/>
        <w:rPr>
          <w:rFonts w:ascii="Arial" w:cs="Arial" w:eastAsia="Arial" w:hAnsi="Arial"/>
          <w:sz w:val="18"/>
          <w:szCs w:val="18"/>
          <w:b w:val="1"/>
          <w:bCs w:val="1"/>
          <w:color w:val="auto"/>
        </w:rPr>
      </w:pPr>
    </w:p>
    <w:p>
      <w:pPr>
        <w:spacing w:after="0" w:line="225" w:lineRule="exact"/>
        <w:rPr>
          <w:rFonts w:ascii="Arial" w:cs="Arial" w:eastAsia="Arial" w:hAnsi="Arial"/>
          <w:sz w:val="18"/>
          <w:szCs w:val="18"/>
          <w:b w:val="1"/>
          <w:bCs w:val="1"/>
          <w:color w:val="auto"/>
        </w:rPr>
      </w:pPr>
    </w:p>
    <w:p>
      <w:pPr>
        <w:ind w:left="652" w:hanging="652"/>
        <w:spacing w:after="0"/>
        <w:tabs>
          <w:tab w:leader="none" w:pos="6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September 30, 2020 and December 31, 2019 were comprised of the following:</w:t>
      </w:r>
    </w:p>
    <w:p>
      <w:pPr>
        <w:spacing w:after="0" w:line="22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r>
        <w:trPr>
          <w:trHeight w:val="20"/>
        </w:trPr>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52" w:right="200"/>
        <w:spacing w:after="0" w:line="277" w:lineRule="auto"/>
        <w:rPr>
          <w:sz w:val="20"/>
          <w:szCs w:val="20"/>
          <w:color w:val="auto"/>
        </w:rPr>
      </w:pPr>
      <w:r>
        <w:rPr>
          <w:rFonts w:ascii="Arial" w:cs="Arial" w:eastAsia="Arial" w:hAnsi="Arial"/>
          <w:sz w:val="18"/>
          <w:szCs w:val="18"/>
          <w:color w:val="auto"/>
        </w:rPr>
        <w:t>Total charges incurred for excess and obsolete inventory for the three months and nine months ended September 30, 2020 and 2019, respectively, were as follows:</w:t>
      </w:r>
    </w:p>
    <w:p>
      <w:pPr>
        <w:spacing w:after="0" w:line="166"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280" w:type="dxa"/>
            <w:vAlign w:val="bottom"/>
            <w:gridSpan w:val="4"/>
          </w:tcPr>
          <w:p>
            <w:pPr>
              <w:ind w:left="48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91"/>
              </w:rPr>
              <w:t>Nine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228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Borders>
              <w:bottom w:val="single" w:sz="8" w:color="auto"/>
            </w:tcBorders>
            <w:gridSpan w:val="5"/>
          </w:tcPr>
          <w:p>
            <w:pPr>
              <w:jc w:val="center"/>
              <w:ind w:lef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880" w:type="dxa"/>
            <w:vAlign w:val="bottom"/>
          </w:tcPr>
          <w:p>
            <w:pPr>
              <w:ind w:left="460"/>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charges</w:t>
            </w:r>
          </w:p>
        </w:tc>
        <w:tc>
          <w:tcPr>
            <w:tcW w:w="880" w:type="dxa"/>
            <w:vAlign w:val="bottom"/>
            <w:shd w:val="clear" w:color="auto" w:fill="CCEEFF"/>
          </w:tcPr>
          <w:p>
            <w:pPr>
              <w:jc w:val="right"/>
              <w:ind w:right="714"/>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105</w:t>
            </w: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341</w:t>
            </w:r>
          </w:p>
        </w:tc>
      </w:tr>
    </w:tbl>
    <w:p>
      <w:pPr>
        <w:spacing w:after="0" w:line="200" w:lineRule="exact"/>
        <w:rPr>
          <w:sz w:val="20"/>
          <w:szCs w:val="20"/>
          <w:color w:val="auto"/>
        </w:rPr>
      </w:pPr>
    </w:p>
    <w:p>
      <w:pPr>
        <w:spacing w:after="0" w:line="241" w:lineRule="exact"/>
        <w:rPr>
          <w:sz w:val="20"/>
          <w:szCs w:val="20"/>
          <w:color w:val="auto"/>
        </w:rPr>
      </w:pPr>
    </w:p>
    <w:p>
      <w:pPr>
        <w:ind w:left="652" w:hanging="652"/>
        <w:spacing w:after="0"/>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6"/>
          <w:szCs w:val="16"/>
          <w:color w:val="auto"/>
        </w:rPr>
        <w:t>We lease our offices, warehouse facilities and certain equipment under non-cancellable operating leases which expire at various dates through</w:t>
      </w:r>
    </w:p>
    <w:p>
      <w:pPr>
        <w:spacing w:after="0" w:line="4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6"/>
          <w:szCs w:val="16"/>
          <w:color w:val="auto"/>
        </w:rPr>
        <w:t>2031. Total operating lease and short-term lease costs for the three months and nine months ended September 30, 2020 and 2019 were as follows:</w:t>
      </w:r>
    </w:p>
    <w:p>
      <w:pPr>
        <w:spacing w:after="0" w:line="230"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240" w:type="dxa"/>
            <w:vAlign w:val="bottom"/>
            <w:gridSpan w:val="4"/>
          </w:tcPr>
          <w:p>
            <w:pPr>
              <w:ind w:left="480"/>
              <w:spacing w:after="0"/>
              <w:rPr>
                <w:sz w:val="20"/>
                <w:szCs w:val="20"/>
                <w:color w:val="auto"/>
              </w:rPr>
            </w:pPr>
            <w:r>
              <w:rPr>
                <w:rFonts w:ascii="Arial" w:cs="Arial" w:eastAsia="Arial" w:hAnsi="Arial"/>
                <w:sz w:val="18"/>
                <w:szCs w:val="18"/>
                <w:b w:val="1"/>
                <w:bCs w:val="1"/>
                <w:color w:val="auto"/>
                <w:w w:val="97"/>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1"/>
              </w:rPr>
              <w:t>Nine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224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Borders>
              <w:bottom w:val="single" w:sz="8" w:color="auto"/>
            </w:tcBorders>
            <w:gridSpan w:val="5"/>
          </w:tcPr>
          <w:p>
            <w:pPr>
              <w:jc w:val="center"/>
              <w:ind w:left="37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880" w:type="dxa"/>
            <w:vAlign w:val="bottom"/>
          </w:tcPr>
          <w:p>
            <w:pPr>
              <w:ind w:left="460"/>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80" w:type="dxa"/>
            <w:vAlign w:val="bottom"/>
            <w:shd w:val="clear" w:color="auto" w:fill="CCEEFF"/>
          </w:tcPr>
          <w:p>
            <w:pPr>
              <w:jc w:val="right"/>
              <w:ind w:right="714"/>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393</w:t>
            </w:r>
          </w:p>
        </w:tc>
        <w:tc>
          <w:tcPr>
            <w:tcW w:w="840" w:type="dxa"/>
            <w:vAlign w:val="bottom"/>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1,174</w:t>
            </w:r>
          </w:p>
        </w:tc>
        <w:tc>
          <w:tcPr>
            <w:tcW w:w="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1,106</w:t>
            </w:r>
          </w:p>
        </w:tc>
      </w:tr>
    </w:tbl>
    <w:p>
      <w:pPr>
        <w:sectPr>
          <w:pgSz w:w="11900" w:h="16838" w:orient="portrait"/>
          <w:cols w:equalWidth="0" w:num="1">
            <w:col w:w="11312"/>
          </w:cols>
          <w:pgMar w:left="328" w:top="823" w:right="259" w:bottom="0" w:gutter="0" w:footer="0" w:header="0"/>
        </w:sectPr>
      </w:pPr>
    </w:p>
    <w:bookmarkStart w:id="19" w:name="page20"/>
    <w:bookmarkEnd w:id="19"/>
    <w:p>
      <w:pPr>
        <w:spacing w:after="0"/>
        <w:tabs>
          <w:tab w:leader="none" w:pos="5220" w:val="left"/>
          <w:tab w:leader="none" w:pos="6220" w:val="left"/>
          <w:tab w:leader="none" w:pos="6620" w:val="left"/>
          <w:tab w:leader="none" w:pos="7620" w:val="left"/>
          <w:tab w:leader="none" w:pos="8020" w:val="left"/>
          <w:tab w:leader="none" w:pos="9020" w:val="left"/>
          <w:tab w:leader="none" w:pos="9380" w:val="left"/>
          <w:tab w:leader="none" w:pos="10360" w:val="left"/>
        </w:tabs>
        <w:rPr>
          <w:sz w:val="20"/>
          <w:szCs w:val="20"/>
          <w:color w:val="auto"/>
        </w:rPr>
      </w:pPr>
      <w:r>
        <w:rPr>
          <w:rFonts w:ascii="Arial" w:cs="Arial" w:eastAsia="Arial" w:hAnsi="Arial"/>
          <w:sz w:val="18"/>
          <w:szCs w:val="18"/>
          <w:color w:val="auto"/>
        </w:rPr>
        <w:t>Short-term lease cost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w:t>
        <w:tab/>
        <w:t>$</w:t>
      </w:r>
      <w:r>
        <w:rPr>
          <w:sz w:val="20"/>
          <w:szCs w:val="20"/>
          <w:color w:val="auto"/>
        </w:rPr>
        <w:tab/>
      </w:r>
      <w:r>
        <w:rPr>
          <w:rFonts w:ascii="Arial" w:cs="Arial" w:eastAsia="Arial" w:hAnsi="Arial"/>
          <w:sz w:val="18"/>
          <w:szCs w:val="18"/>
          <w:color w:val="auto"/>
        </w:rPr>
        <w:t>12</w:t>
        <w:tab/>
        <w:t>$</w:t>
      </w:r>
      <w:r>
        <w:rPr>
          <w:sz w:val="20"/>
          <w:szCs w:val="20"/>
          <w:color w:val="auto"/>
        </w:rPr>
        <w:tab/>
      </w:r>
      <w:r>
        <w:rPr>
          <w:rFonts w:ascii="Arial" w:cs="Arial" w:eastAsia="Arial" w:hAnsi="Arial"/>
          <w:sz w:val="18"/>
          <w:szCs w:val="18"/>
          <w:color w:val="auto"/>
        </w:rPr>
        <w:t>35</w:t>
        <w:tab/>
        <w:t>$</w:t>
      </w:r>
      <w:r>
        <w:rPr>
          <w:sz w:val="20"/>
          <w:szCs w:val="20"/>
          <w:color w:val="auto"/>
        </w:rPr>
        <w:tab/>
      </w:r>
      <w:r>
        <w:rPr>
          <w:rFonts w:ascii="Arial" w:cs="Arial" w:eastAsia="Arial" w:hAnsi="Arial"/>
          <w:sz w:val="16"/>
          <w:szCs w:val="16"/>
          <w:color w:val="auto"/>
        </w:rPr>
        <w:t>39</w:t>
      </w:r>
    </w:p>
    <w:p>
      <w:pPr>
        <w:sectPr>
          <w:pgSz w:w="11900" w:h="16838" w:orient="portrait"/>
          <w:cols w:equalWidth="0" w:num="1">
            <w:col w:w="10560"/>
          </w:cols>
          <w:pgMar w:left="980" w:top="125" w:right="359" w:bottom="1440" w:gutter="0" w:footer="0" w:header="0"/>
        </w:sectPr>
      </w:pP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25" w:right="3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The following is additional information about our leases as of September 30, 2020:</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to  10.0</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540" w:type="dxa"/>
            <w:vAlign w:val="bottom"/>
          </w:tcPr>
          <w:p>
            <w:pPr>
              <w:spacing w:after="0"/>
              <w:rPr>
                <w:sz w:val="18"/>
                <w:szCs w:val="18"/>
                <w:color w:val="auto"/>
              </w:rPr>
            </w:pPr>
          </w:p>
        </w:tc>
        <w:tc>
          <w:tcPr>
            <w:tcW w:w="960" w:type="dxa"/>
            <w:vAlign w:val="bottom"/>
          </w:tcPr>
          <w:p>
            <w:pPr>
              <w:ind w:left="4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432"/>
        </w:trPr>
        <w:tc>
          <w:tcPr>
            <w:tcW w:w="9060" w:type="dxa"/>
            <w:vAlign w:val="bottom"/>
          </w:tcPr>
          <w:p>
            <w:pPr>
              <w:spacing w:after="0"/>
              <w:rPr>
                <w:sz w:val="20"/>
                <w:szCs w:val="20"/>
                <w:color w:val="auto"/>
              </w:rPr>
            </w:pPr>
            <w:r>
              <w:rPr>
                <w:rFonts w:ascii="Arial" w:cs="Arial" w:eastAsia="Arial" w:hAnsi="Arial"/>
                <w:sz w:val="18"/>
                <w:szCs w:val="18"/>
                <w:color w:val="auto"/>
              </w:rPr>
              <w:t>Maturities of lease liabilities as of September 30, 2020 were as follows: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1,407</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r>
      <w:tr>
        <w:trPr>
          <w:trHeight w:val="20"/>
        </w:trPr>
        <w:tc>
          <w:tcPr>
            <w:tcW w:w="9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8,390</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(1,042)</w:t>
            </w:r>
          </w:p>
        </w:tc>
      </w:tr>
      <w:tr>
        <w:trPr>
          <w:trHeight w:val="20"/>
        </w:trPr>
        <w:tc>
          <w:tcPr>
            <w:tcW w:w="9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7,348</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Supplemental Cash Flow Information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amortization of ROU assets was $324 and $977 for the three months and nine months ended September 30, 2020, respectively, and $351 and $952 for the three months and nine months ended September 30, 2019, respectively.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Non-cash increases in operating lease liabilities and ROU assets as a result of lease modifications for the nine months ended September 30, 2020 were as follows: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Modification to lease for facility in Fremont, California</w:t>
            </w:r>
          </w:p>
        </w:tc>
        <w:tc>
          <w:tcPr>
            <w:tcW w:w="2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Modification to lease for facility in Mt. Laurel, New Jersey</w:t>
            </w:r>
          </w:p>
        </w:tc>
        <w:tc>
          <w:tcPr>
            <w:tcW w:w="2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2,051</w:t>
            </w:r>
          </w:p>
        </w:tc>
      </w:tr>
    </w:tbl>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January 23, 2020, we executed an amendment to the lease for our EMS facility in Fremont, California, which extended the term for a period of 61 months commencing on November 1, 2020 and expiring on November 30, 2025. At the effective date of this modification, we recorded an increase in our ROU assets and operating lease liabilities of approximately $1,176.</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September 22, 2020, we executed an amendment to the lease for our EMS facility in Mt. Laurel, New Jersey, which extended the term of the existing lease for a period of 120 months commencing on May 1, 2021. In addition, effective on May 1, 2021, the leased space shall be reduced to approximately 33,650 square feet. At the effective date of this modification, we recorded an increase in our ROU assets and operating lease liabilities of approximately $2,051.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Non-cash increases (decreases) in operating lease liabilities and ROU assets as a result of lease modifications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as follows:</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Modification to Ambrell’s U.K. facility lease</w:t>
            </w:r>
          </w:p>
        </w:tc>
        <w:tc>
          <w:tcPr>
            <w:tcW w:w="2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Modification to lease for facility in Mansfield, Massachusetts</w:t>
            </w:r>
          </w:p>
        </w:tc>
        <w:tc>
          <w:tcPr>
            <w:tcW w:w="26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1,811</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Modification to Ambrell’s Netherlands facility lease</w:t>
            </w:r>
          </w:p>
        </w:tc>
        <w:tc>
          <w:tcPr>
            <w:tcW w:w="2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20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lease for Ambrell’s U.K. facility had an original term of 15 years, which extended through August 2029. The lease included the option to terminate the lease at specified points in time without penalty. We exercised this option in March 2019, and the lease expired in September 2019. At the effective date of this modification, we recorded a reduction in our ROU assets and operating lease liabilities of approximately $486.</w:t>
      </w:r>
    </w:p>
    <w:p>
      <w:pPr>
        <w:spacing w:after="0" w:line="14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April 8, 2019, we executed an amendment to the lease for our facility in Mansfield, Massachusetts that extended the term of the lease for an additional forty months to December 31, 2024 and expanded the amount of leased space by approximately 6,100 square feet. The current rate per square foot that is in place through August 31, 2021 (the original expiration date of the lease) did not change. After August 31, 2021, there are predetermined fixed escalations of the rate as outlined in the amendment. As a result of this modification, we recorded an increase in our ROU assets and operating lease liabilities of approximately $1,811.</w:t>
      </w:r>
    </w:p>
    <w:p>
      <w:pPr>
        <w:spacing w:after="0" w:line="1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4" w:right="259" w:bottom="1440" w:gutter="0" w:footer="0" w:header="0"/>
        </w:sectPr>
      </w:pPr>
    </w:p>
    <w:bookmarkStart w:id="21" w:name="page22"/>
    <w:bookmarkEnd w:id="21"/>
    <w:p>
      <w:pPr>
        <w:ind w:left="660" w:right="200"/>
        <w:spacing w:after="0" w:line="263" w:lineRule="auto"/>
        <w:rPr>
          <w:sz w:val="20"/>
          <w:szCs w:val="20"/>
          <w:color w:val="auto"/>
        </w:rPr>
      </w:pPr>
      <w:r>
        <w:rPr>
          <w:rFonts w:ascii="Arial" w:cs="Arial" w:eastAsia="Arial" w:hAnsi="Arial"/>
          <w:sz w:val="18"/>
          <w:szCs w:val="18"/>
          <w:color w:val="auto"/>
        </w:rPr>
        <w:t>During the third quarter of 2019, the lease for a portion of Ambrell’s facility in the Netherlands was modified to reduce the term of that lease to expire in September 2019 as that portion of the space was no longer needed. At the effective date of this modification, we recorded a reduction in our ROU assets and operating lease liabilities of approximately $48.</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660"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We have issued letters of credit as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outstanding letters of credit at September 30, 2020 and December 31, 2019 consisted of the following:</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Letters of Credit</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L/C</w:t>
            </w:r>
          </w:p>
        </w:tc>
        <w:tc>
          <w:tcPr>
            <w:tcW w:w="120" w:type="dxa"/>
            <w:vAlign w:val="bottom"/>
          </w:tcPr>
          <w:p>
            <w:pPr>
              <w:spacing w:after="0"/>
              <w:rPr>
                <w:sz w:val="20"/>
                <w:szCs w:val="20"/>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Lease</w:t>
            </w:r>
          </w:p>
        </w:tc>
        <w:tc>
          <w:tcPr>
            <w:tcW w:w="80" w:type="dxa"/>
            <w:vAlign w:val="bottom"/>
          </w:tcPr>
          <w:p>
            <w:pPr>
              <w:spacing w:after="0"/>
              <w:rPr>
                <w:sz w:val="20"/>
                <w:szCs w:val="20"/>
                <w:color w:val="auto"/>
              </w:rPr>
            </w:pPr>
          </w:p>
        </w:tc>
        <w:tc>
          <w:tcPr>
            <w:tcW w:w="27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Amount Outstanding</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Original L/C</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3/29/2010</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4/30/2021</w:t>
            </w:r>
          </w:p>
        </w:tc>
        <w:tc>
          <w:tcPr>
            <w:tcW w:w="13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4/30/2031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Mansfield, MA</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10/27/2010</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12/31/2024</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12/31/2024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660" w:right="100"/>
        <w:spacing w:after="0" w:line="270" w:lineRule="auto"/>
        <w:rPr>
          <w:sz w:val="20"/>
          <w:szCs w:val="20"/>
          <w:color w:val="auto"/>
        </w:rPr>
      </w:pPr>
      <w:r>
        <w:rPr>
          <w:rFonts w:ascii="Arial" w:cs="Arial" w:eastAsia="Arial" w:hAnsi="Arial"/>
          <w:sz w:val="17"/>
          <w:szCs w:val="17"/>
          <w:color w:val="auto"/>
        </w:rPr>
        <w:t>As previously indicated in Note 1, on April 10, 2020 (the “Closing Date”) we entered into the Agreement with M&amp;T. Under the terms of the Agreement, M&amp;T has provided us with a $7,500 revolving credit facility under which our domestic subsidiaries, Ambrell, inTEST EMS LLC (“EMS LLC”), Temptronic Corporation (“Temptronic”) and inTEST Silicon Valley Corporation (“Silicon Valley”), are guarantors (collectively, the “Guarantors”). The revolving credit facility has a 364-day contract period that began on the Closing Date and expires on April 9, 2021 (the “Contract Period”). The principal balance of the revolving credit facility accrues interest at the LIBOR rate plus 2.5%. In the event the current LIBOR rate is no longer available or representative, the Agreement includes a mechanism for providing an alternate benchmark. Interest payments are due on a monthly basis, and principal payments are due, along with any accrued and unpaid interest thereon, on the earlier of (a) the expiration of the Contract Period, or (b) on demand upon the occurrence of an event of default that is continuing. As of September 30, 2020, we had $7,500 available to borrow under this facility.</w:t>
      </w:r>
    </w:p>
    <w:p>
      <w:pPr>
        <w:spacing w:after="0" w:line="181"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color w:val="auto"/>
        </w:rPr>
        <w:t>The Agreement contains customary events of default including, but not limited to, the failure by us to repay obligations when due, violation of provisions or representations provided in the Agreement, bankruptcy of inTEST Corporation, suspension of the business of inTEST Corporation or any of our subsidiaries and certain material judgments. After expiration of the Contract Period, or if during the continuance of an event of default, interest will accrue on the principal balance at a rate of 2% in excess of the then applicable non-default interest rate. Our obligations under the Agreement are secured by liens on substantially all our tangible and intangible assets. The Agreement includes customary affirmative, negative and financial covenants, including a maximum ratio of assets to liabilities and a fixed charge coverage ratio.</w:t>
      </w:r>
    </w:p>
    <w:p>
      <w:pPr>
        <w:spacing w:after="0" w:line="178" w:lineRule="exact"/>
        <w:rPr>
          <w:sz w:val="20"/>
          <w:szCs w:val="20"/>
          <w:color w:val="auto"/>
        </w:rPr>
      </w:pPr>
    </w:p>
    <w:p>
      <w:pPr>
        <w:jc w:val="both"/>
        <w:ind w:left="660" w:right="440"/>
        <w:spacing w:after="0" w:line="263" w:lineRule="auto"/>
        <w:rPr>
          <w:sz w:val="20"/>
          <w:szCs w:val="20"/>
          <w:color w:val="auto"/>
        </w:rPr>
      </w:pPr>
      <w:r>
        <w:rPr>
          <w:rFonts w:ascii="Arial" w:cs="Arial" w:eastAsia="Arial" w:hAnsi="Arial"/>
          <w:sz w:val="18"/>
          <w:szCs w:val="18"/>
          <w:color w:val="auto"/>
        </w:rPr>
        <w:t>This facility was put in place to provide us with additional liquidity in response to the current business environment, as a result of COVID-19. During the three months ended June 30, 2020, we drew down $2,800 on our revolving credit facility. This amount was fully repaid during this same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Paycheck Protection Program Loans</w:t>
      </w:r>
    </w:p>
    <w:p>
      <w:pPr>
        <w:spacing w:after="0" w:line="225" w:lineRule="exact"/>
        <w:rPr>
          <w:sz w:val="20"/>
          <w:szCs w:val="20"/>
          <w:color w:val="auto"/>
        </w:rPr>
      </w:pPr>
    </w:p>
    <w:p>
      <w:pPr>
        <w:ind w:left="660" w:right="180"/>
        <w:spacing w:after="0" w:line="257" w:lineRule="auto"/>
        <w:rPr>
          <w:sz w:val="20"/>
          <w:szCs w:val="20"/>
          <w:color w:val="auto"/>
        </w:rPr>
      </w:pPr>
      <w:r>
        <w:rPr>
          <w:rFonts w:ascii="Arial" w:cs="Arial" w:eastAsia="Arial" w:hAnsi="Arial"/>
          <w:sz w:val="18"/>
          <w:szCs w:val="18"/>
          <w:color w:val="auto"/>
        </w:rPr>
        <w:t>As discussed more fully in Note 13 to our consolidated financial statements in our Quarterly Report on Form 10-Q for the three months ended March 31, 2020 (“Q1 2020 Form 10-Q”) filed on May 13, 2020 with the Securities and Exchange Commission, during April 2020 we applied for and received loans through the Paycheck Protection Program (the “PPP”) of the Coronavirus Aid, Relief, and Economic Security Act (the “CARES Act”) administered by the U.S. Small Business Administration (the “SBA”) totaling $2,829. We repaid the full amount of the PPP loans on May 5, 2020 with the applicable interest.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4" w:right="259" w:bottom="1440" w:gutter="0" w:footer="0" w:header="0"/>
        </w:sectPr>
      </w:pPr>
    </w:p>
    <w:bookmarkStart w:id="22" w:name="page23"/>
    <w:bookmarkEnd w:id="22"/>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66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September 30, 2020, we had unvested restricted stock awards and stock options granted under stock-based compensation plans that are described more fully in Note 12 to the consolidated financial statements in our 2019 Form 10-K.</w:t>
      </w:r>
    </w:p>
    <w:p>
      <w:pPr>
        <w:spacing w:after="0" w:line="170" w:lineRule="exact"/>
        <w:rPr>
          <w:rFonts w:ascii="Arial" w:cs="Arial" w:eastAsia="Arial" w:hAnsi="Arial"/>
          <w:sz w:val="18"/>
          <w:szCs w:val="18"/>
          <w:b w:val="1"/>
          <w:bCs w:val="1"/>
          <w:color w:val="auto"/>
        </w:rPr>
      </w:pPr>
    </w:p>
    <w:p>
      <w:pPr>
        <w:ind w:left="6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September 30, 2020, total unrecognized compensation expense related to unvested restricted stock awards and stock options was $1,544. The weighted average period over which this expense is expected to be recognized is 2.8 years. The following table shows the allocation of the compensation expense we recorded during the three months and nine months ended September 30, 2020 and 2019, respectively, related to stock-based compensation:</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240" w:type="dxa"/>
            <w:vAlign w:val="bottom"/>
            <w:gridSpan w:val="4"/>
          </w:tcPr>
          <w:p>
            <w:pPr>
              <w:jc w:val="right"/>
              <w:ind w:right="61"/>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224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Selling expense</w:t>
            </w:r>
          </w:p>
        </w:tc>
        <w:tc>
          <w:tcPr>
            <w:tcW w:w="8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608</w:t>
            </w:r>
          </w:p>
        </w:tc>
      </w:tr>
      <w:tr>
        <w:trPr>
          <w:trHeight w:val="20"/>
        </w:trPr>
        <w:tc>
          <w:tcPr>
            <w:tcW w:w="5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638</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was no stock-based compensation expense capitalized in the three months or nine months ended September 30, 2020 or 2019.</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jc w:val="both"/>
        <w:ind w:left="660" w:right="540"/>
        <w:spacing w:after="0" w:line="311"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9" w:lineRule="exact"/>
        <w:rPr>
          <w:sz w:val="20"/>
          <w:szCs w:val="20"/>
          <w:color w:val="auto"/>
        </w:rPr>
      </w:pPr>
    </w:p>
    <w:p>
      <w:pPr>
        <w:ind w:left="660" w:right="100"/>
        <w:spacing w:after="0" w:line="290" w:lineRule="auto"/>
        <w:rPr>
          <w:sz w:val="20"/>
          <w:szCs w:val="20"/>
          <w:color w:val="auto"/>
        </w:rPr>
      </w:pPr>
      <w:r>
        <w:rPr>
          <w:rFonts w:ascii="Arial" w:cs="Arial" w:eastAsia="Arial" w:hAnsi="Arial"/>
          <w:sz w:val="16"/>
          <w:szCs w:val="16"/>
          <w:color w:val="auto"/>
        </w:rPr>
        <w:t>On August 24, 2020, our new President and CEO received two restricted stock awards totaling 141,610 shares valued at $650 as of the date of grant, which was also his hire date. Of the total shares awarded, 66,448 shares vest over 4 years (25% at each anniversary) and 75,162 vest on the third anniversary of the grant date at a vesting percentage that could range from 0% to 150% of the number of shares awarded on August 24, 2020. The final vesting percentage will be based on the achievement of certain performance metrics, including net revenue compound annual growth rate and diluted earnings per share excluding amortization of intangibles, for specified time periods as determined by the Compensation Committee of our Board of Directors. As of September 30, 2020, we have estimated that these shares will vest at 100% of the original amount awarded and are recording expense based on this estimate on a straight-line basis over the three year vesting period. Our estimate of the final expected vesting percentage will be reassessed and adjusted, as needed, at the end of each reporting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activity related to unvested shares of restricted stock for the nine months ended September 30, 2020:</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80" w:type="dxa"/>
            <w:vAlign w:val="bottom"/>
          </w:tcPr>
          <w:p>
            <w:pPr>
              <w:spacing w:after="0"/>
              <w:rPr>
                <w:sz w:val="18"/>
                <w:szCs w:val="18"/>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2020</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165,031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229,110</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(80,361)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(67,125)</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49"/>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September 30,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246,655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The total fair value of the shares that vested during the nine months ended September 30, 2020 and 2019 was $296 and $370, respectively, as of the vesting dates of these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660" w:right="340"/>
        <w:spacing w:after="0" w:line="263" w:lineRule="auto"/>
        <w:rPr>
          <w:sz w:val="20"/>
          <w:szCs w:val="20"/>
          <w:color w:val="auto"/>
        </w:rPr>
      </w:pPr>
      <w:r>
        <w:rPr>
          <w:rFonts w:ascii="Arial" w:cs="Arial" w:eastAsia="Arial" w:hAnsi="Arial"/>
          <w:sz w:val="18"/>
          <w:szCs w:val="18"/>
          <w:color w:val="auto"/>
        </w:rPr>
        <w:t>We record compensation expense for stock options based on the fair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for stock options granted during the nine months ended September 30, 2020 and 2019 was estimated at the date of grant using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4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6680" w:type="dxa"/>
            <w:vAlign w:val="bottom"/>
          </w:tcPr>
          <w:p>
            <w:pPr>
              <w:ind w:left="4880"/>
              <w:spacing w:after="0"/>
              <w:rPr>
                <w:sz w:val="20"/>
                <w:szCs w:val="20"/>
                <w:color w:val="auto"/>
              </w:rPr>
            </w:pPr>
            <w:r>
              <w:rPr>
                <w:rFonts w:ascii="Arial" w:cs="Arial" w:eastAsia="Arial" w:hAnsi="Arial"/>
                <w:sz w:val="18"/>
                <w:szCs w:val="18"/>
                <w:color w:val="auto"/>
              </w:rPr>
              <w:t>19</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66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320"/>
          </w:cols>
          <w:pgMar w:left="320" w:top="823" w:right="259" w:bottom="663" w:gutter="0" w:footer="0" w:header="0"/>
        </w:sectPr>
      </w:pPr>
    </w:p>
    <w:bookmarkStart w:id="23" w:name="page24"/>
    <w:bookmarkEnd w:id="23"/>
    <w:p>
      <w:pPr>
        <w:ind w:left="652" w:right="38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nine months ended September 30, 2020 and 2019 was $1.48 and $2.75, respectively.</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summarizes the activity related to stock options for the nine months ended September 30, 2020:</w:t>
      </w:r>
    </w:p>
    <w:p>
      <w:pPr>
        <w:sectPr>
          <w:pgSz w:w="11900" w:h="16838" w:orient="portrait"/>
          <w:cols w:equalWidth="0" w:num="1">
            <w:col w:w="11192"/>
          </w:cols>
          <w:pgMar w:left="328" w:top="58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52"/>
        <w:spacing w:after="0"/>
        <w:rPr>
          <w:sz w:val="20"/>
          <w:szCs w:val="20"/>
          <w:color w:val="auto"/>
        </w:rPr>
      </w:pPr>
      <w:r>
        <w:rPr>
          <w:rFonts w:ascii="Arial" w:cs="Arial" w:eastAsia="Arial" w:hAnsi="Arial"/>
          <w:sz w:val="17"/>
          <w:szCs w:val="17"/>
          <w:color w:val="auto"/>
        </w:rPr>
        <w:t>Options outstanding, January 1, 2020 (87,900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-114300</wp:posOffset>
            </wp:positionV>
            <wp:extent cx="64122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5" w:lineRule="exact"/>
        <w:rPr>
          <w:sz w:val="20"/>
          <w:szCs w:val="20"/>
          <w:color w:val="auto"/>
        </w:rPr>
      </w:pPr>
    </w:p>
    <w:p>
      <w:pPr>
        <w:ind w:left="812"/>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4122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812"/>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641223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9"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Options outstanding, September 30, 2020 (204,630 exercisable)</w:t>
      </w:r>
    </w:p>
    <w:p>
      <w:pPr>
        <w:spacing w:after="0" w:line="200" w:lineRule="exact"/>
        <w:rPr>
          <w:sz w:val="20"/>
          <w:szCs w:val="20"/>
          <w:color w:val="auto"/>
        </w:rPr>
      </w:pPr>
    </w:p>
    <w:p>
      <w:pPr>
        <w:spacing w:after="0" w:line="287" w:lineRule="exact"/>
        <w:rPr>
          <w:sz w:val="20"/>
          <w:szCs w:val="20"/>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17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506,810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6.89</w:t>
            </w:r>
          </w:p>
        </w:tc>
        <w:tc>
          <w:tcPr>
            <w:tcW w:w="20" w:type="dxa"/>
            <w:vAlign w:val="bottom"/>
          </w:tcPr>
          <w:p>
            <w:pPr>
              <w:spacing w:after="0"/>
              <w:rPr>
                <w:sz w:val="16"/>
                <w:szCs w:val="16"/>
                <w:color w:val="auto"/>
              </w:rPr>
            </w:pPr>
          </w:p>
        </w:tc>
      </w:tr>
      <w:tr>
        <w:trPr>
          <w:trHeight w:val="216"/>
        </w:trPr>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113,980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r>
      <w:tr>
        <w:trPr>
          <w:trHeight w:val="216"/>
        </w:trPr>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(182,590)</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r>
      <w:tr>
        <w:trPr>
          <w:trHeight w:val="209"/>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438,200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6712" w:space="720"/>
            <w:col w:w="3760"/>
          </w:cols>
          <w:pgMar w:left="328" w:top="584" w:right="379" w:bottom="1440" w:gutter="0" w:footer="0" w:header="0"/>
          <w:type w:val="continuous"/>
        </w:sectPr>
      </w:pPr>
    </w:p>
    <w:p>
      <w:pPr>
        <w:spacing w:after="0" w:line="29" w:lineRule="exact"/>
        <w:rPr>
          <w:sz w:val="20"/>
          <w:szCs w:val="20"/>
          <w:color w:val="auto"/>
        </w:rPr>
      </w:pPr>
    </w:p>
    <w:p>
      <w:pPr>
        <w:ind w:left="652"/>
        <w:spacing w:after="0" w:line="288" w:lineRule="auto"/>
        <w:rPr>
          <w:sz w:val="20"/>
          <w:szCs w:val="20"/>
          <w:color w:val="auto"/>
        </w:rPr>
      </w:pPr>
      <w:r>
        <w:rPr>
          <w:rFonts w:ascii="Arial" w:cs="Arial" w:eastAsia="Arial" w:hAnsi="Arial"/>
          <w:sz w:val="16"/>
          <w:szCs w:val="16"/>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During the quarter ended March 31, 2020, we repurchased 13,767 shares under the 2019 Repurchase Plan at a cost of $74, including fees paid to our broker. On March 2, 2020, we suspended repurchases under the 2019 Repurchase Plan. For the term of the 2019 Repurchase Plan through September 30, 2020, we have repurchased a total of 243,075 shares at a cost of $1,216, which includes fees paid to our broker of $6. All of the repurchased shares were retired.</w:t>
      </w:r>
    </w:p>
    <w:p>
      <w:pPr>
        <w:spacing w:after="0" w:line="200" w:lineRule="exact"/>
        <w:rPr>
          <w:sz w:val="20"/>
          <w:szCs w:val="20"/>
          <w:color w:val="auto"/>
        </w:rPr>
      </w:pPr>
    </w:p>
    <w:p>
      <w:pPr>
        <w:spacing w:after="0" w:line="207" w:lineRule="exact"/>
        <w:rPr>
          <w:sz w:val="20"/>
          <w:szCs w:val="20"/>
          <w:color w:val="auto"/>
        </w:rPr>
      </w:pPr>
    </w:p>
    <w:p>
      <w:pPr>
        <w:ind w:left="652" w:hanging="652"/>
        <w:spacing w:after="0"/>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652"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We have defined contribution 401(k) plans for our employees who work in the U.S. All permanent employees of inTEST Corporation, EMS LLC, Temptronic and Silicon Valley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and nine months ended September 30, 2020 we recorded $56 and $313 of expense for matching contributions, respectively. For the three months and nine months ended September 30, 2019 we recorded $53 and $335 of expense for matching contributions, respectively.</w:t>
      </w:r>
    </w:p>
    <w:p>
      <w:pPr>
        <w:spacing w:after="0" w:line="177" w:lineRule="exact"/>
        <w:rPr>
          <w:rFonts w:ascii="Arial" w:cs="Arial" w:eastAsia="Arial" w:hAnsi="Arial"/>
          <w:sz w:val="18"/>
          <w:szCs w:val="18"/>
          <w:b w:val="1"/>
          <w:bCs w:val="1"/>
          <w:color w:val="auto"/>
        </w:rPr>
      </w:pPr>
    </w:p>
    <w:p>
      <w:pPr>
        <w:ind w:left="652"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three months and nine months ended September 30, 2020 we recorded $17 and $49 of expense for matching contributions, respectively. For the three months and nine months ended September 30, 2019 we recorded $11 and $48 of expense for matching contributions, respectively.</w:t>
      </w:r>
    </w:p>
    <w:p>
      <w:pPr>
        <w:spacing w:after="0" w:line="200" w:lineRule="exact"/>
        <w:rPr>
          <w:rFonts w:ascii="Arial" w:cs="Arial" w:eastAsia="Arial" w:hAnsi="Arial"/>
          <w:sz w:val="18"/>
          <w:szCs w:val="18"/>
          <w:b w:val="1"/>
          <w:bCs w:val="1"/>
          <w:color w:val="auto"/>
        </w:rPr>
      </w:pPr>
    </w:p>
    <w:p>
      <w:pPr>
        <w:spacing w:after="0" w:line="233" w:lineRule="exact"/>
        <w:rPr>
          <w:rFonts w:ascii="Arial" w:cs="Arial" w:eastAsia="Arial" w:hAnsi="Arial"/>
          <w:sz w:val="18"/>
          <w:szCs w:val="18"/>
          <w:b w:val="1"/>
          <w:bCs w:val="1"/>
          <w:color w:val="auto"/>
        </w:rPr>
      </w:pPr>
    </w:p>
    <w:p>
      <w:pPr>
        <w:ind w:left="652" w:hanging="652"/>
        <w:spacing w:after="0"/>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652"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We have two reportable segments, Thermal and EMS, which are also our reporting units.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 See Note 3 for information related to the planned closure of our manufacturing facility in Fremont, California.</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4" w:right="379" w:bottom="1440" w:gutter="0" w:footer="0" w:header="0"/>
          <w:type w:val="continuous"/>
        </w:sectPr>
      </w:pPr>
    </w:p>
    <w:bookmarkStart w:id="24" w:name="page25"/>
    <w:bookmarkEnd w:id="24"/>
    <w:p>
      <w:pPr>
        <w:jc w:val="both"/>
        <w:ind w:left="660" w:right="540"/>
        <w:spacing w:after="0" w:line="287" w:lineRule="auto"/>
        <w:rPr>
          <w:sz w:val="20"/>
          <w:szCs w:val="20"/>
          <w:color w:val="auto"/>
        </w:rPr>
      </w:pPr>
      <w:r>
        <w:rPr>
          <w:rFonts w:ascii="Arial" w:cs="Arial" w:eastAsia="Arial" w:hAnsi="Arial"/>
          <w:sz w:val="16"/>
          <w:szCs w:val="16"/>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defense/aerospace, energy, industrial, telecommunications and other markets.</w:t>
      </w:r>
    </w:p>
    <w:tbl>
      <w:tblPr>
        <w:tblLayout w:type="fixed"/>
        <w:tblInd w:w="660" w:type="dxa"/>
        <w:tblCellMar>
          <w:top w:w="0" w:type="dxa"/>
          <w:left w:w="0" w:type="dxa"/>
          <w:bottom w:w="0" w:type="dxa"/>
          <w:right w:w="0" w:type="dxa"/>
        </w:tblCellMar>
      </w:tblPr>
      <w:tr>
        <w:trPr>
          <w:trHeight w:val="200"/>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5"/>
          </w:tcPr>
          <w:p>
            <w:pPr>
              <w:jc w:val="right"/>
              <w:ind w:right="700"/>
              <w:spacing w:after="0" w:line="200" w:lineRule="exact"/>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5"/>
          </w:tcPr>
          <w:p>
            <w:pPr>
              <w:jc w:val="right"/>
              <w:ind w:right="580"/>
              <w:spacing w:after="0" w:line="200" w:lineRule="exact"/>
              <w:rPr>
                <w:sz w:val="20"/>
                <w:szCs w:val="20"/>
                <w:color w:val="auto"/>
              </w:rPr>
            </w:pPr>
            <w:r>
              <w:rPr>
                <w:rFonts w:ascii="Arial" w:cs="Arial" w:eastAsia="Arial" w:hAnsi="Arial"/>
                <w:sz w:val="18"/>
                <w:szCs w:val="18"/>
                <w:b w:val="1"/>
                <w:bCs w:val="1"/>
                <w:color w:val="auto"/>
              </w:rPr>
              <w:t>Nine Months Ended</w:t>
            </w:r>
          </w:p>
        </w:tc>
      </w:tr>
      <w:tr>
        <w:trPr>
          <w:trHeight w:val="234"/>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Thermal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10,724</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29,534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33,775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13,271</w:t>
            </w:r>
          </w:p>
        </w:tc>
      </w:tr>
      <w:tr>
        <w:trPr>
          <w:trHeight w:val="20"/>
        </w:trPr>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14,443</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38,948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47,046</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Thermal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(1,617)</w:t>
            </w: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r>
      <w:tr>
        <w:trPr>
          <w:trHeight w:val="196"/>
        </w:trPr>
        <w:tc>
          <w:tcPr>
            <w:tcW w:w="52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EMS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w:t>
            </w:r>
          </w:p>
        </w:tc>
      </w:tr>
      <w:tr>
        <w:trPr>
          <w:trHeight w:val="20"/>
        </w:trPr>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Thermal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51,920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51,621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following tables provide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4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5,562</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6,226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16,235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19,319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22,713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27,727</w:t>
            </w:r>
          </w:p>
        </w:tc>
      </w:tr>
      <w:tr>
        <w:trPr>
          <w:trHeight w:val="20"/>
        </w:trPr>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14,443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38,948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47,046</w:t>
            </w: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3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2,088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3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2,417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20" w:type="dxa"/>
            <w:vAlign w:val="bottom"/>
            <w:vMerge w:val="restart"/>
          </w:tcPr>
          <w:p>
            <w:pPr>
              <w:jc w:val="right"/>
              <w:ind w:right="163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584" w:right="259" w:bottom="1440" w:gutter="0" w:footer="0" w:header="0"/>
        </w:sectPr>
      </w:pPr>
    </w:p>
    <w:bookmarkStart w:id="25" w:name="page26"/>
    <w:bookmarkEnd w:id="25"/>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860"/>
        <w:spacing w:after="0" w:line="287" w:lineRule="auto"/>
        <w:rPr>
          <w:sz w:val="20"/>
          <w:szCs w:val="20"/>
          <w:color w:val="auto"/>
        </w:rPr>
      </w:pPr>
      <w:r>
        <w:rPr>
          <w:rFonts w:ascii="Arial" w:cs="Arial" w:eastAsia="Arial" w:hAnsi="Arial"/>
          <w:sz w:val="16"/>
          <w:szCs w:val="16"/>
          <w:color w:val="auto"/>
        </w:rPr>
        <w:t>In addition to historical information,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“will,” “should,” “plans,” “projects,” “forecasts,” “outlook,” or “anticipates” or similar terminology. See “Cautionary Statement Regarding Forward-Looking Statements" in our 2019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including this MD&amp;A, to reflect events or circumstances after the date hereof or to reflect the occurrence of anticipated or unanticipated events.</w:t>
      </w:r>
    </w:p>
    <w:p>
      <w:pPr>
        <w:spacing w:after="0" w:line="172" w:lineRule="exact"/>
        <w:rPr>
          <w:sz w:val="20"/>
          <w:szCs w:val="20"/>
          <w:color w:val="auto"/>
        </w:rPr>
      </w:pPr>
    </w:p>
    <w:p>
      <w:pPr>
        <w:jc w:val="both"/>
        <w:ind w:left="860" w:right="140"/>
        <w:spacing w:after="0" w:line="263" w:lineRule="auto"/>
        <w:rPr>
          <w:sz w:val="20"/>
          <w:szCs w:val="20"/>
          <w:color w:val="auto"/>
        </w:rPr>
      </w:pPr>
      <w:r>
        <w:rPr>
          <w:rFonts w:ascii="Arial" w:cs="Arial" w:eastAsia="Arial" w:hAnsi="Arial"/>
          <w:sz w:val="18"/>
          <w:szCs w:val="18"/>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include, but are not limited to:</w:t>
      </w:r>
    </w:p>
    <w:p>
      <w:pPr>
        <w:spacing w:after="0" w:line="184" w:lineRule="exact"/>
        <w:rPr>
          <w:sz w:val="20"/>
          <w:szCs w:val="20"/>
          <w:color w:val="auto"/>
        </w:rPr>
      </w:pPr>
    </w:p>
    <w:p>
      <w:pPr>
        <w:ind w:left="1240" w:right="600" w:hanging="320"/>
        <w:spacing w:after="0" w:line="258"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COVID-19 on our business, liquidity, financial condition and results of operations, including as a result of evolving public health requirements in response to COVID-19, such as:</w:t>
      </w:r>
    </w:p>
    <w:p>
      <w:pPr>
        <w:spacing w:after="0" w:line="1" w:lineRule="exact"/>
        <w:rPr>
          <w:rFonts w:ascii="Arial" w:cs="Arial" w:eastAsia="Arial" w:hAnsi="Arial"/>
          <w:sz w:val="18"/>
          <w:szCs w:val="18"/>
          <w:color w:val="auto"/>
        </w:rPr>
      </w:pPr>
    </w:p>
    <w:p>
      <w:pPr>
        <w:ind w:left="1240" w:right="6740"/>
        <w:spacing w:after="0" w:line="250" w:lineRule="auto"/>
        <w:rPr>
          <w:rFonts w:ascii="Arial" w:cs="Arial" w:eastAsia="Arial" w:hAnsi="Arial"/>
          <w:sz w:val="18"/>
          <w:szCs w:val="18"/>
          <w:color w:val="auto"/>
        </w:rPr>
      </w:pPr>
      <w:r>
        <w:rPr>
          <w:rFonts w:ascii="Arial" w:cs="Arial" w:eastAsia="Arial" w:hAnsi="Arial"/>
          <w:sz w:val="18"/>
          <w:szCs w:val="18"/>
          <w:color w:val="auto"/>
        </w:rPr>
        <w:t>o government mandated facility closures; o availability of employees;</w:t>
      </w:r>
    </w:p>
    <w:p>
      <w:pPr>
        <w:ind w:left="1240"/>
        <w:spacing w:after="0"/>
        <w:rPr>
          <w:rFonts w:ascii="Arial" w:cs="Arial" w:eastAsia="Arial" w:hAnsi="Arial"/>
          <w:sz w:val="18"/>
          <w:szCs w:val="18"/>
          <w:color w:val="auto"/>
        </w:rPr>
      </w:pPr>
      <w:r>
        <w:rPr>
          <w:rFonts w:ascii="Arial" w:cs="Arial" w:eastAsia="Arial" w:hAnsi="Arial"/>
          <w:sz w:val="18"/>
          <w:szCs w:val="18"/>
          <w:color w:val="auto"/>
        </w:rPr>
        <w:t>o   supply chain and distribution interruptions;</w:t>
      </w:r>
    </w:p>
    <w:p>
      <w:pPr>
        <w:spacing w:after="0" w:line="9" w:lineRule="exact"/>
        <w:rPr>
          <w:rFonts w:ascii="Arial" w:cs="Arial" w:eastAsia="Arial" w:hAnsi="Arial"/>
          <w:sz w:val="18"/>
          <w:szCs w:val="18"/>
          <w:color w:val="auto"/>
        </w:rPr>
      </w:pPr>
    </w:p>
    <w:p>
      <w:pPr>
        <w:ind w:left="1560" w:right="340" w:hanging="324"/>
        <w:spacing w:after="0" w:line="250" w:lineRule="auto"/>
        <w:rPr>
          <w:rFonts w:ascii="Arial" w:cs="Arial" w:eastAsia="Arial" w:hAnsi="Arial"/>
          <w:sz w:val="18"/>
          <w:szCs w:val="18"/>
          <w:color w:val="auto"/>
        </w:rPr>
      </w:pPr>
      <w:r>
        <w:rPr>
          <w:rFonts w:ascii="Arial" w:cs="Arial" w:eastAsia="Arial" w:hAnsi="Arial"/>
          <w:sz w:val="18"/>
          <w:szCs w:val="18"/>
          <w:color w:val="auto"/>
        </w:rPr>
        <w:t>o price increases and/or lack of availability from our normal suppliers for the materials needed to produce our products in a timely manner and/or with the level of margins we typically expect to achieve;</w:t>
      </w:r>
    </w:p>
    <w:p>
      <w:pPr>
        <w:ind w:left="1240" w:right="1380"/>
        <w:spacing w:after="0" w:line="250" w:lineRule="auto"/>
        <w:rPr>
          <w:rFonts w:ascii="Arial" w:cs="Arial" w:eastAsia="Arial" w:hAnsi="Arial"/>
          <w:sz w:val="18"/>
          <w:szCs w:val="18"/>
          <w:color w:val="auto"/>
        </w:rPr>
      </w:pPr>
      <w:r>
        <w:rPr>
          <w:rFonts w:ascii="Arial" w:cs="Arial" w:eastAsia="Arial" w:hAnsi="Arial"/>
          <w:sz w:val="18"/>
          <w:szCs w:val="18"/>
          <w:color w:val="auto"/>
        </w:rPr>
        <w:t>o customers’ inability or refusal to accept product deliveries or schedule after market service and support visits; and o the sufficiency of our revolving credit facility to address the impact of COVID-19;</w:t>
      </w:r>
    </w:p>
    <w:p>
      <w:pPr>
        <w:ind w:left="1240" w:hanging="32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indications of a change in the market cycles in the Semi Market or other markets we serve including as a result of COVID-19;</w:t>
      </w:r>
    </w:p>
    <w:p>
      <w:pPr>
        <w:spacing w:after="0" w:line="20" w:lineRule="exact"/>
        <w:rPr>
          <w:rFonts w:ascii="Arial" w:cs="Arial" w:eastAsia="Arial" w:hAnsi="Arial"/>
          <w:sz w:val="17"/>
          <w:szCs w:val="17"/>
          <w:color w:val="auto"/>
        </w:rPr>
      </w:pPr>
    </w:p>
    <w:p>
      <w:pPr>
        <w:ind w:left="1240" w:hanging="32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business conditions and general economic conditions both domestically and globally including as a result of COVID-19;</w:t>
      </w:r>
    </w:p>
    <w:p>
      <w:pPr>
        <w:spacing w:after="0" w:line="20" w:lineRule="exact"/>
        <w:rPr>
          <w:rFonts w:ascii="Arial" w:cs="Arial" w:eastAsia="Arial" w:hAnsi="Arial"/>
          <w:sz w:val="17"/>
          <w:szCs w:val="17"/>
          <w:color w:val="auto"/>
        </w:rPr>
      </w:pPr>
    </w:p>
    <w:p>
      <w:pPr>
        <w:ind w:left="1240" w:hanging="32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demand for semiconductors, generally and as a result of COVID-19;</w:t>
      </w:r>
    </w:p>
    <w:p>
      <w:pPr>
        <w:spacing w:after="0" w:line="9" w:lineRule="exact"/>
        <w:rPr>
          <w:rFonts w:ascii="Arial" w:cs="Arial" w:eastAsia="Arial" w:hAnsi="Arial"/>
          <w:sz w:val="18"/>
          <w:szCs w:val="18"/>
          <w:color w:val="auto"/>
        </w:rPr>
      </w:pPr>
    </w:p>
    <w:p>
      <w:pPr>
        <w:ind w:left="1240" w:hanging="32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consolidation of all EMS manufacturing into our operation located in Mt. Laurel, New Jersey;</w:t>
      </w:r>
    </w:p>
    <w:p>
      <w:pPr>
        <w:spacing w:after="0" w:line="9" w:lineRule="exact"/>
        <w:rPr>
          <w:rFonts w:ascii="Arial" w:cs="Arial" w:eastAsia="Arial" w:hAnsi="Arial"/>
          <w:sz w:val="18"/>
          <w:szCs w:val="18"/>
          <w:color w:val="auto"/>
        </w:rPr>
      </w:pPr>
    </w:p>
    <w:p>
      <w:pPr>
        <w:ind w:left="1240" w:hanging="32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strategy to diversify our business by entering markets outside the Semi Market;</w:t>
      </w:r>
    </w:p>
    <w:p>
      <w:pPr>
        <w:spacing w:after="0" w:line="9" w:lineRule="exact"/>
        <w:rPr>
          <w:rFonts w:ascii="Arial" w:cs="Arial" w:eastAsia="Arial" w:hAnsi="Arial"/>
          <w:sz w:val="18"/>
          <w:szCs w:val="18"/>
          <w:color w:val="auto"/>
        </w:rPr>
      </w:pPr>
    </w:p>
    <w:p>
      <w:pPr>
        <w:ind w:left="1240" w:hanging="32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9" w:lineRule="exact"/>
        <w:rPr>
          <w:rFonts w:ascii="Arial" w:cs="Arial" w:eastAsia="Arial" w:hAnsi="Arial"/>
          <w:sz w:val="18"/>
          <w:szCs w:val="18"/>
          <w:color w:val="auto"/>
        </w:rPr>
      </w:pPr>
    </w:p>
    <w:p>
      <w:pPr>
        <w:ind w:left="1240" w:hanging="32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potential acquisitions;</w:t>
      </w:r>
    </w:p>
    <w:p>
      <w:pPr>
        <w:spacing w:after="0" w:line="9" w:lineRule="exact"/>
        <w:rPr>
          <w:rFonts w:ascii="Arial" w:cs="Arial" w:eastAsia="Arial" w:hAnsi="Arial"/>
          <w:sz w:val="18"/>
          <w:szCs w:val="18"/>
          <w:color w:val="auto"/>
        </w:rPr>
      </w:pPr>
    </w:p>
    <w:p>
      <w:pPr>
        <w:ind w:left="1240" w:hanging="32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rates of, and timing of, capital expenditures by our customers including as a result of COVID-19;</w:t>
      </w:r>
    </w:p>
    <w:p>
      <w:pPr>
        <w:spacing w:after="0" w:line="9" w:lineRule="exact"/>
        <w:rPr>
          <w:rFonts w:ascii="Arial" w:cs="Arial" w:eastAsia="Arial" w:hAnsi="Arial"/>
          <w:sz w:val="18"/>
          <w:szCs w:val="18"/>
          <w:color w:val="auto"/>
        </w:rPr>
      </w:pPr>
    </w:p>
    <w:p>
      <w:pPr>
        <w:ind w:left="1240" w:hanging="32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9" w:lineRule="exact"/>
        <w:rPr>
          <w:rFonts w:ascii="Arial" w:cs="Arial" w:eastAsia="Arial" w:hAnsi="Arial"/>
          <w:sz w:val="18"/>
          <w:szCs w:val="18"/>
          <w:color w:val="auto"/>
        </w:rPr>
      </w:pPr>
    </w:p>
    <w:p>
      <w:pPr>
        <w:ind w:left="1240" w:hanging="32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raw material and fabrication costs associated with our products including as a result of COVID-19; and</w:t>
      </w:r>
    </w:p>
    <w:p>
      <w:pPr>
        <w:spacing w:after="0" w:line="9" w:lineRule="exact"/>
        <w:rPr>
          <w:rFonts w:ascii="Arial" w:cs="Arial" w:eastAsia="Arial" w:hAnsi="Arial"/>
          <w:sz w:val="18"/>
          <w:szCs w:val="18"/>
          <w:color w:val="auto"/>
        </w:rPr>
      </w:pPr>
    </w:p>
    <w:p>
      <w:pPr>
        <w:ind w:left="1240" w:right="620" w:hanging="320"/>
        <w:spacing w:after="0" w:line="260"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 factors included in Part I, Item 1A - "Risk Factors" in our 2019 Form 10-K and Part II, Item 1A - "Risk Factors" in this Quarterly Report on Form 10-Q.</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Material changes to such risk factors may be reported in subsequent Quarterly Reports on Form 10-Q in Part II, Item 1A.</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sz w:val="20"/>
          <w:szCs w:val="20"/>
          <w:color w:val="auto"/>
        </w:rPr>
      </w:pPr>
    </w:p>
    <w:p>
      <w:pPr>
        <w:ind w:left="860" w:right="40"/>
        <w:spacing w:after="0" w:line="290" w:lineRule="auto"/>
        <w:rPr>
          <w:sz w:val="20"/>
          <w:szCs w:val="20"/>
          <w:color w:val="auto"/>
        </w:rPr>
      </w:pPr>
      <w:r>
        <w:rPr>
          <w:rFonts w:ascii="Arial" w:cs="Arial" w:eastAsia="Arial" w:hAnsi="Arial"/>
          <w:sz w:val="16"/>
          <w:szCs w:val="16"/>
          <w:color w:val="auto"/>
        </w:rPr>
        <w:t>Our business has been, and will continue to be, adversely affected by the ongoing COVID-19 pandemic. As of the date of this filing, COVID-19 continues to cause significant disruptions in the normal business environment, both domestically and globally, and we believe the situation will remain challenging until the spread of the virus can be contained. Since March 17, 2020, several states, including all of the states in which we have manufacturing facilities, have instituted “shelter-in place” orders as well as guidance in response to COVID-19 and the need to contain it. As of the date of this filing, all of the states in which we operate have re-opened to varying degrees. However, some of these states have paused their re-opening plans or reversed actions they had taken with respect to their re-opening plans because of increased spread. Despite these changes, all of our operations continue to be deemed “critical and essential business operations” under the various governmental COVID-19 mandates which has allowed us to continue to operate our business with certain modifications as discussed below.</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823" w:right="35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color w:val="auto"/>
        </w:rPr>
        <w:t>Although our net revenues from all of the markets we serve have been significantly affected by COVID-19, the impact of COVID-19 on our net revenues from the Semi Market has been intensified because it began during a time when our business operations were also being negatively affected by a global downturn in the Semi Market. The Semi Market, from which approximately half of our net revenues are derived, entered a cyclical downturn in the beginning of 2019. This downturn resulted in significant declines in our net revenues from the Semi Market during 2020 as compared to 2019, particularly during the first half of the year, and was the primary factor causing the net loss we recorded in the first nine months of 2020 of $515,000. Our net revenues from the Semi Market for the first nine months of 2020 totaled $19.3 million compared to $24.9 million in the first nine months of 2019. During the first quarter of 2020, before the spread of COVID-19, we had started to see indications that the downturn was coming to an end and that the beginning of the next cyclical upturn in the Semi Market was about to commence. However, COVID-19 impacted this timing and, as a result, the recovery in the Semi Market was delayed. Although we saw increasing order rates from our customers in the Semi Market during the second quarter of 2020, this trend did not continue for all of the products we sell into this market during the third quarter of 2020. While the broader Semi Market appears to have entered the next cyclical upturn, we serve only a portion of that broader market. Furthermore, because we sell to a limited number of customers in the ATE and wafer processing sectors within the broader Semi Market, the trend in our orders and net revenues does not always follow the overall trend in these sectors of the broader Semi Market. Accordingly, there can be no assurance that the trend in our orders from customers in the Semi Market will follow the trend in the broader Semi Market, in particular, if the spread of COVID-19 is not further contained and one or more of our significant customers is negatively impacted.</w:t>
      </w:r>
    </w:p>
    <w:p>
      <w:pPr>
        <w:spacing w:after="0" w:line="18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addition, the aftermarket service and support that we provide to our customers has been, and we expect may continue to be, adversely impacted by COVID-19 due to travel restrictions which continue to exist in some locations and limitations on visitors allowed into customer facilities, which has resulted in some of these activities being reduced or suspended. The net revenues associated with these aftermarket service and support activities typically range from 8% to 10% of our consolidated net revenues. Although these net revenues returned to a more typical range during the third quarter of 2020, if the spread of COVID-19 worsens, these revenues may be reduced in future periods.</w:t>
      </w:r>
    </w:p>
    <w:p>
      <w:pPr>
        <w:spacing w:after="0" w:line="16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2019, we made adjustments to reduce our fixed cost structure, which included staff reductions and limits on all discretionary spending. As a result of the delay in the Semi Market recovery discussed above and the impact of COVID-19 on our operations, we have taken actions to further reduce our fixed cost structure with the goal of limiting future losses and maintaining an adequate level of liquidity to operate our business. To date, these additional actions have included further staff reductions, the temporary closure of our EMS manufacturing facility in Fremont, California for approximately three weeks beginning in late March and the temporary closure of our Thermal segment manufacturing facility in Mansfield, Massachusetts for a two-week period at the beginning of April. As discussed further in Note 9 to our consolidated financial statements, on April 10, 2020, we entered into a Loan and Security Agreement (the “Agreement”) with M&amp;T Bank (“M&amp;T”). Under the terms of the Agreement, M&amp;T has provided us with a $7.5 million revolving credit facility. This revolving credit facility was put in place to provide us with additional liquidity in response to the current business environment as a result of COVID-19.</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the date of the filing of this report, all of our facilities are open, although a significant number of our employees are working remotely as discussed below. As discussed further in Note 3 to our consolidated financial statements, we are in the process of closing our manufacturing operation in Fremont, California. We expect that action to be substantially completed during the fourth quarter of 2020. While we do not currently have any further plans for other facility closures, if the current pace of COVID-19 cannot be sufficiently slowed and the spread of the virus is not contained, our business operations could be further interrupted. If the spread of the virus cannot be contained, government and health authorities may announce new or extend existing restrictions, which could require us to make further adjustments to our operations in order to comply with any such restrictions. These adjustments to our operations could include additional facility closures in the future if demand slows down, which could have a material negative impact on our business, results of operations, financial condition and cash flows. The funds we may be able to draw down under the Agreement may not be sufficient to prevent the need to take further actions, such as staff reductions, facility closures or other salary and benefits adjustments for remaining employees. As a result of our current level of working capital as well as the availability of the revolving credit facility under the Agreement, we currently expect to have sufficient liquidity to operate our business throughout the balance of 2020, as further described in this report.</w:t>
      </w:r>
    </w:p>
    <w:p>
      <w:pPr>
        <w:spacing w:after="0" w:line="17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Generally, global supply chains and the timely availability of products have been, and will continue to be, materially disrupted by quarantines, factory slowdowns or shutdowns, border closings and travel restrictions resulting from COVID-19. We have experienced, and expect that we may continue to experience, extended delivery lead times, price increases and/or lack of availability from our normal suppliers for the materials needed to produce our products in a timely manner and/or with the level of margins we typically expect to achieve. We are working to mitigate and address these delays and price increases, but there can be no assurance that we will not experience delays or price increases in the future which could have a material negative impact on our business, results of operations and financial condition.</w:t>
      </w:r>
    </w:p>
    <w:p>
      <w:pPr>
        <w:spacing w:after="0" w:line="1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240" w:top="584" w:right="339" w:bottom="1440" w:gutter="0" w:footer="0" w:header="0"/>
        </w:sectPr>
      </w:pPr>
    </w:p>
    <w:bookmarkStart w:id="27" w:name="page28"/>
    <w:bookmarkEnd w:id="27"/>
    <w:p>
      <w:pPr>
        <w:spacing w:after="0" w:line="270" w:lineRule="auto"/>
        <w:rPr>
          <w:sz w:val="20"/>
          <w:szCs w:val="20"/>
          <w:color w:val="auto"/>
        </w:rPr>
      </w:pPr>
      <w:r>
        <w:rPr>
          <w:rFonts w:ascii="Arial" w:cs="Arial" w:eastAsia="Arial" w:hAnsi="Arial"/>
          <w:sz w:val="17"/>
          <w:szCs w:val="17"/>
          <w:color w:val="auto"/>
        </w:rPr>
        <w:t>We have implemented workplace safeguards designed to protect the health and well-being of our employees. A significant number of employees have been authorized to work from home and have been provided with the tools and technology necessary to do so. However, the process of working remotely may result in those employees not being as effective or responsive to our customers’ needs as they would be under more normal conditions. This could result in lost business opportunities or have other negative impacts on our business. Remaining employees in our facilities are following World Health Organization (“WHO”) and Centers for Disease Control and Prevention (“CDC”) recommended safety practices, as well as state and local directives, but there can be no assurances that we can successfully avoid one or more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8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duration of any business disruption and related financial impact cannot be reasonably estimated at this time but may materially affect our ability to operate our business and result in additional costs. The extent to which COVID-19 may impact our operating results, financial condition, and liquidity will depend on future developments, which are highly uncertain and cannot be predicted as of the date of the filing of this report, including new information that may emerge concerning the severity of COVID-19 and steps taken to contain COVID-19 or treat its impact, among others. The adverse effects of COVID-19 on our business could be material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Thermal Products (“Thermal”) and Electromechanical Solutions (“EMS”). Our Thermal segment designs, manufactures and sells our thermal test and thermal process products while our EMS segment designs, manufactures and sells our semiconductor test products.</w:t>
      </w:r>
    </w:p>
    <w:p>
      <w:pPr>
        <w:spacing w:after="0" w:line="157"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energy, industrial and telecommunications markets. As a result of the acquisition of Ambrell in May 2017, our Thermal segment also sells into the consumer products packaging, fiber optics and other sectors within the broader industrial market, and into the wafer processing sector within the broader semiconductor market.</w:t>
      </w:r>
    </w:p>
    <w:p>
      <w:pPr>
        <w:spacing w:after="0" w:line="164"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semiconductor ATE and wafer processing sectors within the broader semiconductor market), and “Non-Semiconductor” (which included all of the other markets we serve). In the second quarter of 2019, we began referring to the semiconductor market, including the ATE and wafer processing sectors within that market, as the “Semi Market.” All other markets are designated as “Multimarket.” While the Semi Market represents the historical roots of inTEST and remains a very important component of our business, Multimarket is where we have focused our strategic growth efforts in the last several years. Our goal has been to grow our business, both organically and through acquisition, in these markets as we believe these markets have historically been less cyclical than the Semi Market. It is important to note that business within our Thermal segment can fall into either the Semi Market or Multimarket, depending upon how our customers utilize our products or upon their respective applications. Prior to the acquisition of Ambrell,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reduced our dependence on customers in the Semi Market. We expect that our future orders and net revenues will be approximately equally split between the Semi Market and Multimarket.</w:t>
      </w:r>
    </w:p>
    <w:p>
      <w:pPr>
        <w:spacing w:after="0" w:line="16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240" w:top="584" w:right="339" w:bottom="1440" w:gutter="0" w:footer="0" w:header="0"/>
        </w:sectPr>
      </w:pPr>
    </w:p>
    <w:bookmarkStart w:id="28" w:name="page29"/>
    <w:bookmarkEnd w:id="28"/>
    <w:p>
      <w:pPr>
        <w:ind w:right="320"/>
        <w:spacing w:after="0" w:line="271" w:lineRule="auto"/>
        <w:rPr>
          <w:sz w:val="20"/>
          <w:szCs w:val="20"/>
          <w:color w:val="auto"/>
        </w:rPr>
      </w:pPr>
      <w:r>
        <w:rPr>
          <w:rFonts w:ascii="Arial" w:cs="Arial" w:eastAsia="Arial" w:hAnsi="Arial"/>
          <w:sz w:val="17"/>
          <w:szCs w:val="17"/>
          <w:color w:val="auto"/>
        </w:rPr>
        <w:t>The portion of our business that is derived from the Semi Market is substantially dependent upon the demand for ATE by semiconductor manufacturers and companies that specialize in the testing of integrated circuits ("ICs")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that contribute to our net revenues as our customers adopt these new products.</w:t>
      </w:r>
    </w:p>
    <w:p>
      <w:pPr>
        <w:spacing w:after="0" w:line="178"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 addition to being cyclical, the Semi Market has also developed a seasonal pattern, with the second and third quarters being the periods of strong demand and the first and fourth quarters being periods of weaker demand. These periods of heightened or reduced demand can shift depending on various factors impacting both our customers and the markets that they serve.</w:t>
      </w:r>
    </w:p>
    <w:p>
      <w:pPr>
        <w:spacing w:after="0" w:line="18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Third 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While approximately half of our orders and net revenues are derived from the Semi Market, and our operating results generally follow the overall trend in the Semi Market, in any given period we may experience anomalies that cause the trend in our net revenues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processing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previously mentioned, as part of our ongoing strategy to reduce the impact of Semi Market volatility on our business operations, we continue to diversify our served markets to address the thermal test and thermal process requirements of several markets outside the Semi Market. These include the automotive, defense/aerospace, energy, industrial, telecommunications and other markets, which we refer to as Multimarket.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7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our Multimarket orders and net revenues in any given period do not necessarily reflect the overall trends in the markets within Multimarket due to our limited market shares. Consequently, we are continuing to evaluate buying patterns and opportunities for growth in Multimarket that may affect our performance. The level of our Multimarket orders and net revenues has varied in the past, and we expect will vary significantly in the future, as we work to build our presence in Multimarket and establish new markets for our products.</w:t>
      </w:r>
    </w:p>
    <w:p>
      <w:pPr>
        <w:spacing w:after="0" w:line="1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24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EMS Segment Restructuring and Facility Consolidation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September 21, 2020, we notified employees in our Fremont, California facility of a plan to consolidate all manufacturing for our EMS segment into the manufacturing operation located in Mt. Laurel, New Jersey. Currently, our interface products are manufactured in the Fremont facility, and our manipulator and docking hardware products are manufactured in the Mt. Laurel facility. This action will result in the closure of the Fremont facility and the termination of certain employees at that location. The consolidation of manufacturing operations is being undertaken to better serve customers through streamlined operations and reduce the fixed annual operating costs for the EMS segment. The consolidation is expected to be substantially completed during the fourth quarter of 2020. A small engineering and sales office will be maintained in northern California after the consolidation of manufacturing operations has been completed. The costs related to these actions are included in general and administrative expense on our consolidated statement of operations and are discussed in more detail in Note 3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a breakdown of the orders received by operating segment and market (in thousands).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3"/>
              </w:rPr>
              <w:t>Three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3"/>
              </w:rPr>
              <w:t>Three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Change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Thermal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11,004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9,543</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90"/>
              <w:spacing w:after="0"/>
              <w:rPr>
                <w:sz w:val="20"/>
                <w:szCs w:val="20"/>
                <w:color w:val="auto"/>
              </w:rPr>
            </w:pPr>
            <w:r>
              <w:rPr>
                <w:rFonts w:ascii="Arial" w:cs="Arial" w:eastAsia="Arial" w:hAnsi="Arial"/>
                <w:sz w:val="18"/>
                <w:szCs w:val="18"/>
                <w:color w:val="auto"/>
              </w:rPr>
              <w:t>1,461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10,446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(891)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3,472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14,427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13,857</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570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13,918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Semi Market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7,263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6,602</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661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7,299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6,619</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14,427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13,857</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570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13,918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Nine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Months Ended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Thermal</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ind w:left="460"/>
              <w:spacing w:after="0"/>
              <w:rPr>
                <w:sz w:val="20"/>
                <w:szCs w:val="20"/>
                <w:color w:val="auto"/>
              </w:rPr>
            </w:pPr>
            <w:r>
              <w:rPr>
                <w:rFonts w:ascii="Arial" w:cs="Arial" w:eastAsia="Arial" w:hAnsi="Arial"/>
                <w:sz w:val="18"/>
                <w:szCs w:val="18"/>
                <w:color w:val="auto"/>
                <w:w w:val="87"/>
              </w:rPr>
              <w:t>31,949</w:t>
            </w:r>
          </w:p>
        </w:tc>
        <w:tc>
          <w:tcPr>
            <w:tcW w:w="16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83"/>
              </w:rPr>
              <w:t>30,476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1,473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7"/>
              </w:rPr>
              <w:t>10,172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11,197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1"/>
              </w:rPr>
              <w:t>(1,025)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1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ind w:left="460"/>
              <w:spacing w:after="0"/>
              <w:rPr>
                <w:sz w:val="20"/>
                <w:szCs w:val="20"/>
                <w:color w:val="auto"/>
              </w:rPr>
            </w:pPr>
            <w:r>
              <w:rPr>
                <w:rFonts w:ascii="Arial" w:cs="Arial" w:eastAsia="Arial" w:hAnsi="Arial"/>
                <w:sz w:val="18"/>
                <w:szCs w:val="18"/>
                <w:color w:val="auto"/>
                <w:w w:val="87"/>
              </w:rPr>
              <w:t>42,121</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3"/>
              </w:rPr>
              <w:t>41,673</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Semi Market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ind w:left="460"/>
              <w:spacing w:after="0"/>
              <w:rPr>
                <w:sz w:val="20"/>
                <w:szCs w:val="20"/>
                <w:color w:val="auto"/>
              </w:rPr>
            </w:pPr>
            <w:r>
              <w:rPr>
                <w:rFonts w:ascii="Arial" w:cs="Arial" w:eastAsia="Arial" w:hAnsi="Arial"/>
                <w:sz w:val="18"/>
                <w:szCs w:val="18"/>
                <w:color w:val="auto"/>
                <w:w w:val="87"/>
              </w:rPr>
              <w:t>21,254</w:t>
            </w:r>
          </w:p>
        </w:tc>
        <w:tc>
          <w:tcPr>
            <w:tcW w:w="16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83"/>
              </w:rPr>
              <w:t>20,804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7"/>
              </w:rPr>
              <w:t>20,867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20,869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ind w:left="460"/>
              <w:spacing w:after="0"/>
              <w:rPr>
                <w:sz w:val="20"/>
                <w:szCs w:val="20"/>
                <w:color w:val="auto"/>
              </w:rPr>
            </w:pPr>
            <w:r>
              <w:rPr>
                <w:rFonts w:ascii="Arial" w:cs="Arial" w:eastAsia="Arial" w:hAnsi="Arial"/>
                <w:sz w:val="18"/>
                <w:szCs w:val="18"/>
                <w:color w:val="auto"/>
                <w:w w:val="87"/>
              </w:rPr>
              <w:t>42,121</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3"/>
              </w:rPr>
              <w:t>41,673</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Total consolidated orders for the three months ended September 30, 2020 were $14.4 million compared to $13.9 million in each of the three months ended September 30, 2019 and June 30, 2020. Orders from customers in Multimarket for the three months ended September 30, 2020 were $7.2 million, or 50% of total consolidated orders, compared to $7.3 million, or 52% of total consolidated orders for the same period in 2019 and $6.6 million or 48% of total consolidated orders for the three months ended June 30, 2020.</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believe that the increase in our consolidated orders during the three months ended September 30, 2020 as compared to the same period in 2019 primarily reflects increased demand in our Thermal segment from certain of its Semi Market customers. This was partially offset by our EMS segment continuing to experience reduced levels of demand from the Semi Market in the third quarter of 2020 as compared to the same period in 2019. As previously discussed under the Markets section above, we periodically see instances when demand within the Semi Market is not consistent for each of our segments or for any given product within a particular segment. We believe the increase in orders for our Thermal segment as well as recent indications from customers of our EMS segment signal we are coming out of the cyclical downturn in the Semi Market that has been ongoing since late 2019. However, there can be no assurance that this trend will continue, in particular, if the spread of COVID-19 cannot be further contained, or worsens, and additional government mandated restrictions or shutdowns are enacted.</w:t>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240" w:top="584" w:right="339" w:bottom="1440" w:gutter="0" w:footer="0" w:header="0"/>
        </w:sectPr>
      </w:pPr>
    </w:p>
    <w:bookmarkStart w:id="30" w:name="page31"/>
    <w:bookmarkEnd w:id="30"/>
    <w:p>
      <w:pPr>
        <w:spacing w:after="0" w:line="272" w:lineRule="auto"/>
        <w:rPr>
          <w:sz w:val="20"/>
          <w:szCs w:val="20"/>
          <w:color w:val="auto"/>
        </w:rPr>
      </w:pPr>
      <w:r>
        <w:rPr>
          <w:rFonts w:ascii="Arial" w:cs="Arial" w:eastAsia="Arial" w:hAnsi="Arial"/>
          <w:sz w:val="17"/>
          <w:szCs w:val="17"/>
          <w:color w:val="auto"/>
        </w:rPr>
        <w:t>We believe that the increase in our consolidated orders during the three months ended September 30, 2020 as compared to the three months ended June 30, 2020 primarily reflects portions of our business returning to the levels we experienced prior to the onset of COVID-19. We had seen negative impacts in the second quarter of 2020 from COVID-19 on certain aspects of our business, in particular for our Thermal segment related to aftermarket service and support. We also experienced reductions in demand during the second quarter of 2020 for induction heating products from certain of our customers who had been impacted by government mandated closures. During the third quarter of 2020, we saw an improvement as customers re-opened facilities and began to allow limited service and support visits or found alternate methods to access service and support, either virtually or by shipping equipment to us for service.</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September 30, 2020, our backlog of unfilled orders for all products was approximately $8.7 million compared with approximately $8.0 million at September 30, 2019 and $8.7 million at June 30, 2020. Our backlog includes customer orders which we have accepted, substantially all of which we expect to deliver in 2020.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a breakdown of the net revenues by operating segment and market (in thousands).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Three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3"/>
              </w:rPr>
              <w:t>Three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Months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b w:val="1"/>
                <w:bCs w:val="1"/>
                <w:color w:val="auto"/>
                <w:w w:val="93"/>
              </w:rPr>
              <w:t>Change</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Thermal</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10,724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10,622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9,476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1,248</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(291)</w:t>
            </w:r>
          </w:p>
        </w:tc>
        <w:tc>
          <w:tcPr>
            <w:tcW w:w="5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3,799</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14,443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14,632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13,275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Semi Market</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7,387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7,126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6,858</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(450)</w:t>
            </w:r>
          </w:p>
        </w:tc>
        <w:tc>
          <w:tcPr>
            <w:tcW w:w="5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6,417</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14,443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14,632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13,275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4"/>
            <w:vMerge w:val="restart"/>
          </w:tcPr>
          <w:p>
            <w:pPr>
              <w:jc w:val="right"/>
              <w:ind w:right="520"/>
              <w:spacing w:after="0"/>
              <w:rPr>
                <w:sz w:val="20"/>
                <w:szCs w:val="20"/>
                <w:color w:val="auto"/>
              </w:rPr>
            </w:pPr>
            <w:r>
              <w:rPr>
                <w:rFonts w:ascii="Arial" w:cs="Arial" w:eastAsia="Arial" w:hAnsi="Arial"/>
                <w:sz w:val="18"/>
                <w:szCs w:val="18"/>
                <w:b w:val="1"/>
                <w:bCs w:val="1"/>
                <w:color w:val="auto"/>
              </w:rPr>
              <w:t>Nine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2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Thermal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29,534</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33,775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(4,241)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8"/>
              </w:rPr>
              <w:t>(3,857)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38,948</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47,046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(8,098)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Semi Market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19,256</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24,878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(5,622)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19,692</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8"/>
              </w:rPr>
              <w:t>(2,476)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38,948</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47,046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(8,098)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Total consolidated net revenues for the three months ended September 30, 2020 were $14.4 million compared to $14.6 million for the same period in 2019 and $13.3 million for the three months ended June 30, 2020. Net revenues from customers in Multimarket for the three months ended September 30, 2020 were $7.1 million, or 49% of total consolidated net revenues, compared to $7.5 million, or 51% of total consolidated net revenues for the same period in 2019 and $6.4 million or 48% of total consolidated orders for the three months ended June 30, 2020.</w:t>
      </w:r>
    </w:p>
    <w:p>
      <w:pPr>
        <w:spacing w:after="0" w:line="188"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We believe the decrease in our consolidated net revenues as compared to the same period in 2019 reflects a combination of factors including the impact of COVID-19 on our revenues from Multimarket customers, which are all in our Thermal segment, and the impact of both COVID-19 and the aforementioned downturn in the Semi Market on our EMS segment. We believe the increase in our consolidated net revenues for the three months ended September 30, 2020 as compared to the three months ended June 30, 2020 reflects that the impact of COVID-19 is lessening and we are beginning to experience increased demand from certain of our Semi Market customers. As previously discussed under the Orders and Backlog section above, we believe this signals that the downturn in the Semi Market is coming to an end, although there can be no assurance that this trend will continue or what the pace of the recovery may be.</w:t>
      </w:r>
    </w:p>
    <w:p>
      <w:pPr>
        <w:spacing w:after="0" w:line="16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1240" w:top="584"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760"/>
        <w:spacing w:after="0" w:line="259" w:lineRule="auto"/>
        <w:rPr>
          <w:sz w:val="20"/>
          <w:szCs w:val="20"/>
          <w:color w:val="auto"/>
        </w:rPr>
      </w:pPr>
      <w:r>
        <w:rPr>
          <w:rFonts w:ascii="Arial" w:cs="Arial" w:eastAsia="Arial" w:hAnsi="Arial"/>
          <w:sz w:val="18"/>
          <w:szCs w:val="18"/>
          <w:color w:val="auto"/>
        </w:rPr>
        <w:t>The results of operations for our two operating segments are generally affected by the same factors described in the Overview and COVID-19 Pandemic sections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2020 Compared to Three Months Ended September 30, 2019</w:t>
      </w:r>
    </w:p>
    <w:p>
      <w:pPr>
        <w:spacing w:after="0" w:line="225"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were $14.4 million for the three months ended September 30, 2020 compared to $14.6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2019, a decrease of $189,000, or 1%. We believe the decrease in our net revenues during the third quarter of 2020 primarily reflects the factors previously discussed in the Overview and COVID-19 Pandemic sections.</w:t>
      </w:r>
    </w:p>
    <w:p>
      <w:pPr>
        <w:spacing w:after="0" w:line="165"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45% of net revenues for the three months ended September 30, 2020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49% of net revenues for the same period in 2019. The decrease in our gross margin primarily reflects changes in product and customer mix. To a lesser extent, we also had an increase in our fixed operating costs as a percentage of net revenues. Although our fixed operating costs were relatively unchanged in absolute dollar terms, they increased as a percentage of net revenues as a result of not being as fully absorbed by the lower net revenues levels in the three months ended September 30, 2020 as compared to the same period in 2019.</w:t>
      </w:r>
    </w:p>
    <w:p>
      <w:pPr>
        <w:spacing w:after="0" w:line="16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$1.7 million for the three months ended September 30, 2020 compared to $2.0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2019, a decrease of $297,000, or 15%. The decrease primarily reflects a reduction in travel and trade show expense, reflecting the impact of COVID-19. In late March 2020, we suspended all non-essential travel, including attendance at trade shows. To a lesser extent, there was also a reduction in warranty expense and lower levels of commission expense, as a result of the lower net revenue levels, and a decrease in salary and benefits expense in our Thermal segment due to headcount reductions.</w:t>
      </w:r>
    </w:p>
    <w:p>
      <w:pPr>
        <w:spacing w:after="0" w:line="176"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relatively unchanged at $1.3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both the three months ended September 30, 2020 and 2019. Increases in salaries and benefits expense in our Thermal segment were offset by a reduction in spending on third-party consultants in our Thermal segment and reduced travel in both of our segments.</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$3.0 million for the three months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$3.1 million for the same period in 2019, a decrease of $134,000, or 4%. The expense for the three months ended September 30, 2020 included $133,000 for severance and medical benefits for our former CEO who resigned on August 6, 2020. In connection with his resignation, we also recorded a reduction of $117,000 in stock-based compensation expense related to awards that he forfeited at his termination date. During the three months ended September 30, 2020 we recorded lower levels of expense for salaries and benefits, reflecting a reduction in administrative staff, lower travel costs and reduced spending on third-party professionals who assist us in a variety of strategic and compliance related matters. These reductions were partially offset by accruals related to the guaranteed minimum cash bonus that will be paid to our new CEO for 2020.</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For the three months ended September 30, 2020, we recorded an income tax benefit of $25,000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expense of $147,000 for the same period in 2019. Our effective tax rate was (6)% for the three months ended September 30, 2020 compared to 19% for the same period in 2019. On a quarterly basis, we record income tax expense or benefit based on the expected annualized effective tax rate for the various taxing jurisdictions in which we operate our businesses. The effective tax rates in each of the three months ended September 30, 2020 and 2019 reflect adjustments that were made to bring the effective tax rates for the nine-month periods ended September 30, 2020 and 2019 to the expected annualized effective tax rate as of September 30 in each year.</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Nine Months Ended September 30, 2020 Compared to Nine Months Ended September 30, 2019</w:t>
      </w:r>
    </w:p>
    <w:p>
      <w:pPr>
        <w:spacing w:after="0" w:line="225" w:lineRule="exact"/>
        <w:rPr>
          <w:sz w:val="20"/>
          <w:szCs w:val="20"/>
          <w:color w:val="auto"/>
        </w:rPr>
      </w:pPr>
    </w:p>
    <w:p>
      <w:pPr>
        <w:jc w:val="both"/>
        <w:ind w:left="20"/>
        <w:spacing w:after="0" w:line="31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$38.9 million for the nine months ended September 30, 2020 compared to $47.0 million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2019, a decrease of $8.1 million, or 17%. We believe the decrease in our net revenues during the first nine months of 2020 primarily reflects the factors previously discussed in the Overview, including the impact of the ongoing downturn in the Semi Market and COVID-19.</w:t>
      </w:r>
    </w:p>
    <w:p>
      <w:pPr>
        <w:spacing w:after="0" w:line="14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240" w:top="580" w:right="339" w:bottom="1440" w:gutter="0" w:footer="0" w:header="0"/>
        </w:sectPr>
      </w:pPr>
    </w:p>
    <w:bookmarkStart w:id="32" w:name="page33"/>
    <w:bookmarkEnd w:id="32"/>
    <w:p>
      <w:pPr>
        <w:ind w:left="940" w:right="40"/>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45% of net revenues for the nine months ended September 30, 2020 as compared to 48% of</w:t>
      </w:r>
      <w:r>
        <w:rPr>
          <w:rFonts w:ascii="Arial" w:cs="Arial" w:eastAsia="Arial" w:hAnsi="Arial"/>
          <w:sz w:val="17"/>
          <w:szCs w:val="17"/>
          <w:i w:val="1"/>
          <w:iCs w:val="1"/>
          <w:color w:val="auto"/>
        </w:rPr>
        <w:t xml:space="preserve"> </w:t>
      </w:r>
      <w:r>
        <w:rPr>
          <w:rFonts w:ascii="Arial" w:cs="Arial" w:eastAsia="Arial" w:hAnsi="Arial"/>
          <w:sz w:val="17"/>
          <w:szCs w:val="17"/>
          <w:color w:val="auto"/>
        </w:rPr>
        <w:t>net revenues for the same period in 2019. The decrease in our gross margin as a percentage of net revenues primarily reflects an increase in our fixed operating costs as a percentage of net revenues. Although our fixed operating costs decreased by $356,000 in absolute dollar terms, they represented 19% of net revenues for the nine months ended September 30, 2020 as compared to 16% of net revenues for the same period in 2019. This is a result of not being as fully absorbed by the lower net revenues levels in the first nine months of 2020. The $356,000 decrease in our fixed operating costs primarily reflects a reduction in materials used in operations and service, headcount reductions and lower levels of outsourced labor in our Thermal segment. These decreases were partially offset by an increase in facilities costs in our Thermal segment.</w:t>
      </w:r>
    </w:p>
    <w:p>
      <w:pPr>
        <w:spacing w:after="0" w:line="178" w:lineRule="exact"/>
        <w:rPr>
          <w:sz w:val="20"/>
          <w:szCs w:val="20"/>
          <w:color w:val="auto"/>
        </w:rPr>
      </w:pPr>
    </w:p>
    <w:p>
      <w:pPr>
        <w:ind w:left="940" w:right="260"/>
        <w:spacing w:after="0" w:line="279"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$5.6 million for the nine months ended September 30, 2020 compared to $6.5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2019, a decrease of $945,000, or 15%. The decrease primarily reflects a reduction in travel and trade show expense, reflecting the aforementioned suspension of all non-essential travel and trade show attendance as a result of COVID-19. In addition, there was also a reduction in warranty expense and lower levels of commission expense, as a result of the lower net revenue levels.</w:t>
      </w:r>
    </w:p>
    <w:p>
      <w:pPr>
        <w:spacing w:after="0" w:line="171" w:lineRule="exact"/>
        <w:rPr>
          <w:sz w:val="20"/>
          <w:szCs w:val="20"/>
          <w:color w:val="auto"/>
        </w:rPr>
      </w:pPr>
    </w:p>
    <w:p>
      <w:pPr>
        <w:ind w:left="940"/>
        <w:spacing w:after="0" w:line="263"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$3.8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nine months ended September 30, 2020 and 2019. Increases in salaries and benefits expense were offset by a reduction in spending on travel, third-party consultants and materials used in product development.</w:t>
      </w:r>
    </w:p>
    <w:p>
      <w:pPr>
        <w:spacing w:after="0" w:line="184" w:lineRule="exact"/>
        <w:rPr>
          <w:sz w:val="20"/>
          <w:szCs w:val="20"/>
          <w:color w:val="auto"/>
        </w:rPr>
      </w:pPr>
    </w:p>
    <w:p>
      <w:pPr>
        <w:ind w:left="920" w:right="20"/>
        <w:spacing w:after="0" w:line="269"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$8.7 million for the nine months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$10.5 million for the same period in 2019, a decrease of $1.8 million, or 17%. During the nine months ended September 30, 2019, we incurred $683,000 related to an acquisition opportunity which we decided not to pursue. There were no similar costs in the nine months ended September 30, 2020. During the nine months ended September 30, 2019, we also recorded restructuring costs of $242,000, primarily related to the consolidation of Ambrell’s European operations. This compares to restructuring costs of $179,000 recorded during the nine months ended September 30, 2020, primarily related to the aforementioned resignation of our former CEO and, to a lesser extent, employee terminations in our Thermal segment which were a result of reduced levels of demand. During the nine months ended September 30, 2020 we also recorded reduced spending on third-party professionals who assist us in a variety of strategic and compliance related matters, lower travel costs, reduced levels of stock-based compensation expense, lower salaries and benefits expense and reduced levels of accruals for profit-based bonuses.</w:t>
      </w:r>
    </w:p>
    <w:p>
      <w:pPr>
        <w:spacing w:after="0" w:line="185" w:lineRule="exact"/>
        <w:rPr>
          <w:sz w:val="20"/>
          <w:szCs w:val="20"/>
          <w:color w:val="auto"/>
        </w:rPr>
      </w:pPr>
    </w:p>
    <w:p>
      <w:pPr>
        <w:ind w:left="940" w:right="20"/>
        <w:spacing w:after="0" w:line="273"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For the nine months ended September 30, 2020, we recorded an income tax benefit of $262,000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expense of $358,000 for the same period in 2019. Our effective tax rate was 34% for the nine months ended September 30, 2020 compared to 18% for the same period in 2019. The increase in our effective tax rate primarily represents the impact of changes in the expected mix of foreign and domestic source income for 2020 and other adjustments related to recently enacted tax regulations where specific application of the regulations is still evolving. On a quarterly basis, we record income tax expense or benefit based on the expected annualized effective tax rate for the various taxing jurisdictions in which we operate our businesses.</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920" w:right="240"/>
        <w:spacing w:after="0" w:line="286" w:lineRule="auto"/>
        <w:rPr>
          <w:sz w:val="20"/>
          <w:szCs w:val="20"/>
          <w:color w:val="auto"/>
        </w:rPr>
      </w:pPr>
      <w:r>
        <w:rPr>
          <w:rFonts w:ascii="Arial" w:cs="Arial" w:eastAsia="Arial" w:hAnsi="Arial"/>
          <w:sz w:val="17"/>
          <w:szCs w:val="17"/>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 especially in light of COVID-19.</w:t>
      </w:r>
    </w:p>
    <w:p>
      <w:pPr>
        <w:spacing w:after="0" w:line="165" w:lineRule="exact"/>
        <w:rPr>
          <w:sz w:val="20"/>
          <w:szCs w:val="20"/>
          <w:color w:val="auto"/>
        </w:rPr>
      </w:pPr>
    </w:p>
    <w:p>
      <w:pPr>
        <w:ind w:left="920" w:right="4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cash and cash equivalents and working capital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1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Working capital</w:t>
            </w:r>
          </w:p>
        </w:tc>
        <w:tc>
          <w:tcPr>
            <w:tcW w:w="3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17,358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16,534</w:t>
            </w:r>
          </w:p>
        </w:tc>
        <w:tc>
          <w:tcPr>
            <w:tcW w:w="1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560" w:type="dxa"/>
            <w:vAlign w:val="bottom"/>
          </w:tcPr>
          <w:p>
            <w:pPr>
              <w:jc w:val="right"/>
              <w:ind w:right="195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33" w:name="page34"/>
    <w:bookmarkEnd w:id="33"/>
    <w:p>
      <w:pPr>
        <w:spacing w:after="0" w:line="290" w:lineRule="auto"/>
        <w:rPr>
          <w:sz w:val="20"/>
          <w:szCs w:val="20"/>
          <w:color w:val="auto"/>
        </w:rPr>
      </w:pPr>
      <w:r>
        <w:rPr>
          <w:rFonts w:ascii="Arial" w:cs="Arial" w:eastAsia="Arial" w:hAnsi="Arial"/>
          <w:sz w:val="16"/>
          <w:szCs w:val="16"/>
          <w:color w:val="auto"/>
        </w:rPr>
        <w:t>As of September 30, 2020, $3.4 million, or 36%, of our cash and cash equivalents was held by our foreign subsidiaries. In addition, included in our cash and cash equivalents at September 30, 2020 was $1.4 million in advance deposits from customers on orders we expect to ship in the fourth quarter of 2020. We currently expect our cash and cash equivalents, in combination with the borrowing availability under our revolving credit facility to be sufficient to support our short-term working capital requirements and other corporate requirements. Our revolving credit facility is discussed in Notes 1 and 9 to our consolidated financial statements. Should the impact of COVID-19 on our operations, including the disruption to our business caused by potential future closures of our facilities or reduced demand from our customers, be more significant than we currently anticipate, we may need additional financial resources, including additional debt or equity financings. There can be no assurance that any such debt or equity financings would be available on favorable terms or rates or at all.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the nine months ended September 30, 2020, we recorded a net loss of $515,000 and our net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was $2.4 million. During this same period, we had non-cash charges of $2.4 million for depreciation and amortization, which included $977,000 of amortization related to our ROU assets. During the nine months ended September 30, 2020, we also recorded $480,000 for amortization of deferred compensation expense related to stock-based awards and a provision for excess and obsolete inventory of $410,000. During the nine months ended September 30, 2020, customer deposits and deferred revenue increased $936,000, primarily reflecting an increase in customers placing deposits with their orders for future shipment, our operating lease liabilities decreased $977,000, primarily reflecting cash payments made under our facility lease agreements, and our domestic and foreign taxes payable decreased $240,000, primarily reflecting the accrual of an income tax benefit on our loss for the nine months.</w:t>
      </w:r>
    </w:p>
    <w:p>
      <w:pPr>
        <w:spacing w:after="0" w:line="17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During the nine months ended September 30, 2020, purchases of property and equipment were $520,000.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fourth quarter of 2020, we expect to spend approximately $202,000 to complete the tenant improvements to our facility in Mt. Laurel, New Jersey. These improvements are being done in connection with reducing the size of that facility and consolidating manufacturing operations from our Fremont, California operation as discussed under the Overview section above and in Notes 3 and 8 to our consolidated financial statements. We have no other significant commitments for capital expenditures for the balance of 2020; however, depending upon changes in market demand or manufacturing and sales strategies, we may make such purchases or investments as we deem necessary and appropriate.</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As discussed more fully in Note 13 to our consolidated financial statements in our Q1 2020 Form 10-Q, during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2020, we applied for and received loans through the PPP of the CARES Act administered by the SBA totaling $2.8 million. We repaid the full amount of the PPP loans on May 5, 2020 with the applicable interest. During the nine months ended September 30, 2020 we borrowed and repaid $2.8 million on our revolving credit facility. During the nine months ended September 30, 2020, we utilized $74,000 to repurchase 13,767 shares of our common stock under the 2019 Repurchase Plan. On March 2, 2020, we suspended repurchases under the 2019 Repurchase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2020, there have been no significant changes to the accounting policies that we have deemed critical. These policies are more fully described in our 2019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There were no off-balance sheet arrangements during the nine months ended September 30, 2020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240" w:top="584" w:right="3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920" w:right="360"/>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8" w:lineRule="exact"/>
        <w:rPr>
          <w:sz w:val="20"/>
          <w:szCs w:val="20"/>
          <w:color w:val="auto"/>
        </w:rPr>
      </w:pPr>
    </w:p>
    <w:p>
      <w:pPr>
        <w:ind w:left="920" w:right="340"/>
        <w:spacing w:after="0" w:line="303" w:lineRule="auto"/>
        <w:rPr>
          <w:sz w:val="20"/>
          <w:szCs w:val="20"/>
          <w:color w:val="auto"/>
        </w:rPr>
      </w:pPr>
      <w:r>
        <w:rPr>
          <w:rFonts w:ascii="Arial" w:cs="Arial" w:eastAsia="Arial" w:hAnsi="Arial"/>
          <w:sz w:val="16"/>
          <w:szCs w:val="16"/>
          <w:b w:val="1"/>
          <w:bCs w:val="1"/>
          <w:color w:val="auto"/>
        </w:rPr>
        <w:t>CEO/CFO Conclusions about the Effectiveness of the Disclosure Controls and Procedures</w:t>
      </w:r>
      <w:r>
        <w:rPr>
          <w:rFonts w:ascii="Arial" w:cs="Arial" w:eastAsia="Arial" w:hAnsi="Arial"/>
          <w:sz w:val="16"/>
          <w:szCs w:val="16"/>
          <w:color w:val="auto"/>
        </w:rPr>
        <w:t>. As required by Rule 13a-15(b),</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CEO and CFO, conducted an evaluation as of the end of the period covered by this report, of the effectiveness of our disclosure controls and procedures, including impact of COVID-19. Based on that evaluation, our CEO and CFO concluded that, as of the end of the period covered by this report, our disclosure controls and procedures were effective at the reasonable assurance level.</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920" w:right="340"/>
        <w:spacing w:after="0" w:line="311" w:lineRule="auto"/>
        <w:rPr>
          <w:sz w:val="20"/>
          <w:szCs w:val="20"/>
          <w:color w:val="auto"/>
        </w:rPr>
      </w:pPr>
      <w:r>
        <w:rPr>
          <w:rFonts w:ascii="Arial" w:cs="Arial" w:eastAsia="Arial" w:hAnsi="Arial"/>
          <w:sz w:val="16"/>
          <w:szCs w:val="16"/>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We will continue monitoring and assessing any impacts from COVID-19 on our internal controls.</w:t>
      </w:r>
    </w:p>
    <w:p>
      <w:pPr>
        <w:spacing w:after="0" w:line="3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2019 Form 10-K filed with the Securities and Exchange Commission on March 23, 2020. There have been no changes from the risk factors set forth in our 2019 Form 10-K, except for the addition of the following:</w:t>
      </w:r>
    </w:p>
    <w:p>
      <w:pPr>
        <w:spacing w:after="0" w:line="183" w:lineRule="exact"/>
        <w:rPr>
          <w:sz w:val="20"/>
          <w:szCs w:val="20"/>
          <w:color w:val="auto"/>
        </w:rPr>
      </w:pPr>
    </w:p>
    <w:p>
      <w:pPr>
        <w:ind w:left="920" w:right="16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and the market price of our common stock have been and will continue to be adversely affected by the COVID-19 pandemic.</w:t>
      </w:r>
    </w:p>
    <w:p>
      <w:pPr>
        <w:spacing w:after="0" w:line="166"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Our business has been, and will continue to be, adversely affected by COVID-19. As of the date of this filing, the ongoing COVID-19 pandemic continues to cause significant disruptions in the normal business environment, both domestically and globally, and we believe the situation will remain challenging until the spread of the virus can be contained. Since March 17, 2020, several states, including all of the states in which we have manufacturing facilities, have instituted “shelter-in place” orders as well as guidance in response to COVID-19 and the need to contain it. As of the date of this filing, all of the states in which we operate had begun the process of re-opening to varying degrees. However, some of these states have paused their re-opening plans or reversed actions they had taken with respect to their re-opening plans because of increased spread. Despite these changes, all of our operations continue to be deemed “critical and essential business operations” under the various governmental COVID-19 mandates which has allowed us to continue to operate our business with certain modifications.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5" w:name="page36"/>
    <w:bookmarkEnd w:id="35"/>
    <w:p>
      <w:pPr>
        <w:ind w:left="20"/>
        <w:spacing w:after="0" w:line="279" w:lineRule="auto"/>
        <w:rPr>
          <w:sz w:val="20"/>
          <w:szCs w:val="20"/>
          <w:color w:val="auto"/>
        </w:rPr>
      </w:pPr>
      <w:r>
        <w:rPr>
          <w:rFonts w:ascii="Arial" w:cs="Arial" w:eastAsia="Arial" w:hAnsi="Arial"/>
          <w:sz w:val="17"/>
          <w:szCs w:val="17"/>
          <w:color w:val="auto"/>
        </w:rPr>
        <w:t>The impact of COVID-19 on our operations is intensified because it has occurred during a time when our business operations have been negatively affected by a global downturn in the Semi Market. In addition, the aftermarket service and support that we provide to our customers has been, and we expect may continue to be, adversely impacted by COVID-19 due to travel restrictions and limitations on visitors allowed into customer facilities, which has resulted in some of these activities being reduced or suspended.</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If the impact of COVID-19 is more significant than we currently expect, on top of downturns in the Semi Market, our business operations could be further interrupted. We may determine that we need to take actions to reduce our fixed cost structure with the goal of limiting future losses and maintaining an adequate level of liquidity to operate our business. These actions may include staff reductions, facility closures or other adjustments as we deem necessary. These actions may not be successful in reducing our cost structure sufficiently and we may experience further losses or a reduced level of liquidity which could negatively impact our ability to operate our business. We expect that government and health authorities may announce new or extend existing restrictions, which could require us to make further adjustments to our operations in order to comply with any such restrictions. These adjustments could include additional facility closures which could negatively impact our ability to operate our business.</w:t>
      </w:r>
    </w:p>
    <w:p>
      <w:pPr>
        <w:spacing w:after="0" w:line="17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Generally, global supply chains and the timely availability of products have been, and will continue to be, materially disrupted by quarantines, factory slowdowns or shutdowns, border closings and travel restrictions resulting from COVID-19. We have experienced, and expect that we may continue to experience, price increases and/or lack of availability from our normal suppliers for the materials needed to produce our products in a timely manner and/or with the level of margins we typically expect to achieve. Delays in receipt of materials or price increases in the future could have a material negative impact on our business, results of operations and financial condition.</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COVID-19, a significant number of employees have been authorized to work from home. However, the process of working remotely may result in these employees not being as effective or responsive to our customers’ needs as they would be under more normal conditions. This could result in lost business opportunities or have other negative impacts on our business. There can be no assurances that we can avoid one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adverse effects of COVID-19 on our business could be material in future periods, particularly if there are significant and prolonged economic slowdowns in regions where we derive a significant amount of our revenue or profit, or where our suppliers are located, or if we are forced to close additional facilities and limit or cease manufacturing operations for extended periods of time. We could experience delays in receipt of customer orders, cancellation or postponement of existing orders and/or our ability to fulfill orders placed with us within the order’s specified timeline and for the cost we estimated when we accepted the order may be negatively affected. This could lead to a reduction in revenue and/or an increase in our cost of revenues in future periods and could have a material adverse effect on our business, results of operations and financial condition. COVID-19 has also led to extreme volatility in capital markets and has adversely affected, and may continue to adversely affect, the market price of our common stock.</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duration of any business disruption and related financial impact cannot be reasonably estimated at this time but may materially affect our ability to operate our business and result in additional costs. The extent to which COVID-19 may impact our results will depend on future developments, which are highly uncertain and cannot be predicted as of the time of the filing of this report, including new information that may emerge concerning the severity of COVID-19 and steps taken to contain COVID-19 or treat its impact, among others. As a result of any negative impact of COVID-19 on our business, results of operations, financial condition and cash flows, we may determine that our goodwill and long-lived assets are impaired which would result in recording an impairment charge. The amount of any such impairment charge could be material.</w:t>
      </w:r>
    </w:p>
    <w:p>
      <w:pPr>
        <w:spacing w:after="0" w:line="19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240" w:top="584" w:right="339" w:bottom="1440" w:gutter="0" w:footer="0" w:header="0"/>
        </w:sectPr>
      </w:pPr>
    </w:p>
    <w:bookmarkStart w:id="36" w:name="page37"/>
    <w:bookmarkEnd w:id="36"/>
    <w:p>
      <w:pPr>
        <w:ind w:left="920" w:right="360"/>
        <w:spacing w:after="0" w:line="282" w:lineRule="auto"/>
        <w:rPr>
          <w:sz w:val="20"/>
          <w:szCs w:val="20"/>
          <w:color w:val="auto"/>
        </w:rPr>
      </w:pPr>
      <w:r>
        <w:rPr>
          <w:rFonts w:ascii="Arial" w:cs="Arial" w:eastAsia="Arial" w:hAnsi="Arial"/>
          <w:sz w:val="18"/>
          <w:szCs w:val="18"/>
          <w:b w:val="1"/>
          <w:bCs w:val="1"/>
          <w:color w:val="auto"/>
        </w:rPr>
        <w:t>If the EMS facility consolidation takes longer than we currently expect, the costs incurred could exceed our current estimates and the efficiencies we project from the consolidation may not occur.</w:t>
      </w:r>
    </w:p>
    <w:p>
      <w:pPr>
        <w:spacing w:after="0" w:line="166" w:lineRule="exact"/>
        <w:rPr>
          <w:sz w:val="20"/>
          <w:szCs w:val="20"/>
          <w:color w:val="auto"/>
        </w:rPr>
      </w:pPr>
    </w:p>
    <w:p>
      <w:pPr>
        <w:ind w:left="920" w:right="320"/>
        <w:spacing w:after="0" w:line="287" w:lineRule="auto"/>
        <w:rPr>
          <w:sz w:val="20"/>
          <w:szCs w:val="20"/>
          <w:color w:val="auto"/>
        </w:rPr>
      </w:pPr>
      <w:r>
        <w:rPr>
          <w:rFonts w:ascii="Arial" w:cs="Arial" w:eastAsia="Arial" w:hAnsi="Arial"/>
          <w:sz w:val="16"/>
          <w:szCs w:val="16"/>
          <w:color w:val="auto"/>
        </w:rPr>
        <w:t>On September 21, 2020, we notified employees in our Fremont, California facility of a plan to consolidate all manufacturing for our EMS segment from our Fremont facility into our manufacturing operation located in Mt. Laurel, New Jersey. Currently, our interface products are manufactured in the Fremont facility, and our manipulator and docking hardware products are manufactured in the Mt. Laurel facility. The consolidation of manufacturing operations will result in the closure of the Fremont facility and the termination of certain employees at that location. The consolidation of manufacturing operations is being undertaken to streamline operations and reduce the fixed annual operating costs for the EMS segment. The consolidation is expected to be substantially completed during the fourth quarter of 2020. If we are unable to complete the consolidation in the timeframe that we currently expect, this could impact customer shipments and reduce our revenue or increase our costs in future periods. If we do not meet our customers’ expectations for on-time delivery, this could result in lost business opportunities. If we do not achieve the efficiencies we currently anticipate as a result of the consolidation, our costs could be higher than we currently expect in future periods. In addition, if the consolidation is delayed, we would incur costs associated with the facility consolidation in excess of those we currently estimate. The occurrence of any of these events could have a material adverse effect on our business, results of operations and financial condition in future periods.</w:t>
      </w:r>
    </w:p>
    <w:p>
      <w:pPr>
        <w:spacing w:after="0" w:line="164" w:lineRule="exact"/>
        <w:rPr>
          <w:sz w:val="20"/>
          <w:szCs w:val="20"/>
          <w:color w:val="auto"/>
        </w:rPr>
      </w:pPr>
    </w:p>
    <w:p>
      <w:pPr>
        <w:ind w:left="920" w:right="920"/>
        <w:spacing w:after="0" w:line="312" w:lineRule="auto"/>
        <w:rPr>
          <w:sz w:val="20"/>
          <w:szCs w:val="20"/>
          <w:color w:val="auto"/>
        </w:rPr>
      </w:pPr>
      <w:r>
        <w:rPr>
          <w:rFonts w:ascii="Arial" w:cs="Arial" w:eastAsia="Arial" w:hAnsi="Arial"/>
          <w:sz w:val="17"/>
          <w:szCs w:val="17"/>
          <w:b w:val="1"/>
          <w:bCs w:val="1"/>
          <w:color w:val="auto"/>
        </w:rPr>
        <w:t>Non-compliance with the terms and covenants relating to our revolving credit facility could adversely impact our financial performance and liquidity, and thus we may need additional financial resources to maintain our liquidity.</w:t>
      </w:r>
    </w:p>
    <w:p>
      <w:pPr>
        <w:spacing w:after="0" w:line="144" w:lineRule="exact"/>
        <w:rPr>
          <w:sz w:val="20"/>
          <w:szCs w:val="20"/>
          <w:color w:val="auto"/>
        </w:rPr>
      </w:pPr>
    </w:p>
    <w:p>
      <w:pPr>
        <w:ind w:left="920" w:right="300"/>
        <w:spacing w:after="0" w:line="269" w:lineRule="auto"/>
        <w:rPr>
          <w:sz w:val="20"/>
          <w:szCs w:val="20"/>
          <w:color w:val="auto"/>
        </w:rPr>
      </w:pPr>
      <w:r>
        <w:rPr>
          <w:rFonts w:ascii="Arial" w:cs="Arial" w:eastAsia="Arial" w:hAnsi="Arial"/>
          <w:sz w:val="17"/>
          <w:szCs w:val="17"/>
          <w:color w:val="auto"/>
        </w:rPr>
        <w:t>Our revolving credit facility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revolving credit facility, we would be in default thereunder, and may be required to repay such debt with capital from other sources or otherwise not be able to draw down against our line of credit. Under such circumstances, due to the industry in which we operate, we may have difficulty in locating another lender that would be willing to extend credit to us, and other sources of capital may not be available to us on reasonable terms or at all. In addition, should the impact of COVID-19 on our operations, including the disruption to our business caused by potential future closures of our facilities or reduced demand from our customers, be more significant than we currently anticipate, we may need additional financial resources, including additional debt or equity financings. There can be no assurance that any such debt or equity financings would be available on favorable terms or rates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920"/>
              <w:spacing w:after="0"/>
              <w:rPr>
                <w:sz w:val="20"/>
                <w:szCs w:val="20"/>
                <w:color w:val="auto"/>
              </w:rPr>
            </w:pPr>
            <w:r>
              <w:rPr>
                <w:rFonts w:ascii="Arial" w:cs="Arial" w:eastAsia="Arial" w:hAnsi="Arial"/>
                <w:sz w:val="18"/>
                <w:szCs w:val="18"/>
                <w:color w:val="auto"/>
              </w:rPr>
              <w:t>None.</w:t>
            </w: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600" w:type="dxa"/>
            <w:vAlign w:val="bottom"/>
          </w:tcPr>
          <w:p>
            <w:pPr>
              <w:ind w:left="560"/>
              <w:spacing w:after="0"/>
              <w:rPr>
                <w:sz w:val="20"/>
                <w:szCs w:val="20"/>
                <w:color w:val="auto"/>
              </w:rPr>
            </w:pPr>
            <w:r>
              <w:rPr>
                <w:rFonts w:ascii="Arial" w:cs="Arial" w:eastAsia="Arial" w:hAnsi="Arial"/>
                <w:sz w:val="18"/>
                <w:szCs w:val="18"/>
                <w:color w:val="auto"/>
              </w:rPr>
              <w:t>10.1</w:t>
            </w:r>
          </w:p>
        </w:tc>
        <w:tc>
          <w:tcPr>
            <w:tcW w:w="9340" w:type="dxa"/>
            <w:vAlign w:val="bottom"/>
            <w:tcBorders>
              <w:bottom w:val="single" w:sz="8" w:color="0000EE"/>
            </w:tcBorders>
            <w:gridSpan w:val="5"/>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First Amendment to Lease Agreement, dated September 22, 2020, by and between inTEST Corporation and Exeter 804 East Gate</w:t>
              </w:r>
            </w:hyperlink>
          </w:p>
        </w:tc>
      </w:tr>
      <w:tr>
        <w:trPr>
          <w:trHeight w:val="196"/>
        </w:trPr>
        <w:tc>
          <w:tcPr>
            <w:tcW w:w="1600" w:type="dxa"/>
            <w:vAlign w:val="bottom"/>
          </w:tcPr>
          <w:p>
            <w:pPr>
              <w:spacing w:after="0"/>
              <w:rPr>
                <w:sz w:val="17"/>
                <w:szCs w:val="17"/>
                <w:color w:val="auto"/>
              </w:rPr>
            </w:pPr>
          </w:p>
        </w:tc>
        <w:tc>
          <w:tcPr>
            <w:tcW w:w="9340" w:type="dxa"/>
            <w:vAlign w:val="bottom"/>
            <w:gridSpan w:val="5"/>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2018, LLC. (1)</w:t>
              </w:r>
            </w:hyperlink>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1600" w:type="dxa"/>
            <w:vAlign w:val="bottom"/>
          </w:tcPr>
          <w:p>
            <w:pPr>
              <w:ind w:left="560"/>
              <w:spacing w:after="0"/>
              <w:rPr>
                <w:sz w:val="20"/>
                <w:szCs w:val="20"/>
                <w:color w:val="auto"/>
              </w:rPr>
            </w:pPr>
            <w:r>
              <w:rPr>
                <w:rFonts w:ascii="Arial" w:cs="Arial" w:eastAsia="Arial" w:hAnsi="Arial"/>
                <w:sz w:val="18"/>
                <w:szCs w:val="18"/>
                <w:color w:val="auto"/>
              </w:rPr>
              <w:t>10.2*</w:t>
            </w:r>
          </w:p>
        </w:tc>
        <w:tc>
          <w:tcPr>
            <w:tcW w:w="9340" w:type="dxa"/>
            <w:vAlign w:val="bottom"/>
            <w:gridSpan w:val="5"/>
          </w:tcPr>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Separation and Consulting Agreement between inTEST Corporation and James Pelrin dated August 6, 2020. (2)</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10.3*</w:t>
            </w:r>
          </w:p>
        </w:tc>
        <w:tc>
          <w:tcPr>
            <w:tcW w:w="9340" w:type="dxa"/>
            <w:vAlign w:val="bottom"/>
            <w:gridSpan w:val="5"/>
          </w:tcPr>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Letter Agreement between inTEST Corporation and Richard N. Grant, Jr. dated July 24, 2020. (2)</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10.4*</w:t>
            </w:r>
          </w:p>
        </w:tc>
        <w:tc>
          <w:tcPr>
            <w:tcW w:w="934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u w:val="single" w:color="auto"/>
                  <w:color w:val="0000EE"/>
                </w:rPr>
                <w:t>inTEST Corporation Third Amended and Restated 2014 Stock Plan</w:t>
              </w:r>
              <w:r>
                <w:rPr>
                  <w:rFonts w:ascii="Arial" w:cs="Arial" w:eastAsia="Arial" w:hAnsi="Arial"/>
                  <w:sz w:val="18"/>
                  <w:szCs w:val="18"/>
                  <w:color w:val="0000EE"/>
                </w:rPr>
                <w:t>.</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10.5*</w:t>
            </w:r>
          </w:p>
        </w:tc>
        <w:tc>
          <w:tcPr>
            <w:tcW w:w="9340" w:type="dxa"/>
            <w:vAlign w:val="bottom"/>
            <w:gridSpan w:val="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Form of Restricted Stock Award Agreement for Employees.</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10.6*</w:t>
            </w:r>
          </w:p>
        </w:tc>
        <w:tc>
          <w:tcPr>
            <w:tcW w:w="9340" w:type="dxa"/>
            <w:vAlign w:val="bottom"/>
            <w:gridSpan w:val="5"/>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Form of Restricted Stock Award Agreement for Directors.</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10.7*</w:t>
            </w:r>
          </w:p>
        </w:tc>
        <w:tc>
          <w:tcPr>
            <w:tcW w:w="9340" w:type="dxa"/>
            <w:vAlign w:val="bottom"/>
            <w:gridSpan w:val="5"/>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Form of Incentive Stock Option Agreement.</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10.8*</w:t>
            </w:r>
          </w:p>
        </w:tc>
        <w:tc>
          <w:tcPr>
            <w:tcW w:w="9340" w:type="dxa"/>
            <w:vAlign w:val="bottom"/>
            <w:gridSpan w:val="5"/>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Form of Non-Qualified Stock Option Agreement.</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10.9*</w:t>
            </w:r>
          </w:p>
        </w:tc>
        <w:tc>
          <w:tcPr>
            <w:tcW w:w="934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Change of Control Agreement dated August 11, 2020 between the Company and Richard N. Grant, Jr.</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31.1</w:t>
            </w:r>
          </w:p>
        </w:tc>
        <w:tc>
          <w:tcPr>
            <w:tcW w:w="9340" w:type="dxa"/>
            <w:vAlign w:val="bottom"/>
            <w:gridSpan w:val="5"/>
          </w:tcPr>
          <w:p>
            <w:pPr>
              <w:spacing w:after="0"/>
              <w:rPr>
                <w:rFonts w:ascii="Arial" w:cs="Arial" w:eastAsia="Arial" w:hAnsi="Arial"/>
                <w:sz w:val="18"/>
                <w:szCs w:val="18"/>
                <w:color w:val="0000EE"/>
              </w:rPr>
            </w:pPr>
            <w:hyperlink w:anchor="page83">
              <w:r>
                <w:rPr>
                  <w:rFonts w:ascii="Arial" w:cs="Arial" w:eastAsia="Arial" w:hAnsi="Arial"/>
                  <w:sz w:val="18"/>
                  <w:szCs w:val="18"/>
                  <w:u w:val="single" w:color="auto"/>
                  <w:color w:val="0000EE"/>
                </w:rPr>
                <w:t>Certification of Chief Executive Officer pursuant to Rule 13a-14(a)</w:t>
              </w:r>
              <w:r>
                <w:rPr>
                  <w:rFonts w:ascii="Arial" w:cs="Arial" w:eastAsia="Arial" w:hAnsi="Arial"/>
                  <w:sz w:val="18"/>
                  <w:szCs w:val="18"/>
                  <w:color w:val="0000EE"/>
                </w:rPr>
                <w:t>.</w:t>
              </w:r>
            </w:hyperlink>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31.2</w:t>
            </w:r>
          </w:p>
        </w:tc>
        <w:tc>
          <w:tcPr>
            <w:tcW w:w="9340" w:type="dxa"/>
            <w:vAlign w:val="bottom"/>
            <w:gridSpan w:val="5"/>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Certification of Chief Financial Officer pursuant to Rule 13a-14(a).</w:t>
              </w:r>
            </w:hyperlink>
          </w:p>
        </w:tc>
      </w:tr>
      <w:tr>
        <w:trPr>
          <w:trHeight w:val="190"/>
        </w:trPr>
        <w:tc>
          <w:tcPr>
            <w:tcW w:w="1600" w:type="dxa"/>
            <w:vAlign w:val="bottom"/>
          </w:tcPr>
          <w:p>
            <w:pPr>
              <w:ind w:left="560"/>
              <w:spacing w:after="0" w:line="190" w:lineRule="exact"/>
              <w:rPr>
                <w:sz w:val="20"/>
                <w:szCs w:val="20"/>
                <w:color w:val="auto"/>
              </w:rPr>
            </w:pPr>
            <w:r>
              <w:rPr>
                <w:rFonts w:ascii="Arial" w:cs="Arial" w:eastAsia="Arial" w:hAnsi="Arial"/>
                <w:sz w:val="18"/>
                <w:szCs w:val="18"/>
                <w:color w:val="auto"/>
              </w:rPr>
              <w:t>32.1</w:t>
            </w:r>
          </w:p>
        </w:tc>
        <w:tc>
          <w:tcPr>
            <w:tcW w:w="9260" w:type="dxa"/>
            <w:vAlign w:val="bottom"/>
            <w:tcBorders>
              <w:bottom w:val="single" w:sz="8" w:color="0000EE"/>
            </w:tcBorders>
            <w:gridSpan w:val="4"/>
          </w:tcPr>
          <w:p>
            <w:pPr>
              <w:spacing w:after="0" w:line="190"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Certification of Chief Executive Officer furnished pursuant to 18 U.S.C. Section 1350, as adopted pursuant to Section 906 of the</w:t>
              </w:r>
            </w:hyperlink>
          </w:p>
        </w:tc>
        <w:tc>
          <w:tcPr>
            <w:tcW w:w="80" w:type="dxa"/>
            <w:vAlign w:val="bottom"/>
          </w:tcPr>
          <w:p>
            <w:pPr>
              <w:spacing w:after="0"/>
              <w:rPr>
                <w:sz w:val="16"/>
                <w:szCs w:val="16"/>
                <w:color w:val="auto"/>
              </w:rPr>
            </w:pPr>
          </w:p>
        </w:tc>
      </w:tr>
      <w:tr>
        <w:trPr>
          <w:trHeight w:val="196"/>
        </w:trPr>
        <w:tc>
          <w:tcPr>
            <w:tcW w:w="160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Sarbanes-Oxley Act of 2002.</w:t>
              </w:r>
            </w:hyperlink>
          </w:p>
        </w:tc>
        <w:tc>
          <w:tcPr>
            <w:tcW w:w="7240" w:type="dxa"/>
            <w:vAlign w:val="bottom"/>
            <w:gridSpan w:val="3"/>
          </w:tcPr>
          <w:p>
            <w:pPr>
              <w:spacing w:after="0"/>
              <w:rPr>
                <w:sz w:val="17"/>
                <w:szCs w:val="17"/>
                <w:color w:val="auto"/>
              </w:rPr>
            </w:pPr>
          </w:p>
        </w:tc>
      </w:tr>
      <w:tr>
        <w:trPr>
          <w:trHeight w:val="196"/>
        </w:trPr>
        <w:tc>
          <w:tcPr>
            <w:tcW w:w="1600" w:type="dxa"/>
            <w:vAlign w:val="bottom"/>
          </w:tcPr>
          <w:p>
            <w:pPr>
              <w:ind w:left="560"/>
              <w:spacing w:after="0" w:line="196" w:lineRule="exact"/>
              <w:rPr>
                <w:sz w:val="20"/>
                <w:szCs w:val="20"/>
                <w:color w:val="auto"/>
              </w:rPr>
            </w:pPr>
            <w:r>
              <w:rPr>
                <w:rFonts w:ascii="Arial" w:cs="Arial" w:eastAsia="Arial" w:hAnsi="Arial"/>
                <w:sz w:val="18"/>
                <w:szCs w:val="18"/>
                <w:color w:val="auto"/>
              </w:rPr>
              <w:t>32.2</w:t>
            </w:r>
          </w:p>
        </w:tc>
        <w:tc>
          <w:tcPr>
            <w:tcW w:w="9340" w:type="dxa"/>
            <w:vAlign w:val="bottom"/>
            <w:gridSpan w:val="5"/>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Certification of Chief Financial Officer furnished pursuant to 18 U.S.C. Section 1350, as adopted pursuant to Section 906 of the</w:t>
              </w:r>
            </w:hyperlink>
          </w:p>
        </w:tc>
      </w:tr>
      <w:tr>
        <w:trPr>
          <w:trHeight w:val="196"/>
        </w:trPr>
        <w:tc>
          <w:tcPr>
            <w:tcW w:w="16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Sarbanes-Oxley Act of 2002.</w:t>
              </w:r>
            </w:hyperlink>
          </w:p>
        </w:tc>
        <w:tc>
          <w:tcPr>
            <w:tcW w:w="7100" w:type="dxa"/>
            <w:vAlign w:val="bottom"/>
            <w:tcBorders>
              <w:top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222"/>
        </w:trPr>
        <w:tc>
          <w:tcPr>
            <w:tcW w:w="1600" w:type="dxa"/>
            <w:vAlign w:val="bottom"/>
          </w:tcPr>
          <w:p>
            <w:pPr>
              <w:ind w:left="560"/>
              <w:spacing w:after="0"/>
              <w:rPr>
                <w:sz w:val="20"/>
                <w:szCs w:val="20"/>
                <w:color w:val="auto"/>
              </w:rPr>
            </w:pPr>
            <w:r>
              <w:rPr>
                <w:rFonts w:ascii="Arial" w:cs="Arial" w:eastAsia="Arial" w:hAnsi="Arial"/>
                <w:sz w:val="18"/>
                <w:szCs w:val="18"/>
                <w:color w:val="auto"/>
              </w:rPr>
              <w:t>101.INS</w:t>
            </w:r>
          </w:p>
        </w:tc>
        <w:tc>
          <w:tcPr>
            <w:tcW w:w="9340" w:type="dxa"/>
            <w:vAlign w:val="bottom"/>
            <w:gridSpan w:val="5"/>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101.SCH</w:t>
            </w:r>
          </w:p>
        </w:tc>
        <w:tc>
          <w:tcPr>
            <w:tcW w:w="93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101.CAL</w:t>
            </w:r>
          </w:p>
        </w:tc>
        <w:tc>
          <w:tcPr>
            <w:tcW w:w="93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101.DEF</w:t>
            </w:r>
          </w:p>
        </w:tc>
        <w:tc>
          <w:tcPr>
            <w:tcW w:w="93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600" w:type="dxa"/>
            <w:vAlign w:val="bottom"/>
          </w:tcPr>
          <w:p>
            <w:pPr>
              <w:ind w:left="560"/>
              <w:spacing w:after="0"/>
              <w:rPr>
                <w:sz w:val="20"/>
                <w:szCs w:val="20"/>
                <w:color w:val="auto"/>
              </w:rPr>
            </w:pPr>
            <w:r>
              <w:rPr>
                <w:rFonts w:ascii="Arial" w:cs="Arial" w:eastAsia="Arial" w:hAnsi="Arial"/>
                <w:sz w:val="18"/>
                <w:szCs w:val="18"/>
                <w:color w:val="auto"/>
              </w:rPr>
              <w:t>101.LAB</w:t>
            </w:r>
          </w:p>
        </w:tc>
        <w:tc>
          <w:tcPr>
            <w:tcW w:w="93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600" w:type="dxa"/>
            <w:vAlign w:val="bottom"/>
          </w:tcPr>
          <w:p>
            <w:pPr>
              <w:ind w:left="560"/>
              <w:spacing w:after="0"/>
              <w:rPr>
                <w:sz w:val="20"/>
                <w:szCs w:val="20"/>
                <w:color w:val="auto"/>
              </w:rPr>
            </w:pPr>
            <w:r>
              <w:rPr>
                <w:rFonts w:ascii="Arial" w:cs="Arial" w:eastAsia="Arial" w:hAnsi="Arial"/>
                <w:sz w:val="18"/>
                <w:szCs w:val="18"/>
                <w:color w:val="auto"/>
              </w:rPr>
              <w:t>101.PRE</w:t>
            </w:r>
          </w:p>
        </w:tc>
        <w:tc>
          <w:tcPr>
            <w:tcW w:w="93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980" w:hanging="410"/>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September 22, 2020, File No. 001-36117, filed September 24, 2020, and incorporated herein by reference.</w:t>
      </w:r>
    </w:p>
    <w:p>
      <w:pPr>
        <w:sectPr>
          <w:pgSz w:w="11900" w:h="16838" w:orient="portrait"/>
          <w:cols w:equalWidth="0" w:num="1">
            <w:col w:w="11200"/>
          </w:cols>
          <w:pgMar w:left="320" w:top="580" w:right="379" w:bottom="0" w:gutter="0" w:footer="0" w:header="0"/>
        </w:sectPr>
      </w:pPr>
    </w:p>
    <w:bookmarkStart w:id="37" w:name="page38"/>
    <w:bookmarkEnd w:id="37"/>
    <w:p>
      <w:pPr>
        <w:ind w:left="410" w:hanging="410"/>
        <w:spacing w:after="0" w:line="258" w:lineRule="auto"/>
        <w:tabs>
          <w:tab w:leader="none" w:pos="4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August 6, 2020, File No. 001-36117, filed August 11, 2020, and incorporated herein by reference.</w:t>
      </w:r>
    </w:p>
    <w:p>
      <w:pPr>
        <w:spacing w:after="0" w:line="1" w:lineRule="exact"/>
        <w:rPr>
          <w:sz w:val="20"/>
          <w:szCs w:val="20"/>
          <w:color w:val="auto"/>
        </w:rPr>
      </w:pPr>
    </w:p>
    <w:p>
      <w:pPr>
        <w:ind w:left="410" w:hanging="410"/>
        <w:spacing w:after="0"/>
        <w:tabs>
          <w:tab w:leader="none" w:pos="4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contract or arrangement in which directors or executive officers participate.</w:t>
      </w:r>
    </w:p>
    <w:p>
      <w:pPr>
        <w:spacing w:after="0" w:line="233" w:lineRule="exact"/>
        <w:rPr>
          <w:rFonts w:ascii="Arial" w:cs="Arial" w:eastAsia="Arial" w:hAnsi="Arial"/>
          <w:sz w:val="16"/>
          <w:szCs w:val="16"/>
          <w:color w:val="auto"/>
        </w:rPr>
      </w:pPr>
    </w:p>
    <w:p>
      <w:pPr>
        <w:ind w:left="4970"/>
        <w:spacing w:after="0"/>
        <w:rPr>
          <w:rFonts w:ascii="Arial" w:cs="Arial" w:eastAsia="Arial" w:hAnsi="Arial"/>
          <w:sz w:val="16"/>
          <w:szCs w:val="16"/>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90"/>
          </w:cols>
          <w:pgMar w:left="890" w:top="125" w:right="719" w:bottom="1440" w:gutter="0" w:footer="0" w:header="0"/>
        </w:sectPr>
      </w:pPr>
    </w:p>
    <w:bookmarkStart w:id="38" w:name="page39"/>
    <w:bookmarkEnd w:id="38"/>
    <w:p>
      <w:pPr>
        <w:jc w:val="center"/>
        <w:ind w:right="-6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20" w:type="dxa"/>
            <w:vAlign w:val="bottom"/>
            <w:gridSpan w:val="4"/>
          </w:tcPr>
          <w:p>
            <w:pPr>
              <w:ind w:left="600"/>
              <w:spacing w:after="0"/>
              <w:rPr>
                <w:sz w:val="20"/>
                <w:szCs w:val="20"/>
                <w:color w:val="auto"/>
              </w:rPr>
            </w:pPr>
            <w:r>
              <w:rPr>
                <w:rFonts w:ascii="Arial" w:cs="Arial" w:eastAsia="Arial" w:hAnsi="Arial"/>
                <w:sz w:val="18"/>
                <w:szCs w:val="18"/>
                <w:b w:val="1"/>
                <w:bCs w:val="1"/>
                <w:color w:val="auto"/>
              </w:rPr>
              <w:t>inTEST Corporation</w:t>
            </w:r>
          </w:p>
        </w:tc>
      </w:tr>
      <w:tr>
        <w:trPr>
          <w:trHeight w:val="82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November 12, 2020</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 Richard N. Grant, Jr.</w:t>
            </w:r>
          </w:p>
        </w:tc>
        <w:tc>
          <w:tcPr>
            <w:tcW w:w="180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20" w:type="dxa"/>
            <w:vAlign w:val="bottom"/>
            <w:gridSpan w:val="4"/>
          </w:tcPr>
          <w:p>
            <w:pPr>
              <w:ind w:left="600"/>
              <w:spacing w:after="0"/>
              <w:rPr>
                <w:sz w:val="20"/>
                <w:szCs w:val="20"/>
                <w:color w:val="auto"/>
              </w:rPr>
            </w:pPr>
            <w:r>
              <w:rPr>
                <w:rFonts w:ascii="Arial" w:cs="Arial" w:eastAsia="Arial" w:hAnsi="Arial"/>
                <w:sz w:val="18"/>
                <w:szCs w:val="18"/>
                <w:color w:val="auto"/>
              </w:rPr>
              <w:t>Richard N. Grant, Jr.</w:t>
            </w:r>
          </w:p>
        </w:tc>
      </w:tr>
      <w:tr>
        <w:trPr>
          <w:trHeight w:val="230"/>
        </w:trPr>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20" w:type="dxa"/>
            <w:vAlign w:val="bottom"/>
            <w:gridSpan w:val="4"/>
          </w:tcPr>
          <w:p>
            <w:pPr>
              <w:ind w:left="6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2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440" w:type="dxa"/>
            <w:vAlign w:val="bottom"/>
          </w:tcPr>
          <w:p>
            <w:pPr>
              <w:spacing w:after="0"/>
              <w:rPr>
                <w:sz w:val="20"/>
                <w:szCs w:val="20"/>
                <w:color w:val="auto"/>
              </w:rPr>
            </w:pPr>
            <w:r>
              <w:rPr>
                <w:rFonts w:ascii="Arial" w:cs="Arial" w:eastAsia="Arial" w:hAnsi="Arial"/>
                <w:sz w:val="18"/>
                <w:szCs w:val="18"/>
                <w:color w:val="auto"/>
                <w:w w:val="89"/>
              </w:rPr>
              <w:t>November 12, 2020</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2"/>
        </w:trPr>
        <w:tc>
          <w:tcPr>
            <w:tcW w:w="5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Hugh T. Regan, Jr.</w:t>
            </w:r>
          </w:p>
        </w:tc>
        <w:tc>
          <w:tcPr>
            <w:tcW w:w="1960" w:type="dxa"/>
            <w:vAlign w:val="bottom"/>
            <w:gridSpan w:val="2"/>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20" w:type="dxa"/>
            <w:vAlign w:val="bottom"/>
            <w:gridSpan w:val="4"/>
          </w:tcPr>
          <w:p>
            <w:pPr>
              <w:ind w:left="600"/>
              <w:spacing w:after="0"/>
              <w:rPr>
                <w:sz w:val="20"/>
                <w:szCs w:val="20"/>
                <w:color w:val="auto"/>
              </w:rPr>
            </w:pPr>
            <w:r>
              <w:rPr>
                <w:rFonts w:ascii="Arial" w:cs="Arial" w:eastAsia="Arial" w:hAnsi="Arial"/>
                <w:sz w:val="18"/>
                <w:szCs w:val="18"/>
                <w:i w:val="1"/>
                <w:iCs w:val="1"/>
                <w:color w:val="auto"/>
                <w:w w:val="91"/>
              </w:rPr>
              <w:t>Secretary, Treasurer and Chief Financial Officer</w:t>
            </w:r>
          </w:p>
        </w:tc>
      </w:tr>
      <w:tr>
        <w:trPr>
          <w:trHeight w:val="432"/>
        </w:trPr>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20" w:type="dxa"/>
            <w:vAlign w:val="bottom"/>
            <w:gridSpan w:val="4"/>
          </w:tcPr>
          <w:p>
            <w:pPr>
              <w:jc w:val="right"/>
              <w:ind w:right="116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0300"/>
          </w:cols>
          <w:pgMar w:left="480" w:top="580" w:right="11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STOCK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ESTABLISHMENT</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u w:val="single" w:color="auto"/>
          <w:color w:val="auto"/>
        </w:rPr>
        <w:t>Purpose</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inTEST Corporation Third Amended and Restated 2014 Stock Plan (the “Plan”) is hereby established by inTEST Corporation (the “Company”). The purpose of the Plan is to promote the overall financial objectives of the Company and its stockholders by motivating those persons selected to participate in the Plan to achieve long-term growth in the equity of the Company and by retaining the association of those individuals who are instrumental in achieving this growth. The Plan provides additional incentives to officers and other key employees (“Key Employees”), consultants (“Consultants”) and members of the Board of Directors of the Company (the “Board of Directors”) or its Affiliates, as defined herein (“Directors”), to enter into or remain in the service or employ of the Company or its Affiliates and to devote themselves to the Company’s success by granting such individuals an opportunity to acquire or increase their proprietary interest in the Company through receipt of Awards.</w:t>
      </w:r>
    </w:p>
    <w:p>
      <w:pPr>
        <w:spacing w:after="0" w:line="17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“Awards” may consist of: (i) “Option(s),” or rights to acquire the Company’s Common Stock, par value $.01 per share (the “Common Stock”), including “ISOs” and “NQSOs” as hereinafter defined, (ii) awards of shares of Common Stock (“Stock Awards”), (iii) awards of stock appreciation rights (“Stock Appreciation Rights,” or “SARs”) or (iv) awards of restricted stock units (“Restricted Stock Units,” or “RSUs”).</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Two-Part Plan</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Plan shall be divided into two sub-plans: the “Key Employee Plan,” which will govern benefits for Key Employees, as defined above, and the “Non-Qualified Plan,” which will govern benefits to Directors and Consultants. All provisions hereunder which refer to the “Plan” shall apply to each of the Key Employee Plan and the Non-Qualified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SUBJECT TO PLAN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Aggregate Maximum Number</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aggregate maximum number of shares of the Common Stock for which Awards may be granted under the Plan, including without limitation, the Key Employee Plan, is 2,000,000 shares (the “Plan Shares”), which number is subject to adjustment as provided in Section 9.6. Plan Shares shall be issued from authorized and unissued Common Stock or Common Stock held in or hereafter acquired for the treasury of the Company. If any outstanding Award granted under the Plan expires, lapses or is terminated for any reason, or if, pursuant to the terms of a Stock Award, the shares so awarded are forfeited, then the Plan Shares allocable to the unexercised portion of such Awards, or the forfeited shares under a Stock Award, as the case may be, may again be the subject of an Award granted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60"/>
        <w:spacing w:after="0"/>
        <w:tabs>
          <w:tab w:leader="none" w:pos="10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Terms Applicable to All Awards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any Award granted under the Plan, the Committee shall not accelerate vesting except upon death or disability, or upon a Change of Control, as it is defined in subsections 9.1(b) and 9.1(c).</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Dividends</w:t>
      </w:r>
    </w:p>
    <w:p>
      <w:pPr>
        <w:spacing w:after="0" w:line="229" w:lineRule="exact"/>
        <w:rPr>
          <w:sz w:val="20"/>
          <w:szCs w:val="20"/>
          <w:color w:val="auto"/>
        </w:rPr>
      </w:pPr>
    </w:p>
    <w:p>
      <w:pPr>
        <w:ind w:left="200" w:right="200" w:firstLine="518"/>
        <w:spacing w:after="0" w:line="308" w:lineRule="auto"/>
        <w:rPr>
          <w:sz w:val="20"/>
          <w:szCs w:val="20"/>
          <w:color w:val="auto"/>
        </w:rPr>
      </w:pPr>
      <w:r>
        <w:rPr>
          <w:rFonts w:ascii="Arial" w:cs="Arial" w:eastAsia="Arial" w:hAnsi="Arial"/>
          <w:sz w:val="17"/>
          <w:szCs w:val="17"/>
          <w:color w:val="auto"/>
        </w:rPr>
        <w:t>The Committee may grant dividends with respect to any Award subject to the terms and conditions the Committee establishes. To the extent an unvested Award qualifies for dividends, such dividends will accrue and be paid by the Company at the time the Award vests.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TERM OF PLAN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Term of Plan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Plan shall commence on the date of approval of the Plan by the Board of Directors of the Company (“Effective Date”), but shall terminate unless the Plan is approved by the stockholders of the Company within twelve months of such date as set forth in Section 422(b)(1) of the Internal Revenue Code of 1986, as amended (the “Code”). Any Awards granted pursuant to the Plan prior to approval of the Plan by the stockholders of the Company shall be subject to such approval and, notwithstanding anything to the contrary herein or in any Award Document (as defined below), shall not be exercisable until such approval is obtained. Any Stock Awards granted pursuant to the Plan prior to approval of the Plan by the stockholders of the Company shall not vest until after such approval is obtained. No Award may be granted under the Plan on or after March 4, 2024.</w:t>
      </w:r>
    </w:p>
    <w:p>
      <w:pPr>
        <w:spacing w:after="0" w:line="174"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ARTICLE IV</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ELIGIBILITY</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Key Employee Plan</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Except as herein provided, the persons who shall be eligible to participate in the Key Employee Plan and be granted Awards shall be those Key Employees who shall be in a position, in the opinion of the Committee, as defined herein, to make contributions to the growth, management, protection and success of the Company and its Affiliates. Of those persons described in the preceding sentence, the Committee, as herein defined, may, from time to time, select persons to be granted Awards and shall determine the terms and conditions with respect thereto. In making any such selection and in determining the form of the Award, the Committee may give consideration to the person’s functions and responsibilities, the person’s contributions to the Company and its Affiliates, the value of the individual’s service to the Company and its Affiliates and such other factors deemed relevant by the Committee. The term “Affiliates” shall mean any entity in which the Company owns, directly or indirectly, 50 percent or more of the voting equity at the time of the granting of the Award.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41" w:name="page42"/>
    <w:bookmarkEnd w:id="41"/>
    <w:p>
      <w:pPr>
        <w:ind w:left="660"/>
        <w:spacing w:after="0"/>
        <w:tabs>
          <w:tab w:leader="none" w:pos="10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Non-Qualified Plan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NQSOs (as defined herein), Stock Awards, SARS and RSUs may be granted to Directors and Consultants pursuant to the Non-Qualified Plan as herein provided.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Key Employee Plan Options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Options granted under the Key Employee Plan may be either ISOs, as defined herein, or NQSOs. Each Option granted under the Key Employee Plan is intended to be an incentive stock option (“ISO”) within the meaning of Section 422(b) of the Code for federal income tax purposes, except to the extent (i) any such ISO grant would exceed the limitation of subsection 5.3(a) below, (ii) any Option is specifically designated at the time of grant of the Award (the “Grant Date”) as not being an ISO (an Option which is not an ISO, and therefore is a non-qualified option, is referred to herein as an “NQSO”),</w:t>
      </w:r>
    </w:p>
    <w:p>
      <w:pPr>
        <w:spacing w:after="0" w:line="1" w:lineRule="exact"/>
        <w:rPr>
          <w:sz w:val="20"/>
          <w:szCs w:val="20"/>
          <w:color w:val="auto"/>
        </w:rPr>
      </w:pPr>
    </w:p>
    <w:p>
      <w:pPr>
        <w:ind w:firstLine="8"/>
        <w:spacing w:after="0" w:line="252"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Option is granted to a person who is not an employee of the Company or any Affiliate on the Grant Date or (iv) as may be otherwise provided in any option agreement hereunder. Under the Key Employee Plan, Options may be granted to Key Employees at such times, in such amounts, and on such terms and conditions as determined by the Committee, in accordance with the terms of the Plan, and, in the case of Options granted to any executive officer of the Company, subject to the further approval and recommendation of a majority of the Independent Directors and the Board of Directors. “Independent Director” shall have the same meaning as given to that term in Section 803A and 805(c)(1) of the NYSE American Company Guide, as it may from time to time be amended or superseded by any successor rule of the NYSE American or the primary exchange on which the Company Common Stock is listed for trading.</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Non-Qualified Plan Options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Any Options granted under the Non-Qualified Plan shall be NQSOs. Such Options may be granted to Directors and Consultants at such times, in such amounts, and on such terms and conditions as determined by the Committee in accordance with the terms of the Plan.</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Terms and Conditions of Options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Options granted pursuant to the Plan shall be evidenced by written option agreements in such form as the Committee shall from time to time approve, subject to the following terms and conditions. Option agreements may also contain such other terms and conditions (including vesting schedules for the exercisability of Options) which the Committee shall from time to time provide which are not inconsistent with the terms of the Plan. Persons to whom Options are granted are hereinafter referred to as “Optionees.”</w:t>
      </w:r>
    </w:p>
    <w:p>
      <w:pPr>
        <w:spacing w:after="0" w:line="183" w:lineRule="exact"/>
        <w:rPr>
          <w:sz w:val="20"/>
          <w:szCs w:val="20"/>
          <w:color w:val="auto"/>
        </w:rPr>
      </w:pPr>
    </w:p>
    <w:p>
      <w:pPr>
        <w:ind w:left="1580" w:hanging="438"/>
        <w:spacing w:after="0"/>
        <w:tabs>
          <w:tab w:leader="none" w:pos="1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Option Shares</w:t>
      </w:r>
    </w:p>
    <w:p>
      <w:pPr>
        <w:spacing w:after="0" w:line="229" w:lineRule="exact"/>
        <w:rPr>
          <w:sz w:val="20"/>
          <w:szCs w:val="20"/>
          <w:color w:val="auto"/>
        </w:rPr>
      </w:pPr>
    </w:p>
    <w:p>
      <w:pPr>
        <w:ind w:right="140" w:firstLine="1134"/>
        <w:spacing w:after="0" w:line="279" w:lineRule="auto"/>
        <w:rPr>
          <w:sz w:val="20"/>
          <w:szCs w:val="20"/>
          <w:color w:val="auto"/>
        </w:rPr>
      </w:pPr>
      <w:r>
        <w:rPr>
          <w:rFonts w:ascii="Arial" w:cs="Arial" w:eastAsia="Arial" w:hAnsi="Arial"/>
          <w:sz w:val="17"/>
          <w:szCs w:val="17"/>
          <w:color w:val="auto"/>
        </w:rPr>
        <w:t>Each option agreement shall state the number of shares of Common Stock (“Option Shares”) to which it pertains. If the aggregate fair market value of Option Shares with respect to which ISOs are exercisable for the first time by an Optionee during any calendar year (determined as of the date the ISO is granted) and any options granted under other incentive stock option plans of the Company exceed $100,000, the portion of such options in excess of $100,000 shall be treated as options which are not ISOs in accordance with Section 422(d) of the Code.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2" w:name="page43"/>
    <w:bookmarkEnd w:id="42"/>
    <w:p>
      <w:pPr>
        <w:ind w:left="1740" w:hanging="436"/>
        <w:spacing w:after="0"/>
        <w:tabs>
          <w:tab w:leader="none" w:pos="17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Price</w:t>
      </w:r>
    </w:p>
    <w:p>
      <w:pPr>
        <w:spacing w:after="0" w:line="229"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Each option agreement shall state the price at which an Option Share may be purchased (the “Option Price”), which shall be not less than 100% of the “Fair Market Value” of a share of the Common Stock on the Grant Date. If the Common Stock is listed on a national securities exchange, the Fair Market Value is the closing price of the Common Stock on the relevant date (or, if such date is not a business day or a day on which quotations are reported, then on the immediately preceding date on which quotations were reported), as reported by the principal national exchange on which such shares are traded (in the case of an exchange). If the Common Stock is not listed on a national securities exchange, the Fair Market Value will be as determined by the Committee in good faith in accordance with Section 409A of the Code. If an ISO is granted to an Optionee who then owns, directly or by attribution under Section 424(d) of the Code, shares possessing more than ten percent (10%) of the total combined voting power of all classes of stock of the Company, then the Option Price shall be not less than One Hundred and Ten Percent (110%) of the Fair Market Value of an Option Share on the Grant Date.</w:t>
      </w:r>
    </w:p>
    <w:p>
      <w:pPr>
        <w:spacing w:after="0" w:line="192" w:lineRule="exact"/>
        <w:rPr>
          <w:sz w:val="20"/>
          <w:szCs w:val="20"/>
          <w:color w:val="auto"/>
        </w:rPr>
      </w:pPr>
    </w:p>
    <w:p>
      <w:pPr>
        <w:ind w:left="1720" w:hanging="416"/>
        <w:spacing w:after="0"/>
        <w:tabs>
          <w:tab w:leader="none" w:pos="1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Medium of Payment</w:t>
      </w:r>
    </w:p>
    <w:p>
      <w:pPr>
        <w:spacing w:after="0" w:line="22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An Optionee shall pay for Option Shares (i) in cash, (ii) by bank check payable to the order of the Company or (iii) by such other mode of payment as the Committee may approve, including payment through a broker in accordance with procedures permitted by Regulation T of the Federal Reserve Board. Furthermore, the Committee may provide in an option agreement that payment may be made in whole or in part in shares of the Common Stock held by the Optionee for more than one year. If payment is made in whole or in part in shares of the Common Stock, then the Optionee shall deliver to the Company certificates registered in the name of such Optionee representing shares of Common Stock legally and beneficially owned by such Optionee, free of all liens, claims and encumbrances of every kind and having a Fair Market Value on the date of delivery of such notice that is not less than the Option Price of the Option Shares with respect to which such Option is to be exercised, accompanied by stock powers duly endorsed in blank by the record holder of the shares represented by such certificates. If certificates for shares of the Company’s Common Stock delivered to the Company represent a number of shares in excess (“Excess Shares”) of the number of shares required to make payment for the Option Price of the Option Shares (or the relevant portion thereof) with respect to which such Option is to be exercised by payment in shares of Common Stock, the stock certificate issued to the Optionee shall represent the total of the Option Shares in respect of which payment is so made plus such Excess Shares. Notwithstanding the foregoing, the Board of Directors, in its sole discretion, may refuse to accept shares of Common Stock in payment of the Option Price. In that event, any certificates representing shares of Common Stock which were delivered to the Company shall be returned to the Optionee with notice of the refusal of the Board of Directors to accept such shares in payment of the Option Price. The Board of Directors may impose such limitations or prohibitions on the use of shares of the Common Stock to exercise an Option as it deems appropriate, subject to the provisions of the Plan.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3" w:name="page44"/>
    <w:bookmarkEnd w:id="43"/>
    <w:p>
      <w:pPr>
        <w:ind w:left="1740" w:hanging="436"/>
        <w:spacing w:after="0"/>
        <w:tabs>
          <w:tab w:leader="none" w:pos="17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Initial Exercise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Committee shall determine and set forth in the option agreement the time at which an Option may first be exercised.</w:t>
      </w:r>
    </w:p>
    <w:p>
      <w:pPr>
        <w:spacing w:after="0" w:line="221" w:lineRule="exact"/>
        <w:rPr>
          <w:sz w:val="20"/>
          <w:szCs w:val="20"/>
          <w:color w:val="auto"/>
        </w:rPr>
      </w:pPr>
    </w:p>
    <w:p>
      <w:pPr>
        <w:ind w:left="1720" w:hanging="416"/>
        <w:spacing w:after="0"/>
        <w:tabs>
          <w:tab w:leader="none" w:pos="1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Options</w:t>
      </w:r>
    </w:p>
    <w:p>
      <w:pPr>
        <w:spacing w:after="0" w:line="229" w:lineRule="exact"/>
        <w:rPr>
          <w:sz w:val="20"/>
          <w:szCs w:val="20"/>
          <w:color w:val="auto"/>
        </w:rPr>
      </w:pPr>
    </w:p>
    <w:p>
      <w:pPr>
        <w:ind w:right="60" w:firstLine="1296"/>
        <w:spacing w:after="0" w:line="286" w:lineRule="auto"/>
        <w:rPr>
          <w:sz w:val="20"/>
          <w:szCs w:val="20"/>
          <w:color w:val="auto"/>
        </w:rPr>
      </w:pPr>
      <w:r>
        <w:rPr>
          <w:rFonts w:ascii="Arial" w:cs="Arial" w:eastAsia="Arial" w:hAnsi="Arial"/>
          <w:sz w:val="17"/>
          <w:szCs w:val="17"/>
          <w:color w:val="auto"/>
        </w:rPr>
        <w:t>All Options shall expire at such time as the Committee may determine and set forth in the option agreement, which date shall not be later than the last business date immediately preceding the tenth anniversary of the Grant Date of such Option (the “Expiration Date”). No Option may be exercised later than the Expiration Date. Notwithstanding the foregoing, no Option shall be exercisable after the first to occur of the following:</w:t>
      </w:r>
    </w:p>
    <w:p>
      <w:pPr>
        <w:spacing w:after="0" w:line="165" w:lineRule="exact"/>
        <w:rPr>
          <w:sz w:val="20"/>
          <w:szCs w:val="20"/>
          <w:color w:val="auto"/>
        </w:rPr>
      </w:pPr>
    </w:p>
    <w:p>
      <w:pPr>
        <w:ind w:right="20" w:firstLine="1790"/>
        <w:spacing w:after="0" w:line="342" w:lineRule="auto"/>
        <w:tabs>
          <w:tab w:leader="none" w:pos="21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case of an ISO, five years from the Grant Date if, on the Grant Date the Optionee owns, directly or by attribution under Section 424(d) of the Code, shares possessing more than ten percent (10%) of the total combined voting power of all classes of stock of the Company;</w:t>
      </w:r>
    </w:p>
    <w:p>
      <w:pPr>
        <w:spacing w:after="0" w:line="123" w:lineRule="exact"/>
        <w:rPr>
          <w:rFonts w:ascii="Arial" w:cs="Arial" w:eastAsia="Arial" w:hAnsi="Arial"/>
          <w:sz w:val="16"/>
          <w:szCs w:val="16"/>
          <w:color w:val="auto"/>
        </w:rPr>
      </w:pPr>
    </w:p>
    <w:p>
      <w:pPr>
        <w:ind w:right="120" w:firstLine="1790"/>
        <w:spacing w:after="0" w:line="257" w:lineRule="auto"/>
        <w:tabs>
          <w:tab w:leader="none" w:pos="22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set by the Board of Directors of the Company to be an accelerated Expiration Date after a finding by the Board of Directors of the Company that a change in the financial accounting treatment for Options from that in effect on the date the Plan was adopted materially adversely affects or, in the determination of the Board of Directors, may materially adversely affect in the foreseeable future, the Company, provided the Board of Directors may take whatever other action, including acceleration of any exercise provisions, it deems necessary should it make the determination referred to hereinabove;</w:t>
      </w:r>
    </w:p>
    <w:p>
      <w:pPr>
        <w:spacing w:after="0" w:line="187" w:lineRule="exact"/>
        <w:rPr>
          <w:rFonts w:ascii="Arial" w:cs="Arial" w:eastAsia="Arial" w:hAnsi="Arial"/>
          <w:sz w:val="18"/>
          <w:szCs w:val="18"/>
          <w:color w:val="auto"/>
        </w:rPr>
      </w:pPr>
    </w:p>
    <w:p>
      <w:pPr>
        <w:ind w:right="140" w:firstLine="1790"/>
        <w:spacing w:after="0" w:line="342" w:lineRule="auto"/>
        <w:tabs>
          <w:tab w:leader="none" w:pos="22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Expiration of one year (or such shorter period as the Committee may select and set forth in the option agreement) from the date the Optionee’s employment or service with the Company terminates for any reason other than circumstances described by Subsection (e)(v), below;</w:t>
      </w:r>
    </w:p>
    <w:p>
      <w:pPr>
        <w:spacing w:after="0" w:line="123" w:lineRule="exact"/>
        <w:rPr>
          <w:rFonts w:ascii="Arial" w:cs="Arial" w:eastAsia="Arial" w:hAnsi="Arial"/>
          <w:sz w:val="16"/>
          <w:szCs w:val="16"/>
          <w:color w:val="auto"/>
        </w:rPr>
      </w:pPr>
    </w:p>
    <w:p>
      <w:pPr>
        <w:ind w:firstLine="1790"/>
        <w:spacing w:after="0" w:line="286" w:lineRule="auto"/>
        <w:tabs>
          <w:tab w:leader="none" w:pos="22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event of a “Change of Control” (as defmed in Section 9.1, below), the Committee can (A) accelerate the Expiration Date of any Option which has vested provided an Optionee who holds an Option is given written notice at least thirty (30) days before the date so fixed, (B) terminate any Option which has not then vested or (C) accelerate the vesting schedule of any Option subject to Section 9.2; or</w:t>
      </w:r>
    </w:p>
    <w:p>
      <w:pPr>
        <w:spacing w:after="0" w:line="165" w:lineRule="exact"/>
        <w:rPr>
          <w:rFonts w:ascii="Arial" w:cs="Arial" w:eastAsia="Arial" w:hAnsi="Arial"/>
          <w:sz w:val="17"/>
          <w:szCs w:val="17"/>
          <w:color w:val="auto"/>
        </w:rPr>
      </w:pPr>
    </w:p>
    <w:p>
      <w:pPr>
        <w:ind w:firstLine="1790"/>
        <w:spacing w:after="0" w:line="254" w:lineRule="auto"/>
        <w:tabs>
          <w:tab w:leader="none" w:pos="22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an Option granted under the Key Employee Plan, a finding by the Committee that the Optionee has been discharged from employment with the Company for Cause. For purposes of this Section, “Cause” shall mean: (A) a breach by Optionee of his employment agreement with the Company, (B) a breach of Optionee’s duty of loyalty to the Company, including without limitation any act of dishonesty, embezzlement or fraud with respect to the Company, (C) the commission by Optionee of a felony, a crime involving moral turpitude or other act causing material harm to the Company’s standing and reputation, (D) Optionee’s continued failure to perform his duties to the Company or (E) unauthorized disclosure by Optionee of trade secrets or other confidential information belonging to the Company. In the event of a finding that the Optionee has been discharged for Cause, in addition to immediate termination of the Option, the Optionee shall automatically forfeit all Option Shares for which the Company has not yet delivered the share certificates upon refund of the Option Price.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1540" w:hanging="398"/>
        <w:spacing w:after="0"/>
        <w:tabs>
          <w:tab w:leader="none" w:pos="1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w:t>
      </w:r>
    </w:p>
    <w:p>
      <w:pPr>
        <w:spacing w:after="0" w:line="229" w:lineRule="exact"/>
        <w:rPr>
          <w:sz w:val="20"/>
          <w:szCs w:val="20"/>
          <w:color w:val="auto"/>
        </w:rPr>
      </w:pPr>
    </w:p>
    <w:p>
      <w:pPr>
        <w:ind w:firstLine="1134"/>
        <w:spacing w:after="0" w:line="259" w:lineRule="auto"/>
        <w:rPr>
          <w:sz w:val="20"/>
          <w:szCs w:val="20"/>
          <w:color w:val="auto"/>
        </w:rPr>
      </w:pPr>
      <w:r>
        <w:rPr>
          <w:rFonts w:ascii="Arial" w:cs="Arial" w:eastAsia="Arial" w:hAnsi="Arial"/>
          <w:sz w:val="18"/>
          <w:szCs w:val="18"/>
          <w:color w:val="auto"/>
        </w:rPr>
        <w:t>No ISO granted under the Plan may be transferred, except by will or by the laws of descent and distribution. During the lifetime of the person to whom an ISO is granted, such Option may be exercised only by such person. No NQSO under the Plan may be transferred, except by will or by the laws of descent and distribution or pursuant to a qualified domestic relations order as defined by the Code or Title I of the Employee Retirement Income Security Act, or the rules thereunder.</w:t>
      </w:r>
    </w:p>
    <w:p>
      <w:pPr>
        <w:spacing w:after="0" w:line="183" w:lineRule="exact"/>
        <w:rPr>
          <w:sz w:val="20"/>
          <w:szCs w:val="20"/>
          <w:color w:val="auto"/>
        </w:rPr>
      </w:pPr>
    </w:p>
    <w:p>
      <w:pPr>
        <w:ind w:left="1580" w:hanging="438"/>
        <w:spacing w:after="0"/>
        <w:tabs>
          <w:tab w:leader="none" w:pos="1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p>
    <w:p>
      <w:pPr>
        <w:spacing w:after="0" w:line="229" w:lineRule="exact"/>
        <w:rPr>
          <w:sz w:val="20"/>
          <w:szCs w:val="20"/>
          <w:color w:val="auto"/>
        </w:rPr>
      </w:pPr>
    </w:p>
    <w:p>
      <w:pPr>
        <w:ind w:right="380" w:firstLine="1134"/>
        <w:spacing w:after="0" w:line="277" w:lineRule="auto"/>
        <w:rPr>
          <w:sz w:val="20"/>
          <w:szCs w:val="20"/>
          <w:color w:val="auto"/>
        </w:rPr>
      </w:pPr>
      <w:r>
        <w:rPr>
          <w:rFonts w:ascii="Arial" w:cs="Arial" w:eastAsia="Arial" w:hAnsi="Arial"/>
          <w:sz w:val="18"/>
          <w:szCs w:val="18"/>
          <w:color w:val="auto"/>
        </w:rPr>
        <w:t>The option agreements shall contain such other provisions including, without limitation, additional restrictions upon the exercise of the Option or additional limitations upon the term of the Option, as the Committee shall deem advisable.</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Exercise</w:t>
      </w:r>
    </w:p>
    <w:p>
      <w:pPr>
        <w:spacing w:after="0" w:line="225" w:lineRule="exact"/>
        <w:rPr>
          <w:sz w:val="20"/>
          <w:szCs w:val="20"/>
          <w:color w:val="auto"/>
        </w:rPr>
      </w:pPr>
    </w:p>
    <w:p>
      <w:pPr>
        <w:ind w:left="1580" w:hanging="438"/>
        <w:spacing w:after="0"/>
        <w:tabs>
          <w:tab w:leader="none" w:pos="1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ind w:firstLine="1134"/>
        <w:spacing w:after="0" w:line="255" w:lineRule="auto"/>
        <w:rPr>
          <w:sz w:val="20"/>
          <w:szCs w:val="20"/>
          <w:color w:val="auto"/>
        </w:rPr>
      </w:pPr>
      <w:r>
        <w:rPr>
          <w:rFonts w:ascii="Arial" w:cs="Arial" w:eastAsia="Arial" w:hAnsi="Arial"/>
          <w:sz w:val="18"/>
          <w:szCs w:val="18"/>
          <w:color w:val="auto"/>
        </w:rPr>
        <w:t>No Option shall be deemed to have been exercised prior to the receipt by the Company of written notice of such exercise and of payment in full of the Option Price for the Option Shares to be purchased. Each such notice shall (i) specify the number of Option Shares to be purchased, (ii) satisfy the securities law requirements set forth in this Section 5.4, and (iii) in the case of an ISO, state that the Optionee acknowledges that the Option Shares may not be sold within one year of exercise or two years from the Grant Date and that the Option must be exercised within three months following termination of employment or, in the case of termination of employment because of death or disability, one year from the date of death or disability, in order to maintain the ISO status of the Option.</w:t>
      </w:r>
    </w:p>
    <w:p>
      <w:pPr>
        <w:spacing w:after="0" w:line="188" w:lineRule="exact"/>
        <w:rPr>
          <w:sz w:val="20"/>
          <w:szCs w:val="20"/>
          <w:color w:val="auto"/>
        </w:rPr>
      </w:pPr>
    </w:p>
    <w:p>
      <w:pPr>
        <w:ind w:left="1580" w:hanging="438"/>
        <w:spacing w:after="0"/>
        <w:tabs>
          <w:tab w:leader="none" w:pos="15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p>
    <w:p>
      <w:pPr>
        <w:spacing w:after="0" w:line="229" w:lineRule="exact"/>
        <w:rPr>
          <w:sz w:val="20"/>
          <w:szCs w:val="20"/>
          <w:color w:val="auto"/>
        </w:rPr>
      </w:pPr>
    </w:p>
    <w:p>
      <w:pPr>
        <w:ind w:right="40" w:firstLine="1134"/>
        <w:spacing w:after="0" w:line="286" w:lineRule="auto"/>
        <w:rPr>
          <w:sz w:val="20"/>
          <w:szCs w:val="20"/>
          <w:color w:val="auto"/>
        </w:rPr>
      </w:pPr>
      <w:r>
        <w:rPr>
          <w:rFonts w:ascii="Arial" w:cs="Arial" w:eastAsia="Arial" w:hAnsi="Arial"/>
          <w:sz w:val="16"/>
          <w:szCs w:val="16"/>
          <w:color w:val="auto"/>
        </w:rPr>
        <w:t>Each exercise notice shall (unless the Option Shares are covered by a then current registration statement or a Notification under Regulation A under the Securities Act of 1933, as amended (the “Securities Act”)), contain the Optionee’s acknowledgment in form and substance satisfactory to the Company that (i) such Option Shares are being purchased for investment and not for distribution or resale (other than a distribution or resale which, in the opinion of counsel satisfactory to the Company, may be made without violating the registration provisions of the Securities Act); (ii) the Optionee has been advised and understands that (A) the Option Shares have not been registered under the Securities Act and are “restricted securities” within the meaning of Rule 144 under the Securities Act and are subject to restrictions on transfer and (B) the Company is under no obligation to register the Option Shares under the Securities Act or to take any action which would make available to the Optionee any exemption from such registration, (iii) such Option Shares may not be transferred without compliance with all applicable federal and state securities laws, and (iv) an appropriate legend referring to the foregoing restrictions on transfer and any other restrictions imposed in an option agreement may be endorsed on the certificates. Notwithstanding the above, should the Company be advised by counsel that the issuance of Option Shares upon the exercise of an Option should be delayed pending (A) registration under federal or state securities laws, (B) the receipt of an opinion that an appropriate exemption therefrom is available, (C) the listing or inclusion of the Option Shares on any securities exchange or in an automated quotation system or (D) the consent or approval of any governmental regulatory body whose consent or approval is necessary in connection with the issuance of such Option Shares, the Company may defer the exercise of any Option granted hereunder until either such event in A, B, C or D has occurred.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ind w:left="1720" w:hanging="416"/>
        <w:spacing w:after="0"/>
        <w:tabs>
          <w:tab w:leader="none" w:pos="1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Disqualifying Disposition</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An Optionee shall notify the Committee if any Option Shares received upon the exercise of an ISO are sold within one year of exercise or two years from the Grant Date.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AWARDS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Grants of Stock Awards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Stock Awards will consist of shares of Common Stock (“Restricted Stock”) transferred to recipients (“Recipient”), either without payment therefor or with such payment as may be required by the Committee, as additional compensation for such Recipient’s service to the Company. Stock Awards shall be subject to such terms and conditions as the Committee determines appropriate as evidenced in a written document (an “Award Document”), including, without limitation, restrictions on the sale or other disposition of such Restricted Stock and rights of the Company to reacquire such Restricted Stock upon termination of the Recipient’s employment or service within specified periods.</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Transferability; Legends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Restricted Stock may be transferred only if (i) the Restricted Stock is covered by a then current registration statement or a Notification under Regulation A under the Securities Act, or such transfer complies with the requirements of Rule 144 of the Exchange Act; and (ii) such transfer does not violate any restriction imposed on the Stock Award. Restricted Stock may bear a legend referring to (x) the restrictions on transferability of such Restricted Stock, or (y) if the Recipient is subject to Section 16 of the Exchange Act at the time the Restricted Stock is issued, the liability which may arise under Section 16 upon disposition of the Restricted Stock.</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APPRECIATION RIGHTS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Stock Appreciation Rights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Stock Appreciation Right, or “SAR,” is an Award entitling the Recipient, upon exercise, to receive an amount in cash or Common Stock, or a combination thereof (such form to be determined by the Committee), determined solely by reference to appreciation, from and after the date of grant, in the Fair Market Value of a share of Common Stock. The date as of which such appreciation or other measure is determined shall be the exercise date of the SAR Award.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6" w:name="page47"/>
    <w:bookmarkEnd w:id="46"/>
    <w:p>
      <w:pPr>
        <w:ind w:left="660"/>
        <w:spacing w:after="0"/>
        <w:tabs>
          <w:tab w:leader="none" w:pos="10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u w:val="single" w:color="auto"/>
          <w:color w:val="auto"/>
        </w:rPr>
        <w:t>Grants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SARs may be granted in tandem with, or independently of, Options granted under the Plan. When SARs are expressly granted in tandem with Options, then (i) the SARs will be exercisable only at such time or times, and to the extent, that the related Option is exercisable, and will be exercisable in accordance with the procedure required for exercise of the related Option; (ii) the SARs will terminate and no longer be exercisable upon the termination or exercise of the related Option, except that a SAR granted with respect to fewer than the full number of shares covered by an Option will not be terminated until and only to the extent that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 A SAR not expressly granted in tandem with an Option will become exercisable at such time or times, and on such conditions, as the Committee may specify in the SAR Award.</w:t>
      </w:r>
    </w:p>
    <w:p>
      <w:pPr>
        <w:spacing w:after="0" w:line="1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Terms and Conditions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Committee shall determine all terms and conditions of a SAR Award, including, but not limited to (i) the number of shares subject to such SAR Award or a formula for determining such, (ii) the terms and conditions on the grant, vesting (including any time- or performance-based vesting criteria), issuance and/or forfeiture of the shares, and (iii) such further terms and conditions as may be determined from time to time by the Committee, in each case not inconsistent with this Plan. The exercise price of a Stock Appreciation Right shall not be less than 100 percent of the Fair Market Value of the stock on the date of grant. To the extent that an award of Stock Appreciation Rights is subject to Section 409A, it may contain such additional terms and conditions as the Committee shall determine in its sole discretion in order for such Award to comply with the requirements of Section 409A.</w:t>
      </w:r>
    </w:p>
    <w:p>
      <w:pPr>
        <w:spacing w:after="0" w:line="1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u w:val="single" w:color="auto"/>
          <w:color w:val="auto"/>
        </w:rPr>
        <w:t>Vesting of SAR Awards</w:t>
      </w:r>
    </w:p>
    <w:p>
      <w:pPr>
        <w:spacing w:after="0" w:line="229" w:lineRule="exact"/>
        <w:rPr>
          <w:sz w:val="20"/>
          <w:szCs w:val="20"/>
          <w:color w:val="auto"/>
        </w:rPr>
      </w:pPr>
    </w:p>
    <w:p>
      <w:pPr>
        <w:jc w:val="both"/>
        <w:ind w:right="40" w:firstLine="648"/>
        <w:spacing w:after="0" w:line="301" w:lineRule="auto"/>
        <w:rPr>
          <w:sz w:val="20"/>
          <w:szCs w:val="20"/>
          <w:color w:val="auto"/>
        </w:rPr>
      </w:pPr>
      <w:r>
        <w:rPr>
          <w:rFonts w:ascii="Arial" w:cs="Arial" w:eastAsia="Arial" w:hAnsi="Arial"/>
          <w:sz w:val="16"/>
          <w:szCs w:val="16"/>
          <w:color w:val="auto"/>
        </w:rPr>
        <w:t>At the time of the grant of a SAR Award, the Committee shall establish a vesting date or vesting dates with respect to such SAR Award, provided that SARs awarded in tandem with Options shall be subject to the same vesting date or vesting dates established by the Committee pursuant to Section 4(g) for such related Options and shall be exercisable only to the extent that such related Option shall then be exercisable. The Committee may establish vesting dates based upon the passage of time and/or the satisfaction of performance criteria or other conditions as deemed appropriate by the Committee.</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u w:val="single" w:color="auto"/>
          <w:color w:val="auto"/>
        </w:rPr>
        <w:t>RSU Grants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Committee may grant Awards in the form of Restricted Stock Units. A Restricted Stock Unit or RSU is a bookkeeping entry representing the equivalent of one share of Common Stock for each Restricted Stock Unit awarded to the Recipient and represents an unfunded and unsecured obligation of the Company. The Committee shall determine the restrictions and conditions applicable to each Restricted Stock Unit at the time of grant. Conditions may be based on continuing employment (or other service relationship) and/or achievement of pre-established performance goals and objectives. The terms and conditions of each RSU shall be determined by the Committee, and such terms and conditions may differ among individual Awards. At the end of the vesting period, the Restricted Stock Units, to the extent vested, shall be settled in the form of shares of Common Stock. To the extent that an award of Restricted Stock Units is subject to Section 409A, it may contain such additional terms and conditions as the Committee shall determine in its sole discretion in order for such Award to comply with the requirements of Section 409A.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ind w:left="660"/>
        <w:spacing w:after="0"/>
        <w:tabs>
          <w:tab w:leader="none" w:pos="10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Terms and Conditions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Committee shall determine all terms and conditions of any such Restricted Stock Unit, including, but not limited to (i) the number of shares subject to such Restricted Stock Unit or a formula for determining such, (ii) the purchase price of the shares, if any, and the means of payment for the shares, (iii) the performance criteria, if any, and level of achievement of such performance criteria that shall determine the number of shares granted, issued, retainable and/or vested, (iv) the terms and conditions on the grant, issuance and/or forfeiture of the shares, and (v) such further terms and conditions as may be determined from time to time by the Committee, in each case not inconsistent with this Plan. A Participant may not vote the shares represented by a Restricted Stock Unit. A Restricted Stock Unit may be settled in cash or Common Stock, or a combination, as determined by the Committee, with the amount of the cash payment based on the Fair Market Value of the shares of Common Stock at the time of vesting. Any such settlements may be subject to such conditions, restrictions and contingencies as the Committee shall establish.</w:t>
      </w:r>
    </w:p>
    <w:p>
      <w:pPr>
        <w:spacing w:after="0" w:line="1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u w:val="single" w:color="auto"/>
          <w:color w:val="auto"/>
        </w:rPr>
        <w:t>Vesting of Restricted Stock Unit</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At the time of the grant of a Restricted Stock Unit, the Committee shall establish a vesting date or vesting dates with respect to the shares of Common Stock covered by such Restricted Stock Unit, which vesting dates may be based upon the passage of time and/or the satisfaction of performance criteria or other conditions as deemed appropriate by the Committee.</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u w:val="single" w:color="auto"/>
          <w:color w:val="auto"/>
        </w:rPr>
        <w:t>Rights as a Stockholder</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Recipient shall have the rights as a stockholder only as to shares of Common Stock acquired by the Recipient upon the settlement of vested Restricted Stock Units.</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u w:val="single" w:color="auto"/>
          <w:color w:val="auto"/>
        </w:rPr>
        <w:t>Termination</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Except as may otherwise be provided by the Committee either in the Award or in writing after the Award is issued, the Recipient’s right in any Restricted Stock Units that have not vested shall automatically terminate upon the Recipient’s termination of employment (or cessation of service relationship) with the Company or any Affiliate for any reason.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CHANGE OF CONTROL OF THE COMPANY</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Change of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“Change of Control” shall be deemed to have occurred upon the earliest to occur of the following events:</w:t>
      </w:r>
    </w:p>
    <w:p>
      <w:pPr>
        <w:spacing w:after="0" w:line="221" w:lineRule="exact"/>
        <w:rPr>
          <w:sz w:val="20"/>
          <w:szCs w:val="20"/>
          <w:color w:val="auto"/>
        </w:rPr>
      </w:pPr>
    </w:p>
    <w:p>
      <w:pPr>
        <w:ind w:left="1580" w:hanging="438"/>
        <w:spacing w:after="0"/>
        <w:tabs>
          <w:tab w:leader="none" w:pos="1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Liquidation</w:t>
      </w:r>
    </w:p>
    <w:p>
      <w:pPr>
        <w:spacing w:after="0" w:line="229" w:lineRule="exact"/>
        <w:rPr>
          <w:sz w:val="20"/>
          <w:szCs w:val="20"/>
          <w:color w:val="auto"/>
        </w:rPr>
      </w:pPr>
    </w:p>
    <w:p>
      <w:pPr>
        <w:ind w:right="660" w:firstLine="1134"/>
        <w:spacing w:after="0" w:line="277" w:lineRule="auto"/>
        <w:rPr>
          <w:sz w:val="20"/>
          <w:szCs w:val="20"/>
          <w:color w:val="auto"/>
        </w:rPr>
      </w:pPr>
      <w:r>
        <w:rPr>
          <w:rFonts w:ascii="Arial" w:cs="Arial" w:eastAsia="Arial" w:hAnsi="Arial"/>
          <w:sz w:val="18"/>
          <w:szCs w:val="18"/>
          <w:color w:val="auto"/>
        </w:rPr>
        <w:t>The date the stockholders of the Company (or the Board of Directors, if stockholder action is not required) approve a plan or other arrangement pursuant to which the Company will be dissolved or liquidated;</w:t>
      </w:r>
    </w:p>
    <w:p>
      <w:pPr>
        <w:spacing w:after="0" w:line="166" w:lineRule="exact"/>
        <w:rPr>
          <w:sz w:val="20"/>
          <w:szCs w:val="20"/>
          <w:color w:val="auto"/>
        </w:rPr>
      </w:pPr>
    </w:p>
    <w:p>
      <w:pPr>
        <w:ind w:left="1580" w:hanging="438"/>
        <w:spacing w:after="0"/>
        <w:tabs>
          <w:tab w:leader="none" w:pos="1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Assets</w:t>
      </w:r>
    </w:p>
    <w:p>
      <w:pPr>
        <w:spacing w:after="0" w:line="229" w:lineRule="exact"/>
        <w:rPr>
          <w:sz w:val="20"/>
          <w:szCs w:val="20"/>
          <w:color w:val="auto"/>
        </w:rPr>
      </w:pPr>
    </w:p>
    <w:p>
      <w:pPr>
        <w:ind w:right="80" w:firstLine="1134"/>
        <w:spacing w:after="0" w:line="273" w:lineRule="auto"/>
        <w:rPr>
          <w:sz w:val="20"/>
          <w:szCs w:val="20"/>
          <w:color w:val="auto"/>
        </w:rPr>
      </w:pPr>
      <w:r>
        <w:rPr>
          <w:rFonts w:ascii="Arial" w:cs="Arial" w:eastAsia="Arial" w:hAnsi="Arial"/>
          <w:sz w:val="17"/>
          <w:szCs w:val="17"/>
          <w:color w:val="auto"/>
        </w:rPr>
        <w:t>Upon approval of the stockholders of the Company (or the Board of Directors, if stockholder action is not required), the date the Company consummates a definitive agreement to sell or otherwise dispose of all or substantially all of the assets of the Company to any “Unrelated Person” or “Unrelated Persons” (as defined below) acting in concert with one another. “Person” means any entity, person or group (within the meaning of Section 13(d)(3) or Section 14(d) (2) of the Exchange Act of 1934). “Unrelated Person” means any Person other than (1) the Company or any of its Affiliates or any employee benefit plan (or related trust) sponsored or maintained by the Company or any of its Affiliates or (2) any Person who, as of the Effective Date, is the beneficial owner of at least twenty percent (20%) of the outstanding Common Stock of the Company;</w:t>
      </w:r>
    </w:p>
    <w:p>
      <w:pPr>
        <w:spacing w:after="0" w:line="174" w:lineRule="exact"/>
        <w:rPr>
          <w:sz w:val="20"/>
          <w:szCs w:val="20"/>
          <w:color w:val="auto"/>
        </w:rPr>
      </w:pPr>
    </w:p>
    <w:p>
      <w:pPr>
        <w:ind w:left="1560" w:hanging="418"/>
        <w:spacing w:after="0"/>
        <w:tabs>
          <w:tab w:leader="none" w:pos="15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Merger or Consolidation</w:t>
      </w:r>
    </w:p>
    <w:p>
      <w:pPr>
        <w:spacing w:after="0" w:line="229" w:lineRule="exact"/>
        <w:rPr>
          <w:sz w:val="20"/>
          <w:szCs w:val="20"/>
          <w:color w:val="auto"/>
        </w:rPr>
      </w:pPr>
    </w:p>
    <w:p>
      <w:pPr>
        <w:ind w:right="20" w:firstLine="1134"/>
        <w:spacing w:after="0" w:line="290" w:lineRule="auto"/>
        <w:rPr>
          <w:sz w:val="20"/>
          <w:szCs w:val="20"/>
          <w:color w:val="auto"/>
        </w:rPr>
      </w:pPr>
      <w:r>
        <w:rPr>
          <w:rFonts w:ascii="Arial" w:cs="Arial" w:eastAsia="Arial" w:hAnsi="Arial"/>
          <w:sz w:val="16"/>
          <w:szCs w:val="16"/>
          <w:color w:val="auto"/>
        </w:rPr>
        <w:t>Upon approval of the stockholders of the Company (or the Board of Directors, if stockholder action is not required) and the stockholders of the other constituent corporation (or its board of directors if stockholder action is not required), the date the Company consummates a merger or consolidation of the Company with or into such other corporation, and such other corporation is an Unrelated Person, other than a merger or consolidation of the Company in which holders of shares of the Common Stock of the Company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substantially the same proportion as such holders’ ownership of the Common Stock of the Company immediately before the merger or consolidation;</w:t>
      </w:r>
    </w:p>
    <w:p>
      <w:pPr>
        <w:spacing w:after="0" w:line="161" w:lineRule="exact"/>
        <w:rPr>
          <w:sz w:val="20"/>
          <w:szCs w:val="20"/>
          <w:color w:val="auto"/>
        </w:rPr>
      </w:pPr>
    </w:p>
    <w:p>
      <w:pPr>
        <w:ind w:left="1580" w:hanging="438"/>
        <w:spacing w:after="0"/>
        <w:tabs>
          <w:tab w:leader="none" w:pos="15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Beneficial Owner</w:t>
      </w:r>
    </w:p>
    <w:p>
      <w:pPr>
        <w:spacing w:after="0" w:line="229" w:lineRule="exact"/>
        <w:rPr>
          <w:sz w:val="20"/>
          <w:szCs w:val="20"/>
          <w:color w:val="auto"/>
        </w:rPr>
      </w:pPr>
    </w:p>
    <w:p>
      <w:pPr>
        <w:ind w:firstLine="1134"/>
        <w:spacing w:after="0" w:line="277" w:lineRule="auto"/>
        <w:rPr>
          <w:sz w:val="20"/>
          <w:szCs w:val="20"/>
          <w:color w:val="auto"/>
        </w:rPr>
      </w:pPr>
      <w:r>
        <w:rPr>
          <w:rFonts w:ascii="Arial" w:cs="Arial" w:eastAsia="Arial" w:hAnsi="Arial"/>
          <w:sz w:val="18"/>
          <w:szCs w:val="18"/>
          <w:color w:val="auto"/>
        </w:rPr>
        <w:t>The date any Unrelated Person will have become the beneficial owner of, or will have obtained voting control over, more than forty percent (40%) of the outstanding shares of the Common Stock of the Company;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9" w:name="page50"/>
    <w:bookmarkEnd w:id="49"/>
    <w:p>
      <w:pPr>
        <w:ind w:left="1720" w:hanging="416"/>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Majority of the Board of Directors</w:t>
      </w:r>
    </w:p>
    <w:p>
      <w:pPr>
        <w:spacing w:after="0" w:line="229" w:lineRule="exact"/>
        <w:rPr>
          <w:sz w:val="20"/>
          <w:szCs w:val="20"/>
          <w:color w:val="auto"/>
        </w:rPr>
      </w:pPr>
    </w:p>
    <w:p>
      <w:pPr>
        <w:ind w:right="40" w:firstLine="1296"/>
        <w:spacing w:after="0" w:line="273" w:lineRule="auto"/>
        <w:rPr>
          <w:sz w:val="20"/>
          <w:szCs w:val="20"/>
          <w:color w:val="auto"/>
        </w:rPr>
      </w:pPr>
      <w:r>
        <w:rPr>
          <w:rFonts w:ascii="Arial" w:cs="Arial" w:eastAsia="Arial" w:hAnsi="Arial"/>
          <w:sz w:val="17"/>
          <w:szCs w:val="17"/>
          <w:color w:val="auto"/>
        </w:rPr>
        <w:t>The date individuals who, as of the Effective Date, constitute the Board of Directors of the Company (the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cease for any reason to constitute a majority of the members of the Board; provided that any individual who becomes a Director, after the Effective Date, whose election or nomination for election by the Company’s stockholders was approved by a majority of the Incumbent Directors (other than an election or nomination of an individual whose initial assumption of office is in connection with an actual or threatened “election contest” relating to the election of the directors of the Company (as such terms are used in Rule 14a-11 under the Exchange Act), “tender offer” (as such term is used in Section 14(d) of the Exchange Act) or a proposed merger) will be deemed to be an Incumbent Director.</w:t>
      </w:r>
    </w:p>
    <w:p>
      <w:pPr>
        <w:spacing w:after="0" w:line="1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Vesting Upon a Change of Control</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Awards granted under the Plan shall immediately vest and be exercisable and any restrictions thereon shall lapse following a Change of Control provided that (i) the Unrelated Person, as defined in subsection 9.1(b), involved in such Change of Control does not assume or substitute Awards granted under the Plan; (ii) the Optionee’s or Recipient’s employment is terminated by the Unrelated Person within two years following the Change of Control other than for Cause, as defined in subsection 5.3(e)(v); or (iii) the Optionee or Recipient resigns for “Good Reason,” which shall mean a material reduction in such individual’s pay or benefits, relocation of the individual’s position by the Company of greater than 50 miles, or any material demotion of the individual’s position as determined by the Committee.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Committee</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“Committee,” for purposes of the Non-Qualified Plan and the Key Employee Plan, will be the Compensation Committee of the Board of Directors (the “Committee”) as constituted from time to time, or the full Board of Directors acting in its discretion. The Committee shall operate and administer the Plan, including the grant of Options and Stock Awards. The Committee shall make such interpretations and construction of the Plan as it deems appropriate or necessary from time to time in its sole discretion, such interpretations and construction of the Plan to be final, binding and conclusive.</w:t>
      </w:r>
    </w:p>
    <w:p>
      <w:pPr>
        <w:spacing w:after="0" w:line="15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Meetings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0" w:name="page51"/>
    <w:bookmarkEnd w:id="50"/>
    <w:p>
      <w:pPr>
        <w:ind w:left="660"/>
        <w:spacing w:after="0"/>
        <w:tabs>
          <w:tab w:leader="none" w:pos="11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Discretion of Committee</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Committee shall from time to time at its discretion grant Awards pursuant to the terms of the Key Employee Plan and the Non-Qualified Plan. The Committee shall have plenary authority to determine the Optionees or Recipients (each a “Participant”) to whom and the times at which Awards shall be granted, the number of Plan Shares to be covered by such grants and the price and other terms and conditions thereof, including a specification with respect to whether an Option is intended to be an ISO, subject, however, to the express provisions of the Key Employee Plan and compliance with Rule 16b-3(d) under the Exchange Act. In making any such determination, the Committee may take into account the nature of the Participant’s services and responsibilities, the Participant’s present and potential contribution to the Company’s success and such other factors as it may deem relevant. The interpretation and construction by the Committee of any provision of the Plan or of any Award granted under it shall be final, binding and conclusive.</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u w:val="single" w:color="auto"/>
          <w:color w:val="auto"/>
        </w:rPr>
        <w:t>No Liability</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No member of the Board of Directors or the Committee shall be personally liable for any action or determination with respect to the Plan or any Award thereunder, or for any act or omission of any other member of the Board of Directors or the Committee, including but not limited to the exercise of any power and discretion given to him under the Plan, except those resulting from (i) any breach of such person’s duty of loyalty to the Company or its stockholders, (ii) acts or omissions not in good faith or involving intentional misconduct or a knowing violation of law or (iii) any transaction from which such person derived an improper personal benefit.</w:t>
      </w:r>
    </w:p>
    <w:p>
      <w:pPr>
        <w:spacing w:after="0" w:line="18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Indemnification</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addition to such other rights of indemnification as he or she may have as a member of the Board of Directors or the Committee, and with respect to the administration of the Plan and the granting of Awards hereunder, each member of the Board of Directors and of the Committee shall be entitled to be indemnified by the Company to the fullest extent permitted by applicable law, for all expenses (including but not limited to reasonable attorneys’ fees and expenses), judgments, fines and amounts paid in settlement reasonably incurred by him in connection with or arising out of any action, suit or proceeding with respect to the administration of the Plan or the granting of Awards hereunder (each a “Proceeding”) in which he or she may be involved by reason of his being or having been a member of the Board of Directors or the Committee, whether or not he or she continues to be a member of the Board of Directors or the Committee at the time of the incurring of such expenses; provided however, that such indemnity shall not include any expenses incurred by such member of the Board of Directors or Committee in respect of any matter in which any settlement is effected in an amount in excess of the amount approved by the Company on the advice of its legal counsel; and provided further that no right of indemnification under the provisions set forth herein shall be available to or accessible by any such member of the Committee unless within ten (10) days after institution of any such action, suit or proceeding he or she shall have offered the Company in writing the opportunity to handle and defend such action, suit or proceeding at its own expense. The foregoing right of indemnification shall inure to the benefit of the heirs, executors or administrators of each such member of the Board of Directors or the Committee and shall be in addition to all other rights to which such member of the Board of Directors or the Committee would be entitled to as a matter of law, contract or otherwise. Expenses (including attorneys’ fees) incurred by a member of the Board of Directors or the Committee in defending any Proceeding may be paid by the Company in advance of the final disposition of such Proceeding upon receipt of an undertaking by or such person to repay all amounts advanced if it should be ultimately be determined that such person is not entitled to be indemnified under this Article or otherwise, except that no such advance payment will be required if it is determined by the Board of Directors that there is a substantial probability that such person will not be able to repay the advance payments.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ind w:left="660"/>
        <w:spacing w:after="0"/>
        <w:tabs>
          <w:tab w:leader="none" w:pos="11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u w:val="single" w:color="auto"/>
          <w:color w:val="auto"/>
        </w:rPr>
        <w:t>Adjustments on Changes in Common Stock</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aggregate number of shares of Common Stock as to which Awards may be granted under the Non-Qualified Plan and the Key Employee Plan, the number of Option Shares covered by each outstanding Option, the Option Price per Option Share specified in each outstanding Option and such other per-share factors affecting Awards under this Plan shall be appropriately adjusted in the event of a stock dividend, stock split or other increase or decrease in the number of issued and outstanding shares of Common Stock resulting from a subdivision or consolidation of the Common Stock or other capital adjustment (not including the amendment of the Company’s certificate of incorporation to authorize a greater number of shares of capital stock or the issuance of Common Stock on the conversion of other securities of the Company which are convertible into Common Stock) effected without receipt of consideration by the Company. The Board of Directors shall have the authority to determine the adjustments to be made under this Section and any such determination by the Board of Directors shall be final, binding and conclusive, provided that no adjustment shall be made which will cause an ISO to lose its status as such.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u w:val="single" w:color="auto"/>
          <w:color w:val="auto"/>
        </w:rPr>
        <w:t>Amendment of the Plan</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Board of Directors at any time, and from time to time, may terminate, suspend, amend or otherwise modify the Plan in such manner as it may deem advisable. Notwithstanding the foregoing, no amendment of the Key Employee Plan which would change the eligibility of employees or the class of employees eligible to receive an Award or increase the maximum number of shares as to which Awards may be granted will be effective unless such action is approved by the stockholders of the Company to the extent stockholder approval is necessary for the Plan to satisfy the requirements of Section 422 of the Code, Rule 16b-3, any applicable securities exchange listing requirements, or other applicable requirements.</w:t>
      </w:r>
    </w:p>
    <w:p>
      <w:pPr>
        <w:spacing w:after="0" w:line="17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u w:val="single" w:color="auto"/>
          <w:color w:val="auto"/>
        </w:rPr>
        <w:t>Amendment of Awards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Committee shall have the right to amend Awards hereunder issued to a Recipient, subject to the Recipient’s consent if such amendment is not favorable to the Recipient, except that the consent of the Recipient shall not be required for any amendment made in the event of a Change of Control. Notwithstanding the foregoing, the Committee shall not take any of the following actions without the approval of a majority of the shares present in person or represented by proxy at a duly convened meeting and entitled to vote thereon: (i) reduce the exercise price of an outstanding Award, (ii) exchange an Award that has an exercise price that is greater than the Fair Market Value of a share for cash or shares or (iii) cancel an Award in exchange for a replacement Award.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2" w:name="page53"/>
    <w:bookmarkEnd w:id="52"/>
    <w:p>
      <w:pPr>
        <w:ind w:left="660"/>
        <w:spacing w:after="0"/>
        <w:tabs>
          <w:tab w:leader="none" w:pos="11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u w:val="single" w:color="auto"/>
          <w:color w:val="auto"/>
        </w:rPr>
        <w:t>Continued Employment</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grant of an Award pursuant to the Plan shall not be construed to imply or to constitute evidence of any agreement, express or implied, on the part of the Company to continue the employment of the Participant or the service as a member of the Board of Directors, as a consultant or in any other capacity, as the case may be, with the Company or any of its Affiliates.</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u w:val="single" w:color="auto"/>
          <w:color w:val="auto"/>
        </w:rPr>
        <w:t>Withholding of Taxes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Whenever the Company proposes or is required to issue or transfer any shares of Common Stock pursuant to an Award hereunder, the Company shall have the right to (a) require the Recipient or transferee to remit to the Company an amount sufficient to satisfy any federal, state and/or local withholding tax requirements prior to the delivery or transfer of any certificate or certificates for such shares, or (b) take whatever action it deems necessary to protect its interests, including withholding a portion of such shares.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Adopted</w:t>
      </w:r>
      <w:r>
        <w:rPr>
          <w:sz w:val="20"/>
          <w:szCs w:val="20"/>
          <w:color w:val="auto"/>
        </w:rPr>
        <w:tab/>
      </w:r>
      <w:r>
        <w:rPr>
          <w:rFonts w:ascii="Arial" w:cs="Arial" w:eastAsia="Arial" w:hAnsi="Arial"/>
          <w:sz w:val="18"/>
          <w:szCs w:val="18"/>
          <w:color w:val="auto"/>
        </w:rPr>
        <w:t>BOD: 7/29/20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8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10.5</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Form of Restricted Stock Award Agreement for Employees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_____________________________</w:t>
      </w:r>
    </w:p>
    <w:p>
      <w:pPr>
        <w:spacing w:after="0" w:line="211" w:lineRule="exact"/>
        <w:rPr>
          <w:sz w:val="20"/>
          <w:szCs w:val="20"/>
          <w:color w:val="auto"/>
        </w:rPr>
      </w:pPr>
    </w:p>
    <w:p>
      <w:pPr>
        <w:ind w:right="180" w:firstLine="567"/>
        <w:spacing w:after="0" w:line="291" w:lineRule="auto"/>
        <w:rPr>
          <w:sz w:val="20"/>
          <w:szCs w:val="20"/>
          <w:color w:val="auto"/>
        </w:rPr>
      </w:pPr>
      <w:r>
        <w:rPr>
          <w:rFonts w:ascii="Arial" w:cs="Arial" w:eastAsia="Arial" w:hAnsi="Arial"/>
          <w:sz w:val="16"/>
          <w:szCs w:val="16"/>
          <w:color w:val="auto"/>
        </w:rPr>
        <w:t>We are pleased to advise you that inTEST Corporation (the “Company”) hereby grants to you under the inTEST Corporation Third Amended and Restated 2014 Stock Plan (the “Plan”), an award of restricted stock (“Restricted Stock”) with respect to ____________ shares of Common Stock of the</w:t>
      </w:r>
    </w:p>
    <w:p>
      <w:pPr>
        <w:jc w:val="both"/>
        <w:ind w:right="660"/>
        <w:spacing w:after="0" w:line="255" w:lineRule="auto"/>
        <w:rPr>
          <w:sz w:val="20"/>
          <w:szCs w:val="20"/>
          <w:color w:val="auto"/>
        </w:rPr>
      </w:pPr>
      <w:r>
        <w:rPr>
          <w:rFonts w:ascii="Arial" w:cs="Arial" w:eastAsia="Arial" w:hAnsi="Arial"/>
          <w:sz w:val="18"/>
          <w:szCs w:val="18"/>
          <w:color w:val="auto"/>
        </w:rPr>
        <w:t>Company, subject to your signing this Agreement and the provisions hereof. This award incorporates and is subject in all respects to the applicable provisions of the Plan, a complete copy of which has been furnished to you and receipt of which you acknowledge by acceptance of the award. All capitalized terms not defined in this Agreement have the meaning given them in the Plan.</w:t>
      </w:r>
    </w:p>
    <w:p>
      <w:pPr>
        <w:spacing w:after="0" w:line="186" w:lineRule="exact"/>
        <w:rPr>
          <w:sz w:val="20"/>
          <w:szCs w:val="20"/>
          <w:color w:val="auto"/>
        </w:rPr>
      </w:pPr>
    </w:p>
    <w:p>
      <w:pPr>
        <w:ind w:left="660" w:right="80" w:hanging="652"/>
        <w:spacing w:after="0" w:line="277" w:lineRule="auto"/>
        <w:tabs>
          <w:tab w:leader="none" w:pos="66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Issuance of Shares. </w:t>
      </w:r>
      <w:r>
        <w:rPr>
          <w:rFonts w:ascii="Arial" w:cs="Arial" w:eastAsia="Arial" w:hAnsi="Arial"/>
          <w:sz w:val="17"/>
          <w:szCs w:val="17"/>
          <w:color w:val="auto"/>
        </w:rPr>
        <w:t>Upon your execution and delivery of this Agreement and one or more instruments of transfer relating to all shares issuable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(the "Shares"), you will be issued _______________ Shares of Common Stock as of _________________ (the "Grant Date"), subject to the terms, conditions and restrictions of this Agreement and the Plan. Such Shares shall be registered in your name, but the Company shall retain custody of any certificates issued for such Shares pending the vesting or forfeiture thereof. Upon the vesting of any such Shares, the Company shall deliver to you the certificates for such Shares.</w:t>
      </w:r>
    </w:p>
    <w:p>
      <w:pPr>
        <w:spacing w:after="0" w:line="167" w:lineRule="exact"/>
        <w:rPr>
          <w:rFonts w:ascii="Arial" w:cs="Arial" w:eastAsia="Arial" w:hAnsi="Arial"/>
          <w:sz w:val="17"/>
          <w:szCs w:val="17"/>
          <w:b w:val="1"/>
          <w:bCs w:val="1"/>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Shares of Common Stock issued to you under this Agreement shall vest according to the following schedule:</w:t>
      </w:r>
    </w:p>
    <w:p>
      <w:pPr>
        <w:spacing w:after="0" w:line="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w:t>
      </w:r>
    </w:p>
    <w:p>
      <w:pPr>
        <w:spacing w:after="0" w:line="279" w:lineRule="exact"/>
        <w:rPr>
          <w:rFonts w:ascii="Arial" w:cs="Arial" w:eastAsia="Arial" w:hAnsi="Arial"/>
          <w:sz w:val="18"/>
          <w:szCs w:val="18"/>
          <w:color w:val="auto"/>
        </w:rPr>
      </w:pPr>
    </w:p>
    <w:p>
      <w:pPr>
        <w:ind w:left="1300" w:right="240" w:hanging="644"/>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event that you become entitled to a fractional Share, such fractional Share shall not vest unless and until the participant becomes entitled to such number of fractional Shares as shall be equal in sum to a whole Share.</w:t>
      </w:r>
    </w:p>
    <w:p>
      <w:pPr>
        <w:spacing w:after="0" w:line="166" w:lineRule="exact"/>
        <w:rPr>
          <w:rFonts w:ascii="Arial" w:cs="Arial" w:eastAsia="Arial" w:hAnsi="Arial"/>
          <w:sz w:val="18"/>
          <w:szCs w:val="18"/>
          <w:color w:val="auto"/>
        </w:rPr>
      </w:pPr>
    </w:p>
    <w:p>
      <w:pPr>
        <w:ind w:left="660" w:right="320" w:hanging="652"/>
        <w:spacing w:after="0" w:line="282"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Vesting. </w:t>
      </w:r>
      <w:r>
        <w:rPr>
          <w:rFonts w:ascii="Arial" w:cs="Arial" w:eastAsia="Arial" w:hAnsi="Arial"/>
          <w:sz w:val="18"/>
          <w:szCs w:val="18"/>
          <w:color w:val="auto"/>
        </w:rPr>
        <w:t>As a condition to the vesting of Shares, all of the following conditions must be fully satisfied on the applicable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92" w:lineRule="exact"/>
        <w:rPr>
          <w:rFonts w:ascii="Arial" w:cs="Arial" w:eastAsia="Arial" w:hAnsi="Arial"/>
          <w:sz w:val="18"/>
          <w:szCs w:val="18"/>
          <w:b w:val="1"/>
          <w:bCs w:val="1"/>
          <w:color w:val="auto"/>
        </w:rPr>
      </w:pPr>
    </w:p>
    <w:p>
      <w:pPr>
        <w:ind w:left="1300" w:right="120" w:hanging="644"/>
        <w:spacing w:after="0" w:line="286"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You must have been in the continuous employ of the Company or its Affiliates, or continuously engaged to provide services to the Company or its Affiliates, through and including the date of vesting, and no event shall have occurred which, with due notice or lapse of time, or both, would entitle the Company or its Affiliates to terminate your employment or engagement with the Company.</w:t>
      </w:r>
    </w:p>
    <w:p>
      <w:pPr>
        <w:spacing w:after="0" w:line="192" w:lineRule="exact"/>
        <w:rPr>
          <w:rFonts w:ascii="Arial" w:cs="Arial" w:eastAsia="Arial" w:hAnsi="Arial"/>
          <w:sz w:val="17"/>
          <w:szCs w:val="17"/>
          <w:color w:val="auto"/>
        </w:rPr>
      </w:pPr>
    </w:p>
    <w:p>
      <w:pPr>
        <w:ind w:left="1300" w:right="180" w:hanging="644"/>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You must not be in breach or default of any obligation to the Company or its Affiliates, whether or not contained in any agreement with the Company or its Affiliates, or imposed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652" w:right="20" w:hanging="652"/>
        <w:spacing w:after="0" w:line="254" w:lineRule="auto"/>
        <w:tabs>
          <w:tab w:leader="none" w:pos="6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Disability or Change of Control. </w:t>
      </w:r>
      <w:r>
        <w:rPr>
          <w:rFonts w:ascii="Arial" w:cs="Arial" w:eastAsia="Arial" w:hAnsi="Arial"/>
          <w:sz w:val="18"/>
          <w:szCs w:val="18"/>
          <w:color w:val="auto"/>
        </w:rPr>
        <w:t>Shares of Common Stock issued under this Agreement shall become immediately and fully vested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event: (i) you die; (ii) you incur a Disability; or (iii) a Change of Control occurs and (A) the Unrelated Person involved in such Change of Control does not assume or substitute your Award; (B) your employment is terminated by the Company without Cause within two years following the Change of Control; or (C) you terminate your employment for Good Reason following a Change of Control; </w:t>
      </w:r>
      <w:r>
        <w:rPr>
          <w:rFonts w:ascii="Arial" w:cs="Arial" w:eastAsia="Arial" w:hAnsi="Arial"/>
          <w:sz w:val="18"/>
          <w:szCs w:val="18"/>
          <w:i w:val="1"/>
          <w:iCs w:val="1"/>
          <w:color w:val="auto"/>
        </w:rPr>
        <w:t>provided, however</w:t>
      </w:r>
      <w:r>
        <w:rPr>
          <w:rFonts w:ascii="Arial" w:cs="Arial" w:eastAsia="Arial" w:hAnsi="Arial"/>
          <w:sz w:val="18"/>
          <w:szCs w:val="18"/>
          <w:color w:val="auto"/>
        </w:rPr>
        <w:t>, that you satisfy the requirements of Section 3 of this Agreement. For purposes of this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w:t>
      </w:r>
    </w:p>
    <w:p>
      <w:pPr>
        <w:spacing w:after="0" w:line="191" w:lineRule="exact"/>
        <w:rPr>
          <w:rFonts w:ascii="Arial" w:cs="Arial" w:eastAsia="Arial" w:hAnsi="Arial"/>
          <w:sz w:val="18"/>
          <w:szCs w:val="18"/>
          <w:b w:val="1"/>
          <w:bCs w:val="1"/>
          <w:color w:val="auto"/>
        </w:rPr>
      </w:pPr>
    </w:p>
    <w:p>
      <w:pPr>
        <w:ind w:left="652" w:right="140" w:hanging="652"/>
        <w:spacing w:after="0" w:line="282" w:lineRule="auto"/>
        <w:tabs>
          <w:tab w:leader="none" w:pos="6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The Shares of Common Stock issued to you under this Agreement shall not be transferable by you prior to the date such Shares</w:t>
      </w:r>
      <w:r>
        <w:rPr>
          <w:rFonts w:ascii="Arial" w:cs="Arial" w:eastAsia="Arial" w:hAnsi="Arial"/>
          <w:sz w:val="18"/>
          <w:szCs w:val="18"/>
          <w:b w:val="1"/>
          <w:bCs w:val="1"/>
          <w:color w:val="auto"/>
        </w:rPr>
        <w:t xml:space="preserve"> </w:t>
      </w:r>
      <w:r>
        <w:rPr>
          <w:rFonts w:ascii="Arial" w:cs="Arial" w:eastAsia="Arial" w:hAnsi="Arial"/>
          <w:sz w:val="18"/>
          <w:szCs w:val="18"/>
          <w:color w:val="auto"/>
        </w:rPr>
        <w:t>become vested under the terms of this Agreement and the Plan.</w:t>
      </w:r>
    </w:p>
    <w:p>
      <w:pPr>
        <w:spacing w:after="0" w:line="161" w:lineRule="exact"/>
        <w:rPr>
          <w:rFonts w:ascii="Arial" w:cs="Arial" w:eastAsia="Arial" w:hAnsi="Arial"/>
          <w:sz w:val="18"/>
          <w:szCs w:val="18"/>
          <w:b w:val="1"/>
          <w:bCs w:val="1"/>
          <w:color w:val="auto"/>
        </w:rPr>
      </w:pPr>
    </w:p>
    <w:p>
      <w:pPr>
        <w:ind w:left="652" w:right="440" w:hanging="652"/>
        <w:spacing w:after="0" w:line="282" w:lineRule="auto"/>
        <w:tabs>
          <w:tab w:leader="none" w:pos="6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Legend. </w:t>
      </w:r>
      <w:r>
        <w:rPr>
          <w:rFonts w:ascii="Arial" w:cs="Arial" w:eastAsia="Arial" w:hAnsi="Arial"/>
          <w:sz w:val="18"/>
          <w:szCs w:val="18"/>
          <w:color w:val="auto"/>
        </w:rPr>
        <w:t>Certificates for the Shares with respect to which the vesting requirements have not been met shall be inscribed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legend:</w:t>
      </w:r>
    </w:p>
    <w:p>
      <w:pPr>
        <w:spacing w:after="0" w:line="166" w:lineRule="exact"/>
        <w:rPr>
          <w:sz w:val="20"/>
          <w:szCs w:val="20"/>
          <w:color w:val="auto"/>
        </w:rPr>
      </w:pPr>
    </w:p>
    <w:p>
      <w:pPr>
        <w:ind w:left="1292" w:right="1940"/>
        <w:spacing w:after="0" w:line="279" w:lineRule="auto"/>
        <w:rPr>
          <w:sz w:val="20"/>
          <w:szCs w:val="20"/>
          <w:color w:val="auto"/>
        </w:rPr>
      </w:pPr>
      <w:r>
        <w:rPr>
          <w:rFonts w:ascii="Arial" w:cs="Arial" w:eastAsia="Arial" w:hAnsi="Arial"/>
          <w:sz w:val="17"/>
          <w:szCs w:val="17"/>
          <w:color w:val="auto"/>
        </w:rPr>
        <w:t>"The shares of stock evidenced by this certificate are subject to the terms and restrictions of a Restricted Stock Award Agreement. They are subject to forfeiture under the terms of that Agreement if they are transferred, sold, pledged, given, hypothecated, or otherwise disposed of, other than through death or disability. A copy of that Agreement is available from the Secretary of inTEST Corporation upon request."</w:t>
      </w:r>
    </w:p>
    <w:p>
      <w:pPr>
        <w:spacing w:after="0" w:line="167" w:lineRule="exact"/>
        <w:rPr>
          <w:sz w:val="20"/>
          <w:szCs w:val="20"/>
          <w:color w:val="auto"/>
        </w:rPr>
      </w:pPr>
    </w:p>
    <w:p>
      <w:pPr>
        <w:ind w:left="652" w:right="360" w:hanging="652"/>
        <w:spacing w:after="0" w:line="347" w:lineRule="auto"/>
        <w:tabs>
          <w:tab w:leader="none" w:pos="65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of Restrictive Legend. </w:t>
      </w:r>
      <w:r>
        <w:rPr>
          <w:rFonts w:ascii="Arial" w:cs="Arial" w:eastAsia="Arial" w:hAnsi="Arial"/>
          <w:sz w:val="16"/>
          <w:szCs w:val="16"/>
          <w:color w:val="auto"/>
        </w:rPr>
        <w:t>When the vesting requirements on any Shares have been met, the Company shall cause a replacement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for those Shares, without the legend referred to in Section 6, to be issued and delivered to you, as soon as practicable.</w:t>
      </w:r>
    </w:p>
    <w:p>
      <w:pPr>
        <w:spacing w:after="0" w:line="115" w:lineRule="exact"/>
        <w:rPr>
          <w:rFonts w:ascii="Arial" w:cs="Arial" w:eastAsia="Arial" w:hAnsi="Arial"/>
          <w:sz w:val="16"/>
          <w:szCs w:val="16"/>
          <w:b w:val="1"/>
          <w:bCs w:val="1"/>
          <w:color w:val="auto"/>
        </w:rPr>
      </w:pPr>
    </w:p>
    <w:p>
      <w:pPr>
        <w:ind w:left="652" w:hanging="652"/>
        <w:spacing w:after="0" w:line="266" w:lineRule="auto"/>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Neither the award of Shares pursuant to this Agreement nor any provision of this Agreement shall be construed (i) to</w:t>
      </w:r>
      <w:r>
        <w:rPr>
          <w:rFonts w:ascii="Arial" w:cs="Arial" w:eastAsia="Arial" w:hAnsi="Arial"/>
          <w:sz w:val="18"/>
          <w:szCs w:val="18"/>
          <w:b w:val="1"/>
          <w:bCs w:val="1"/>
          <w:color w:val="auto"/>
        </w:rPr>
        <w:t xml:space="preserve"> </w:t>
      </w:r>
      <w:r>
        <w:rPr>
          <w:rFonts w:ascii="Arial" w:cs="Arial" w:eastAsia="Arial" w:hAnsi="Arial"/>
          <w:sz w:val="18"/>
          <w:szCs w:val="18"/>
          <w:color w:val="auto"/>
        </w:rPr>
        <w:t>give you any right to continued employment with the Company or (ii) as an amendment to your employment agreement, if any, with the Company or its Affiliates.</w:t>
      </w:r>
    </w:p>
    <w:p>
      <w:pPr>
        <w:spacing w:after="0" w:line="175" w:lineRule="exact"/>
        <w:rPr>
          <w:rFonts w:ascii="Arial" w:cs="Arial" w:eastAsia="Arial" w:hAnsi="Arial"/>
          <w:sz w:val="18"/>
          <w:szCs w:val="18"/>
          <w:b w:val="1"/>
          <w:bCs w:val="1"/>
          <w:color w:val="auto"/>
        </w:rPr>
      </w:pPr>
    </w:p>
    <w:p>
      <w:pPr>
        <w:jc w:val="both"/>
        <w:ind w:left="652" w:right="240" w:hanging="652"/>
        <w:spacing w:after="0" w:line="266" w:lineRule="auto"/>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Shares of Common Stock issued to you under this Agreement not previously vested hereunder shall be forfeited as of the date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or engagement to provide services to, the Company and all affiliates thereof terminates. Following such a forfeiture, you shall have no rights whatsoever with respect to the Shares of Common Stock forfeited.</w:t>
      </w:r>
    </w:p>
    <w:p>
      <w:pPr>
        <w:spacing w:after="0" w:line="175" w:lineRule="exact"/>
        <w:rPr>
          <w:rFonts w:ascii="Arial" w:cs="Arial" w:eastAsia="Arial" w:hAnsi="Arial"/>
          <w:sz w:val="18"/>
          <w:szCs w:val="18"/>
          <w:b w:val="1"/>
          <w:bCs w:val="1"/>
          <w:color w:val="auto"/>
        </w:rPr>
      </w:pPr>
    </w:p>
    <w:p>
      <w:pPr>
        <w:ind w:left="652" w:right="20" w:hanging="652"/>
        <w:spacing w:after="0" w:line="261" w:lineRule="auto"/>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Voting, Dividend and Tender Offer Rights</w:t>
      </w:r>
      <w:r>
        <w:rPr>
          <w:rFonts w:ascii="Arial" w:cs="Arial" w:eastAsia="Arial" w:hAnsi="Arial"/>
          <w:sz w:val="18"/>
          <w:szCs w:val="18"/>
          <w:color w:val="auto"/>
        </w:rPr>
        <w:t>. You shall have voting and tender offer rights with respect to Shares of Common Stock issued to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whether or not such Shares are vested or unvested. Cash dividends, however, shall accrue and be paid when the Shares underlying the award of Restricted Stock vest. Stock dividends shall be issued to you and shall become vested under the same terms and conditions as the Shares under the award of Restricted Stock to which they pertain.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0" w:right="379" w:bottom="1440" w:gutter="0" w:footer="0" w:header="0"/>
        </w:sectPr>
      </w:pPr>
    </w:p>
    <w:bookmarkStart w:id="55" w:name="page56"/>
    <w:bookmarkEnd w:id="55"/>
    <w:p>
      <w:pPr>
        <w:ind w:left="660" w:right="260" w:hanging="652"/>
        <w:spacing w:after="0" w:line="261"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of Applicable Taxes. </w:t>
      </w:r>
      <w:r>
        <w:rPr>
          <w:rFonts w:ascii="Arial" w:cs="Arial" w:eastAsia="Arial" w:hAnsi="Arial"/>
          <w:sz w:val="18"/>
          <w:szCs w:val="18"/>
          <w:color w:val="auto"/>
        </w:rPr>
        <w:t>It shall be a condition to the Company’s obligation to deliver Common Stock to you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you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spacing w:after="0" w:line="179" w:lineRule="exact"/>
        <w:rPr>
          <w:rFonts w:ascii="Arial" w:cs="Arial" w:eastAsia="Arial" w:hAnsi="Arial"/>
          <w:sz w:val="18"/>
          <w:szCs w:val="18"/>
          <w:b w:val="1"/>
          <w:bCs w:val="1"/>
          <w:color w:val="auto"/>
        </w:rPr>
      </w:pPr>
    </w:p>
    <w:p>
      <w:pPr>
        <w:ind w:left="660" w:hanging="652"/>
        <w:spacing w:after="0" w:line="282"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This Agreement may be amended, in whole or in part and in any manner not inconsistent with the provisions of the Plan,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by written agreement between the Company and you.</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construed in accordance with the laws of the State of Delaware.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undersigned hereby acknowledges this award of restricted stock on behalf of the Company.</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inTEST CORPORATION</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-10160</wp:posOffset>
            </wp:positionV>
            <wp:extent cx="2171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Secretary, Treasurer and Chief Financial Officer</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-10160</wp:posOffset>
            </wp:positionV>
            <wp:extent cx="514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indicate your acceptance and agreement to this Restricted Stock Award, please execute and immediately return to the Company the enclosed duplicate original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r>
        <w:rPr>
          <w:rFonts w:ascii="Arial" w:cs="Arial" w:eastAsia="Arial" w:hAnsi="Arial"/>
          <w:sz w:val="18"/>
          <w:szCs w:val="18"/>
          <w:color w:val="auto"/>
        </w:rPr>
        <w:t>:</w:t>
      </w:r>
    </w:p>
    <w:p>
      <w:pPr>
        <w:spacing w:after="0" w:line="22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58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10.6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Restricted Stock Award Agreement for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_____________________________</w:t>
      </w:r>
    </w:p>
    <w:p>
      <w:pPr>
        <w:spacing w:after="0" w:line="200" w:lineRule="exact"/>
        <w:rPr>
          <w:sz w:val="20"/>
          <w:szCs w:val="20"/>
          <w:color w:val="auto"/>
        </w:rPr>
      </w:pPr>
    </w:p>
    <w:p>
      <w:pPr>
        <w:spacing w:after="0" w:line="227" w:lineRule="exact"/>
        <w:rPr>
          <w:sz w:val="20"/>
          <w:szCs w:val="20"/>
          <w:color w:val="auto"/>
        </w:rPr>
      </w:pPr>
    </w:p>
    <w:p>
      <w:pPr>
        <w:ind w:right="180" w:firstLine="567"/>
        <w:spacing w:after="0" w:line="291" w:lineRule="auto"/>
        <w:rPr>
          <w:sz w:val="20"/>
          <w:szCs w:val="20"/>
          <w:color w:val="auto"/>
        </w:rPr>
      </w:pPr>
      <w:r>
        <w:rPr>
          <w:rFonts w:ascii="Arial" w:cs="Arial" w:eastAsia="Arial" w:hAnsi="Arial"/>
          <w:sz w:val="16"/>
          <w:szCs w:val="16"/>
          <w:color w:val="auto"/>
        </w:rPr>
        <w:t>We are pleased to advise you that inTEST Corporation (the “Company”) hereby grants to you under the inTEST Corporation Third Amended and Restated 2014 Stock Plan (the “Plan”), an award of restricted stock (“Restricted Stock”) with respect to ____________ shares of Common Stock of the</w:t>
      </w:r>
    </w:p>
    <w:p>
      <w:pPr>
        <w:jc w:val="both"/>
        <w:ind w:right="660"/>
        <w:spacing w:after="0" w:line="255" w:lineRule="auto"/>
        <w:rPr>
          <w:sz w:val="20"/>
          <w:szCs w:val="20"/>
          <w:color w:val="auto"/>
        </w:rPr>
      </w:pPr>
      <w:r>
        <w:rPr>
          <w:rFonts w:ascii="Arial" w:cs="Arial" w:eastAsia="Arial" w:hAnsi="Arial"/>
          <w:sz w:val="18"/>
          <w:szCs w:val="18"/>
          <w:color w:val="auto"/>
        </w:rPr>
        <w:t>Company, subject to your signing this Agreement and the provisions hereof. This award incorporates and is subject in all respects to the applicable provisions of the Plan, a complete copy of which has been furnished to you and receipt of which you acknowledge by acceptance of the award. All capitalized terms not defined in this Agreement have the meaning given them in the Plan.</w:t>
      </w:r>
    </w:p>
    <w:p>
      <w:pPr>
        <w:spacing w:after="0" w:line="186" w:lineRule="exact"/>
        <w:rPr>
          <w:sz w:val="20"/>
          <w:szCs w:val="20"/>
          <w:color w:val="auto"/>
        </w:rPr>
      </w:pPr>
    </w:p>
    <w:p>
      <w:pPr>
        <w:ind w:left="660" w:right="80" w:hanging="652"/>
        <w:spacing w:after="0" w:line="277" w:lineRule="auto"/>
        <w:tabs>
          <w:tab w:leader="none" w:pos="6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Issuance of Shares. </w:t>
      </w:r>
      <w:r>
        <w:rPr>
          <w:rFonts w:ascii="Arial" w:cs="Arial" w:eastAsia="Arial" w:hAnsi="Arial"/>
          <w:sz w:val="17"/>
          <w:szCs w:val="17"/>
          <w:color w:val="auto"/>
        </w:rPr>
        <w:t>Upon your execution and delivery of this Agreement and one or more instruments of transfer relating to all shares issuable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(the "Shares"), you will be issued _______________ Shares of Common Stock as of _________________ (the "Grant Date"), subject to the terms, conditions and restrictions of this Agreement and the Plan. Such Shares shall be registered in your name, but the Company shall retain custody of any certificates issued for such Shares pending the vesting or forfeiture thereof. Upon the vesting of any such Shares, the Company shall deliver to you the certificates for such Shares.</w:t>
      </w:r>
    </w:p>
    <w:p>
      <w:pPr>
        <w:spacing w:after="0" w:line="167" w:lineRule="exact"/>
        <w:rPr>
          <w:rFonts w:ascii="Arial" w:cs="Arial" w:eastAsia="Arial" w:hAnsi="Arial"/>
          <w:sz w:val="17"/>
          <w:szCs w:val="17"/>
          <w:b w:val="1"/>
          <w:bCs w:val="1"/>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Shares of Common Stock issued to you under this Agreement shall vest according to the following schedule:</w:t>
      </w:r>
    </w:p>
    <w:p>
      <w:pPr>
        <w:spacing w:after="0" w:line="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w:t>
      </w:r>
    </w:p>
    <w:p>
      <w:pPr>
        <w:spacing w:after="0" w:line="279" w:lineRule="exact"/>
        <w:rPr>
          <w:rFonts w:ascii="Arial" w:cs="Arial" w:eastAsia="Arial" w:hAnsi="Arial"/>
          <w:sz w:val="18"/>
          <w:szCs w:val="18"/>
          <w:color w:val="auto"/>
        </w:rPr>
      </w:pPr>
    </w:p>
    <w:p>
      <w:pPr>
        <w:ind w:left="1300" w:right="240" w:hanging="644"/>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you become entitled to a fractional Share, such fractional Share shall not vest unless and until the participant becomes entitled to such number of fractional Shares as shall be equal in sum to a whole Share.</w:t>
      </w:r>
    </w:p>
    <w:p>
      <w:pPr>
        <w:spacing w:after="0" w:line="166" w:lineRule="exact"/>
        <w:rPr>
          <w:rFonts w:ascii="Arial" w:cs="Arial" w:eastAsia="Arial" w:hAnsi="Arial"/>
          <w:sz w:val="18"/>
          <w:szCs w:val="18"/>
          <w:color w:val="auto"/>
        </w:rPr>
      </w:pPr>
    </w:p>
    <w:p>
      <w:pPr>
        <w:ind w:left="660" w:right="320" w:hanging="652"/>
        <w:spacing w:after="0" w:line="282" w:lineRule="auto"/>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Vesting. </w:t>
      </w:r>
      <w:r>
        <w:rPr>
          <w:rFonts w:ascii="Arial" w:cs="Arial" w:eastAsia="Arial" w:hAnsi="Arial"/>
          <w:sz w:val="18"/>
          <w:szCs w:val="18"/>
          <w:color w:val="auto"/>
        </w:rPr>
        <w:t>As a condition to the vesting of Shares, all of the following conditions must be fully satisfied on the applicable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5" w:lineRule="exact"/>
        <w:rPr>
          <w:rFonts w:ascii="Arial" w:cs="Arial" w:eastAsia="Arial" w:hAnsi="Arial"/>
          <w:sz w:val="18"/>
          <w:szCs w:val="18"/>
          <w:b w:val="1"/>
          <w:bCs w:val="1"/>
          <w:color w:val="auto"/>
        </w:rPr>
      </w:pPr>
    </w:p>
    <w:p>
      <w:pPr>
        <w:jc w:val="both"/>
        <w:ind w:left="1300" w:right="40" w:hanging="644"/>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 must have been continuously engaged to provide services to the Company or its Affiliates, through and including the date of vesting, and no event shall have occurred which, with due notice or lapse of time, or both, would entitle the Company or its Affiliates to terminate your engagement with the Company or its Affiliates.</w:t>
      </w:r>
    </w:p>
    <w:p>
      <w:pPr>
        <w:spacing w:after="0" w:line="210" w:lineRule="exact"/>
        <w:rPr>
          <w:rFonts w:ascii="Arial" w:cs="Arial" w:eastAsia="Arial" w:hAnsi="Arial"/>
          <w:sz w:val="18"/>
          <w:szCs w:val="18"/>
          <w:color w:val="auto"/>
        </w:rPr>
      </w:pPr>
    </w:p>
    <w:p>
      <w:pPr>
        <w:ind w:left="1300" w:right="180" w:hanging="644"/>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 must not be in breach or default of any obligation to the Company or its Affiliates, whether or not contained in any agreement with the Company or its Affiliates, or imposed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660" w:hanging="652"/>
        <w:spacing w:after="0" w:line="277" w:lineRule="auto"/>
        <w:tabs>
          <w:tab w:leader="none" w:pos="6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Disability or Change of Control. </w:t>
      </w:r>
      <w:r>
        <w:rPr>
          <w:rFonts w:ascii="Arial" w:cs="Arial" w:eastAsia="Arial" w:hAnsi="Arial"/>
          <w:sz w:val="17"/>
          <w:szCs w:val="17"/>
          <w:color w:val="auto"/>
        </w:rPr>
        <w:t>Shares issued under this Agreement shall become immediately and fully vested in the event: (i) you die;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(ii) you incur a Disability; or (iii) a Change of Control occurs; </w:t>
      </w:r>
      <w:r>
        <w:rPr>
          <w:rFonts w:ascii="Arial" w:cs="Arial" w:eastAsia="Arial" w:hAnsi="Arial"/>
          <w:sz w:val="17"/>
          <w:szCs w:val="17"/>
          <w:i w:val="1"/>
          <w:iCs w:val="1"/>
          <w:color w:val="auto"/>
        </w:rPr>
        <w:t>provided, however</w:t>
      </w:r>
      <w:r>
        <w:rPr>
          <w:rFonts w:ascii="Arial" w:cs="Arial" w:eastAsia="Arial" w:hAnsi="Arial"/>
          <w:sz w:val="17"/>
          <w:szCs w:val="17"/>
          <w:color w:val="auto"/>
        </w:rPr>
        <w:t>, that you satisfy the requirements of Section 3 of this Agreement. For purposes of this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w:t>
      </w:r>
    </w:p>
    <w:p>
      <w:pPr>
        <w:spacing w:after="0" w:line="167" w:lineRule="exact"/>
        <w:rPr>
          <w:rFonts w:ascii="Arial" w:cs="Arial" w:eastAsia="Arial" w:hAnsi="Arial"/>
          <w:sz w:val="17"/>
          <w:szCs w:val="17"/>
          <w:b w:val="1"/>
          <w:bCs w:val="1"/>
          <w:color w:val="auto"/>
        </w:rPr>
      </w:pPr>
    </w:p>
    <w:p>
      <w:pPr>
        <w:ind w:left="660" w:right="420" w:hanging="652"/>
        <w:spacing w:after="0" w:line="282"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The Shares issued to you under this Agreement shall not be transferable by you prior to the date such Shares become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of this Agreement and the Plan.</w:t>
      </w:r>
    </w:p>
    <w:p>
      <w:pPr>
        <w:spacing w:after="0" w:line="161" w:lineRule="exact"/>
        <w:rPr>
          <w:rFonts w:ascii="Arial" w:cs="Arial" w:eastAsia="Arial" w:hAnsi="Arial"/>
          <w:sz w:val="18"/>
          <w:szCs w:val="18"/>
          <w:b w:val="1"/>
          <w:bCs w:val="1"/>
          <w:color w:val="auto"/>
        </w:rPr>
      </w:pPr>
    </w:p>
    <w:p>
      <w:pPr>
        <w:ind w:left="660" w:right="480" w:hanging="652"/>
        <w:spacing w:after="0" w:line="282"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Legend. </w:t>
      </w:r>
      <w:r>
        <w:rPr>
          <w:rFonts w:ascii="Arial" w:cs="Arial" w:eastAsia="Arial" w:hAnsi="Arial"/>
          <w:sz w:val="18"/>
          <w:szCs w:val="18"/>
          <w:color w:val="auto"/>
        </w:rPr>
        <w:t>Certificates for the Shares with respect to which the vesting requirements have not been met shall be inscribed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legend:</w:t>
      </w:r>
    </w:p>
    <w:p>
      <w:pPr>
        <w:spacing w:after="0" w:line="166" w:lineRule="exact"/>
        <w:rPr>
          <w:sz w:val="20"/>
          <w:szCs w:val="20"/>
          <w:color w:val="auto"/>
        </w:rPr>
      </w:pPr>
    </w:p>
    <w:p>
      <w:pPr>
        <w:ind w:left="1400" w:right="2160"/>
        <w:spacing w:after="0" w:line="301" w:lineRule="auto"/>
        <w:rPr>
          <w:sz w:val="20"/>
          <w:szCs w:val="20"/>
          <w:color w:val="auto"/>
        </w:rPr>
      </w:pPr>
      <w:r>
        <w:rPr>
          <w:rFonts w:ascii="Arial" w:cs="Arial" w:eastAsia="Arial" w:hAnsi="Arial"/>
          <w:sz w:val="16"/>
          <w:szCs w:val="16"/>
          <w:color w:val="auto"/>
        </w:rPr>
        <w:t>"The shares of stock evidenced by this certificate are subject to the terms and restrictions of a Restricted Stock Award Agreement. They are subject to forfeiture under the terms of that Agreement if they are transferred, sold, pledged, given, hypothecated, or otherwise disposed of, other than through death or disability. A copy of that Agreement is available from the Secretary of inTEST Corporation upon request."</w:t>
      </w:r>
    </w:p>
    <w:p>
      <w:pPr>
        <w:spacing w:after="0" w:line="153" w:lineRule="exact"/>
        <w:rPr>
          <w:sz w:val="20"/>
          <w:szCs w:val="20"/>
          <w:color w:val="auto"/>
        </w:rPr>
      </w:pPr>
    </w:p>
    <w:p>
      <w:pPr>
        <w:ind w:left="660" w:right="400" w:hanging="652"/>
        <w:spacing w:after="0" w:line="347" w:lineRule="auto"/>
        <w:tabs>
          <w:tab w:leader="none" w:pos="6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of Restrictive Legend. </w:t>
      </w:r>
      <w:r>
        <w:rPr>
          <w:rFonts w:ascii="Arial" w:cs="Arial" w:eastAsia="Arial" w:hAnsi="Arial"/>
          <w:sz w:val="16"/>
          <w:szCs w:val="16"/>
          <w:color w:val="auto"/>
        </w:rPr>
        <w:t>When the vesting requirements on any Shares have been met, the Company shall cause a replacement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for those Shares, without the legend referred to in Section 6, to be issued and delivered to you, as soon as practicable.</w:t>
      </w:r>
    </w:p>
    <w:p>
      <w:pPr>
        <w:spacing w:after="0" w:line="115" w:lineRule="exact"/>
        <w:rPr>
          <w:rFonts w:ascii="Arial" w:cs="Arial" w:eastAsia="Arial" w:hAnsi="Arial"/>
          <w:sz w:val="16"/>
          <w:szCs w:val="16"/>
          <w:b w:val="1"/>
          <w:bCs w:val="1"/>
          <w:color w:val="auto"/>
        </w:rPr>
      </w:pPr>
    </w:p>
    <w:p>
      <w:pPr>
        <w:ind w:left="660" w:right="320" w:hanging="652"/>
        <w:spacing w:after="0" w:line="282" w:lineRule="auto"/>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Continued Service on the Board of Directors. </w:t>
      </w:r>
      <w:r>
        <w:rPr>
          <w:rFonts w:ascii="Arial" w:cs="Arial" w:eastAsia="Arial" w:hAnsi="Arial"/>
          <w:sz w:val="18"/>
          <w:szCs w:val="18"/>
          <w:color w:val="auto"/>
        </w:rPr>
        <w:t>Neither the award of Shares pursuant to this Agreement nor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construed to give you any right to continued service as a member of the Board of Directors.</w:t>
      </w:r>
    </w:p>
    <w:p>
      <w:pPr>
        <w:spacing w:after="0" w:line="161" w:lineRule="exact"/>
        <w:rPr>
          <w:rFonts w:ascii="Arial" w:cs="Arial" w:eastAsia="Arial" w:hAnsi="Arial"/>
          <w:sz w:val="18"/>
          <w:szCs w:val="18"/>
          <w:b w:val="1"/>
          <w:bCs w:val="1"/>
          <w:color w:val="auto"/>
        </w:rPr>
      </w:pPr>
    </w:p>
    <w:p>
      <w:pPr>
        <w:jc w:val="both"/>
        <w:ind w:left="660" w:right="520" w:hanging="652"/>
        <w:spacing w:after="0" w:line="266" w:lineRule="auto"/>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Shares issued to you under this Agreement not previously vested hereunder shall be forfeited as of the date your engagement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services to the Company and all Affiliates thereof terminates. Following such a forfeiture, you shall have no rights whatsoever with respect to the Shares forfeited.</w:t>
      </w:r>
    </w:p>
    <w:p>
      <w:pPr>
        <w:spacing w:after="0" w:line="175" w:lineRule="exact"/>
        <w:rPr>
          <w:rFonts w:ascii="Arial" w:cs="Arial" w:eastAsia="Arial" w:hAnsi="Arial"/>
          <w:sz w:val="18"/>
          <w:szCs w:val="18"/>
          <w:b w:val="1"/>
          <w:bCs w:val="1"/>
          <w:color w:val="auto"/>
        </w:rPr>
      </w:pPr>
    </w:p>
    <w:p>
      <w:pPr>
        <w:ind w:left="660" w:right="60" w:hanging="652"/>
        <w:spacing w:after="0" w:line="261" w:lineRule="auto"/>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Voting, Dividend and Tender Offer Rights</w:t>
      </w:r>
      <w:r>
        <w:rPr>
          <w:rFonts w:ascii="Arial" w:cs="Arial" w:eastAsia="Arial" w:hAnsi="Arial"/>
          <w:sz w:val="18"/>
          <w:szCs w:val="18"/>
          <w:color w:val="auto"/>
        </w:rPr>
        <w:t>. You shall have voting and tender offer rights with respect to Shares issued to you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whether or not such Shares are vested or unvested. Any cash dividends, however, shall accrue and be paid when the Shares underlying the award of Restricted Stock vest. Stock dividends shall be issued to you and shall become vested under the same terms and conditions as the Shares under the award of Restricted Stock to which they pertain.</w:t>
      </w:r>
    </w:p>
    <w:p>
      <w:pPr>
        <w:spacing w:after="0" w:line="179" w:lineRule="exact"/>
        <w:rPr>
          <w:rFonts w:ascii="Arial" w:cs="Arial" w:eastAsia="Arial" w:hAnsi="Arial"/>
          <w:sz w:val="18"/>
          <w:szCs w:val="18"/>
          <w:b w:val="1"/>
          <w:bCs w:val="1"/>
          <w:color w:val="auto"/>
        </w:rPr>
      </w:pPr>
    </w:p>
    <w:p>
      <w:pPr>
        <w:ind w:left="660" w:right="260" w:hanging="652"/>
        <w:spacing w:after="0" w:line="261" w:lineRule="auto"/>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of Applicable Taxes. </w:t>
      </w:r>
      <w:r>
        <w:rPr>
          <w:rFonts w:ascii="Arial" w:cs="Arial" w:eastAsia="Arial" w:hAnsi="Arial"/>
          <w:sz w:val="18"/>
          <w:szCs w:val="18"/>
          <w:color w:val="auto"/>
        </w:rPr>
        <w:t>It shall be a condition to the Company’s obligation to deliver Common Stock to you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you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spacing w:after="0" w:line="179" w:lineRule="exact"/>
        <w:rPr>
          <w:rFonts w:ascii="Arial" w:cs="Arial" w:eastAsia="Arial" w:hAnsi="Arial"/>
          <w:sz w:val="18"/>
          <w:szCs w:val="18"/>
          <w:b w:val="1"/>
          <w:bCs w:val="1"/>
          <w:color w:val="auto"/>
        </w:rPr>
      </w:pPr>
    </w:p>
    <w:p>
      <w:pPr>
        <w:ind w:left="660" w:hanging="652"/>
        <w:spacing w:after="0" w:line="282" w:lineRule="auto"/>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This Agreement may be amended, in whole or in part and in any manner not inconsistent with the provisions of the Plan,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by written agreement between the Company and you.</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construed in accordance with the laws of the State of Delaware.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undersigned hereby acknowledges this award of restricted stock on behalf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inTEST CORPORATION</w:t>
      </w:r>
    </w:p>
    <w:p>
      <w:pPr>
        <w:spacing w:after="0" w:line="2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-10160</wp:posOffset>
            </wp:positionV>
            <wp:extent cx="1942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Secretary, Treasurer and Chief Financial Officer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indicate your acceptance and agreement to this Restricted Stock Award, please execute and immediately return to the Company the enclosed duplicate original of this Agreement.</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995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799590" cy="825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-10160</wp:posOffset>
            </wp:positionV>
            <wp:extent cx="4857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Agreement</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inTEST Corporation, a Delaware corporation (“inTEST” or the “Company”), hereby grants to _________________ (the “Optionee”) an option to 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total of __________________ (_________) shares of the Common Stock (the “Option Shares”) of inTEST, at the price and on the terms and conditions</w:t>
      </w:r>
    </w:p>
    <w:p>
      <w:pPr>
        <w:spacing w:after="0" w:line="32"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set forth herein and in all respects subject to the terms, conditions and provisions of the inTEST Corporation Third Amended and Restated 2014 Stock Plan (the “Plan”) applicable to incentive options, which terms, conditions and provisions are hereby incorporated herein by reference. Unless the context herein otherwise requires, the capitalized terms not defined herein shall have the meaning provided in the Plan.</w:t>
      </w:r>
    </w:p>
    <w:p>
      <w:pPr>
        <w:spacing w:after="0" w:line="16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Option</w:t>
      </w:r>
    </w:p>
    <w:p>
      <w:pPr>
        <w:spacing w:after="0" w:line="27" w:lineRule="exact"/>
        <w:rPr>
          <w:rFonts w:ascii="Arial" w:cs="Arial" w:eastAsia="Arial" w:hAnsi="Arial"/>
          <w:sz w:val="18"/>
          <w:szCs w:val="18"/>
          <w:b w:val="1"/>
          <w:bCs w:val="1"/>
          <w:color w:val="auto"/>
        </w:rPr>
      </w:pPr>
    </w:p>
    <w:p>
      <w:pPr>
        <w:ind w:left="660" w:right="1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This Option is intended to be an incentive stock option within the meaning of Section 422 of the Internal Revenue Code of 1986, as amended (the “Code”).</w:t>
      </w:r>
    </w:p>
    <w:p>
      <w:pPr>
        <w:spacing w:after="0" w:line="208" w:lineRule="exact"/>
        <w:rPr>
          <w:rFonts w:ascii="Arial" w:cs="Arial" w:eastAsia="Arial" w:hAnsi="Arial"/>
          <w:sz w:val="18"/>
          <w:szCs w:val="18"/>
          <w:b w:val="1"/>
          <w:bCs w:val="1"/>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Term of Option</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Option is granted as of ______________ (the “Date of Grant”) and it may not be exercised later than the close of business on</w:t>
      </w:r>
    </w:p>
    <w:p>
      <w:pPr>
        <w:spacing w:after="0" w:line="9" w:lineRule="exact"/>
        <w:rPr>
          <w:rFonts w:ascii="Arial" w:cs="Arial" w:eastAsia="Arial" w:hAnsi="Arial"/>
          <w:sz w:val="18"/>
          <w:szCs w:val="18"/>
          <w:b w:val="1"/>
          <w:bCs w:val="1"/>
          <w:color w:val="auto"/>
        </w:rPr>
      </w:pPr>
    </w:p>
    <w:p>
      <w:pPr>
        <w:ind w:left="660" w:right="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________________ (the “Expiration Date”); however, this Option is subject to earlier termination as set forth in this Option Agreement and in the Plan.</w:t>
      </w:r>
    </w:p>
    <w:p>
      <w:pPr>
        <w:spacing w:after="0" w:line="208" w:lineRule="exact"/>
        <w:rPr>
          <w:rFonts w:ascii="Arial" w:cs="Arial" w:eastAsia="Arial" w:hAnsi="Arial"/>
          <w:sz w:val="18"/>
          <w:szCs w:val="18"/>
          <w:b w:val="1"/>
          <w:bCs w:val="1"/>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Option Exercise Price</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Option exercise price (“Option Price”) is ___________________________ ($____) per Option Share.</w:t>
      </w:r>
    </w:p>
    <w:p>
      <w:pPr>
        <w:spacing w:after="0" w:line="233" w:lineRule="exact"/>
        <w:rPr>
          <w:rFonts w:ascii="Arial" w:cs="Arial" w:eastAsia="Arial" w:hAnsi="Arial"/>
          <w:sz w:val="18"/>
          <w:szCs w:val="18"/>
          <w:b w:val="1"/>
          <w:bCs w:val="1"/>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7" w:lineRule="exact"/>
        <w:rPr>
          <w:rFonts w:ascii="Arial" w:cs="Arial" w:eastAsia="Arial" w:hAnsi="Arial"/>
          <w:sz w:val="18"/>
          <w:szCs w:val="18"/>
          <w:b w:val="1"/>
          <w:bCs w:val="1"/>
          <w:color w:val="auto"/>
        </w:rPr>
      </w:pPr>
    </w:p>
    <w:p>
      <w:pPr>
        <w:ind w:left="660" w:right="1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This Option is exercisable during its term only in accordance with the terms, conditions and provisions of the Plan and this Option Agreement as follows:</w:t>
      </w:r>
    </w:p>
    <w:p>
      <w:pPr>
        <w:spacing w:after="0" w:line="185" w:lineRule="exact"/>
        <w:rPr>
          <w:rFonts w:ascii="Arial" w:cs="Arial" w:eastAsia="Arial" w:hAnsi="Arial"/>
          <w:sz w:val="18"/>
          <w:szCs w:val="18"/>
          <w:b w:val="1"/>
          <w:bCs w:val="1"/>
          <w:color w:val="auto"/>
        </w:rPr>
      </w:pPr>
    </w:p>
    <w:p>
      <w:pPr>
        <w:ind w:left="1300" w:right="100" w:hanging="644"/>
        <w:spacing w:after="0" w:line="259"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 to Exercise</w:t>
      </w:r>
      <w:r>
        <w:rPr>
          <w:rFonts w:ascii="Arial" w:cs="Arial" w:eastAsia="Arial" w:hAnsi="Arial"/>
          <w:sz w:val="18"/>
          <w:szCs w:val="18"/>
          <w:color w:val="auto"/>
        </w:rPr>
        <w:t>. This Option shall vest _________________________________. The Optionee must be in the employ of inTEST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Affiliates on such anniversary date in order for the Option to vest. This Option may be exercised, in whole or in part, up to the amount vested through the date of exercise to the extent not earlier exercised and otherwise in accordance with the terms, conditions and provisions of the Plan and this Option Agreement.</w:t>
      </w:r>
    </w:p>
    <w:p>
      <w:pPr>
        <w:spacing w:after="0" w:line="213" w:lineRule="exact"/>
        <w:rPr>
          <w:rFonts w:ascii="Arial" w:cs="Arial" w:eastAsia="Arial" w:hAnsi="Arial"/>
          <w:sz w:val="18"/>
          <w:szCs w:val="18"/>
          <w:color w:val="auto"/>
        </w:rPr>
      </w:pPr>
    </w:p>
    <w:p>
      <w:pPr>
        <w:ind w:left="1300" w:right="80" w:hanging="644"/>
        <w:spacing w:after="0" w:line="287"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i w:val="1"/>
          <w:iCs w:val="1"/>
          <w:u w:val="single" w:color="auto"/>
          <w:color w:val="auto"/>
        </w:rPr>
        <w:t>Method of Exercise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When exercisable, this Option shall be exercised only upon receipt by inTEST, in form and substance acceptable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inTEST, of (A) written notice of such exercise and (B) payment in full of the Option Price for the Option Shares to be purchased and any additional amount described in Section 13 below. Each such notice shall (A) specify the number of Option Shares to be purchased;</w:t>
      </w:r>
    </w:p>
    <w:p>
      <w:pPr>
        <w:spacing w:after="0" w:line="2" w:lineRule="exact"/>
        <w:rPr>
          <w:rFonts w:ascii="Arial" w:cs="Arial" w:eastAsia="Arial" w:hAnsi="Arial"/>
          <w:sz w:val="16"/>
          <w:szCs w:val="16"/>
          <w:color w:val="auto"/>
        </w:rPr>
      </w:pPr>
    </w:p>
    <w:p>
      <w:pPr>
        <w:ind w:left="1300" w:right="160"/>
        <w:spacing w:after="0" w:line="253" w:lineRule="auto"/>
        <w:rPr>
          <w:rFonts w:ascii="Arial" w:cs="Arial" w:eastAsia="Arial" w:hAnsi="Arial"/>
          <w:sz w:val="16"/>
          <w:szCs w:val="16"/>
          <w:color w:val="auto"/>
        </w:rPr>
      </w:pPr>
      <w:r>
        <w:rPr>
          <w:rFonts w:ascii="Arial" w:cs="Arial" w:eastAsia="Arial" w:hAnsi="Arial"/>
          <w:sz w:val="18"/>
          <w:szCs w:val="18"/>
          <w:color w:val="auto"/>
        </w:rPr>
        <w:t>(B) satisfy the securities law requirements set forth in the Plan; and (C) contain a statement by the Optionee acknowledging that the Option will not be treated as an incentive stock option for federal income tax purposes if the Option is exercised more than three (3) months after the termination of employment, or if the Option Shares are sold or otherwise disposed of within one (1) year of exercise or two (2) years from the Date of Grant.</w:t>
      </w:r>
    </w:p>
    <w:p>
      <w:pPr>
        <w:spacing w:after="0" w:line="219" w:lineRule="exact"/>
        <w:rPr>
          <w:rFonts w:ascii="Arial" w:cs="Arial" w:eastAsia="Arial" w:hAnsi="Arial"/>
          <w:sz w:val="16"/>
          <w:szCs w:val="16"/>
          <w:color w:val="auto"/>
        </w:rPr>
      </w:pPr>
    </w:p>
    <w:p>
      <w:pPr>
        <w:ind w:left="1300" w:right="20" w:hanging="644"/>
        <w:spacing w:after="0" w:line="259"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Exercise</w:t>
      </w:r>
      <w:r>
        <w:rPr>
          <w:rFonts w:ascii="Arial" w:cs="Arial" w:eastAsia="Arial" w:hAnsi="Arial"/>
          <w:sz w:val="18"/>
          <w:szCs w:val="18"/>
          <w:color w:val="auto"/>
        </w:rPr>
        <w:t>. This Option may not be exercised if the issuance of the option Shares upon such exercise would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of any applicable federal or state securities laws or regulations or other laws or regulations. As a condition to the exercise of this Option, inTEST may require the Optionee to make any representations and warranties to inTEST as inTEST deems necessary or appropriate under any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1292" w:hanging="644"/>
        <w:spacing w:after="0" w:line="291" w:lineRule="auto"/>
        <w:tabs>
          <w:tab w:leader="none" w:pos="1292" w:val="left"/>
        </w:tabs>
        <w:numPr>
          <w:ilvl w:val="1"/>
          <w:numId w:val="43"/>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 of Option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This Option shall immediately vest and be exercisable in the event: (A) the Optionee dies; (B)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incurs a Disability; or (C) a Change of Control occurs; and (1) the Unrelated Person involved in such Change of Control does not assume or substitute Awards granted under the Plan; (2) the Optionee’s employment is terminated by the Unrelated Person within two years following the Change of Control other than for Cause; or (3) the Optionee resigns for Good Reason following a Change of Control. For purposes of this Option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w:t>
      </w:r>
    </w:p>
    <w:p>
      <w:pPr>
        <w:spacing w:after="0" w:line="162" w:lineRule="exact"/>
        <w:rPr>
          <w:rFonts w:ascii="Arial" w:cs="Arial" w:eastAsia="Arial" w:hAnsi="Arial"/>
          <w:sz w:val="16"/>
          <w:szCs w:val="16"/>
          <w:color w:val="auto"/>
        </w:rPr>
      </w:pPr>
    </w:p>
    <w:p>
      <w:pPr>
        <w:ind w:left="652" w:hanging="652"/>
        <w:spacing w:after="0"/>
        <w:tabs>
          <w:tab w:leader="none" w:pos="6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Option Shares</w:t>
      </w:r>
    </w:p>
    <w:p>
      <w:pPr>
        <w:spacing w:after="0" w:line="27" w:lineRule="exact"/>
        <w:rPr>
          <w:rFonts w:ascii="Arial" w:cs="Arial" w:eastAsia="Arial" w:hAnsi="Arial"/>
          <w:sz w:val="18"/>
          <w:szCs w:val="18"/>
          <w:b w:val="1"/>
          <w:bCs w:val="1"/>
          <w:color w:val="auto"/>
        </w:rPr>
      </w:pPr>
    </w:p>
    <w:p>
      <w:pPr>
        <w:ind w:left="652" w:right="4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Optionee shall pay for the shares (i) in cash, (ii) by bank check payable to the order of inTEST or (iii) by such other mode of payment as inTEST may approve.</w:t>
      </w:r>
    </w:p>
    <w:p>
      <w:pPr>
        <w:spacing w:after="0" w:line="208" w:lineRule="exact"/>
        <w:rPr>
          <w:rFonts w:ascii="Arial" w:cs="Arial" w:eastAsia="Arial" w:hAnsi="Arial"/>
          <w:sz w:val="18"/>
          <w:szCs w:val="18"/>
          <w:b w:val="1"/>
          <w:bCs w:val="1"/>
          <w:color w:val="auto"/>
        </w:rPr>
      </w:pPr>
    </w:p>
    <w:p>
      <w:pPr>
        <w:ind w:left="652" w:hanging="652"/>
        <w:spacing w:after="0"/>
        <w:tabs>
          <w:tab w:leader="none" w:pos="6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Option Shares</w:t>
      </w:r>
    </w:p>
    <w:p>
      <w:pPr>
        <w:spacing w:after="0" w:line="27" w:lineRule="exact"/>
        <w:rPr>
          <w:rFonts w:ascii="Arial" w:cs="Arial" w:eastAsia="Arial" w:hAnsi="Arial"/>
          <w:sz w:val="18"/>
          <w:szCs w:val="18"/>
          <w:b w:val="1"/>
          <w:bCs w:val="1"/>
          <w:color w:val="auto"/>
        </w:rPr>
      </w:pPr>
    </w:p>
    <w:p>
      <w:pPr>
        <w:ind w:left="652" w:right="36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Option Shares may not be sold, pledged, assigned, hypothecated, gifted, transferred or disposed of in any manner without compliance with all applicable federal and state securities laws and regulations, and an appropriate legend referring to any restrictions on transfer and any other restrictions imposed herein or under the Plan may be endorsed on the certificates representing Option Shares.</w:t>
      </w:r>
    </w:p>
    <w:p>
      <w:pPr>
        <w:spacing w:after="0" w:line="195" w:lineRule="exact"/>
        <w:rPr>
          <w:rFonts w:ascii="Arial" w:cs="Arial" w:eastAsia="Arial" w:hAnsi="Arial"/>
          <w:sz w:val="18"/>
          <w:szCs w:val="18"/>
          <w:b w:val="1"/>
          <w:bCs w:val="1"/>
          <w:color w:val="auto"/>
        </w:rPr>
      </w:pPr>
    </w:p>
    <w:p>
      <w:pPr>
        <w:ind w:left="652" w:hanging="652"/>
        <w:spacing w:after="0"/>
        <w:tabs>
          <w:tab w:leader="none" w:pos="6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Disqualifying Disposition</w:t>
      </w:r>
    </w:p>
    <w:p>
      <w:pPr>
        <w:spacing w:after="0" w:line="27" w:lineRule="exact"/>
        <w:rPr>
          <w:rFonts w:ascii="Arial" w:cs="Arial" w:eastAsia="Arial" w:hAnsi="Arial"/>
          <w:sz w:val="18"/>
          <w:szCs w:val="18"/>
          <w:b w:val="1"/>
          <w:bCs w:val="1"/>
          <w:color w:val="auto"/>
        </w:rPr>
      </w:pPr>
    </w:p>
    <w:p>
      <w:pPr>
        <w:ind w:left="652"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Optionee shall notify inTEST if any Option Shares received upon exercise of this Option are sold, assigned, gifted, transferred or disposed of in any manner within one (1) year of exercise or two (2) years from the Date of Grant (a “Disqualifying Disposition”). In the event of a Disqualifying Disposition, the Optionee shall, upon request of inTEST, provide inTEST with the amount of any federal, state or local taxes that inTEST is required to withhold with respect to such Disqualifying Disposition. If inTEST does not withhold income taxes from the Optionee with respect to a Disqualifying Disposition, the Optionee shall timely pay all income taxes resulting from such Disqualifying Disposition, shall provide inTEST with such information as requested by inTEST to substantiate the payment of such taxes, and shall indemnify inTEST against penalties or other damages imposed upon inTEST for failure to withhold taxes, to the extent such penalties or damages could have been reduced or offset had the Optionee paid his or her income taxes attributable to the Disqualifying Disposition or are otherwise attributable to the Optionee's failure to pay his or her taxes.</w:t>
      </w:r>
    </w:p>
    <w:p>
      <w:pPr>
        <w:spacing w:after="0" w:line="220" w:lineRule="exact"/>
        <w:rPr>
          <w:rFonts w:ascii="Arial" w:cs="Arial" w:eastAsia="Arial" w:hAnsi="Arial"/>
          <w:sz w:val="18"/>
          <w:szCs w:val="18"/>
          <w:b w:val="1"/>
          <w:bCs w:val="1"/>
          <w:color w:val="auto"/>
        </w:rPr>
      </w:pPr>
    </w:p>
    <w:p>
      <w:pPr>
        <w:ind w:left="652" w:hanging="652"/>
        <w:spacing w:after="0"/>
        <w:tabs>
          <w:tab w:leader="none" w:pos="6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Option</w:t>
      </w:r>
    </w:p>
    <w:p>
      <w:pPr>
        <w:spacing w:after="0" w:line="27" w:lineRule="exact"/>
        <w:rPr>
          <w:rFonts w:ascii="Arial" w:cs="Arial" w:eastAsia="Arial" w:hAnsi="Arial"/>
          <w:sz w:val="18"/>
          <w:szCs w:val="18"/>
          <w:b w:val="1"/>
          <w:bCs w:val="1"/>
          <w:color w:val="auto"/>
        </w:rPr>
      </w:pPr>
    </w:p>
    <w:p>
      <w:pPr>
        <w:ind w:left="652"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This Option may not be sold, pledged, assigned, hypothecated, gifted, transferred or disposed of in any manner, either voluntarily or involuntarily by operation of law, other than by will or by the laws of descent or distribution, and may be exercised during the lifetime of the Optionee only by the Optionee. Subject to the foregoing, the terms of the Plan and the terms of this Option Agreement shall be binding upon the executors, administrators, heirs, successors and assigns of the Optionee.</w:t>
      </w:r>
    </w:p>
    <w:p>
      <w:pPr>
        <w:spacing w:after="0" w:line="215" w:lineRule="exact"/>
        <w:rPr>
          <w:rFonts w:ascii="Arial" w:cs="Arial" w:eastAsia="Arial" w:hAnsi="Arial"/>
          <w:sz w:val="18"/>
          <w:szCs w:val="18"/>
          <w:b w:val="1"/>
          <w:bCs w:val="1"/>
          <w:color w:val="auto"/>
        </w:rPr>
      </w:pPr>
    </w:p>
    <w:p>
      <w:pPr>
        <w:ind w:left="652" w:hanging="652"/>
        <w:spacing w:after="0"/>
        <w:tabs>
          <w:tab w:leader="none" w:pos="6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Options</w:t>
      </w:r>
    </w:p>
    <w:p>
      <w:pPr>
        <w:spacing w:after="0" w:line="27" w:lineRule="exact"/>
        <w:rPr>
          <w:rFonts w:ascii="Arial" w:cs="Arial" w:eastAsia="Arial" w:hAnsi="Arial"/>
          <w:sz w:val="18"/>
          <w:szCs w:val="18"/>
          <w:b w:val="1"/>
          <w:bCs w:val="1"/>
          <w:color w:val="auto"/>
        </w:rPr>
      </w:pPr>
    </w:p>
    <w:p>
      <w:pPr>
        <w:ind w:left="652" w:right="28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This Option shall expire as set forth above and may not be exercised later than the Expiration Date. Notwithstanding the foregoing, this Option may not be exercised after the first to occur of the following:</w:t>
      </w:r>
    </w:p>
    <w:p>
      <w:pPr>
        <w:spacing w:after="0" w:line="185" w:lineRule="exact"/>
        <w:rPr>
          <w:rFonts w:ascii="Arial" w:cs="Arial" w:eastAsia="Arial" w:hAnsi="Arial"/>
          <w:sz w:val="18"/>
          <w:szCs w:val="18"/>
          <w:b w:val="1"/>
          <w:bCs w:val="1"/>
          <w:color w:val="auto"/>
        </w:rPr>
      </w:pPr>
    </w:p>
    <w:p>
      <w:pPr>
        <w:ind w:left="1292" w:right="260" w:hanging="644"/>
        <w:spacing w:after="0" w:line="277" w:lineRule="auto"/>
        <w:tabs>
          <w:tab w:leader="none" w:pos="12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five years from the Date of Grant, if on such date the Optionee owns directly or by attribution under the Code, shares possessing more than ten percent (10%) of the total combined voting power of all classes of stock of inTEST;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4" w:right="359" w:bottom="1440" w:gutter="0" w:footer="0" w:header="0"/>
        </w:sectPr>
      </w:pPr>
    </w:p>
    <w:bookmarkStart w:id="62" w:name="page63"/>
    <w:bookmarkEnd w:id="62"/>
    <w:p>
      <w:pPr>
        <w:ind w:left="1292" w:hanging="644"/>
        <w:spacing w:after="0" w:line="257" w:lineRule="auto"/>
        <w:tabs>
          <w:tab w:leader="none" w:pos="12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date set by the Board of Directors of inTEST (the “Board of Directors”) to be an accelerated expiration date after a finding by the Board of Directors that a change in the financial accounting treatment for options from that in effect on the date the Plan was adopted materially adversely affects inTEST or, in the determination of the Board of Directors, may materially adversely affect inTEST in the foreseeable future, provided the Board of Directors may take whatever action, including acceleration of any exercise provisions, it deems necessary should it make the determination referred to above;</w:t>
      </w:r>
    </w:p>
    <w:p>
      <w:pPr>
        <w:spacing w:after="0" w:line="214" w:lineRule="exact"/>
        <w:rPr>
          <w:rFonts w:ascii="Arial" w:cs="Arial" w:eastAsia="Arial" w:hAnsi="Arial"/>
          <w:sz w:val="18"/>
          <w:szCs w:val="18"/>
          <w:color w:val="auto"/>
        </w:rPr>
      </w:pPr>
    </w:p>
    <w:p>
      <w:pPr>
        <w:ind w:left="1292" w:right="120" w:hanging="644"/>
        <w:spacing w:after="0" w:line="263" w:lineRule="auto"/>
        <w:tabs>
          <w:tab w:leader="none" w:pos="12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expiration of one (1) year from the date the Optionee's employment or service with inTEST (or any of its Affiliates) terminates for any reason other than if the Optionee has been discharged from employment with inTEST for Cause, in which case, this Option shall expire immediately; or</w:t>
      </w:r>
    </w:p>
    <w:p>
      <w:pPr>
        <w:spacing w:after="0" w:line="210" w:lineRule="exact"/>
        <w:rPr>
          <w:rFonts w:ascii="Arial" w:cs="Arial" w:eastAsia="Arial" w:hAnsi="Arial"/>
          <w:sz w:val="18"/>
          <w:szCs w:val="18"/>
          <w:color w:val="auto"/>
        </w:rPr>
      </w:pPr>
    </w:p>
    <w:p>
      <w:pPr>
        <w:ind w:left="1292" w:right="300" w:hanging="644"/>
        <w:spacing w:after="0" w:line="342" w:lineRule="auto"/>
        <w:tabs>
          <w:tab w:leader="none" w:pos="129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event of a Change of Control, the Expiration Date of any Option which has vested may be accelerated to a date not earlier than thirty (30) days after notice of such acceleration is given to the Optionee, and any Option which has not vested may be terminated.</w:t>
      </w:r>
    </w:p>
    <w:p>
      <w:pPr>
        <w:spacing w:after="0" w:line="119" w:lineRule="exact"/>
        <w:rPr>
          <w:rFonts w:ascii="Arial" w:cs="Arial" w:eastAsia="Arial" w:hAnsi="Arial"/>
          <w:sz w:val="16"/>
          <w:szCs w:val="16"/>
          <w:color w:val="auto"/>
        </w:rPr>
      </w:pPr>
    </w:p>
    <w:p>
      <w:pPr>
        <w:ind w:left="652" w:hanging="652"/>
        <w:spacing w:after="0"/>
        <w:tabs>
          <w:tab w:leader="none" w:pos="6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Option</w:t>
      </w:r>
    </w:p>
    <w:p>
      <w:pPr>
        <w:spacing w:after="0" w:line="27" w:lineRule="exact"/>
        <w:rPr>
          <w:rFonts w:ascii="Arial" w:cs="Arial" w:eastAsia="Arial" w:hAnsi="Arial"/>
          <w:sz w:val="18"/>
          <w:szCs w:val="18"/>
          <w:b w:val="1"/>
          <w:bCs w:val="1"/>
          <w:color w:val="auto"/>
        </w:rPr>
      </w:pPr>
    </w:p>
    <w:p>
      <w:pPr>
        <w:ind w:left="652" w:right="1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inTEST has the right to amend this Option, subject to the Optionee's consent if such amendment is not favorable to the Optionee, except that the consent of the Optionee shall not be required for any amendment made pursuant to the Plan.</w:t>
      </w:r>
    </w:p>
    <w:p>
      <w:pPr>
        <w:spacing w:after="0" w:line="208" w:lineRule="exact"/>
        <w:rPr>
          <w:rFonts w:ascii="Arial" w:cs="Arial" w:eastAsia="Arial" w:hAnsi="Arial"/>
          <w:sz w:val="18"/>
          <w:szCs w:val="18"/>
          <w:b w:val="1"/>
          <w:bCs w:val="1"/>
          <w:color w:val="auto"/>
        </w:rPr>
      </w:pPr>
    </w:p>
    <w:p>
      <w:pPr>
        <w:ind w:left="652" w:hanging="652"/>
        <w:spacing w:after="0"/>
        <w:tabs>
          <w:tab w:leader="none" w:pos="6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w:t>
      </w:r>
    </w:p>
    <w:p>
      <w:pPr>
        <w:spacing w:after="0" w:line="27" w:lineRule="exact"/>
        <w:rPr>
          <w:rFonts w:ascii="Arial" w:cs="Arial" w:eastAsia="Arial" w:hAnsi="Arial"/>
          <w:sz w:val="18"/>
          <w:szCs w:val="18"/>
          <w:b w:val="1"/>
          <w:bCs w:val="1"/>
          <w:color w:val="auto"/>
        </w:rPr>
      </w:pPr>
    </w:p>
    <w:p>
      <w:pPr>
        <w:ind w:left="652" w:right="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Subject to certain restrictions contained in the Plan, the Board of Directors of inTEST may amend the Plan from time to time in such manner as it may deem advisable.</w:t>
      </w:r>
    </w:p>
    <w:p>
      <w:pPr>
        <w:spacing w:after="0" w:line="208" w:lineRule="exact"/>
        <w:rPr>
          <w:rFonts w:ascii="Arial" w:cs="Arial" w:eastAsia="Arial" w:hAnsi="Arial"/>
          <w:sz w:val="18"/>
          <w:szCs w:val="18"/>
          <w:b w:val="1"/>
          <w:bCs w:val="1"/>
          <w:color w:val="auto"/>
        </w:rPr>
      </w:pPr>
    </w:p>
    <w:p>
      <w:pPr>
        <w:ind w:left="652" w:hanging="652"/>
        <w:spacing w:after="0"/>
        <w:tabs>
          <w:tab w:leader="none" w:pos="6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Employment</w:t>
      </w:r>
    </w:p>
    <w:p>
      <w:pPr>
        <w:spacing w:after="0" w:line="27" w:lineRule="exact"/>
        <w:rPr>
          <w:rFonts w:ascii="Arial" w:cs="Arial" w:eastAsia="Arial" w:hAnsi="Arial"/>
          <w:sz w:val="18"/>
          <w:szCs w:val="18"/>
          <w:b w:val="1"/>
          <w:bCs w:val="1"/>
          <w:color w:val="auto"/>
        </w:rPr>
      </w:pPr>
    </w:p>
    <w:p>
      <w:pPr>
        <w:ind w:left="652" w:right="3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grant of this Option shall not be construed to imply or constitute evidence of any agreement, express or implied, on the part of inTEST to continue the employment of the Optionee with inTEST or any of its Affiliates.</w:t>
      </w:r>
    </w:p>
    <w:p>
      <w:pPr>
        <w:spacing w:after="0" w:line="181" w:lineRule="exact"/>
        <w:rPr>
          <w:rFonts w:ascii="Arial" w:cs="Arial" w:eastAsia="Arial" w:hAnsi="Arial"/>
          <w:sz w:val="18"/>
          <w:szCs w:val="18"/>
          <w:b w:val="1"/>
          <w:bCs w:val="1"/>
          <w:color w:val="auto"/>
        </w:rPr>
      </w:pPr>
    </w:p>
    <w:p>
      <w:pPr>
        <w:ind w:left="652" w:hanging="652"/>
        <w:spacing w:after="0"/>
        <w:tabs>
          <w:tab w:leader="none" w:pos="6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7" w:lineRule="exact"/>
        <w:rPr>
          <w:rFonts w:ascii="Arial" w:cs="Arial" w:eastAsia="Arial" w:hAnsi="Arial"/>
          <w:sz w:val="18"/>
          <w:szCs w:val="18"/>
          <w:b w:val="1"/>
          <w:bCs w:val="1"/>
          <w:color w:val="auto"/>
        </w:rPr>
      </w:pPr>
    </w:p>
    <w:p>
      <w:pPr>
        <w:ind w:left="652"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If required by inTEST, the Optionee shall, as a condition to the exercise of the Option and the issuance of Option Shares or the transfer of the Option Shares, remit to inTEST the amount of any federal, state or local taxes, including FICA taxes and other employment taxes, required to be withheld or paid under applicable law. To the extent that such taxes are not collected upon the exercise of the Option, inTEST may withhold a portion of the Option Shares or take whatever other action it deems necessary to collect all required taxes due upon the exercise of the Option or transfer of the Option Shares.</w:t>
      </w:r>
    </w:p>
    <w:p>
      <w:pPr>
        <w:spacing w:after="0" w:line="186" w:lineRule="exact"/>
        <w:rPr>
          <w:rFonts w:ascii="Arial" w:cs="Arial" w:eastAsia="Arial" w:hAnsi="Arial"/>
          <w:sz w:val="18"/>
          <w:szCs w:val="18"/>
          <w:b w:val="1"/>
          <w:bCs w:val="1"/>
          <w:color w:val="auto"/>
        </w:rPr>
      </w:pPr>
    </w:p>
    <w:p>
      <w:pPr>
        <w:ind w:left="652" w:hanging="652"/>
        <w:spacing w:after="0"/>
        <w:tabs>
          <w:tab w:leader="none" w:pos="6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This Option Agreement, together with the Plan, represents the entire agreement between the parties.</w:t>
      </w:r>
    </w:p>
    <w:p>
      <w:pPr>
        <w:spacing w:after="0" w:line="206" w:lineRule="exact"/>
        <w:rPr>
          <w:rFonts w:ascii="Arial" w:cs="Arial" w:eastAsia="Arial" w:hAnsi="Arial"/>
          <w:sz w:val="18"/>
          <w:szCs w:val="18"/>
          <w:b w:val="1"/>
          <w:bCs w:val="1"/>
          <w:color w:val="auto"/>
        </w:rPr>
      </w:pPr>
    </w:p>
    <w:p>
      <w:pPr>
        <w:ind w:left="652" w:hanging="652"/>
        <w:spacing w:after="0"/>
        <w:tabs>
          <w:tab w:leader="none" w:pos="6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This Option Agreement shall be construed in accordance with the laws of the State of Delaware.</w:t>
      </w:r>
    </w:p>
    <w:p>
      <w:pPr>
        <w:spacing w:after="0" w:line="20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584"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IN WITNESS WHEREOF, inTEST executes this Option Agreement as of the day and year set forth above.</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Secretary,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00" w:lineRule="exact"/>
        <w:rPr>
          <w:sz w:val="20"/>
          <w:szCs w:val="20"/>
          <w:color w:val="auto"/>
        </w:rPr>
      </w:pPr>
    </w:p>
    <w:p>
      <w:pPr>
        <w:spacing w:after="0" w:line="24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Optionee acknowledges receipt of a copy of the Plan and a copy of the Prospectus covering the Option Shares to be issued pursuant to the Plan, copies of which are attached hereto, and Optionee represents that he or she has read and is familiar with the terms, conditions and provisions thereof and hereby accepts the Option granted ______________ subject to all the terms, conditions and provisions thereof. The Optionee hereby agrees to accept as binding, conclusive and final, all decisions or interpretations of the Board of Directors or the Committee upon any questions arising under the Plan.</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Date: ___________________</w:t>
            </w:r>
          </w:p>
        </w:tc>
        <w:tc>
          <w:tcPr>
            <w:tcW w:w="8040" w:type="dxa"/>
            <w:vAlign w:val="bottom"/>
          </w:tcPr>
          <w:p>
            <w:pPr>
              <w:ind w:left="920"/>
              <w:spacing w:after="0"/>
              <w:rPr>
                <w:sz w:val="20"/>
                <w:szCs w:val="20"/>
                <w:color w:val="auto"/>
              </w:rPr>
            </w:pPr>
            <w:r>
              <w:rPr>
                <w:rFonts w:ascii="Arial" w:cs="Arial" w:eastAsia="Arial" w:hAnsi="Arial"/>
                <w:sz w:val="18"/>
                <w:szCs w:val="18"/>
                <w:color w:val="auto"/>
              </w:rPr>
              <w:t>____________________________________________</w:t>
            </w:r>
          </w:p>
        </w:tc>
      </w:tr>
      <w:tr>
        <w:trPr>
          <w:trHeight w:val="216"/>
        </w:trPr>
        <w:tc>
          <w:tcPr>
            <w:tcW w:w="3200" w:type="dxa"/>
            <w:vAlign w:val="bottom"/>
          </w:tcPr>
          <w:p>
            <w:pPr>
              <w:spacing w:after="0"/>
              <w:rPr>
                <w:sz w:val="18"/>
                <w:szCs w:val="18"/>
                <w:color w:val="auto"/>
              </w:rPr>
            </w:pPr>
          </w:p>
        </w:tc>
        <w:tc>
          <w:tcPr>
            <w:tcW w:w="8040" w:type="dxa"/>
            <w:vAlign w:val="bottom"/>
          </w:tcPr>
          <w:p>
            <w:pPr>
              <w:ind w:left="920"/>
              <w:spacing w:after="0"/>
              <w:rPr>
                <w:sz w:val="20"/>
                <w:szCs w:val="20"/>
                <w:color w:val="auto"/>
              </w:rPr>
            </w:pPr>
            <w:r>
              <w:rPr>
                <w:rFonts w:ascii="Arial" w:cs="Arial" w:eastAsia="Arial" w:hAnsi="Arial"/>
                <w:sz w:val="18"/>
                <w:szCs w:val="18"/>
                <w:color w:val="auto"/>
              </w:rPr>
              <w:t>Name:</w:t>
            </w:r>
          </w:p>
        </w:tc>
      </w:tr>
      <w:tr>
        <w:trPr>
          <w:trHeight w:val="230"/>
        </w:trPr>
        <w:tc>
          <w:tcPr>
            <w:tcW w:w="3200" w:type="dxa"/>
            <w:vAlign w:val="bottom"/>
          </w:tcPr>
          <w:p>
            <w:pPr>
              <w:spacing w:after="0"/>
              <w:rPr>
                <w:sz w:val="20"/>
                <w:szCs w:val="20"/>
                <w:color w:val="auto"/>
              </w:rPr>
            </w:pPr>
          </w:p>
        </w:tc>
        <w:tc>
          <w:tcPr>
            <w:tcW w:w="8040" w:type="dxa"/>
            <w:vAlign w:val="bottom"/>
          </w:tcPr>
          <w:p>
            <w:pPr>
              <w:ind w:left="920"/>
              <w:spacing w:after="0"/>
              <w:rPr>
                <w:sz w:val="20"/>
                <w:szCs w:val="20"/>
                <w:color w:val="auto"/>
              </w:rPr>
            </w:pPr>
            <w:r>
              <w:rPr>
                <w:rFonts w:ascii="Arial" w:cs="Arial" w:eastAsia="Arial" w:hAnsi="Arial"/>
                <w:sz w:val="18"/>
                <w:szCs w:val="18"/>
                <w:color w:val="auto"/>
              </w:rPr>
              <w:t>Address:</w:t>
            </w:r>
          </w:p>
        </w:tc>
      </w:tr>
      <w:tr>
        <w:trPr>
          <w:trHeight w:val="574"/>
        </w:trPr>
        <w:tc>
          <w:tcPr>
            <w:tcW w:w="32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NOTICE OF EXERCISE OF STOCK OPTION</w:t>
            </w:r>
          </w:p>
        </w:tc>
      </w:tr>
      <w:tr>
        <w:trPr>
          <w:trHeight w:val="438"/>
        </w:trPr>
        <w:tc>
          <w:tcPr>
            <w:tcW w:w="620" w:type="dxa"/>
            <w:vAlign w:val="bottom"/>
          </w:tcPr>
          <w:p>
            <w:pPr>
              <w:spacing w:after="0"/>
              <w:rPr>
                <w:sz w:val="20"/>
                <w:szCs w:val="20"/>
                <w:color w:val="auto"/>
              </w:rPr>
            </w:pPr>
            <w:r>
              <w:rPr>
                <w:rFonts w:ascii="Arial" w:cs="Arial" w:eastAsia="Arial" w:hAnsi="Arial"/>
                <w:sz w:val="18"/>
                <w:szCs w:val="18"/>
                <w:color w:val="auto"/>
              </w:rPr>
              <w:t>To:</w:t>
            </w: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inTEST Corporation</w:t>
            </w:r>
          </w:p>
        </w:tc>
      </w:tr>
      <w:tr>
        <w:trPr>
          <w:trHeight w:val="216"/>
        </w:trPr>
        <w:tc>
          <w:tcPr>
            <w:tcW w:w="620" w:type="dxa"/>
            <w:vAlign w:val="bottom"/>
          </w:tcPr>
          <w:p>
            <w:pPr>
              <w:spacing w:after="0"/>
              <w:rPr>
                <w:sz w:val="18"/>
                <w:szCs w:val="18"/>
                <w:color w:val="auto"/>
              </w:rPr>
            </w:pP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804 East Gate Drive, Suite 200</w:t>
            </w:r>
          </w:p>
        </w:tc>
      </w:tr>
      <w:tr>
        <w:trPr>
          <w:trHeight w:val="216"/>
        </w:trPr>
        <w:tc>
          <w:tcPr>
            <w:tcW w:w="620" w:type="dxa"/>
            <w:vAlign w:val="bottom"/>
          </w:tcPr>
          <w:p>
            <w:pPr>
              <w:spacing w:after="0"/>
              <w:rPr>
                <w:sz w:val="18"/>
                <w:szCs w:val="18"/>
                <w:color w:val="auto"/>
              </w:rPr>
            </w:pP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Mt. Laurel, NJ 08054</w:t>
            </w:r>
          </w:p>
        </w:tc>
      </w:tr>
      <w:tr>
        <w:trPr>
          <w:trHeight w:val="230"/>
        </w:trPr>
        <w:tc>
          <w:tcPr>
            <w:tcW w:w="620" w:type="dxa"/>
            <w:vAlign w:val="bottom"/>
          </w:tcPr>
          <w:p>
            <w:pPr>
              <w:spacing w:after="0"/>
              <w:rPr>
                <w:sz w:val="20"/>
                <w:szCs w:val="20"/>
                <w:color w:val="auto"/>
              </w:rPr>
            </w:pP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Attn: Chief Financial Officer</w:t>
            </w:r>
          </w:p>
        </w:tc>
      </w:tr>
    </w:tbl>
    <w:p>
      <w:pPr>
        <w:spacing w:after="0" w:line="202"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_____________, 20___</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 accordance with Section 4 of the Incentive Stock Option Agreement granted as of ______________ (the “Option”), I hereby irrevocably elect to</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exercise the Option to purchase ____________________ Option Shares of the Common Stock of inTEST Corporation (the “Corporation”) at the exercise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price of __________________ ________________ ($____) per Option Share and deliver herewith a bank check payable to the order of the Corporation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the aggregate exercise price of $__________________.</w:t>
      </w:r>
    </w:p>
    <w:p>
      <w:pPr>
        <w:spacing w:after="0" w:line="211" w:lineRule="exact"/>
        <w:rPr>
          <w:sz w:val="20"/>
          <w:szCs w:val="20"/>
          <w:color w:val="auto"/>
        </w:rPr>
      </w:pPr>
    </w:p>
    <w:p>
      <w:pPr>
        <w:ind w:left="80"/>
        <w:spacing w:after="0" w:line="263" w:lineRule="auto"/>
        <w:rPr>
          <w:sz w:val="20"/>
          <w:szCs w:val="20"/>
          <w:color w:val="auto"/>
        </w:rPr>
      </w:pPr>
      <w:r>
        <w:rPr>
          <w:rFonts w:ascii="Arial" w:cs="Arial" w:eastAsia="Arial" w:hAnsi="Arial"/>
          <w:sz w:val="18"/>
          <w:szCs w:val="18"/>
          <w:color w:val="auto"/>
        </w:rPr>
        <w:t>I agree to notify the Chief Financial Officer of the Corporation at the address set forth above, or at such other address as the Corporation may designate in the future, in the event I sell, assign, gift, transfer or otherwise dispose of any of the Option Shares within one (1) year of exercise or two (2) years from the Date of Grant (a “Disqualifying Disposition”).</w:t>
      </w:r>
    </w:p>
    <w:p>
      <w:pPr>
        <w:spacing w:after="0" w:line="184" w:lineRule="exact"/>
        <w:rPr>
          <w:sz w:val="20"/>
          <w:szCs w:val="20"/>
          <w:color w:val="auto"/>
        </w:rPr>
      </w:pPr>
    </w:p>
    <w:p>
      <w:pPr>
        <w:jc w:val="both"/>
        <w:ind w:left="80" w:right="140"/>
        <w:spacing w:after="0" w:line="301" w:lineRule="auto"/>
        <w:rPr>
          <w:sz w:val="20"/>
          <w:szCs w:val="20"/>
          <w:color w:val="auto"/>
        </w:rPr>
      </w:pPr>
      <w:r>
        <w:rPr>
          <w:rFonts w:ascii="Arial" w:cs="Arial" w:eastAsia="Arial" w:hAnsi="Arial"/>
          <w:sz w:val="16"/>
          <w:szCs w:val="16"/>
          <w:color w:val="auto"/>
        </w:rPr>
        <w:t>I understand that any Disqualifying Disposition of the Option Shares will result in the Option not qualifying as an incentive stock option with respect to such Option Shares. If requested by the Corporation, I will provide the Corporation the amount of any taxes the Corporation is required to withhold as a result of a Disqualifying Disposition of Option Shares. Furthermore, the Option must be exercised within three (3) months following the termination of my employment with the Corporation in order to maintain the incentive stock option status with respect to Option Shares issuable upon such exercise.</w:t>
      </w:r>
    </w:p>
    <w:p>
      <w:pPr>
        <w:spacing w:after="0" w:line="15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______________________________</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Phone:</w:t>
      </w:r>
    </w:p>
    <w:p>
      <w:pPr>
        <w:spacing w:after="0" w:line="225"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signature and name should correspond exactly with the name on the first page of the Option.</w:t>
      </w:r>
    </w:p>
    <w:p>
      <w:pPr>
        <w:sectPr>
          <w:pgSz w:w="11900" w:h="16838" w:orient="portrait"/>
          <w:cols w:equalWidth="0" w:num="1">
            <w:col w:w="11160"/>
          </w:cols>
          <w:pgMar w:left="320" w:top="567" w:right="4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u w:val="single" w:color="auto"/>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inTEST Corporation, a Delaware corporation (“inTEST” or the “Company”), hereby grants to ___________________ (the “Optionee”) an option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purchase a total of _____________________ (_____________) shares of the Common Stock (the “Option Shares”) of inTEST, at the price and on the</w:t>
      </w:r>
    </w:p>
    <w:p>
      <w:pPr>
        <w:spacing w:after="0" w:line="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terms and conditions set forth herein and in all respects subject to the terms, conditions and provisions of the inTEST Corporation Third Amended and Restated 2014 Stock Plan applicable to options granted pursuant to the Non-Qualified Plan (the “Plan”), which terms, conditions and provisions are hereby incorporated herein by reference. Unless the context herein otherwise requires, capitalized terms not defined herein shall have the meaning provided in the Plan.</w:t>
      </w:r>
    </w:p>
    <w:p>
      <w:pPr>
        <w:spacing w:after="0" w:line="18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Term of Option</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This Option is granted as of __________________ (the “Date of Grant”) and it may not be exercised later than the close of business on</w:t>
      </w:r>
    </w:p>
    <w:p>
      <w:pPr>
        <w:spacing w:after="0" w:line="20" w:lineRule="exact"/>
        <w:rPr>
          <w:rFonts w:ascii="Arial" w:cs="Arial" w:eastAsia="Arial" w:hAnsi="Arial"/>
          <w:sz w:val="18"/>
          <w:szCs w:val="18"/>
          <w:b w:val="1"/>
          <w:bCs w:val="1"/>
          <w:color w:val="auto"/>
        </w:rPr>
      </w:pPr>
    </w:p>
    <w:p>
      <w:pPr>
        <w:ind w:left="660" w:right="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________________ (the “Expiration Date”); however, this Option is subject to earlier termination as set forth in this Option Agreement and in the Plan.</w:t>
      </w:r>
    </w:p>
    <w:p>
      <w:pPr>
        <w:spacing w:after="0" w:line="181" w:lineRule="exact"/>
        <w:rPr>
          <w:rFonts w:ascii="Arial" w:cs="Arial" w:eastAsia="Arial" w:hAnsi="Arial"/>
          <w:sz w:val="18"/>
          <w:szCs w:val="18"/>
          <w:b w:val="1"/>
          <w:bCs w:val="1"/>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Option Exercise Price</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Option exercise price (“Option Price”) is __________________________________ ($____) per Option Share.</w:t>
      </w:r>
    </w:p>
    <w:p>
      <w:pPr>
        <w:spacing w:after="0" w:line="206" w:lineRule="exact"/>
        <w:rPr>
          <w:rFonts w:ascii="Arial" w:cs="Arial" w:eastAsia="Arial" w:hAnsi="Arial"/>
          <w:sz w:val="18"/>
          <w:szCs w:val="18"/>
          <w:b w:val="1"/>
          <w:bCs w:val="1"/>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7" w:lineRule="exact"/>
        <w:rPr>
          <w:rFonts w:ascii="Arial" w:cs="Arial" w:eastAsia="Arial" w:hAnsi="Arial"/>
          <w:sz w:val="18"/>
          <w:szCs w:val="18"/>
          <w:b w:val="1"/>
          <w:bCs w:val="1"/>
          <w:color w:val="auto"/>
        </w:rPr>
      </w:pPr>
    </w:p>
    <w:p>
      <w:pPr>
        <w:ind w:left="660" w:right="1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This Option is exercisable during its term only in accordance with the terms, conditions and provisions of the Plan and this Option Agreement as follows:</w:t>
      </w:r>
    </w:p>
    <w:p>
      <w:pPr>
        <w:spacing w:after="0" w:line="185" w:lineRule="exact"/>
        <w:rPr>
          <w:rFonts w:ascii="Arial" w:cs="Arial" w:eastAsia="Arial" w:hAnsi="Arial"/>
          <w:sz w:val="18"/>
          <w:szCs w:val="18"/>
          <w:b w:val="1"/>
          <w:bCs w:val="1"/>
          <w:color w:val="auto"/>
        </w:rPr>
      </w:pPr>
    </w:p>
    <w:p>
      <w:pPr>
        <w:ind w:left="1160" w:right="280" w:hanging="626"/>
        <w:spacing w:after="0" w:line="254"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 to Exercise</w:t>
      </w:r>
      <w:r>
        <w:rPr>
          <w:rFonts w:ascii="Arial" w:cs="Arial" w:eastAsia="Arial" w:hAnsi="Arial"/>
          <w:sz w:val="18"/>
          <w:szCs w:val="18"/>
          <w:color w:val="auto"/>
        </w:rPr>
        <w:t>. This Option shall vest ___________________________. The Optionee must be in the service of inTEST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on the date of such vesting in order for the Option to vest. This Option may be exercised, in whole or in part, up to the amount vested through the date of exercise to the extent not earlier exercised and otherwise in accordance with the terms, conditions and provisions of the Plan and this Option Agreement.</w:t>
      </w:r>
    </w:p>
    <w:p>
      <w:pPr>
        <w:spacing w:after="0" w:line="2" w:lineRule="exact"/>
        <w:rPr>
          <w:rFonts w:ascii="Arial" w:cs="Arial" w:eastAsia="Arial" w:hAnsi="Arial"/>
          <w:sz w:val="18"/>
          <w:szCs w:val="18"/>
          <w:color w:val="auto"/>
        </w:rPr>
      </w:pPr>
    </w:p>
    <w:p>
      <w:pPr>
        <w:ind w:left="1160" w:right="220" w:hanging="626"/>
        <w:spacing w:after="0" w:line="253"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Method of Exercise</w:t>
      </w:r>
      <w:r>
        <w:rPr>
          <w:rFonts w:ascii="Arial" w:cs="Arial" w:eastAsia="Arial" w:hAnsi="Arial"/>
          <w:sz w:val="18"/>
          <w:szCs w:val="18"/>
          <w:color w:val="auto"/>
        </w:rPr>
        <w:t>. When exercisable, this Option shall be exercised only upon receipt by inTEST, in form and substance acceptable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inTEST, of (A) written notice of such exercise and (B) payment in full of the Option Price for the Option Shares to be purchased. Each such notice shall (A) specify the number of Option Shares to be purchased, and (B) satisfy the securities law requirements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1152" w:right="120" w:hanging="626"/>
        <w:spacing w:after="0" w:line="259" w:lineRule="auto"/>
        <w:tabs>
          <w:tab w:leader="none" w:pos="1152" w:val="left"/>
        </w:tabs>
        <w:numPr>
          <w:ilvl w:val="1"/>
          <w:numId w:val="49"/>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Exercise</w:t>
      </w:r>
      <w:r>
        <w:rPr>
          <w:rFonts w:ascii="Arial" w:cs="Arial" w:eastAsia="Arial" w:hAnsi="Arial"/>
          <w:sz w:val="18"/>
          <w:szCs w:val="18"/>
          <w:color w:val="auto"/>
        </w:rPr>
        <w:t>. This Option may not be exercised if the issuance of the Option Shares upon such exercise would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of any applicable federal or state securities laws or regulations or other laws or regulations. As a condition to the exercise of this Option, inTEST may require the Optionee to make any representations and warranties to inTEST as inTEST deems necessary or appropriate under any applicable law or regulation.</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Option Shares</w:t>
      </w:r>
    </w:p>
    <w:p>
      <w:pPr>
        <w:spacing w:after="0" w:line="27" w:lineRule="exact"/>
        <w:rPr>
          <w:rFonts w:ascii="Arial" w:cs="Arial" w:eastAsia="Arial" w:hAnsi="Arial"/>
          <w:sz w:val="18"/>
          <w:szCs w:val="18"/>
          <w:b w:val="1"/>
          <w:bCs w:val="1"/>
          <w:color w:val="auto"/>
        </w:rPr>
      </w:pPr>
    </w:p>
    <w:p>
      <w:pPr>
        <w:ind w:left="652" w:righ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Optionee shall pay for the shares (i) in cash; (ii) by bank check payable to the order of inTEST; or (iii) by such other mode of payment as inTEST may approve.</w:t>
      </w:r>
    </w:p>
    <w:p>
      <w:pPr>
        <w:spacing w:after="0" w:line="181" w:lineRule="exact"/>
        <w:rPr>
          <w:rFonts w:ascii="Arial" w:cs="Arial" w:eastAsia="Arial" w:hAnsi="Arial"/>
          <w:sz w:val="18"/>
          <w:szCs w:val="18"/>
          <w:b w:val="1"/>
          <w:bCs w:val="1"/>
          <w:color w:val="auto"/>
        </w:rPr>
      </w:pPr>
    </w:p>
    <w:p>
      <w:pPr>
        <w:ind w:left="652" w:hanging="652"/>
        <w:spacing w:after="0"/>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Option Shares</w:t>
      </w:r>
    </w:p>
    <w:p>
      <w:pPr>
        <w:spacing w:after="0" w:line="27" w:lineRule="exact"/>
        <w:rPr>
          <w:rFonts w:ascii="Arial" w:cs="Arial" w:eastAsia="Arial" w:hAnsi="Arial"/>
          <w:sz w:val="18"/>
          <w:szCs w:val="18"/>
          <w:b w:val="1"/>
          <w:bCs w:val="1"/>
          <w:color w:val="auto"/>
        </w:rPr>
      </w:pPr>
    </w:p>
    <w:p>
      <w:pPr>
        <w:ind w:left="652" w:right="34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Option Shares may not be sold, pledged, assigned, hypothecated, gifted, transferred or disposed of in any manner without compliance with all applicable federal and state securities laws and regulations, and an appropriate legend referring to any restrictions on transfer and any other restrictions imposed herein or under the Plan may be endorsed on the certificates representing Option Shares.</w:t>
      </w:r>
    </w:p>
    <w:p>
      <w:pPr>
        <w:spacing w:after="0" w:line="168" w:lineRule="exact"/>
        <w:rPr>
          <w:rFonts w:ascii="Arial" w:cs="Arial" w:eastAsia="Arial" w:hAnsi="Arial"/>
          <w:sz w:val="18"/>
          <w:szCs w:val="18"/>
          <w:b w:val="1"/>
          <w:bCs w:val="1"/>
          <w:color w:val="auto"/>
        </w:rPr>
      </w:pPr>
    </w:p>
    <w:p>
      <w:pPr>
        <w:ind w:left="652" w:hanging="652"/>
        <w:spacing w:after="0"/>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Option</w:t>
      </w:r>
    </w:p>
    <w:p>
      <w:pPr>
        <w:spacing w:after="0" w:line="27" w:lineRule="exact"/>
        <w:rPr>
          <w:rFonts w:ascii="Arial" w:cs="Arial" w:eastAsia="Arial" w:hAnsi="Arial"/>
          <w:sz w:val="18"/>
          <w:szCs w:val="18"/>
          <w:b w:val="1"/>
          <w:bCs w:val="1"/>
          <w:color w:val="auto"/>
        </w:rPr>
      </w:pPr>
    </w:p>
    <w:p>
      <w:pPr>
        <w:ind w:left="652"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This Option may not be sold, pledged, assigned, hypothecated, gifted, transferred or disposed of in any manner, either voluntarily or involuntarily by operation of law, other than by will or by the laws of descent or distribution, and may be exercised during the lifetime of the Optionee only by the Optionee. Subject to the foregoing, the terms of the Plan and the terms of this Option Agreement shall be binding upon the executors, administrators, heirs, successors and assigns of the Optionee.</w:t>
      </w:r>
    </w:p>
    <w:p>
      <w:pPr>
        <w:spacing w:after="0" w:line="188" w:lineRule="exact"/>
        <w:rPr>
          <w:rFonts w:ascii="Arial" w:cs="Arial" w:eastAsia="Arial" w:hAnsi="Arial"/>
          <w:sz w:val="18"/>
          <w:szCs w:val="18"/>
          <w:b w:val="1"/>
          <w:bCs w:val="1"/>
          <w:color w:val="auto"/>
        </w:rPr>
      </w:pPr>
    </w:p>
    <w:p>
      <w:pPr>
        <w:ind w:left="652" w:hanging="652"/>
        <w:spacing w:after="0"/>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Options</w:t>
      </w:r>
    </w:p>
    <w:p>
      <w:pPr>
        <w:spacing w:after="0" w:line="27" w:lineRule="exact"/>
        <w:rPr>
          <w:rFonts w:ascii="Arial" w:cs="Arial" w:eastAsia="Arial" w:hAnsi="Arial"/>
          <w:sz w:val="18"/>
          <w:szCs w:val="18"/>
          <w:b w:val="1"/>
          <w:bCs w:val="1"/>
          <w:color w:val="auto"/>
        </w:rPr>
      </w:pPr>
    </w:p>
    <w:p>
      <w:pPr>
        <w:ind w:left="652" w:right="2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This Option shall expire as set forth above and may not be exercised later than the Expiration Date. Notwithstanding the foregoing, this Option may not be exercised after the first to occur of the following:</w:t>
      </w:r>
    </w:p>
    <w:p>
      <w:pPr>
        <w:spacing w:after="0" w:line="185" w:lineRule="exact"/>
        <w:rPr>
          <w:rFonts w:ascii="Arial" w:cs="Arial" w:eastAsia="Arial" w:hAnsi="Arial"/>
          <w:sz w:val="18"/>
          <w:szCs w:val="18"/>
          <w:b w:val="1"/>
          <w:bCs w:val="1"/>
          <w:color w:val="auto"/>
        </w:rPr>
      </w:pPr>
    </w:p>
    <w:p>
      <w:pPr>
        <w:ind w:left="1292" w:right="20" w:hanging="644"/>
        <w:spacing w:after="0" w:line="257" w:lineRule="auto"/>
        <w:tabs>
          <w:tab w:leader="none" w:pos="1292"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date set by the Board of Directors of inTEST (the “Board of Directors”) to be an accelerated expiration date after a finding by the Board of Directors that a change in the financial accounting treatment for options from that in effect on the date the Plan was adopted materially adversely affects inTEST or, in the determination of the Board of Directors, may materially adversely affect inTEST in the foreseeable future, provided the Board of Directors may take whatever action, including acceleration of any exercise provisions, it deems necessary should it make the determination referred to above;</w:t>
      </w:r>
    </w:p>
    <w:p>
      <w:pPr>
        <w:spacing w:after="0" w:line="187" w:lineRule="exact"/>
        <w:rPr>
          <w:rFonts w:ascii="Arial" w:cs="Arial" w:eastAsia="Arial" w:hAnsi="Arial"/>
          <w:sz w:val="18"/>
          <w:szCs w:val="18"/>
          <w:color w:val="auto"/>
        </w:rPr>
      </w:pPr>
    </w:p>
    <w:p>
      <w:pPr>
        <w:ind w:left="1292" w:hanging="644"/>
        <w:spacing w:after="0" w:line="277" w:lineRule="auto"/>
        <w:tabs>
          <w:tab w:leader="none" w:pos="1292" w:val="left"/>
        </w:tabs>
        <w:numPr>
          <w:ilvl w:val="2"/>
          <w:numId w:val="50"/>
        </w:numPr>
        <w:rPr>
          <w:rFonts w:ascii="Arial" w:cs="Arial" w:eastAsia="Arial" w:hAnsi="Arial"/>
          <w:sz w:val="18"/>
          <w:szCs w:val="18"/>
          <w:color w:val="auto"/>
        </w:rPr>
      </w:pPr>
      <w:r>
        <w:rPr>
          <w:rFonts w:ascii="Arial" w:cs="Arial" w:eastAsia="Arial" w:hAnsi="Arial"/>
          <w:sz w:val="18"/>
          <w:szCs w:val="18"/>
          <w:color w:val="auto"/>
        </w:rPr>
        <w:t>expiration of one (1) year from the date the Optionee’s service with inTEST (or any of its Affiliates) terminates for any reason, other than for Cause, in which case this Option shall expire immediately; or</w:t>
      </w:r>
    </w:p>
    <w:p>
      <w:pPr>
        <w:spacing w:after="0" w:line="170" w:lineRule="exact"/>
        <w:rPr>
          <w:rFonts w:ascii="Arial" w:cs="Arial" w:eastAsia="Arial" w:hAnsi="Arial"/>
          <w:sz w:val="18"/>
          <w:szCs w:val="18"/>
          <w:color w:val="auto"/>
        </w:rPr>
      </w:pPr>
    </w:p>
    <w:p>
      <w:pPr>
        <w:ind w:left="1292" w:right="320" w:hanging="644"/>
        <w:spacing w:after="0" w:line="342" w:lineRule="auto"/>
        <w:tabs>
          <w:tab w:leader="none" w:pos="1292" w:val="left"/>
        </w:tabs>
        <w:numPr>
          <w:ilvl w:val="2"/>
          <w:numId w:val="50"/>
        </w:numPr>
        <w:rPr>
          <w:rFonts w:ascii="Arial" w:cs="Arial" w:eastAsia="Arial" w:hAnsi="Arial"/>
          <w:sz w:val="16"/>
          <w:szCs w:val="16"/>
          <w:color w:val="auto"/>
        </w:rPr>
      </w:pPr>
      <w:r>
        <w:rPr>
          <w:rFonts w:ascii="Arial" w:cs="Arial" w:eastAsia="Arial" w:hAnsi="Arial"/>
          <w:sz w:val="16"/>
          <w:szCs w:val="16"/>
          <w:color w:val="auto"/>
        </w:rPr>
        <w:t>in the event of a Change of Control, the Expiration Date of any Option which has vested may be accelerated to a date not earlier than thirty (30) days after notice of such acceleration is given to the Optionee, and any Option which has not vested may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4" w:right="379" w:bottom="1440" w:gutter="0" w:footer="0" w:header="0"/>
        </w:sectPr>
      </w:pPr>
    </w:p>
    <w:bookmarkStart w:id="68" w:name="page69"/>
    <w:bookmarkEnd w:id="68"/>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Acceleration of Option</w:t>
      </w:r>
    </w:p>
    <w:p>
      <w:pPr>
        <w:spacing w:after="0" w:line="27" w:lineRule="exact"/>
        <w:rPr>
          <w:rFonts w:ascii="Arial" w:cs="Arial" w:eastAsia="Arial" w:hAnsi="Arial"/>
          <w:sz w:val="18"/>
          <w:szCs w:val="18"/>
          <w:b w:val="1"/>
          <w:bCs w:val="1"/>
          <w:color w:val="auto"/>
        </w:rPr>
      </w:pPr>
    </w:p>
    <w:p>
      <w:pPr>
        <w:ind w:left="65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This Option shall immediately vest and be exercisable in the event (i) the Optionee dies, (ii) the Optionee incurs a Disability, or (iii) a Change of Control occurs and (A) the Unrelated Person involved in such Change of Control does not assume or substitute the Option; (B) the Optionee’s service with the Company is terminated by the Unrelated Person within two years following the Change of Control other than for Cause; or (C) the Optionee resigns for Good Reason. For purposes of this Option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w:t>
      </w:r>
    </w:p>
    <w:p>
      <w:pPr>
        <w:spacing w:after="0" w:line="159" w:lineRule="exact"/>
        <w:rPr>
          <w:rFonts w:ascii="Arial" w:cs="Arial" w:eastAsia="Arial" w:hAnsi="Arial"/>
          <w:sz w:val="18"/>
          <w:szCs w:val="18"/>
          <w:b w:val="1"/>
          <w:bCs w:val="1"/>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Option</w:t>
      </w:r>
    </w:p>
    <w:p>
      <w:pPr>
        <w:spacing w:after="0" w:line="27" w:lineRule="exact"/>
        <w:rPr>
          <w:rFonts w:ascii="Arial" w:cs="Arial" w:eastAsia="Arial" w:hAnsi="Arial"/>
          <w:sz w:val="18"/>
          <w:szCs w:val="18"/>
          <w:b w:val="1"/>
          <w:bCs w:val="1"/>
          <w:color w:val="auto"/>
        </w:rPr>
      </w:pPr>
    </w:p>
    <w:p>
      <w:pPr>
        <w:ind w:left="652" w:right="18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inTEST has the right to amend this Option, subject to the Optionee’s consent if such amendment is not favorable to the Optionee, except that the consent of the Optionee shall not be required for any amendment made pursuant to the Plan.</w:t>
      </w:r>
    </w:p>
    <w:p>
      <w:pPr>
        <w:spacing w:after="0" w:line="181" w:lineRule="exact"/>
        <w:rPr>
          <w:rFonts w:ascii="Arial" w:cs="Arial" w:eastAsia="Arial" w:hAnsi="Arial"/>
          <w:sz w:val="18"/>
          <w:szCs w:val="18"/>
          <w:b w:val="1"/>
          <w:bCs w:val="1"/>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w:t>
      </w:r>
    </w:p>
    <w:p>
      <w:pPr>
        <w:spacing w:after="0" w:line="27" w:lineRule="exact"/>
        <w:rPr>
          <w:rFonts w:ascii="Arial" w:cs="Arial" w:eastAsia="Arial" w:hAnsi="Arial"/>
          <w:sz w:val="18"/>
          <w:szCs w:val="18"/>
          <w:b w:val="1"/>
          <w:bCs w:val="1"/>
          <w:color w:val="auto"/>
        </w:rPr>
      </w:pPr>
    </w:p>
    <w:p>
      <w:pPr>
        <w:ind w:left="652" w:right="1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Subject to certain restrictions contained in the Plan, the Board of Directors of inTEST may amend the Plan from time to time in such manner as it may deem advisable.</w:t>
      </w:r>
    </w:p>
    <w:p>
      <w:pPr>
        <w:spacing w:after="0" w:line="181" w:lineRule="exact"/>
        <w:rPr>
          <w:rFonts w:ascii="Arial" w:cs="Arial" w:eastAsia="Arial" w:hAnsi="Arial"/>
          <w:sz w:val="18"/>
          <w:szCs w:val="18"/>
          <w:b w:val="1"/>
          <w:bCs w:val="1"/>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Service</w:t>
      </w:r>
    </w:p>
    <w:p>
      <w:pPr>
        <w:spacing w:after="0" w:line="27" w:lineRule="exact"/>
        <w:rPr>
          <w:rFonts w:ascii="Arial" w:cs="Arial" w:eastAsia="Arial" w:hAnsi="Arial"/>
          <w:sz w:val="18"/>
          <w:szCs w:val="18"/>
          <w:b w:val="1"/>
          <w:bCs w:val="1"/>
          <w:color w:val="auto"/>
        </w:rPr>
      </w:pPr>
    </w:p>
    <w:p>
      <w:pPr>
        <w:ind w:left="652" w:right="38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grant of this Option shall not be construed to imply or constitute evidence of any agreement, express or implied, on the part of inTEST to continue the service of the Optionee with inTEST or any of its Affiliates.</w:t>
      </w:r>
    </w:p>
    <w:p>
      <w:pPr>
        <w:spacing w:after="0" w:line="181" w:lineRule="exact"/>
        <w:rPr>
          <w:rFonts w:ascii="Arial" w:cs="Arial" w:eastAsia="Arial" w:hAnsi="Arial"/>
          <w:sz w:val="18"/>
          <w:szCs w:val="18"/>
          <w:b w:val="1"/>
          <w:bCs w:val="1"/>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7" w:lineRule="exact"/>
        <w:rPr>
          <w:rFonts w:ascii="Arial" w:cs="Arial" w:eastAsia="Arial" w:hAnsi="Arial"/>
          <w:sz w:val="18"/>
          <w:szCs w:val="18"/>
          <w:b w:val="1"/>
          <w:bCs w:val="1"/>
          <w:color w:val="auto"/>
        </w:rPr>
      </w:pPr>
    </w:p>
    <w:p>
      <w:pPr>
        <w:ind w:left="652" w:right="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If required by inTEST, the Optionee shall, as a condition to the exercise of the Option and the issuance of Option Shares or the transfer of the Option Shares, remit to inTEST the amount of any federal, state or local taxes, including FICA taxes and other employment taxes, required to be withheld or paid under applicable law. To the extent that such taxes are not collected upon the exercise of the Option, inTEST may withhold a portion of the Option Shares or take whatever other action it deems necessary to collect all required taxes due upon the exercise of the Option or transfer of the Option Shares.</w:t>
      </w:r>
    </w:p>
    <w:p>
      <w:pPr>
        <w:spacing w:after="0" w:line="186" w:lineRule="exact"/>
        <w:rPr>
          <w:rFonts w:ascii="Arial" w:cs="Arial" w:eastAsia="Arial" w:hAnsi="Arial"/>
          <w:sz w:val="18"/>
          <w:szCs w:val="18"/>
          <w:b w:val="1"/>
          <w:bCs w:val="1"/>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This Option Agreement, together with the Plan, represents the entire agreement between the parties.</w:t>
      </w:r>
    </w:p>
    <w:p>
      <w:pPr>
        <w:spacing w:after="0" w:line="206" w:lineRule="exact"/>
        <w:rPr>
          <w:rFonts w:ascii="Arial" w:cs="Arial" w:eastAsia="Arial" w:hAnsi="Arial"/>
          <w:sz w:val="18"/>
          <w:szCs w:val="18"/>
          <w:b w:val="1"/>
          <w:bCs w:val="1"/>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This Option Agreement shall be construed in accordance with the laws of the State of Delaware.</w:t>
      </w:r>
    </w:p>
    <w:p>
      <w:pPr>
        <w:spacing w:after="0" w:line="207" w:lineRule="exact"/>
        <w:rPr>
          <w:sz w:val="20"/>
          <w:szCs w:val="20"/>
          <w:color w:val="auto"/>
        </w:rPr>
      </w:pPr>
    </w:p>
    <w:p>
      <w:pPr>
        <w:ind w:left="4992"/>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IN WITNESS WHEREOF, inTEST executes this Option Agreement as of the day and year set forth above.</w:t>
      </w: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Secretary,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00" w:lineRule="exact"/>
        <w:rPr>
          <w:sz w:val="20"/>
          <w:szCs w:val="20"/>
          <w:color w:val="auto"/>
        </w:rPr>
      </w:pPr>
    </w:p>
    <w:p>
      <w:pPr>
        <w:spacing w:after="0" w:line="24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Optionee acknowledges receipt of a copy of the Plan and a copy of the Prospectus covering the Option Shares to be issued pursuant to the Plan, copies of which are attached hereto, and Optionee represents that he or she has read and is familiar with the terms, conditions and provisions thereof and hereby accepts the Option granted ______________ subject to all the terms, conditions and provisions thereof. The Optionee hereby agrees to accept as binding, conclusive and final, all decisions or interpretations of the Board of Directors or the Committee upon any questions arising under the Plan.</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Date: ___________________</w:t>
            </w:r>
          </w:p>
        </w:tc>
        <w:tc>
          <w:tcPr>
            <w:tcW w:w="7880" w:type="dxa"/>
            <w:vAlign w:val="bottom"/>
          </w:tcPr>
          <w:p>
            <w:pPr>
              <w:ind w:left="1160"/>
              <w:spacing w:after="0"/>
              <w:rPr>
                <w:sz w:val="20"/>
                <w:szCs w:val="20"/>
                <w:color w:val="auto"/>
              </w:rPr>
            </w:pPr>
            <w:r>
              <w:rPr>
                <w:rFonts w:ascii="Arial" w:cs="Arial" w:eastAsia="Arial" w:hAnsi="Arial"/>
                <w:sz w:val="18"/>
                <w:szCs w:val="18"/>
                <w:color w:val="auto"/>
              </w:rPr>
              <w:t>____________________________________________</w:t>
            </w:r>
          </w:p>
        </w:tc>
      </w:tr>
      <w:tr>
        <w:trPr>
          <w:trHeight w:val="216"/>
        </w:trPr>
        <w:tc>
          <w:tcPr>
            <w:tcW w:w="3360" w:type="dxa"/>
            <w:vAlign w:val="bottom"/>
          </w:tcPr>
          <w:p>
            <w:pPr>
              <w:spacing w:after="0"/>
              <w:rPr>
                <w:sz w:val="18"/>
                <w:szCs w:val="18"/>
                <w:color w:val="auto"/>
              </w:rPr>
            </w:pPr>
          </w:p>
        </w:tc>
        <w:tc>
          <w:tcPr>
            <w:tcW w:w="7880" w:type="dxa"/>
            <w:vAlign w:val="bottom"/>
          </w:tcPr>
          <w:p>
            <w:pPr>
              <w:ind w:left="1160"/>
              <w:spacing w:after="0"/>
              <w:rPr>
                <w:sz w:val="20"/>
                <w:szCs w:val="20"/>
                <w:color w:val="auto"/>
              </w:rPr>
            </w:pPr>
            <w:r>
              <w:rPr>
                <w:rFonts w:ascii="Arial" w:cs="Arial" w:eastAsia="Arial" w:hAnsi="Arial"/>
                <w:sz w:val="18"/>
                <w:szCs w:val="18"/>
                <w:color w:val="auto"/>
              </w:rPr>
              <w:t>Name:</w:t>
            </w:r>
          </w:p>
        </w:tc>
      </w:tr>
      <w:tr>
        <w:trPr>
          <w:trHeight w:val="230"/>
        </w:trPr>
        <w:tc>
          <w:tcPr>
            <w:tcW w:w="3360" w:type="dxa"/>
            <w:vAlign w:val="bottom"/>
          </w:tcPr>
          <w:p>
            <w:pPr>
              <w:spacing w:after="0"/>
              <w:rPr>
                <w:sz w:val="20"/>
                <w:szCs w:val="20"/>
                <w:color w:val="auto"/>
              </w:rPr>
            </w:pPr>
          </w:p>
        </w:tc>
        <w:tc>
          <w:tcPr>
            <w:tcW w:w="7880" w:type="dxa"/>
            <w:vAlign w:val="bottom"/>
          </w:tcPr>
          <w:p>
            <w:pPr>
              <w:ind w:left="1160"/>
              <w:spacing w:after="0"/>
              <w:rPr>
                <w:sz w:val="20"/>
                <w:szCs w:val="20"/>
                <w:color w:val="auto"/>
              </w:rPr>
            </w:pPr>
            <w:r>
              <w:rPr>
                <w:rFonts w:ascii="Arial" w:cs="Arial" w:eastAsia="Arial" w:hAnsi="Arial"/>
                <w:sz w:val="18"/>
                <w:szCs w:val="18"/>
                <w:color w:val="auto"/>
              </w:rPr>
              <w:t>Address:</w:t>
            </w:r>
          </w:p>
        </w:tc>
      </w:tr>
      <w:tr>
        <w:trPr>
          <w:trHeight w:val="574"/>
        </w:trPr>
        <w:tc>
          <w:tcPr>
            <w:tcW w:w="33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NOTICE OF EXERCISE OF STOCK OPTION</w:t>
            </w:r>
          </w:p>
        </w:tc>
      </w:tr>
      <w:tr>
        <w:trPr>
          <w:trHeight w:val="654"/>
        </w:trPr>
        <w:tc>
          <w:tcPr>
            <w:tcW w:w="620" w:type="dxa"/>
            <w:vAlign w:val="bottom"/>
          </w:tcPr>
          <w:p>
            <w:pPr>
              <w:spacing w:after="0"/>
              <w:rPr>
                <w:sz w:val="20"/>
                <w:szCs w:val="20"/>
                <w:color w:val="auto"/>
              </w:rPr>
            </w:pPr>
            <w:r>
              <w:rPr>
                <w:rFonts w:ascii="Arial" w:cs="Arial" w:eastAsia="Arial" w:hAnsi="Arial"/>
                <w:sz w:val="18"/>
                <w:szCs w:val="18"/>
                <w:color w:val="auto"/>
              </w:rPr>
              <w:t>To:</w:t>
            </w: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inTEST Corporation</w:t>
            </w:r>
          </w:p>
        </w:tc>
      </w:tr>
      <w:tr>
        <w:trPr>
          <w:trHeight w:val="216"/>
        </w:trPr>
        <w:tc>
          <w:tcPr>
            <w:tcW w:w="620" w:type="dxa"/>
            <w:vAlign w:val="bottom"/>
          </w:tcPr>
          <w:p>
            <w:pPr>
              <w:spacing w:after="0"/>
              <w:rPr>
                <w:sz w:val="18"/>
                <w:szCs w:val="18"/>
                <w:color w:val="auto"/>
              </w:rPr>
            </w:pP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804 East Gate Drive, Suite 200</w:t>
            </w:r>
          </w:p>
        </w:tc>
      </w:tr>
      <w:tr>
        <w:trPr>
          <w:trHeight w:val="216"/>
        </w:trPr>
        <w:tc>
          <w:tcPr>
            <w:tcW w:w="620" w:type="dxa"/>
            <w:vAlign w:val="bottom"/>
          </w:tcPr>
          <w:p>
            <w:pPr>
              <w:spacing w:after="0"/>
              <w:rPr>
                <w:sz w:val="18"/>
                <w:szCs w:val="18"/>
                <w:color w:val="auto"/>
              </w:rPr>
            </w:pP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Mt. Laurel, NJ 08054</w:t>
            </w:r>
          </w:p>
        </w:tc>
      </w:tr>
      <w:tr>
        <w:trPr>
          <w:trHeight w:val="230"/>
        </w:trPr>
        <w:tc>
          <w:tcPr>
            <w:tcW w:w="620" w:type="dxa"/>
            <w:vAlign w:val="bottom"/>
          </w:tcPr>
          <w:p>
            <w:pPr>
              <w:spacing w:after="0"/>
              <w:rPr>
                <w:sz w:val="20"/>
                <w:szCs w:val="20"/>
                <w:color w:val="auto"/>
              </w:rPr>
            </w:pPr>
          </w:p>
        </w:tc>
        <w:tc>
          <w:tcPr>
            <w:tcW w:w="6840" w:type="dxa"/>
            <w:vAlign w:val="bottom"/>
            <w:gridSpan w:val="2"/>
          </w:tcPr>
          <w:p>
            <w:pPr>
              <w:ind w:left="360"/>
              <w:spacing w:after="0"/>
              <w:rPr>
                <w:sz w:val="20"/>
                <w:szCs w:val="20"/>
                <w:color w:val="auto"/>
              </w:rPr>
            </w:pPr>
            <w:r>
              <w:rPr>
                <w:rFonts w:ascii="Arial" w:cs="Arial" w:eastAsia="Arial" w:hAnsi="Arial"/>
                <w:sz w:val="18"/>
                <w:szCs w:val="18"/>
                <w:color w:val="auto"/>
              </w:rPr>
              <w:t>Attn: Chief Financial Officer</w:t>
            </w:r>
          </w:p>
        </w:tc>
      </w:tr>
    </w:tbl>
    <w:p>
      <w:pPr>
        <w:spacing w:after="0" w:line="202" w:lineRule="exact"/>
        <w:rPr>
          <w:sz w:val="20"/>
          <w:szCs w:val="20"/>
          <w:color w:val="auto"/>
        </w:rPr>
      </w:pPr>
    </w:p>
    <w:p>
      <w:pPr>
        <w:ind w:left="9200"/>
        <w:spacing w:after="0"/>
        <w:rPr>
          <w:sz w:val="20"/>
          <w:szCs w:val="20"/>
          <w:color w:val="auto"/>
        </w:rPr>
      </w:pPr>
      <w:r>
        <w:rPr>
          <w:rFonts w:ascii="Arial" w:cs="Arial" w:eastAsia="Arial" w:hAnsi="Arial"/>
          <w:sz w:val="16"/>
          <w:szCs w:val="16"/>
          <w:color w:val="auto"/>
        </w:rPr>
        <w:t>_____________, 20___</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accordance with Section 3 of the Non-Qualified Stock Option Agreement dated as of _____________________ (the “Option”), I hereby</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irrevocably elect to exercise the Option to purchase _____________ Option Shares of the Common Stock of inTEST Corporation (the “Corporation”)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the exercise price of _____________________________ ($____) per Option Share and deliver herewith a bank check payable to the order of the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Corporation for the aggregate exercise price of $________________.</w:t>
      </w:r>
    </w:p>
    <w:p>
      <w:pPr>
        <w:spacing w:after="0" w:line="200" w:lineRule="exact"/>
        <w:rPr>
          <w:sz w:val="20"/>
          <w:szCs w:val="20"/>
          <w:color w:val="auto"/>
        </w:rPr>
      </w:pPr>
    </w:p>
    <w:p>
      <w:pPr>
        <w:spacing w:after="0" w:line="22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______________________________</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Phone:</w:t>
      </w:r>
    </w:p>
    <w:p>
      <w:pPr>
        <w:spacing w:after="0" w:line="200" w:lineRule="exact"/>
        <w:rPr>
          <w:sz w:val="20"/>
          <w:szCs w:val="20"/>
          <w:color w:val="auto"/>
        </w:rPr>
      </w:pPr>
    </w:p>
    <w:p>
      <w:pPr>
        <w:spacing w:after="0" w:line="227" w:lineRule="exact"/>
        <w:rPr>
          <w:sz w:val="20"/>
          <w:szCs w:val="20"/>
          <w:color w:val="auto"/>
        </w:rPr>
      </w:pPr>
    </w:p>
    <w:p>
      <w:pPr>
        <w:ind w:left="480" w:hanging="310"/>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signature and name should correspond exactly with the name on the first page of the Option.</w:t>
      </w:r>
    </w:p>
    <w:p>
      <w:pPr>
        <w:sectPr>
          <w:pgSz w:w="11900" w:h="16838" w:orient="portrait"/>
          <w:cols w:equalWidth="0" w:num="1">
            <w:col w:w="10960"/>
          </w:cols>
          <w:pgMar w:left="320" w:top="567" w:right="6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10.9</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Text omitted pursuant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601(a)(6) of Regulation S-K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Mr. Richard N. Grant,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CHANGE OF CONTROL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Nick:</w:t>
      </w:r>
    </w:p>
    <w:p>
      <w:pPr>
        <w:spacing w:after="0" w:line="225"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The Board of Directors (the “Board”) of inTEST Corporation (“inTEST”) hereby offers to you the benefits described below. If you desire to accept the benefits described below, you must sign the copy of this Change of Control Agreement (the “Agreement”) which is enclosed and return it to me on or before August 19, 2020.</w:t>
      </w:r>
    </w:p>
    <w:p>
      <w:pPr>
        <w:spacing w:after="0" w:line="180" w:lineRule="exact"/>
        <w:rPr>
          <w:sz w:val="20"/>
          <w:szCs w:val="20"/>
          <w:color w:val="auto"/>
        </w:rPr>
      </w:pPr>
    </w:p>
    <w:p>
      <w:pPr>
        <w:ind w:left="1020" w:hanging="364"/>
        <w:spacing w:after="0"/>
        <w:tabs>
          <w:tab w:leader="none" w:pos="10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This Agreement is effective immediately upon your acceptance as described above and will continue in effect as long as you are actively employed by inTEST, unless you and inTEST agree in writing to its termination or amendment.</w:t>
      </w:r>
    </w:p>
    <w:p>
      <w:pPr>
        <w:spacing w:after="0" w:line="166" w:lineRule="exact"/>
        <w:rPr>
          <w:sz w:val="20"/>
          <w:szCs w:val="20"/>
          <w:color w:val="auto"/>
        </w:rPr>
      </w:pPr>
    </w:p>
    <w:p>
      <w:pPr>
        <w:ind w:left="1020" w:hanging="364"/>
        <w:spacing w:after="0"/>
        <w:tabs>
          <w:tab w:leader="none" w:pos="10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COMPENSATION</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296"/>
        <w:spacing w:after="0" w:line="311" w:lineRule="auto"/>
        <w:rPr>
          <w:sz w:val="20"/>
          <w:szCs w:val="20"/>
          <w:color w:val="auto"/>
        </w:rPr>
      </w:pPr>
      <w:r>
        <w:rPr>
          <w:rFonts w:ascii="Arial" w:cs="Arial" w:eastAsia="Arial" w:hAnsi="Arial"/>
          <w:sz w:val="16"/>
          <w:szCs w:val="16"/>
          <w:color w:val="auto"/>
        </w:rPr>
        <w:t>If your employment with inTEST is terminated without “Cause” (as defined in Section 6) at any time within two years following a “Change of Control” (as defined in Section 4), you will receive the “Termination Benefits” (as defined in Section 3). You will also receive the Termination Benefits if you terminate your employment for “Good Reason” (as defined in Section 5) at any time within two years following a Change of Control.</w:t>
      </w:r>
    </w:p>
    <w:p>
      <w:pPr>
        <w:spacing w:after="0" w:line="149"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You are not entitled to receive the Termination Benefits if your employment is terminated by you or inTEST for any or no reason before a Change of Control occurs or more than two years after a Change of Control has occurred.</w:t>
      </w:r>
    </w:p>
    <w:p>
      <w:pPr>
        <w:spacing w:after="0" w:line="170"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In order to receive the Termination Benefits, you must execute any release of claims that you may have pursuant to this Agreement (but not any other claims) that may be requested by inTEST.</w:t>
      </w:r>
    </w:p>
    <w:p>
      <w:pPr>
        <w:spacing w:after="0" w:line="170"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The Termination Benefits will be paid to you under the terms and conditions hereof, without regard to whether you look for or obtain alternative employment following your termination of employment with inTEST.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1020" w:hanging="364"/>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BENEFITS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“Termination Benefits” will mean and include the following:</w:t>
      </w:r>
    </w:p>
    <w:p>
      <w:pPr>
        <w:spacing w:after="0" w:line="225" w:lineRule="exact"/>
        <w:rPr>
          <w:sz w:val="20"/>
          <w:szCs w:val="20"/>
          <w:color w:val="auto"/>
        </w:rPr>
      </w:pPr>
    </w:p>
    <w:p>
      <w:pPr>
        <w:ind w:right="720" w:firstLine="1304"/>
        <w:spacing w:after="0" w:line="277" w:lineRule="auto"/>
        <w:tabs>
          <w:tab w:leader="none" w:pos="17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 period of one year from your termination (the “Benefit Period”), payment of a prorated portion of your then-current annualized salary (“Base Salary”) on the same basis that you were paid immediately prior to your termination;</w:t>
      </w:r>
    </w:p>
    <w:p>
      <w:pPr>
        <w:spacing w:after="0" w:line="170" w:lineRule="exact"/>
        <w:rPr>
          <w:rFonts w:ascii="Arial" w:cs="Arial" w:eastAsia="Arial" w:hAnsi="Arial"/>
          <w:sz w:val="18"/>
          <w:szCs w:val="18"/>
          <w:color w:val="auto"/>
        </w:rPr>
      </w:pPr>
    </w:p>
    <w:p>
      <w:pPr>
        <w:ind w:right="20" w:firstLine="1304"/>
        <w:spacing w:after="0" w:line="263" w:lineRule="auto"/>
        <w:tabs>
          <w:tab w:leader="none" w:pos="17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Payment of any bonus, variable, or incentive compensation (the “Variable Component”) you would otherwise be eligible to receive for the year in which your termination occurs and for that portion of the following year which is included in the Benefit Period, such Variable Component to be calculated and paid as provided below; and</w:t>
      </w:r>
    </w:p>
    <w:p>
      <w:pPr>
        <w:spacing w:after="0" w:line="183" w:lineRule="exact"/>
        <w:rPr>
          <w:rFonts w:ascii="Arial" w:cs="Arial" w:eastAsia="Arial" w:hAnsi="Arial"/>
          <w:sz w:val="18"/>
          <w:szCs w:val="18"/>
          <w:color w:val="auto"/>
        </w:rPr>
      </w:pPr>
    </w:p>
    <w:p>
      <w:pPr>
        <w:ind w:right="80" w:firstLine="1304"/>
        <w:spacing w:after="0" w:line="311" w:lineRule="auto"/>
        <w:tabs>
          <w:tab w:leader="none" w:pos="1721"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the Benefit Period, continuation of coverage under the group benefit plans in which you participate immediately prior to your termination, including, without limitation, life, disability, accident and group health insurance benefits coverage for you and your eligible dependents (“Benefits”), such Benefits to be provided on substantially the same terms and conditions as they were provided immediately prior to your termination.</w:t>
      </w:r>
    </w:p>
    <w:p>
      <w:pPr>
        <w:spacing w:after="0" w:line="149"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The Variable Component of your Termination Benefits will equal the sum of (i) the Variable Component to which you would have been entitled for the year during which your termination occurs (calculated after annualizing inTEST’s consolidated financial results through the date of termination if such Variable Component is based upon a percentage of profits) (the “Annual Amount”), and (ii) an amount equal to the product of (x) the Annual Amount times (y) a fraction the numerator of which is the number of days in the year following termination which is included in the Benefit Period and the denominator of which is 365 (the “Prorated Amount”). Both the Annual Amount and the Prorated Amount will be paid to you not later than March 15th of the year following your termination.</w:t>
      </w:r>
    </w:p>
    <w:p>
      <w:pPr>
        <w:spacing w:after="0" w:line="192" w:lineRule="exact"/>
        <w:rPr>
          <w:sz w:val="20"/>
          <w:szCs w:val="20"/>
          <w:color w:val="auto"/>
        </w:rPr>
      </w:pPr>
    </w:p>
    <w:p>
      <w:pPr>
        <w:jc w:val="both"/>
        <w:ind w:right="120" w:firstLine="1296"/>
        <w:spacing w:after="0" w:line="311" w:lineRule="auto"/>
        <w:rPr>
          <w:sz w:val="20"/>
          <w:szCs w:val="20"/>
          <w:color w:val="auto"/>
        </w:rPr>
      </w:pPr>
      <w:r>
        <w:rPr>
          <w:rFonts w:ascii="Arial" w:cs="Arial" w:eastAsia="Arial" w:hAnsi="Arial"/>
          <w:sz w:val="16"/>
          <w:szCs w:val="16"/>
          <w:color w:val="auto"/>
        </w:rPr>
        <w:t>Notwithstanding the foregoing, if you terminate your employment for Good Reason, your Termination Benefits will be based upon the greater of (i) your Base Salary, Variable Component and Benefits immediately prior to your termination or (ii) your Base Salary, Variable Component and Benefits immediately prior to the Change of Control which gives rise to your right to receive Termination Benefits under this Agreement.</w:t>
      </w:r>
    </w:p>
    <w:p>
      <w:pPr>
        <w:spacing w:after="0" w:line="149"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inTEST does not intend to provide duplicative Benefits. Consequently, Benefits otherwise receivable pursuant to this Section will be reduced or eliminated if and to the extent that you receive comparable Benefits from any other source (for example, another employer); provided, however, that you will have no obligation to seek, solicit or accept employment from another employer in order to receive such benefits.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74" w:name="page75"/>
    <w:bookmarkEnd w:id="74"/>
    <w:p>
      <w:pPr>
        <w:ind w:left="1020" w:hanging="364"/>
        <w:spacing w:after="0"/>
        <w:tabs>
          <w:tab w:leader="none" w:pos="10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 purposes of this Agreement, a “Change of Control” will be deemed to have occurred upon the earliest to occur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ind w:right="180" w:firstLine="1304"/>
        <w:spacing w:after="0" w:line="277" w:lineRule="auto"/>
        <w:tabs>
          <w:tab w:leader="none" w:pos="17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The date the stockholders of inTEST (or the Board of Directors, if stockholder action is not required) approve a plan or other arrangement pursuant to which inTEST will be dissolved or liquidated;</w:t>
      </w:r>
    </w:p>
    <w:p>
      <w:pPr>
        <w:spacing w:after="0" w:line="170" w:lineRule="exact"/>
        <w:rPr>
          <w:rFonts w:ascii="Arial" w:cs="Arial" w:eastAsia="Arial" w:hAnsi="Arial"/>
          <w:sz w:val="18"/>
          <w:szCs w:val="18"/>
          <w:color w:val="auto"/>
        </w:rPr>
      </w:pPr>
    </w:p>
    <w:p>
      <w:pPr>
        <w:ind w:firstLine="1304"/>
        <w:spacing w:after="0" w:line="272" w:lineRule="auto"/>
        <w:tabs>
          <w:tab w:leader="none" w:pos="173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Sale of Assets</w:t>
      </w:r>
      <w:r>
        <w:rPr>
          <w:rFonts w:ascii="Arial" w:cs="Arial" w:eastAsia="Arial" w:hAnsi="Arial"/>
          <w:sz w:val="17"/>
          <w:szCs w:val="17"/>
          <w:color w:val="auto"/>
        </w:rPr>
        <w:t>. Upon approval of the stockholders of inTEST (or the Board of Directors, if stockholder action is not required), the date inTEST consummates a definitive agreement to sell or otherwise dispose of all or substantially all of the assets of inTEST to any “Unrelated Person” or “Unrelated Persons” (as defined below) acting in concert with one another. “Person” means any entity, person or group (within the meaning of Section 13(d)(3) or Section 14(d)(2) of the Exchange Act of 1934). “Unrelated Person” means any Person other than (1) inTEST or any of its Affiliates or any employee benefit plan (or related trust) sponsored or maintained by inTEST or any of its Affiliates or (2) any Person who, as of the date of this Agreement, is the beneficial owner of at least twenty percent (20%) of the outstanding Common Stock of inTEST. “Affiliates” means any entity in which inTEST owns, directly or indirectly, fifty percent (50%) or more of the voting equity;</w:t>
      </w:r>
    </w:p>
    <w:p>
      <w:pPr>
        <w:spacing w:after="0" w:line="177" w:lineRule="exact"/>
        <w:rPr>
          <w:rFonts w:ascii="Arial" w:cs="Arial" w:eastAsia="Arial" w:hAnsi="Arial"/>
          <w:sz w:val="17"/>
          <w:szCs w:val="17"/>
          <w:color w:val="auto"/>
        </w:rPr>
      </w:pPr>
    </w:p>
    <w:p>
      <w:pPr>
        <w:ind w:right="40" w:firstLine="1304"/>
        <w:spacing w:after="0" w:line="271" w:lineRule="auto"/>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Merger or Consolidation</w:t>
      </w:r>
      <w:r>
        <w:rPr>
          <w:rFonts w:ascii="Arial" w:cs="Arial" w:eastAsia="Arial" w:hAnsi="Arial"/>
          <w:sz w:val="17"/>
          <w:szCs w:val="17"/>
          <w:color w:val="auto"/>
        </w:rPr>
        <w:t>. Upon approval of the stockholders of inTEST (or the Board of Directors, if stockholder action is not required) and the stockholders of the other constituent corporation (or its board of directors if stockholder action is not required), the date inTEST consummates a merger or consolidation of inTEST with or into such other corporation, and such other corporation is an Unrelated Person, other than a merger or consolidation of inTEST in which holders of shares of the Common Stock of inTEST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substantially the same proportion as such holders’ ownership of the Common Stock of inTEST immediately before the merger or consolidation;</w:t>
      </w:r>
    </w:p>
    <w:p>
      <w:pPr>
        <w:spacing w:after="0" w:line="178" w:lineRule="exact"/>
        <w:rPr>
          <w:rFonts w:ascii="Arial" w:cs="Arial" w:eastAsia="Arial" w:hAnsi="Arial"/>
          <w:sz w:val="17"/>
          <w:szCs w:val="17"/>
          <w:color w:val="auto"/>
        </w:rPr>
      </w:pPr>
    </w:p>
    <w:p>
      <w:pPr>
        <w:ind w:right="440" w:firstLine="1304"/>
        <w:spacing w:after="0" w:line="277" w:lineRule="auto"/>
        <w:tabs>
          <w:tab w:leader="none" w:pos="173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Change in Beneficial Owner</w:t>
      </w:r>
      <w:r>
        <w:rPr>
          <w:rFonts w:ascii="Arial" w:cs="Arial" w:eastAsia="Arial" w:hAnsi="Arial"/>
          <w:sz w:val="18"/>
          <w:szCs w:val="18"/>
          <w:color w:val="auto"/>
        </w:rPr>
        <w:t>. The date any Unrelated Person will have become the beneficial owner of, or will have obtained voting control over, more than forty percent (40%) of the outstanding shares of the Common Stock of inTEST; or</w:t>
      </w:r>
    </w:p>
    <w:p>
      <w:pPr>
        <w:spacing w:after="0" w:line="170" w:lineRule="exact"/>
        <w:rPr>
          <w:rFonts w:ascii="Arial" w:cs="Arial" w:eastAsia="Arial" w:hAnsi="Arial"/>
          <w:sz w:val="18"/>
          <w:szCs w:val="18"/>
          <w:color w:val="auto"/>
        </w:rPr>
      </w:pPr>
    </w:p>
    <w:p>
      <w:pPr>
        <w:ind w:right="40" w:firstLine="1304"/>
        <w:spacing w:after="0" w:line="293" w:lineRule="auto"/>
        <w:tabs>
          <w:tab w:leader="none" w:pos="172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Change in Majority of the Board of Directors</w:t>
      </w:r>
      <w:r>
        <w:rPr>
          <w:rFonts w:ascii="Arial" w:cs="Arial" w:eastAsia="Arial" w:hAnsi="Arial"/>
          <w:sz w:val="16"/>
          <w:szCs w:val="16"/>
          <w:color w:val="auto"/>
        </w:rPr>
        <w:t>. The date individuals who, as of the date of this Agreement, constitute the Board of Directors of inTEST (the “Incumbent Directors”) cease for any reason to constitute a majority of the members of the Board; provided that any individual who becomes a director, after the date of this Agreement, whose election or nomination for election by inTEST’s stockholders was approved by a majority of the Incumbent Directors (other than an election or nomination of an individual whose initial assumption of office is in connection with an actual or threatened “election contest” relating to the election of the directors of inTEST (as such terms are used in Rule 14a-11 under the Exchange Act), “tender offer” (as such term is used in Section 14(d) of the Exchange Act) or a proposed merger) will be deemed to be an Incumbent Director.</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75" w:name="page76"/>
    <w:bookmarkEnd w:id="75"/>
    <w:p>
      <w:pPr>
        <w:ind w:right="60" w:firstLine="1296"/>
        <w:spacing w:after="0" w:line="342" w:lineRule="auto"/>
        <w:rPr>
          <w:sz w:val="20"/>
          <w:szCs w:val="20"/>
          <w:color w:val="auto"/>
        </w:rPr>
      </w:pPr>
      <w:r>
        <w:rPr>
          <w:rFonts w:ascii="Arial" w:cs="Arial" w:eastAsia="Arial" w:hAnsi="Arial"/>
          <w:sz w:val="16"/>
          <w:szCs w:val="16"/>
          <w:color w:val="auto"/>
        </w:rPr>
        <w:t>Notwithstanding any provision herein to the contrary, the filing of a proceeding for the reorganization of inTEST under Chapter 11 of the Federal Bankruptcy Code or any successor or other statute of similar import will not be deemed to be a Change of Control for purpose of this Agreement.</w:t>
      </w:r>
    </w:p>
    <w:p>
      <w:pPr>
        <w:spacing w:after="0" w:line="120" w:lineRule="exact"/>
        <w:rPr>
          <w:sz w:val="20"/>
          <w:szCs w:val="20"/>
          <w:color w:val="auto"/>
        </w:rPr>
      </w:pPr>
    </w:p>
    <w:p>
      <w:pPr>
        <w:ind w:left="1020" w:hanging="364"/>
        <w:spacing w:after="0"/>
        <w:tabs>
          <w:tab w:leader="none" w:pos="10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 REASON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“Good Reason” will mean and include the following situations:</w:t>
      </w:r>
    </w:p>
    <w:p>
      <w:pPr>
        <w:spacing w:after="0" w:line="225" w:lineRule="exact"/>
        <w:rPr>
          <w:sz w:val="20"/>
          <w:szCs w:val="20"/>
          <w:color w:val="auto"/>
        </w:rPr>
      </w:pPr>
    </w:p>
    <w:p>
      <w:pPr>
        <w:ind w:left="1720" w:hanging="416"/>
        <w:spacing w:after="0"/>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material adverse change in your status, responsibilities or Benefits;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failure to nominate or elect you as President and Chief Executive Officer;</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causing or requiring you to report to anyone other than the inTEST Board of Directors;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assignment to you of duties materially inconsistent with your position as President and Chief Executive Officer;</w:t>
      </w:r>
    </w:p>
    <w:p>
      <w:pPr>
        <w:spacing w:after="0" w:line="225" w:lineRule="exact"/>
        <w:rPr>
          <w:rFonts w:ascii="Arial" w:cs="Arial" w:eastAsia="Arial" w:hAnsi="Arial"/>
          <w:sz w:val="18"/>
          <w:szCs w:val="18"/>
          <w:color w:val="auto"/>
        </w:rPr>
      </w:pPr>
    </w:p>
    <w:p>
      <w:pPr>
        <w:ind w:firstLine="1304"/>
        <w:spacing w:after="0" w:line="259" w:lineRule="auto"/>
        <w:tabs>
          <w:tab w:leader="none" w:pos="172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reduction of your annual base salary or annual Variable Component (or, if applicable, a change in the formula for determining your annual Variable Component which would have the effect of reducing your annual Variable Component as it would otherwise have been calculated immediately prior to the Change of Control that gives rise to your right to receive Termination Benefits as provided in this Agreement) or other reduction in compensation or benefits, or</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requiring you to be principally based at any office or location more than 30 miles from the current offices of inTEST in Mount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Laurel, New Jersey.</w:t>
      </w:r>
    </w:p>
    <w:p>
      <w:pPr>
        <w:spacing w:after="0" w:line="207" w:lineRule="exact"/>
        <w:rPr>
          <w:sz w:val="20"/>
          <w:szCs w:val="20"/>
          <w:color w:val="auto"/>
        </w:rPr>
      </w:pPr>
    </w:p>
    <w:p>
      <w:pPr>
        <w:ind w:left="1020" w:hanging="364"/>
        <w:spacing w:after="0"/>
        <w:tabs>
          <w:tab w:leader="none" w:pos="10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CAUSE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“Cause” will mean and include the following situations:</w:t>
      </w:r>
    </w:p>
    <w:p>
      <w:pPr>
        <w:spacing w:after="0" w:line="225" w:lineRule="exact"/>
        <w:rPr>
          <w:sz w:val="20"/>
          <w:szCs w:val="20"/>
          <w:color w:val="auto"/>
        </w:rPr>
      </w:pPr>
    </w:p>
    <w:p>
      <w:pPr>
        <w:ind w:firstLine="1304"/>
        <w:spacing w:after="0" w:line="277" w:lineRule="auto"/>
        <w:tabs>
          <w:tab w:leader="none" w:pos="17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Your conviction by a court of competent jurisdiction of any criminal offense involving dishonesty or breach of trust or any felony or crime of moral turpitude;</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Your violation of inTEST’s policies or the inTEST’s Code of Ethics;</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Your commission of an act of fraud upon inTEST; or</w:t>
      </w:r>
    </w:p>
    <w:p>
      <w:pPr>
        <w:spacing w:after="0" w:line="225" w:lineRule="exact"/>
        <w:rPr>
          <w:rFonts w:ascii="Arial" w:cs="Arial" w:eastAsia="Arial" w:hAnsi="Arial"/>
          <w:sz w:val="18"/>
          <w:szCs w:val="18"/>
          <w:color w:val="auto"/>
        </w:rPr>
      </w:pPr>
    </w:p>
    <w:p>
      <w:pPr>
        <w:ind w:right="120" w:firstLine="1304"/>
        <w:spacing w:after="0" w:line="263" w:lineRule="auto"/>
        <w:tabs>
          <w:tab w:leader="none" w:pos="17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Your willful refusal to perform the duties reasonably assigned to you by the Board of Directors of inTEST, which failure or breach continues for more than ten days (or such longer period, not in excess of 30 days, as may be required to cure such failure) after written notice thereof is given to you.</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ind w:left="1020" w:hanging="364"/>
        <w:spacing w:after="0"/>
        <w:tabs>
          <w:tab w:leader="none" w:pos="10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CEILING ON BENEFITS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Under the “golden parachute” rules in the Internal Revenue Code (the “Code”) you will be subject to a twenty percent (20%) excise tax (over and above regular income tax) on any “excess parachute payment” that you receive following a Change of Control, and inTEST will not be permitted to deduct any such excess parachute payment. Very generally, compensation paid to you that is contingent upon a Change of Control will be considered a “parachute payment” if the present value of such consideration equals or exceeds three times your average annual compensation from inTEST for the five years prior to the Change of Control. If payments are considered “parachute payments,” then all such payments to you in excess of your base annual compensation will be considered “excess parachute payments” and will be subject to the twenty percent (20%) excise tax imposed under Section 4999 of the Code.</w:t>
      </w:r>
    </w:p>
    <w:p>
      <w:pPr>
        <w:spacing w:after="0" w:line="195" w:lineRule="exact"/>
        <w:rPr>
          <w:sz w:val="20"/>
          <w:szCs w:val="20"/>
          <w:color w:val="auto"/>
        </w:rPr>
      </w:pPr>
    </w:p>
    <w:p>
      <w:pPr>
        <w:ind w:right="500" w:firstLine="1296"/>
        <w:spacing w:after="0" w:line="286" w:lineRule="auto"/>
        <w:rPr>
          <w:sz w:val="20"/>
          <w:szCs w:val="20"/>
          <w:color w:val="auto"/>
        </w:rPr>
      </w:pPr>
      <w:r>
        <w:rPr>
          <w:rFonts w:ascii="Arial" w:cs="Arial" w:eastAsia="Arial" w:hAnsi="Arial"/>
          <w:sz w:val="17"/>
          <w:szCs w:val="17"/>
          <w:color w:val="auto"/>
        </w:rPr>
        <w:t>For example, if your base annual compensation was $100,000, you could receive $299,000 following a Change of Control without payment of any excise tax. If you received $301,000 in connection with a Change of Control, however, the entire $301,000 would be considered a parachute payment and $201,000 of this amount would be considered an excess parachute payment subject to excise tax.</w:t>
      </w:r>
    </w:p>
    <w:p>
      <w:pPr>
        <w:spacing w:after="0" w:line="165"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In order to avoid this excise tax and the related adverse tax consequences for inTEST, by signing this Agreement, you agree that the Termination Benefits payable to you under this Agreement will in no event exceed the maximum amount that can be paid to you without causing any portion of the amounts paid or payable to you by inTEST following a Change of Control, whether under this Agreement or otherwise, to be considered an “excess parachute payment” within the meaning of Section 280G(b) of the Code.</w:t>
      </w:r>
    </w:p>
    <w:p>
      <w:pPr>
        <w:spacing w:after="0" w:line="187"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If inTEST believes that these rules will result in a reduction of the payments to which you are entitled under this Agreement, it will so notify you within 60 days following delivery of the “Notice of Termination” described in Section 8. If you wish to have such determination reviewed, you may, within 30 days of the date you are notified of a reduction of payments, ask that inTEST retain, at its expense, legal counsel, certified public accountants, and/or a firm of recognized executive compensation consultants (an “Outside Expert”) to provide an opinion concerning whether, and to what extent, your Termination Benefits must be reduced so that no amount payable to you by inTEST (whether under this Agreement or otherwise) will be considered an excess parachute payment.</w:t>
      </w:r>
    </w:p>
    <w:p>
      <w:pPr>
        <w:spacing w:after="0" w:line="192"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The Outside Expert will be as mutually agreed by you and inTEST, provided that if we are not able to reach a mutual agreement, inTEST will select an Outside Expert, you will select an Outside Expert, and the two Outside Experts will select a third Outside Expert to provide the opinion required under this Section. The determination of the Outside Expert will be final and binding, subject to any contrary determination made by the Internal Revenue Service.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7" w:name="page78"/>
    <w:bookmarkEnd w:id="77"/>
    <w:p>
      <w:pPr>
        <w:ind w:right="20" w:firstLine="1296"/>
        <w:spacing w:after="0" w:line="263" w:lineRule="auto"/>
        <w:rPr>
          <w:sz w:val="20"/>
          <w:szCs w:val="20"/>
          <w:color w:val="auto"/>
        </w:rPr>
      </w:pPr>
      <w:r>
        <w:rPr>
          <w:rFonts w:ascii="Arial" w:cs="Arial" w:eastAsia="Arial" w:hAnsi="Arial"/>
          <w:sz w:val="18"/>
          <w:szCs w:val="18"/>
          <w:color w:val="auto"/>
        </w:rPr>
        <w:t>If inTEST believes that your Termination Benefits will exceed the limitation contained in this Section, it will only make payments to you, at the times stated above, in an amount that it believes may be paid without exceeding such limitation. The balance, if any, will then be paid after the opinion of the Outside Expert has been received.</w:t>
      </w:r>
    </w:p>
    <w:p>
      <w:pPr>
        <w:spacing w:after="0" w:line="184"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If the amount paid to you by inTEST following a Change of Control is ultimately determined, pursuant to the opinion of the Outside Expert or by the Internal Revenue Service, to have exceeded the limitation contained in this Section, the excess must be repaid to the Company on the 90th day following demand.</w:t>
      </w:r>
    </w:p>
    <w:p>
      <w:pPr>
        <w:spacing w:after="0" w:line="184"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In the event that the provisions of Sections 280G and 4999 of the Code are repealed without successor provisions, this Section will be of no further force or effect.</w:t>
      </w:r>
    </w:p>
    <w:p>
      <w:pPr>
        <w:spacing w:after="0" w:line="166" w:lineRule="exact"/>
        <w:rPr>
          <w:sz w:val="20"/>
          <w:szCs w:val="20"/>
          <w:color w:val="auto"/>
        </w:rPr>
      </w:pPr>
    </w:p>
    <w:p>
      <w:pPr>
        <w:ind w:left="1020" w:hanging="364"/>
        <w:spacing w:after="0"/>
        <w:tabs>
          <w:tab w:leader="none" w:pos="10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NOTICE AND PROCEDURE</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Any termination by inTEST or you of your employment during the two years immediately following a Change of Control will be communicated by written Notice of Termination to you if such Notice of Termination is delivered by inTEST and to inTEST if such Notice of Termination is delivered by you, all in accordance with the following procedures:</w:t>
      </w:r>
    </w:p>
    <w:p>
      <w:pPr>
        <w:spacing w:after="0" w:line="184" w:lineRule="exact"/>
        <w:rPr>
          <w:sz w:val="20"/>
          <w:szCs w:val="20"/>
          <w:color w:val="auto"/>
        </w:rPr>
      </w:pPr>
    </w:p>
    <w:p>
      <w:pPr>
        <w:ind w:right="80" w:firstLine="1304"/>
        <w:spacing w:after="0" w:line="277" w:lineRule="auto"/>
        <w:tabs>
          <w:tab w:leader="none" w:pos="17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Notice of Termination will indicate the specific termination provision in this Agreement relied upon, if applicable, and will set forth in reasonable detail the facts and circumstances alleged to provide a basis for such termination.</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Notice of Termination by inTEST will be in writing signed by the Chairman of the Board of inTEST.</w:t>
      </w:r>
    </w:p>
    <w:p>
      <w:pPr>
        <w:spacing w:after="0" w:line="225" w:lineRule="exact"/>
        <w:rPr>
          <w:rFonts w:ascii="Arial" w:cs="Arial" w:eastAsia="Arial" w:hAnsi="Arial"/>
          <w:sz w:val="18"/>
          <w:szCs w:val="18"/>
          <w:color w:val="auto"/>
        </w:rPr>
      </w:pPr>
    </w:p>
    <w:p>
      <w:pPr>
        <w:ind w:firstLine="1304"/>
        <w:spacing w:after="0" w:line="263" w:lineRule="auto"/>
        <w:tabs>
          <w:tab w:leader="none" w:pos="17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inTEST furnishes you with a Notice of Termination or if you furnish inTEST with a Notice of Termination, and no good faith dispute exists regarding such termination, then the date of your termination will be the date such Notice of Termination is deemed given pursuant to Section 11 of this Agreement.</w:t>
      </w:r>
    </w:p>
    <w:p>
      <w:pPr>
        <w:spacing w:after="0" w:line="183" w:lineRule="exact"/>
        <w:rPr>
          <w:rFonts w:ascii="Arial" w:cs="Arial" w:eastAsia="Arial" w:hAnsi="Arial"/>
          <w:sz w:val="18"/>
          <w:szCs w:val="18"/>
          <w:color w:val="auto"/>
        </w:rPr>
      </w:pPr>
    </w:p>
    <w:p>
      <w:pPr>
        <w:ind w:right="40" w:firstLine="1304"/>
        <w:spacing w:after="0" w:line="257" w:lineRule="auto"/>
        <w:tabs>
          <w:tab w:leader="none" w:pos="17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inTEST in good faith furnishes you with a Notice of Termination for Cause and you in good faith notify inTEST that a dispute exists concerning such termination within the 15-day period following your receipt of such notice, you may elect to continue your employment during such dispute. If it is thereafter determined that (i) Cause did exist, the date of your termination will be the earlier of (A) the date on which the dispute is finally determined or (B) the date of your death or permanent disability; or (ii) Cause did not exist, your employment will continue as if inTEST had not delivered its Notice of Termination and there will be no termination arising out of such notice.</w:t>
      </w:r>
    </w:p>
    <w:p>
      <w:pPr>
        <w:spacing w:after="0" w:line="187" w:lineRule="exact"/>
        <w:rPr>
          <w:rFonts w:ascii="Arial" w:cs="Arial" w:eastAsia="Arial" w:hAnsi="Arial"/>
          <w:sz w:val="18"/>
          <w:szCs w:val="18"/>
          <w:color w:val="auto"/>
        </w:rPr>
      </w:pPr>
    </w:p>
    <w:p>
      <w:pPr>
        <w:ind w:right="120" w:firstLine="1304"/>
        <w:spacing w:after="0" w:line="272" w:lineRule="auto"/>
        <w:tabs>
          <w:tab w:leader="none" w:pos="1721"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you in good faith furnish a Notice of Termination for Good Reason and inTEST notifies you that a dispute exists concerning the termination within the 15-day period following inTEST's receipt of such notice, you may elect to continue your employment during such dispute. If it is thereafter determined that (i) Good Reason did exist, your date of termination will be the earlier of (A) the date on which the dispute is finally determined or (B) the date of your death or permanent disability; or (ii) Good Reason did not exist, your employment will continue after such determination as if you had not delivered the Notice of Termination asserting Good Reason. If Good Reason is determined to exist, your salary, Variable Component and Benefits prior to such determination will be no less than your salary, Variable Component and benefits immediately prior to the Change of Control which gives rise to your right to receive Termination Benefits as provided in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ind w:right="80" w:firstLine="1304"/>
        <w:spacing w:after="0" w:line="259" w:lineRule="auto"/>
        <w:tabs>
          <w:tab w:leader="none" w:pos="1701"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you do not elect to continue employment pending resolution of a dispute regarding a Notice of Termination, and it is finally determined that the reason for termination set forth in such Notice of Termination did not exist, if such notice was delivered by you, you will be deemed to have voluntarily terminated your employment other than for Good Reason and if delivered by inTEST, inTEST will be deemed to have terminated you without Cause.</w:t>
      </w:r>
    </w:p>
    <w:p>
      <w:pPr>
        <w:spacing w:after="0" w:line="182" w:lineRule="exact"/>
        <w:rPr>
          <w:rFonts w:ascii="Arial" w:cs="Arial" w:eastAsia="Arial" w:hAnsi="Arial"/>
          <w:sz w:val="18"/>
          <w:szCs w:val="18"/>
          <w:color w:val="auto"/>
        </w:rPr>
      </w:pPr>
    </w:p>
    <w:p>
      <w:pPr>
        <w:ind w:left="1100" w:hanging="444"/>
        <w:spacing w:after="0"/>
        <w:tabs>
          <w:tab w:leader="none" w:pos="11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229" w:lineRule="exact"/>
        <w:rPr>
          <w:sz w:val="20"/>
          <w:szCs w:val="20"/>
          <w:color w:val="auto"/>
        </w:rPr>
      </w:pPr>
    </w:p>
    <w:p>
      <w:pPr>
        <w:ind w:firstLine="1134"/>
        <w:spacing w:after="0" w:line="254" w:lineRule="auto"/>
        <w:rPr>
          <w:sz w:val="20"/>
          <w:szCs w:val="20"/>
          <w:color w:val="auto"/>
        </w:rPr>
      </w:pPr>
      <w:r>
        <w:rPr>
          <w:rFonts w:ascii="Arial" w:cs="Arial" w:eastAsia="Arial" w:hAnsi="Arial"/>
          <w:sz w:val="18"/>
          <w:szCs w:val="18"/>
          <w:color w:val="auto"/>
        </w:rPr>
        <w:t>inTEST will require any successor (whether direct or indirect, by purchase, merger, consolidation or otherwise) to all or substantially all of the business and/or assets of inTEST or any of its subsidiaries to expressly assume and agree to perform this Agreement in the same manner and to the same extent that inTEST would be required to perform it if no such succession had taken place. Failure of inTEST to obtain such assumption and agreement prior to the effectiveness of any such succession will be a breach of this Agreement and will entitle you to compensation in the same amount and on the same terms to which you would be entitled hereunder if you terminate your employment for Good Reason following a Change of Control, except that for purposes of implementing the foregoing, the date on which any such succession becomes effective will be deemed the date of your termination. As used in this agreement “inTEST” shall include any successor to its business and/or assets which assumes and agrees to perform this Agreement by operation of law or otherwise.</w:t>
      </w:r>
    </w:p>
    <w:p>
      <w:pPr>
        <w:spacing w:after="0" w:line="188" w:lineRule="exact"/>
        <w:rPr>
          <w:sz w:val="20"/>
          <w:szCs w:val="20"/>
          <w:color w:val="auto"/>
        </w:rPr>
      </w:pPr>
    </w:p>
    <w:p>
      <w:pPr>
        <w:ind w:left="1160" w:hanging="504"/>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w:t>
      </w:r>
    </w:p>
    <w:p>
      <w:pPr>
        <w:spacing w:after="0" w:line="229" w:lineRule="exact"/>
        <w:rPr>
          <w:sz w:val="20"/>
          <w:szCs w:val="20"/>
          <w:color w:val="auto"/>
        </w:rPr>
      </w:pPr>
    </w:p>
    <w:p>
      <w:pPr>
        <w:ind w:firstLine="1134"/>
        <w:spacing w:after="0" w:line="259" w:lineRule="auto"/>
        <w:rPr>
          <w:sz w:val="20"/>
          <w:szCs w:val="20"/>
          <w:color w:val="auto"/>
        </w:rPr>
      </w:pPr>
      <w:r>
        <w:rPr>
          <w:rFonts w:ascii="Arial" w:cs="Arial" w:eastAsia="Arial" w:hAnsi="Arial"/>
          <w:sz w:val="18"/>
          <w:szCs w:val="18"/>
          <w:color w:val="auto"/>
        </w:rPr>
        <w:t>This Agreement will inure to the benefit of and be enforceable by you and your personal or legal representatives, executors, administrators, successors, heirs, distributees, devisees and legatees. If you should die while any amount would still be payable to you hereunder had you continued to live, all such amounts, unless otherwise provided herein, will be paid in accordance with the terms of this Agreement to your devisee, legatee or other designee or, if there is no such designee, to your estate.</w:t>
      </w:r>
    </w:p>
    <w:p>
      <w:pPr>
        <w:spacing w:after="0" w:line="183" w:lineRule="exact"/>
        <w:rPr>
          <w:sz w:val="20"/>
          <w:szCs w:val="20"/>
          <w:color w:val="auto"/>
        </w:rPr>
      </w:pPr>
    </w:p>
    <w:p>
      <w:pPr>
        <w:ind w:left="1140" w:hanging="484"/>
        <w:spacing w:after="0"/>
        <w:tabs>
          <w:tab w:leader="none" w:pos="11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9" w:lineRule="exact"/>
        <w:rPr>
          <w:sz w:val="20"/>
          <w:szCs w:val="20"/>
          <w:color w:val="auto"/>
        </w:rPr>
      </w:pPr>
    </w:p>
    <w:p>
      <w:pPr>
        <w:ind w:firstLine="1134"/>
        <w:spacing w:after="0" w:line="257" w:lineRule="auto"/>
        <w:rPr>
          <w:sz w:val="20"/>
          <w:szCs w:val="20"/>
          <w:color w:val="auto"/>
        </w:rPr>
      </w:pPr>
      <w:r>
        <w:rPr>
          <w:rFonts w:ascii="Arial" w:cs="Arial" w:eastAsia="Arial" w:hAnsi="Arial"/>
          <w:sz w:val="18"/>
          <w:szCs w:val="18"/>
          <w:color w:val="auto"/>
        </w:rPr>
        <w:t>For purposes of this Agreement, notices and all other communications provided for in this Agreement will be in writing and will be deemed to have been duly given when personally delivered or mailed by United States certified or registered mail, return receipt requested, postage prepaid, addressed to you at the last address you have filed in writing with inTEST or, in the case of inTEST, at its main office, attention of the Chairman of the Board of Directors, or to such other address as either party may have furnished to the other in writing in accordance herewith, except that notice of change of address will be effective only upon receipt.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9" w:name="page80"/>
    <w:bookmarkEnd w:id="79"/>
    <w:p>
      <w:pPr>
        <w:ind w:left="1160" w:hanging="504"/>
        <w:spacing w:after="0"/>
        <w:tabs>
          <w:tab w:leader="none" w:pos="11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sz w:val="20"/>
          <w:szCs w:val="20"/>
          <w:color w:val="auto"/>
        </w:rPr>
      </w:pPr>
    </w:p>
    <w:p>
      <w:pPr>
        <w:ind w:firstLine="1134"/>
        <w:spacing w:after="0" w:line="270" w:lineRule="auto"/>
        <w:rPr>
          <w:sz w:val="20"/>
          <w:szCs w:val="20"/>
          <w:color w:val="auto"/>
        </w:rPr>
      </w:pPr>
      <w:r>
        <w:rPr>
          <w:rFonts w:ascii="Arial" w:cs="Arial" w:eastAsia="Arial" w:hAnsi="Arial"/>
          <w:sz w:val="17"/>
          <w:szCs w:val="17"/>
          <w:color w:val="auto"/>
        </w:rPr>
        <w:t>No provision of this Agreement may be modified, waived or discharged unless such waiver, modification or discharge is agreed to in writing and signed by you and inTEST.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 The validity, interpretation, construction and performance of this Agreement will be governed by the laws of the State of Delaware without regard to its conflicts of law principles. All references to sections of the Exchange Act or the Code will be deemed also to refer to any successor provisions to such sections. Any payments provided for hereunder will be paid net of any applicable withholding required under federal, state or local law. The obligations of inTEST that arise prior to the expiration of this Agreement will survive the expiration of the term of this Agreement.</w:t>
      </w:r>
    </w:p>
    <w:p>
      <w:pPr>
        <w:spacing w:after="0" w:line="177" w:lineRule="exact"/>
        <w:rPr>
          <w:sz w:val="20"/>
          <w:szCs w:val="20"/>
          <w:color w:val="auto"/>
        </w:rPr>
      </w:pPr>
    </w:p>
    <w:p>
      <w:pPr>
        <w:ind w:left="1160" w:hanging="504"/>
        <w:spacing w:after="0"/>
        <w:tabs>
          <w:tab w:leader="none" w:pos="11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1134"/>
        <w:spacing w:after="0" w:line="277" w:lineRule="auto"/>
        <w:rPr>
          <w:sz w:val="20"/>
          <w:szCs w:val="20"/>
          <w:color w:val="auto"/>
        </w:rPr>
      </w:pPr>
      <w:r>
        <w:rPr>
          <w:rFonts w:ascii="Arial" w:cs="Arial" w:eastAsia="Arial" w:hAnsi="Arial"/>
          <w:sz w:val="18"/>
          <w:szCs w:val="18"/>
          <w:color w:val="auto"/>
        </w:rPr>
        <w:t>The invalidity or unenforceability of any provision of this Agreement will not affect the validity or enforceability of any other provision of this Agreement, which will remain in full force and effect.</w:t>
      </w:r>
    </w:p>
    <w:p>
      <w:pPr>
        <w:spacing w:after="0" w:line="166" w:lineRule="exact"/>
        <w:rPr>
          <w:sz w:val="20"/>
          <w:szCs w:val="20"/>
          <w:color w:val="auto"/>
        </w:rPr>
      </w:pPr>
    </w:p>
    <w:p>
      <w:pPr>
        <w:ind w:left="1160" w:hanging="504"/>
        <w:spacing w:after="0"/>
        <w:tabs>
          <w:tab w:leader="none" w:pos="11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229" w:lineRule="exact"/>
        <w:rPr>
          <w:sz w:val="20"/>
          <w:szCs w:val="20"/>
          <w:color w:val="auto"/>
        </w:rPr>
      </w:pPr>
    </w:p>
    <w:p>
      <w:pPr>
        <w:ind w:right="400" w:firstLine="1134"/>
        <w:spacing w:after="0" w:line="277" w:lineRule="auto"/>
        <w:rPr>
          <w:sz w:val="20"/>
          <w:szCs w:val="20"/>
          <w:color w:val="auto"/>
        </w:rPr>
      </w:pPr>
      <w:r>
        <w:rPr>
          <w:rFonts w:ascii="Arial" w:cs="Arial" w:eastAsia="Arial" w:hAnsi="Arial"/>
          <w:sz w:val="18"/>
          <w:szCs w:val="18"/>
          <w:color w:val="auto"/>
        </w:rPr>
        <w:t>This Agreement may be executed in several counterparts, each of which will be deemed to be an original but all of which together will constitute one and the same instrument.</w:t>
      </w:r>
    </w:p>
    <w:p>
      <w:pPr>
        <w:spacing w:after="0" w:line="166" w:lineRule="exact"/>
        <w:rPr>
          <w:sz w:val="20"/>
          <w:szCs w:val="20"/>
          <w:color w:val="auto"/>
        </w:rPr>
      </w:pPr>
    </w:p>
    <w:p>
      <w:pPr>
        <w:ind w:left="1160" w:hanging="504"/>
        <w:spacing w:after="0"/>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AND INTEREST</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1134"/>
        <w:spacing w:after="0" w:line="254" w:lineRule="auto"/>
        <w:rPr>
          <w:sz w:val="20"/>
          <w:szCs w:val="20"/>
          <w:color w:val="auto"/>
        </w:rPr>
      </w:pPr>
      <w:r>
        <w:rPr>
          <w:rFonts w:ascii="Arial" w:cs="Arial" w:eastAsia="Arial" w:hAnsi="Arial"/>
          <w:sz w:val="18"/>
          <w:szCs w:val="18"/>
          <w:color w:val="auto"/>
        </w:rPr>
        <w:t>If a good faith dispute arises with respect to the enforcement of your rights under this Agreement or if any arbitration or legal proceeding will be brought in good faith to enforce or interpret any provision contained herein, or to recover damages for breach hereof, and you are the prevailing party, you will recover from inTEST any reasonable attorneys' fees and necessary costs and disbursements incurred as a result of such dispute or legal proceeding, and prejudgment interest on any money judgment obtained by you calculated at the rate of interest announced by J.P. Morgan Chase Bank, New York, or its successor, from time to time as its prime rate from the date that payments to you should have been made under this Agreement. It is expressly provided that inTEST will in no event recover from you any attorneys' fees, costs, disbursements or interest as a result of any dispute or legal proceeding involving inTEST and you.</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ind w:left="1160" w:hanging="504"/>
        <w:spacing w:after="0"/>
        <w:tabs>
          <w:tab w:leader="none" w:pos="11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OBLIGATIONS ABSOLUTE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1134"/>
        <w:spacing w:after="0" w:line="275" w:lineRule="auto"/>
        <w:rPr>
          <w:sz w:val="20"/>
          <w:szCs w:val="20"/>
          <w:color w:val="auto"/>
        </w:rPr>
      </w:pPr>
      <w:r>
        <w:rPr>
          <w:rFonts w:ascii="Arial" w:cs="Arial" w:eastAsia="Arial" w:hAnsi="Arial"/>
          <w:sz w:val="17"/>
          <w:szCs w:val="17"/>
          <w:color w:val="auto"/>
        </w:rPr>
        <w:t>inTEST's obligation to pay you the Termination Benefits in accordance with the provisions herein will be absolute and unconditional and will not be affected by any circumstances; provided, however, that inTEST may apply amounts payable under this Agreement to any debts owed to inTEST by you on the date of your termination. All amounts payable by inTEST in accordance with this Agreement will be paid without notice or demand. If inTEST has paid you more than the amount to which you are entitled under this Agreement, inTEST will have the right to recover all or any part of such overpayment from you or from whomsoever has received such amount.</w:t>
      </w:r>
    </w:p>
    <w:p>
      <w:pPr>
        <w:spacing w:after="0" w:line="172" w:lineRule="exact"/>
        <w:rPr>
          <w:sz w:val="20"/>
          <w:szCs w:val="20"/>
          <w:color w:val="auto"/>
        </w:rPr>
      </w:pPr>
    </w:p>
    <w:p>
      <w:pPr>
        <w:ind w:left="1160" w:hanging="504"/>
        <w:spacing w:after="0"/>
        <w:tabs>
          <w:tab w:leader="none" w:pos="11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1134"/>
        <w:spacing w:after="0" w:line="259" w:lineRule="auto"/>
        <w:rPr>
          <w:sz w:val="20"/>
          <w:szCs w:val="20"/>
          <w:color w:val="auto"/>
        </w:rPr>
      </w:pPr>
      <w:r>
        <w:rPr>
          <w:rFonts w:ascii="Arial" w:cs="Arial" w:eastAsia="Arial" w:hAnsi="Arial"/>
          <w:sz w:val="18"/>
          <w:szCs w:val="18"/>
          <w:color w:val="auto"/>
        </w:rPr>
        <w:t>This Agreement sets forth the entire agreement between you and inTEST concerning the subject matter discussed in this Agreement and supersedes all prior agreements, promises, covenants, arrangements, communications, representations, or warranties, whether written or oral, by any officer, employee or representative of inTEST. Any prior agreements or understandings with respect to the subject matter set forth in this Agreement are hereby terminated and canceled.</w:t>
      </w:r>
    </w:p>
    <w:p>
      <w:pPr>
        <w:spacing w:after="0" w:line="183" w:lineRule="exact"/>
        <w:rPr>
          <w:sz w:val="20"/>
          <w:szCs w:val="20"/>
          <w:color w:val="auto"/>
        </w:rPr>
      </w:pPr>
    </w:p>
    <w:p>
      <w:pPr>
        <w:ind w:left="1160" w:hanging="504"/>
        <w:spacing w:after="0"/>
        <w:tabs>
          <w:tab w:leader="none" w:pos="11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134"/>
        <w:spacing w:after="0" w:line="342" w:lineRule="auto"/>
        <w:rPr>
          <w:sz w:val="20"/>
          <w:szCs w:val="20"/>
          <w:color w:val="auto"/>
        </w:rPr>
      </w:pPr>
      <w:r>
        <w:rPr>
          <w:rFonts w:ascii="Arial" w:cs="Arial" w:eastAsia="Arial" w:hAnsi="Arial"/>
          <w:sz w:val="16"/>
          <w:szCs w:val="16"/>
          <w:color w:val="auto"/>
        </w:rPr>
        <w:t>Any action or claim at law or equity arising under or related to this Agreement will be brought only in the Superior Court of New Jersey or in the United States District Court for the District of New Jersey, and the parties hereto hereby consent to personal jurisdiction and venue in said courts.</w:t>
      </w:r>
    </w:p>
    <w:p>
      <w:pPr>
        <w:spacing w:after="0" w:line="120" w:lineRule="exact"/>
        <w:rPr>
          <w:sz w:val="20"/>
          <w:szCs w:val="20"/>
          <w:color w:val="auto"/>
        </w:rPr>
      </w:pPr>
    </w:p>
    <w:p>
      <w:pPr>
        <w:ind w:left="1160" w:hanging="504"/>
        <w:spacing w:after="0"/>
        <w:tabs>
          <w:tab w:leader="none" w:pos="11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CODE SECTION 409A.</w:t>
      </w:r>
    </w:p>
    <w:p>
      <w:pPr>
        <w:spacing w:after="0" w:line="229" w:lineRule="exact"/>
        <w:rPr>
          <w:sz w:val="20"/>
          <w:szCs w:val="20"/>
          <w:color w:val="auto"/>
        </w:rPr>
      </w:pPr>
    </w:p>
    <w:p>
      <w:pPr>
        <w:ind w:firstLine="1134"/>
        <w:spacing w:after="0" w:line="289" w:lineRule="auto"/>
        <w:rPr>
          <w:sz w:val="20"/>
          <w:szCs w:val="20"/>
          <w:color w:val="auto"/>
        </w:rPr>
      </w:pPr>
      <w:r>
        <w:rPr>
          <w:rFonts w:ascii="Arial" w:cs="Arial" w:eastAsia="Arial" w:hAnsi="Arial"/>
          <w:sz w:val="16"/>
          <w:szCs w:val="16"/>
          <w:color w:val="auto"/>
        </w:rPr>
        <w:t>For purposes of this Agreement, your termination of employment shall mean your “separation from service” as defined under Code Section 409A. Each payment under this Agreement that is determined to be subject to Section 409A shall be treated as a separate payment. In no event may you, directly or indirectly, designate the calendar year of any payment to be made under this Agreement. Notwithstanding any provision of this Agreement to the contrary, if you are a “specified employee” (as defined in Section 409A of the Code) as of your “separation from service” (as defined in Section 409A of the Code), then the payment of any amounts payable hereunder that are subject to Section 409A of the Code shall be postponed in compliance with Section 409A (without any reduction in such payments ultimately paid or provided to you) until the first payroll date that occurs after the date that is six (6) months following your “separation from service.” Any such postponed payments shall be paid in a lump sum to you on the first payroll date that occurs after the date that is six (6) months following your “separation from service.” If you die during the postponement period prior to the payment of the postponed amount, the amounts withheld on account of Section 409A shall be paid to your estate within sixty (60) days after the date of your death.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If you would like to participate in this special benefits program, please sign and return the extra copy of this letter which is enclosed.</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Joseph W. Dews IV</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W. Dews IV</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11,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hereby accept the offer to participate in this special benefits program and I agree to be bound by all of the provisions noted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584" w:right="719" w:bottom="1440" w:gutter="0" w:footer="0" w:header="0"/>
        </w:sectPr>
      </w:pPr>
    </w:p>
    <w:bookmarkStart w:id="82" w:name="page83"/>
    <w:bookmarkEnd w:id="82"/>
    <w:p>
      <w:pPr>
        <w:ind w:left="10120"/>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Richard N. Grant, Jr., certify that:</w:t>
      </w:r>
    </w:p>
    <w:p>
      <w:pPr>
        <w:spacing w:after="0" w:line="225" w:lineRule="exact"/>
        <w:rPr>
          <w:sz w:val="20"/>
          <w:szCs w:val="20"/>
          <w:color w:val="auto"/>
        </w:rPr>
      </w:pPr>
    </w:p>
    <w:p>
      <w:pPr>
        <w:ind w:left="780" w:hanging="322"/>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firstLine="458"/>
        <w:spacing w:after="0" w:line="342" w:lineRule="auto"/>
        <w:tabs>
          <w:tab w:leader="none" w:pos="765"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458"/>
        <w:spacing w:after="0" w:line="308" w:lineRule="auto"/>
        <w:tabs>
          <w:tab w:leader="none" w:pos="7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458"/>
        <w:spacing w:after="0" w:line="263" w:lineRule="auto"/>
        <w:tabs>
          <w:tab w:leader="none" w:pos="76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40" w:firstLine="352"/>
        <w:spacing w:after="0" w:line="263" w:lineRule="auto"/>
        <w:tabs>
          <w:tab w:leader="none" w:pos="9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right="400" w:firstLine="352"/>
        <w:spacing w:after="0" w:line="263" w:lineRule="auto"/>
        <w:tabs>
          <w:tab w:leader="none" w:pos="10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580" w:firstLine="352"/>
        <w:spacing w:after="0" w:line="342" w:lineRule="auto"/>
        <w:tabs>
          <w:tab w:leader="none" w:pos="99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80" w:firstLine="352"/>
        <w:spacing w:after="0" w:line="263" w:lineRule="auto"/>
        <w:tabs>
          <w:tab w:leader="none" w:pos="10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80" w:firstLine="458"/>
        <w:spacing w:after="0" w:line="308" w:lineRule="auto"/>
        <w:tabs>
          <w:tab w:leader="none" w:pos="76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780" w:firstLine="352"/>
        <w:spacing w:after="0" w:line="308" w:lineRule="auto"/>
        <w:tabs>
          <w:tab w:leader="none" w:pos="9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480" w:firstLine="352"/>
        <w:spacing w:after="0" w:line="277" w:lineRule="auto"/>
        <w:tabs>
          <w:tab w:leader="none" w:pos="9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2020</w:t>
      </w:r>
    </w:p>
    <w:p>
      <w:pPr>
        <w:spacing w:after="0" w:line="200" w:lineRule="exact"/>
        <w:rPr>
          <w:sz w:val="20"/>
          <w:szCs w:val="20"/>
          <w:color w:val="auto"/>
        </w:rPr>
      </w:pPr>
    </w:p>
    <w:p>
      <w:pPr>
        <w:spacing w:after="0" w:line="241"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780" w:hanging="322"/>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firstLine="458"/>
        <w:spacing w:after="0" w:line="342" w:lineRule="auto"/>
        <w:tabs>
          <w:tab w:leader="none" w:pos="765"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458"/>
        <w:spacing w:after="0" w:line="308" w:lineRule="auto"/>
        <w:tabs>
          <w:tab w:leader="none" w:pos="765"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458"/>
        <w:spacing w:after="0" w:line="263" w:lineRule="auto"/>
        <w:tabs>
          <w:tab w:leader="none" w:pos="7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40" w:firstLine="352"/>
        <w:spacing w:after="0" w:line="263" w:lineRule="auto"/>
        <w:tabs>
          <w:tab w:leader="none" w:pos="99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right="400" w:firstLine="352"/>
        <w:spacing w:after="0" w:line="263"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580" w:firstLine="352"/>
        <w:spacing w:after="0" w:line="342" w:lineRule="auto"/>
        <w:tabs>
          <w:tab w:leader="none" w:pos="99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80" w:firstLine="352"/>
        <w:spacing w:after="0" w:line="263"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80" w:firstLine="458"/>
        <w:spacing w:after="0" w:line="308" w:lineRule="auto"/>
        <w:tabs>
          <w:tab w:leader="none" w:pos="76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780" w:firstLine="352"/>
        <w:spacing w:after="0" w:line="308" w:lineRule="auto"/>
        <w:tabs>
          <w:tab w:leader="none" w:pos="9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480" w:firstLine="352"/>
        <w:spacing w:after="0" w:line="277" w:lineRule="auto"/>
        <w:tabs>
          <w:tab w:leader="none" w:pos="99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2020</w:t>
      </w:r>
    </w:p>
    <w:p>
      <w:pPr>
        <w:spacing w:after="0" w:line="200" w:lineRule="exact"/>
        <w:rPr>
          <w:sz w:val="20"/>
          <w:szCs w:val="20"/>
          <w:color w:val="auto"/>
        </w:rPr>
      </w:pPr>
    </w:p>
    <w:p>
      <w:pPr>
        <w:spacing w:after="0" w:line="241"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September 30, 2020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440" w:hanging="432"/>
        <w:spacing w:after="0"/>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12, 2020</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September 30, 2020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2020</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2"/>
    </w:lvl>
  </w:abstractNum>
  <w:abstractNum w:abstractNumId="4">
    <w:nsid w:val="2A487CB0"/>
    <w:multiLevelType w:val="hybridMultilevel"/>
    <w:lvl w:ilvl="0">
      <w:lvlJc w:val="left"/>
      <w:lvlText w:val="(%1)"/>
      <w:numFmt w:val="decimal"/>
      <w:start w:val="3"/>
    </w:lvl>
  </w:abstractNum>
  <w:abstractNum w:abstractNumId="5">
    <w:nsid w:val="1D4ED43B"/>
    <w:multiLevelType w:val="hybridMultilevel"/>
    <w:lvl w:ilvl="0">
      <w:lvlJc w:val="left"/>
      <w:lvlText w:val="(%1)"/>
      <w:numFmt w:val="decimal"/>
      <w:start w:val="4"/>
    </w:lvl>
  </w:abstractNum>
  <w:abstractNum w:abstractNumId="6">
    <w:nsid w:val="725A06FB"/>
    <w:multiLevelType w:val="hybridMultilevel"/>
    <w:lvl w:ilvl="0">
      <w:lvlJc w:val="left"/>
      <w:lvlText w:val="(%1)"/>
      <w:numFmt w:val="decimal"/>
      <w:start w:val="5"/>
    </w:lvl>
  </w:abstractNum>
  <w:abstractNum w:abstractNumId="7">
    <w:nsid w:val="2CD89A32"/>
    <w:multiLevelType w:val="hybridMultilevel"/>
    <w:lvl w:ilvl="0">
      <w:lvlJc w:val="left"/>
      <w:lvlText w:val="(%1)"/>
      <w:numFmt w:val="decimal"/>
      <w:start w:val="6"/>
    </w:lvl>
  </w:abstractNum>
  <w:abstractNum w:abstractNumId="8">
    <w:nsid w:val="57E4CCAF"/>
    <w:multiLevelType w:val="hybridMultilevel"/>
    <w:lvl w:ilvl="0">
      <w:lvlJc w:val="left"/>
      <w:lvlText w:val="(%1)"/>
      <w:numFmt w:val="decimal"/>
      <w:start w:val="8"/>
    </w:lvl>
  </w:abstractNum>
  <w:abstractNum w:abstractNumId="9">
    <w:nsid w:val="7A6D8D3C"/>
    <w:multiLevelType w:val="hybridMultilevel"/>
    <w:lvl w:ilvl="0">
      <w:lvlJc w:val="left"/>
      <w:lvlText w:val="(%1)"/>
      <w:numFmt w:val="decimal"/>
      <w:start w:val="9"/>
    </w:lvl>
  </w:abstractNum>
  <w:abstractNum w:abstractNumId="10">
    <w:nsid w:val="4B588F54"/>
    <w:multiLevelType w:val="hybridMultilevel"/>
    <w:lvl w:ilvl="0">
      <w:lvlJc w:val="left"/>
      <w:lvlText w:val="(%1)"/>
      <w:numFmt w:val="decimal"/>
      <w:start w:val="10"/>
    </w:lvl>
  </w:abstractNum>
  <w:abstractNum w:abstractNumId="11">
    <w:nsid w:val="542289EC"/>
    <w:multiLevelType w:val="hybridMultilevel"/>
    <w:lvl w:ilvl="0">
      <w:lvlJc w:val="left"/>
      <w:lvlText w:val="(%1)"/>
      <w:numFmt w:val="decimal"/>
      <w:start w:val="11"/>
    </w:lvl>
  </w:abstractNum>
  <w:abstractNum w:abstractNumId="12">
    <w:nsid w:val="6DE91B18"/>
    <w:multiLevelType w:val="hybridMultilevel"/>
    <w:lvl w:ilvl="0">
      <w:lvlJc w:val="left"/>
      <w:lvlText w:val="(%1)"/>
      <w:numFmt w:val="decimal"/>
      <w:start w:val="12"/>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2"/>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lowerRoman"/>
      <w:start w:val="3"/>
    </w:lvl>
  </w:abstractNum>
  <w:abstractNum w:abstractNumId="18">
    <w:nsid w:val="749ABB43"/>
    <w:multiLevelType w:val="hybridMultilevel"/>
    <w:lvl w:ilvl="0">
      <w:lvlJc w:val="left"/>
      <w:lvlText w:val="(%1)"/>
      <w:numFmt w:val="lowerLetter"/>
      <w:start w:val="1"/>
    </w:lvl>
  </w:abstractNum>
  <w:abstractNum w:abstractNumId="19">
    <w:nsid w:val="3DC240FB"/>
    <w:multiLevelType w:val="hybridMultilevel"/>
    <w:lvl w:ilvl="0">
      <w:lvlJc w:val="left"/>
      <w:lvlText w:val="(%1)"/>
      <w:numFmt w:val="lowerLetter"/>
      <w:start w:val="2"/>
    </w:lvl>
  </w:abstractNum>
  <w:abstractNum w:abstractNumId="20">
    <w:nsid w:val="1BA026FA"/>
    <w:multiLevelType w:val="hybridMultilevel"/>
    <w:lvl w:ilvl="0">
      <w:lvlJc w:val="left"/>
      <w:lvlText w:val="(%1)"/>
      <w:numFmt w:val="lowerLetter"/>
      <w:start w:val="3"/>
    </w:lvl>
  </w:abstractNum>
  <w:abstractNum w:abstractNumId="21">
    <w:nsid w:val="79A1DEAA"/>
    <w:multiLevelType w:val="hybridMultilevel"/>
    <w:lvl w:ilvl="0">
      <w:lvlJc w:val="left"/>
      <w:lvlText w:val="(%1)"/>
      <w:numFmt w:val="lowerLetter"/>
      <w:start w:val="4"/>
    </w:lvl>
  </w:abstractNum>
  <w:abstractNum w:abstractNumId="22">
    <w:nsid w:val="75C6C33A"/>
    <w:multiLevelType w:val="hybridMultilevel"/>
    <w:lvl w:ilvl="0">
      <w:lvlJc w:val="left"/>
      <w:lvlText w:val="(%1)"/>
      <w:numFmt w:val="lowerLetter"/>
      <w:start w:val="5"/>
    </w:lvl>
  </w:abstractNum>
  <w:abstractNum w:abstractNumId="23">
    <w:nsid w:val="12E685FB"/>
    <w:multiLevelType w:val="hybridMultilevel"/>
    <w:lvl w:ilvl="0">
      <w:lvlJc w:val="left"/>
      <w:lvlText w:val="(%1)"/>
      <w:numFmt w:val="lowerRoman"/>
      <w:start w:val="1"/>
    </w:lvl>
  </w:abstractNum>
  <w:abstractNum w:abstractNumId="24">
    <w:nsid w:val="70C6A529"/>
    <w:multiLevelType w:val="hybridMultilevel"/>
    <w:lvl w:ilvl="0">
      <w:lvlJc w:val="left"/>
      <w:lvlText w:val="(%1)"/>
      <w:numFmt w:val="lowerLetter"/>
      <w:start w:val="6"/>
    </w:lvl>
  </w:abstractNum>
  <w:abstractNum w:abstractNumId="25">
    <w:nsid w:val="520EEDD1"/>
    <w:multiLevelType w:val="hybridMultilevel"/>
    <w:lvl w:ilvl="0">
      <w:lvlJc w:val="left"/>
      <w:lvlText w:val="(%1)"/>
      <w:numFmt w:val="lowerLetter"/>
      <w:start w:val="7"/>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1)"/>
      <w:numFmt w:val="lowerLetter"/>
      <w:start w:val="2"/>
    </w:lvl>
  </w:abstractNum>
  <w:abstractNum w:abstractNumId="28">
    <w:nsid w:val="23F9C13C"/>
    <w:multiLevelType w:val="hybridMultilevel"/>
    <w:lvl w:ilvl="0">
      <w:lvlJc w:val="left"/>
      <w:lvlText w:val="(%1)"/>
      <w:numFmt w:val="lowerLetter"/>
      <w:start w:val="3"/>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Letter"/>
      <w:start w:val="2"/>
    </w:lvl>
  </w:abstractNum>
  <w:abstractNum w:abstractNumId="31">
    <w:nsid w:val="39386575"/>
    <w:multiLevelType w:val="hybridMultilevel"/>
    <w:lvl w:ilvl="0">
      <w:lvlJc w:val="left"/>
      <w:lvlText w:val="(%1)"/>
      <w:numFmt w:val="lowerLetter"/>
      <w:start w:val="3"/>
    </w:lvl>
  </w:abstractNum>
  <w:abstractNum w:abstractNumId="32">
    <w:nsid w:val="1CF10FD8"/>
    <w:multiLevelType w:val="hybridMultilevel"/>
    <w:lvl w:ilvl="0">
      <w:lvlJc w:val="left"/>
      <w:lvlText w:val="(%1)"/>
      <w:numFmt w:val="lowerLetter"/>
      <w:start w:val="4"/>
    </w:lvl>
  </w:abstractNum>
  <w:abstractNum w:abstractNumId="33">
    <w:nsid w:val="180115BE"/>
    <w:multiLevelType w:val="hybridMultilevel"/>
    <w:lvl w:ilvl="0">
      <w:lvlJc w:val="left"/>
      <w:lvlText w:val="(%1)"/>
      <w:numFmt w:val="lowerLetter"/>
      <w:start w:val="5"/>
    </w:lvl>
  </w:abstractNum>
  <w:abstractNum w:abstractNumId="34">
    <w:nsid w:val="235BA861"/>
    <w:multiLevelType w:val="hybridMultilevel"/>
    <w:lvl w:ilvl="0">
      <w:lvlJc w:val="left"/>
      <w:lvlText w:val="%1."/>
      <w:numFmt w:val="decimal"/>
      <w:start w:val="1"/>
    </w:lvl>
    <w:lvl w:ilvl="1">
      <w:lvlJc w:val="left"/>
      <w:lvlText w:val="(%2)"/>
      <w:numFmt w:val="lowerRoman"/>
      <w:start w:val="1"/>
    </w:lvl>
  </w:abstractNum>
  <w:abstractNum w:abstractNumId="35">
    <w:nsid w:val="47398C89"/>
    <w:multiLevelType w:val="hybridMultilevel"/>
    <w:lvl w:ilvl="0">
      <w:lvlJc w:val="left"/>
      <w:lvlText w:val="%1."/>
      <w:numFmt w:val="decimal"/>
      <w:start w:val="4"/>
    </w:lvl>
  </w:abstractNum>
  <w:abstractNum w:abstractNumId="36">
    <w:nsid w:val="354FE9F9"/>
    <w:multiLevelType w:val="hybridMultilevel"/>
    <w:lvl w:ilvl="0">
      <w:lvlJc w:val="left"/>
      <w:lvlText w:val="%1."/>
      <w:numFmt w:val="decimal"/>
      <w:start w:val="7"/>
    </w:lvl>
  </w:abstractNum>
  <w:abstractNum w:abstractNumId="37">
    <w:nsid w:val="15B5AF5C"/>
    <w:multiLevelType w:val="hybridMultilevel"/>
    <w:lvl w:ilvl="0">
      <w:lvlJc w:val="left"/>
      <w:lvlText w:val="%1."/>
      <w:numFmt w:val="decimal"/>
      <w:start w:val="11"/>
    </w:lvl>
  </w:abstractNum>
  <w:abstractNum w:abstractNumId="38">
    <w:nsid w:val="741226BB"/>
    <w:multiLevelType w:val="hybridMultilevel"/>
    <w:lvl w:ilvl="0">
      <w:lvlJc w:val="left"/>
      <w:lvlText w:val="%1."/>
      <w:numFmt w:val="decimal"/>
      <w:start w:val="1"/>
    </w:lvl>
    <w:lvl w:ilvl="1">
      <w:lvlJc w:val="left"/>
      <w:lvlText w:val="(%2)"/>
      <w:numFmt w:val="lowerRoman"/>
      <w:start w:val="1"/>
    </w:lvl>
  </w:abstractNum>
  <w:abstractNum w:abstractNumId="39">
    <w:nsid w:val="D34B6A8"/>
    <w:multiLevelType w:val="hybridMultilevel"/>
    <w:lvl w:ilvl="0">
      <w:lvlJc w:val="left"/>
      <w:lvlText w:val="%1."/>
      <w:numFmt w:val="decimal"/>
      <w:start w:val="4"/>
    </w:lvl>
  </w:abstractNum>
  <w:abstractNum w:abstractNumId="40">
    <w:nsid w:val="10233C99"/>
    <w:multiLevelType w:val="hybridMultilevel"/>
    <w:lvl w:ilvl="0">
      <w:lvlJc w:val="left"/>
      <w:lvlText w:val="%1."/>
      <w:numFmt w:val="decimal"/>
      <w:start w:val="7"/>
    </w:lvl>
  </w:abstractNum>
  <w:abstractNum w:abstractNumId="41">
    <w:nsid w:val="3F6AB60F"/>
    <w:multiLevelType w:val="hybridMultilevel"/>
    <w:lvl w:ilvl="0">
      <w:lvlJc w:val="left"/>
      <w:lvlText w:val="%1."/>
      <w:numFmt w:val="decimal"/>
      <w:start w:val="1"/>
    </w:lvl>
    <w:lvl w:ilvl="1">
      <w:lvlJc w:val="left"/>
      <w:lvlText w:val="(%2)"/>
      <w:numFmt w:val="lowerRoman"/>
      <w:start w:val="1"/>
    </w:lvl>
  </w:abstractNum>
  <w:abstractNum w:abstractNumId="42">
    <w:nsid w:val="61574095"/>
    <w:multiLevelType w:val="hybridMultilevel"/>
    <w:lvl w:ilvl="0">
      <w:lvlJc w:val="left"/>
      <w:lvlText w:val="%1"/>
      <w:numFmt w:val="decimal"/>
      <w:start w:val="1"/>
    </w:lvl>
    <w:lvl w:ilvl="1">
      <w:lvlJc w:val="left"/>
      <w:lvlText w:val="(%2)"/>
      <w:numFmt w:val="lowerRoman"/>
      <w:start w:val="4"/>
    </w:lvl>
  </w:abstractNum>
  <w:abstractNum w:abstractNumId="43">
    <w:nsid w:val="7E0C57B1"/>
    <w:multiLevelType w:val="hybridMultilevel"/>
    <w:lvl w:ilvl="0">
      <w:lvlJc w:val="left"/>
      <w:lvlText w:val="%1."/>
      <w:numFmt w:val="decimal"/>
      <w:start w:val="5"/>
    </w:lvl>
    <w:lvl w:ilvl="1">
      <w:lvlJc w:val="left"/>
      <w:lvlText w:val="(%2)"/>
      <w:numFmt w:val="lowerRoman"/>
      <w:start w:val="1"/>
    </w:lvl>
  </w:abstractNum>
  <w:abstractNum w:abstractNumId="44">
    <w:nsid w:val="77AE35EB"/>
    <w:multiLevelType w:val="hybridMultilevel"/>
    <w:lvl w:ilvl="0">
      <w:lvlJc w:val="left"/>
      <w:lvlText w:val="%1"/>
      <w:numFmt w:val="decimal"/>
      <w:start w:val="1"/>
    </w:lvl>
    <w:lvl w:ilvl="1">
      <w:lvlJc w:val="left"/>
      <w:lvlText w:val="(%2)"/>
      <w:numFmt w:val="lowerRoman"/>
      <w:start w:val="2"/>
    </w:lvl>
  </w:abstractNum>
  <w:abstractNum w:abstractNumId="45">
    <w:nsid w:val="579BE4F1"/>
    <w:multiLevelType w:val="hybridMultilevel"/>
    <w:lvl w:ilvl="0">
      <w:lvlJc w:val="left"/>
      <w:lvlText w:val="%1."/>
      <w:numFmt w:val="decimal"/>
      <w:start w:val="10"/>
    </w:lvl>
    <w:lvl w:ilvl="1">
      <w:lvlJc w:val="left"/>
      <w:lvlText w:val="%2"/>
      <w:numFmt w:val="lowerRoman"/>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lvl w:ilvl="1">
      <w:lvlJc w:val="left"/>
      <w:lvlText w:val="(%2)"/>
      <w:numFmt w:val="lowerRoman"/>
      <w:start w:val="1"/>
    </w:lvl>
  </w:abstractNum>
  <w:abstractNum w:abstractNumId="48">
    <w:nsid w:val="2F305DEF"/>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abstractNum>
  <w:abstractNum w:abstractNumId="49">
    <w:nsid w:val="25A70BF7"/>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50">
    <w:nsid w:val="1DBABF00"/>
    <w:multiLevelType w:val="hybridMultilevel"/>
    <w:lvl w:ilvl="0">
      <w:lvlJc w:val="left"/>
      <w:lvlText w:val="%1."/>
      <w:numFmt w:val="decimal"/>
      <w:start w:val="8"/>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2"/>
    </w:lvl>
  </w:abstractNum>
  <w:abstractNum w:abstractNumId="54">
    <w:nsid w:val="5DB70AE5"/>
    <w:multiLevelType w:val="hybridMultilevel"/>
    <w:lvl w:ilvl="0">
      <w:lvlJc w:val="left"/>
      <w:lvlText w:val="%1."/>
      <w:numFmt w:val="decimal"/>
      <w:start w:val="3"/>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decimal"/>
      <w:start w:val="4"/>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decimal"/>
      <w:start w:val="5"/>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decimal"/>
      <w:start w:val="6"/>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decimal"/>
      <w:start w:val="7"/>
    </w:lvl>
  </w:abstractNum>
  <w:abstractNum w:abstractNumId="63">
    <w:nsid w:val="168E121F"/>
    <w:multiLevelType w:val="hybridMultilevel"/>
    <w:lvl w:ilvl="0">
      <w:lvlJc w:val="left"/>
      <w:lvlText w:val="%1."/>
      <w:numFmt w:val="decimal"/>
      <w:start w:val="8"/>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decimal"/>
      <w:start w:val="1"/>
    </w:lvl>
    <w:lvl w:ilvl="1">
      <w:lvlJc w:val="left"/>
      <w:lvlText w:val="(%2)"/>
      <w:numFmt w:val="lowerLetter"/>
      <w:start w:val="6"/>
    </w:lvl>
  </w:abstractNum>
  <w:abstractNum w:abstractNumId="66">
    <w:nsid w:val="5DC79EA8"/>
    <w:multiLevelType w:val="hybridMultilevel"/>
    <w:lvl w:ilvl="0">
      <w:lvlJc w:val="left"/>
      <w:lvlText w:val="%1."/>
      <w:numFmt w:val="decimal"/>
      <w:start w:val="9"/>
    </w:lvl>
    <w:lvl w:ilvl="1">
      <w:lvlJc w:val="left"/>
      <w:lvlText w:val="%2"/>
      <w:numFmt w:val="lowerLetter"/>
      <w:start w:val="1"/>
    </w:lvl>
  </w:abstractNum>
  <w:abstractNum w:abstractNumId="67">
    <w:nsid w:val="540A471C"/>
    <w:multiLevelType w:val="hybridMultilevel"/>
    <w:lvl w:ilvl="0">
      <w:lvlJc w:val="left"/>
      <w:lvlText w:val="%1."/>
      <w:numFmt w:val="decimal"/>
      <w:start w:val="10"/>
    </w:lvl>
  </w:abstractNum>
  <w:abstractNum w:abstractNumId="68">
    <w:nsid w:val="7BD3EE7B"/>
    <w:multiLevelType w:val="hybridMultilevel"/>
    <w:lvl w:ilvl="0">
      <w:lvlJc w:val="left"/>
      <w:lvlText w:val="%1."/>
      <w:numFmt w:val="decimal"/>
      <w:start w:val="11"/>
    </w:lvl>
  </w:abstractNum>
  <w:abstractNum w:abstractNumId="69">
    <w:nsid w:val="51D9C564"/>
    <w:multiLevelType w:val="hybridMultilevel"/>
    <w:lvl w:ilvl="0">
      <w:lvlJc w:val="left"/>
      <w:lvlText w:val="%1."/>
      <w:numFmt w:val="decimal"/>
      <w:start w:val="12"/>
    </w:lvl>
  </w:abstractNum>
  <w:abstractNum w:abstractNumId="70">
    <w:nsid w:val="613EFDC5"/>
    <w:multiLevelType w:val="hybridMultilevel"/>
    <w:lvl w:ilvl="0">
      <w:lvlJc w:val="left"/>
      <w:lvlText w:val="%1."/>
      <w:numFmt w:val="decimal"/>
      <w:start w:val="13"/>
    </w:lvl>
  </w:abstractNum>
  <w:abstractNum w:abstractNumId="71">
    <w:nsid w:val="BF72B14"/>
    <w:multiLevelType w:val="hybridMultilevel"/>
    <w:lvl w:ilvl="0">
      <w:lvlJc w:val="left"/>
      <w:lvlText w:val="%1."/>
      <w:numFmt w:val="decimal"/>
      <w:start w:val="14"/>
    </w:lvl>
  </w:abstractNum>
  <w:abstractNum w:abstractNumId="72">
    <w:nsid w:val="11447B73"/>
    <w:multiLevelType w:val="hybridMultilevel"/>
    <w:lvl w:ilvl="0">
      <w:lvlJc w:val="left"/>
      <w:lvlText w:val="%1."/>
      <w:numFmt w:val="decimal"/>
      <w:start w:val="15"/>
    </w:lvl>
  </w:abstractNum>
  <w:abstractNum w:abstractNumId="73">
    <w:nsid w:val="42963E5A"/>
    <w:multiLevelType w:val="hybridMultilevel"/>
    <w:lvl w:ilvl="0">
      <w:lvlJc w:val="left"/>
      <w:lvlText w:val="%1."/>
      <w:numFmt w:val="decimal"/>
      <w:start w:val="16"/>
    </w:lvl>
  </w:abstractNum>
  <w:abstractNum w:abstractNumId="74">
    <w:nsid w:val="A0382C5"/>
    <w:multiLevelType w:val="hybridMultilevel"/>
    <w:lvl w:ilvl="0">
      <w:lvlJc w:val="left"/>
      <w:lvlText w:val="%1."/>
      <w:numFmt w:val="decimal"/>
      <w:start w:val="17"/>
    </w:lvl>
  </w:abstractNum>
  <w:abstractNum w:abstractNumId="75">
    <w:nsid w:val="8F2B15E"/>
    <w:multiLevelType w:val="hybridMultilevel"/>
    <w:lvl w:ilvl="0">
      <w:lvlJc w:val="left"/>
      <w:lvlText w:val="%1."/>
      <w:numFmt w:val="decimal"/>
      <w:start w:val="18"/>
    </w:lvl>
  </w:abstractNum>
  <w:abstractNum w:abstractNumId="76">
    <w:nsid w:val="1A32234B"/>
    <w:multiLevelType w:val="hybridMultilevel"/>
    <w:lvl w:ilvl="0">
      <w:lvlJc w:val="left"/>
      <w:lvlText w:val="%1."/>
      <w:numFmt w:val="decimal"/>
      <w:start w:val="19"/>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45" Type="http://schemas.openxmlformats.org/officeDocument/2006/relationships/hyperlink" Target="http://www.sec.gov/Archives/edgar/data/1036262/000143774920020176/ex_204864.htm" TargetMode="External"/><Relationship Id="rId46" Type="http://schemas.openxmlformats.org/officeDocument/2006/relationships/hyperlink" Target="http://www.sec.gov/Archives/edgar/data/1036262/000143774920017523/ex_198824.htm" TargetMode="External"/><Relationship Id="rId47" Type="http://schemas.openxmlformats.org/officeDocument/2006/relationships/hyperlink" Target="http://www.sec.gov/Archives/edgar/data/1036262/000143774920017523/ex_1988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2020-11-12T15:39:06Z</dcterms:created>
  <dcterms:modified xsi:type="dcterms:W3CDTF">2020-11-12T15:39:06Z</dcterms:modified>
</cp:coreProperties>
</file>