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131445</wp:posOffset>
            </wp:positionV>
            <wp:extent cx="11188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0000FF"/>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135890</wp:posOffset>
            </wp:positionV>
            <wp:extent cx="111887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6"/>
          <w:szCs w:val="16"/>
          <w:b w:val="1"/>
          <w:bCs w:val="1"/>
          <w:color w:val="auto"/>
        </w:rPr>
        <w:t>QUARTERLY REPORT PURSUANT TO SECTION 13 OR 15(d) OF THE SECURITIES EXCHANGE ACT OF 1934</w:t>
      </w:r>
    </w:p>
    <w:p>
      <w:pPr>
        <w:spacing w:after="0" w:line="211"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FF0000"/>
        </w:rPr>
        <w:t>March 31, 2010</w:t>
      </w:r>
      <w:r>
        <w:rPr>
          <w:rFonts w:ascii="Arial" w:cs="Arial" w:eastAsia="Arial" w:hAnsi="Arial"/>
          <w:sz w:val="18"/>
          <w:szCs w:val="18"/>
          <w:color w:val="auto"/>
        </w:rPr>
        <w:t xml:space="preserve"> or</w:t>
      </w:r>
    </w:p>
    <w:p>
      <w:pPr>
        <w:spacing w:after="0" w:line="219" w:lineRule="exact"/>
        <w:rPr>
          <w:sz w:val="24"/>
          <w:szCs w:val="24"/>
          <w:color w:val="auto"/>
        </w:rPr>
      </w:pPr>
    </w:p>
    <w:p>
      <w:pPr>
        <w:ind w:left="2160" w:right="1920" w:hanging="2152"/>
        <w:spacing w:after="0" w:line="478" w:lineRule="auto"/>
        <w:tabs>
          <w:tab w:leader="none" w:pos="18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0-22529</w:t>
      </w:r>
    </w:p>
    <w:p>
      <w:pPr>
        <w:spacing w:after="0" w:line="13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0000FF"/>
        </w:rPr>
        <w:t>inTEST Corporation</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185"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90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4160" w:type="dxa"/>
            <w:vAlign w:val="bottom"/>
            <w:gridSpan w:val="3"/>
          </w:tcPr>
          <w:p>
            <w:pPr>
              <w:jc w:val="center"/>
              <w:ind w:right="94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140" w:type="dxa"/>
            <w:vAlign w:val="bottom"/>
            <w:gridSpan w:val="3"/>
          </w:tcPr>
          <w:p>
            <w:pPr>
              <w:jc w:val="center"/>
              <w:ind w:left="862"/>
              <w:spacing w:after="0"/>
              <w:rPr>
                <w:sz w:val="20"/>
                <w:szCs w:val="20"/>
                <w:color w:val="auto"/>
              </w:rPr>
            </w:pPr>
            <w:r>
              <w:rPr>
                <w:rFonts w:ascii="Arial" w:cs="Arial" w:eastAsia="Arial" w:hAnsi="Arial"/>
                <w:sz w:val="14"/>
                <w:szCs w:val="14"/>
                <w:color w:val="auto"/>
                <w:w w:val="90"/>
              </w:rPr>
              <w:t>(I.R.S. Employer Identification Number)</w:t>
            </w:r>
          </w:p>
        </w:tc>
      </w:tr>
    </w:tbl>
    <w:p>
      <w:pPr>
        <w:spacing w:after="0" w:line="20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 Esterbrook Lane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Cherry Hill, New Jersey 08003</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2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(856) 424-6886</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618744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7440" cy="342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ind w:right="6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(SS 232.405 of this chapter) during the preceding 12 month (or for such shorter period that the registrant was required to submit and post such files). YES ____ NO ____</w:t>
      </w:r>
    </w:p>
    <w:p>
      <w:pPr>
        <w:spacing w:after="0" w:line="194"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tbl>
      <w:tblPr>
        <w:tblLayout w:type="fixed"/>
        <w:tblInd w:w="54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w w:val="88"/>
              </w:rPr>
              <w:t>Large accelerated filer</w:t>
            </w:r>
          </w:p>
        </w:tc>
        <w:tc>
          <w:tcPr>
            <w:tcW w:w="3340" w:type="dxa"/>
            <w:vAlign w:val="bottom"/>
          </w:tcPr>
          <w:p>
            <w:pPr>
              <w:jc w:val="right"/>
              <w:ind w:right="2912"/>
              <w:spacing w:after="0"/>
              <w:rPr>
                <w:sz w:val="20"/>
                <w:szCs w:val="20"/>
                <w:color w:val="auto"/>
              </w:rPr>
            </w:pPr>
            <w:r>
              <w:rPr>
                <w:rFonts w:ascii="Arial" w:cs="Arial" w:eastAsia="Arial" w:hAnsi="Arial"/>
                <w:sz w:val="18"/>
                <w:szCs w:val="18"/>
                <w:color w:val="auto"/>
              </w:rPr>
              <w:t>___</w:t>
            </w:r>
          </w:p>
        </w:tc>
        <w:tc>
          <w:tcPr>
            <w:tcW w:w="2780" w:type="dxa"/>
            <w:vAlign w:val="bottom"/>
            <w:gridSpan w:val="2"/>
          </w:tcPr>
          <w:p>
            <w:pPr>
              <w:ind w:left="500"/>
              <w:spacing w:after="0"/>
              <w:rPr>
                <w:sz w:val="20"/>
                <w:szCs w:val="20"/>
                <w:color w:val="auto"/>
              </w:rPr>
            </w:pPr>
            <w:r>
              <w:rPr>
                <w:rFonts w:ascii="Arial" w:cs="Arial" w:eastAsia="Arial" w:hAnsi="Arial"/>
                <w:sz w:val="18"/>
                <w:szCs w:val="18"/>
                <w:color w:val="auto"/>
              </w:rPr>
              <w:t>Accelerated filer ___</w:t>
            </w:r>
          </w:p>
        </w:tc>
      </w:tr>
      <w:tr>
        <w:trPr>
          <w:trHeight w:val="184"/>
        </w:trPr>
        <w:tc>
          <w:tcPr>
            <w:tcW w:w="1600" w:type="dxa"/>
            <w:vAlign w:val="bottom"/>
          </w:tcPr>
          <w:p>
            <w:pPr>
              <w:spacing w:after="0" w:line="184" w:lineRule="exact"/>
              <w:rPr>
                <w:sz w:val="20"/>
                <w:szCs w:val="20"/>
                <w:color w:val="auto"/>
              </w:rPr>
            </w:pPr>
            <w:r>
              <w:rPr>
                <w:rFonts w:ascii="Arial" w:cs="Arial" w:eastAsia="Arial" w:hAnsi="Arial"/>
                <w:sz w:val="18"/>
                <w:szCs w:val="18"/>
                <w:color w:val="auto"/>
                <w:w w:val="95"/>
              </w:rPr>
              <w:t>Non-accelerated filer</w:t>
            </w:r>
          </w:p>
        </w:tc>
        <w:tc>
          <w:tcPr>
            <w:tcW w:w="3340" w:type="dxa"/>
            <w:vAlign w:val="bottom"/>
          </w:tcPr>
          <w:p>
            <w:pPr>
              <w:jc w:val="right"/>
              <w:ind w:right="412"/>
              <w:spacing w:after="0" w:line="184" w:lineRule="exact"/>
              <w:rPr>
                <w:sz w:val="20"/>
                <w:szCs w:val="20"/>
                <w:color w:val="auto"/>
              </w:rPr>
            </w:pPr>
            <w:r>
              <w:rPr>
                <w:rFonts w:ascii="Arial" w:cs="Arial" w:eastAsia="Arial" w:hAnsi="Arial"/>
                <w:sz w:val="18"/>
                <w:szCs w:val="18"/>
                <w:color w:val="auto"/>
                <w:w w:val="94"/>
              </w:rPr>
              <w:t xml:space="preserve">___ </w:t>
            </w:r>
            <w:r>
              <w:rPr>
                <w:rFonts w:ascii="Arial" w:cs="Arial" w:eastAsia="Arial" w:hAnsi="Arial"/>
                <w:sz w:val="13"/>
                <w:szCs w:val="13"/>
                <w:color w:val="auto"/>
                <w:w w:val="94"/>
              </w:rPr>
              <w:t>(Do not check if a smaller reporting company)</w:t>
            </w:r>
          </w:p>
        </w:tc>
        <w:tc>
          <w:tcPr>
            <w:tcW w:w="2780" w:type="dxa"/>
            <w:vAlign w:val="bottom"/>
            <w:gridSpan w:val="2"/>
          </w:tcPr>
          <w:p>
            <w:pPr>
              <w:ind w:left="560"/>
              <w:spacing w:after="0" w:line="184" w:lineRule="exact"/>
              <w:rPr>
                <w:sz w:val="20"/>
                <w:szCs w:val="20"/>
                <w:color w:val="auto"/>
              </w:rPr>
            </w:pPr>
            <w:r>
              <w:rPr>
                <w:rFonts w:ascii="Arial" w:cs="Arial" w:eastAsia="Arial" w:hAnsi="Arial"/>
                <w:sz w:val="18"/>
                <w:szCs w:val="18"/>
                <w:color w:val="auto"/>
                <w:w w:val="94"/>
              </w:rPr>
              <w:t>Smaller reporting company X</w:t>
            </w:r>
          </w:p>
        </w:tc>
      </w:tr>
      <w:tr>
        <w:trPr>
          <w:trHeight w:val="20"/>
        </w:trPr>
        <w:tc>
          <w:tcPr>
            <w:tcW w:w="1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YES ___</w:t>
        <w:tab/>
        <w:t xml:space="preserve">NO </w:t>
      </w:r>
      <w:r>
        <w:rPr>
          <w:rFonts w:ascii="Arial" w:cs="Arial" w:eastAsia="Arial" w:hAnsi="Arial"/>
          <w:sz w:val="18"/>
          <w:szCs w:val="18"/>
          <w:u w:val="single" w:color="auto"/>
          <w:color w:val="auto"/>
        </w:rPr>
        <w:t>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$.01 par value, outstanding as of the close of business on April 30, 2010:</w:t>
      </w:r>
    </w:p>
    <w:p>
      <w:pPr>
        <w:spacing w:after="0" w:line="18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10,301,456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618744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744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tbl>
      <w:tblPr>
        <w:tblLayout w:type="fixed"/>
        <w:tblInd w:w="20" w:type="dxa"/>
        <w:tblCellMar>
          <w:top w:w="0" w:type="dxa"/>
          <w:left w:w="0" w:type="dxa"/>
          <w:bottom w:w="0" w:type="dxa"/>
          <w:right w:w="0" w:type="dxa"/>
        </w:tblCellMar>
      </w:tblPr>
      <w:tr>
        <w:trPr>
          <w:trHeight w:val="228"/>
        </w:trPr>
        <w:tc>
          <w:tcPr>
            <w:tcW w:w="7620" w:type="dxa"/>
            <w:vAlign w:val="bottom"/>
          </w:tcPr>
          <w:p>
            <w:pPr>
              <w:ind w:left="4720"/>
              <w:spacing w:after="0"/>
              <w:rPr>
                <w:sz w:val="20"/>
                <w:szCs w:val="20"/>
                <w:color w:val="auto"/>
              </w:rPr>
            </w:pPr>
            <w:r>
              <w:rPr>
                <w:rFonts w:ascii="Arial" w:cs="Arial" w:eastAsia="Arial" w:hAnsi="Arial"/>
                <w:sz w:val="18"/>
                <w:szCs w:val="18"/>
                <w:b w:val="1"/>
                <w:bCs w:val="1"/>
                <w:color w:val="auto"/>
              </w:rPr>
              <w:t>inTEST CORPORATION</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2"/>
        </w:trPr>
        <w:tc>
          <w:tcPr>
            <w:tcW w:w="7620" w:type="dxa"/>
            <w:vAlign w:val="bottom"/>
          </w:tcPr>
          <w:p>
            <w:pPr>
              <w:ind w:left="5420"/>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905"/>
        </w:trPr>
        <w:tc>
          <w:tcPr>
            <w:tcW w:w="762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5"/>
        </w:trPr>
        <w:tc>
          <w:tcPr>
            <w:tcW w:w="7620" w:type="dxa"/>
            <w:vAlign w:val="bottom"/>
          </w:tcPr>
          <w:p>
            <w:pPr>
              <w:spacing w:after="0"/>
              <w:rPr>
                <w:sz w:val="17"/>
                <w:szCs w:val="17"/>
                <w:color w:val="auto"/>
              </w:rPr>
            </w:pPr>
          </w:p>
        </w:tc>
        <w:tc>
          <w:tcPr>
            <w:tcW w:w="720" w:type="dxa"/>
            <w:vAlign w:val="bottom"/>
            <w:gridSpan w:val="2"/>
          </w:tcPr>
          <w:p>
            <w:pPr>
              <w:jc w:val="center"/>
              <w:ind w:left="272"/>
              <w:spacing w:after="0" w:line="205" w:lineRule="exact"/>
              <w:rPr>
                <w:sz w:val="20"/>
                <w:szCs w:val="20"/>
                <w:color w:val="auto"/>
              </w:rPr>
            </w:pPr>
            <w:r>
              <w:rPr>
                <w:rFonts w:ascii="Arial" w:cs="Arial" w:eastAsia="Arial" w:hAnsi="Arial"/>
                <w:sz w:val="18"/>
                <w:szCs w:val="18"/>
                <w:b w:val="1"/>
                <w:bCs w:val="1"/>
                <w:color w:val="auto"/>
                <w:w w:val="83"/>
              </w:rPr>
              <w:t>Page</w:t>
            </w:r>
          </w:p>
        </w:tc>
      </w:tr>
      <w:tr>
        <w:trPr>
          <w:trHeight w:val="262"/>
        </w:trPr>
        <w:tc>
          <w:tcPr>
            <w:tcW w:w="7620" w:type="dxa"/>
            <w:vAlign w:val="bottom"/>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36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r>
      <w:tr>
        <w:trPr>
          <w:trHeight w:val="486"/>
        </w:trPr>
        <w:tc>
          <w:tcPr>
            <w:tcW w:w="7620" w:type="dxa"/>
            <w:vAlign w:val="bottom"/>
          </w:tcPr>
          <w:p>
            <w:pPr>
              <w:ind w:left="780"/>
              <w:spacing w:after="0"/>
              <w:rPr>
                <w:sz w:val="20"/>
                <w:szCs w:val="20"/>
                <w:color w:val="auto"/>
              </w:rPr>
            </w:pPr>
            <w:r>
              <w:rPr>
                <w:rFonts w:ascii="Arial" w:cs="Arial" w:eastAsia="Arial" w:hAnsi="Arial"/>
                <w:sz w:val="18"/>
                <w:szCs w:val="18"/>
                <w:color w:val="auto"/>
                <w:w w:val="96"/>
              </w:rPr>
              <w:t>Consolidated Balance Sheets as of March 31, 2010 (Unaudited) and December 31, 2009</w:t>
            </w:r>
          </w:p>
        </w:tc>
        <w:tc>
          <w:tcPr>
            <w:tcW w:w="720" w:type="dxa"/>
            <w:vAlign w:val="bottom"/>
            <w:gridSpan w:val="2"/>
          </w:tcPr>
          <w:p>
            <w:pPr>
              <w:jc w:val="center"/>
              <w:ind w:left="272"/>
              <w:spacing w:after="0"/>
              <w:rPr>
                <w:sz w:val="20"/>
                <w:szCs w:val="20"/>
                <w:color w:val="auto"/>
              </w:rPr>
            </w:pPr>
            <w:r>
              <w:rPr>
                <w:rFonts w:ascii="Arial" w:cs="Arial" w:eastAsia="Arial" w:hAnsi="Arial"/>
                <w:sz w:val="18"/>
                <w:szCs w:val="18"/>
                <w:color w:val="auto"/>
                <w:w w:val="79"/>
              </w:rPr>
              <w:t>1</w:t>
            </w:r>
          </w:p>
        </w:tc>
      </w:tr>
      <w:tr>
        <w:trPr>
          <w:trHeight w:val="237"/>
        </w:trPr>
        <w:tc>
          <w:tcPr>
            <w:tcW w:w="7620" w:type="dxa"/>
            <w:vAlign w:val="bottom"/>
          </w:tcPr>
          <w:p>
            <w:pPr>
              <w:ind w:left="780"/>
              <w:spacing w:after="0"/>
              <w:rPr>
                <w:sz w:val="20"/>
                <w:szCs w:val="20"/>
                <w:color w:val="auto"/>
              </w:rPr>
            </w:pPr>
            <w:r>
              <w:rPr>
                <w:rFonts w:ascii="Arial" w:cs="Arial" w:eastAsia="Arial" w:hAnsi="Arial"/>
                <w:sz w:val="18"/>
                <w:szCs w:val="18"/>
                <w:color w:val="auto"/>
                <w:w w:val="96"/>
              </w:rPr>
              <w:t>Unaudited Consolidated Statements of Operations for the three months ended March 31,</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7620" w:type="dxa"/>
            <w:vAlign w:val="bottom"/>
          </w:tcPr>
          <w:p>
            <w:pPr>
              <w:ind w:left="900"/>
              <w:spacing w:after="0"/>
              <w:rPr>
                <w:sz w:val="20"/>
                <w:szCs w:val="20"/>
                <w:color w:val="auto"/>
              </w:rPr>
            </w:pPr>
            <w:r>
              <w:rPr>
                <w:rFonts w:ascii="Arial" w:cs="Arial" w:eastAsia="Arial" w:hAnsi="Arial"/>
                <w:sz w:val="18"/>
                <w:szCs w:val="18"/>
                <w:color w:val="auto"/>
              </w:rPr>
              <w:t>2010 and 2009</w:t>
            </w:r>
          </w:p>
        </w:tc>
        <w:tc>
          <w:tcPr>
            <w:tcW w:w="720" w:type="dxa"/>
            <w:vAlign w:val="bottom"/>
            <w:gridSpan w:val="2"/>
          </w:tcPr>
          <w:p>
            <w:pPr>
              <w:jc w:val="center"/>
              <w:ind w:left="272"/>
              <w:spacing w:after="0"/>
              <w:rPr>
                <w:sz w:val="20"/>
                <w:szCs w:val="20"/>
                <w:color w:val="auto"/>
              </w:rPr>
            </w:pPr>
            <w:r>
              <w:rPr>
                <w:rFonts w:ascii="Arial" w:cs="Arial" w:eastAsia="Arial" w:hAnsi="Arial"/>
                <w:sz w:val="18"/>
                <w:szCs w:val="18"/>
                <w:color w:val="auto"/>
                <w:w w:val="79"/>
              </w:rPr>
              <w:t>2</w:t>
            </w:r>
          </w:p>
        </w:tc>
      </w:tr>
      <w:tr>
        <w:trPr>
          <w:trHeight w:val="237"/>
        </w:trPr>
        <w:tc>
          <w:tcPr>
            <w:tcW w:w="7620" w:type="dxa"/>
            <w:vAlign w:val="bottom"/>
          </w:tcPr>
          <w:p>
            <w:pPr>
              <w:ind w:left="780"/>
              <w:spacing w:after="0"/>
              <w:rPr>
                <w:sz w:val="20"/>
                <w:szCs w:val="20"/>
                <w:color w:val="auto"/>
              </w:rPr>
            </w:pPr>
            <w:r>
              <w:rPr>
                <w:rFonts w:ascii="Arial" w:cs="Arial" w:eastAsia="Arial" w:hAnsi="Arial"/>
                <w:sz w:val="18"/>
                <w:szCs w:val="18"/>
                <w:color w:val="auto"/>
                <w:w w:val="92"/>
              </w:rPr>
              <w:t>Unaudited Consolidated Statements of Comprehensive Earnings (Loss) for the three months</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7620" w:type="dxa"/>
            <w:vAlign w:val="bottom"/>
          </w:tcPr>
          <w:p>
            <w:pPr>
              <w:ind w:left="900"/>
              <w:spacing w:after="0"/>
              <w:rPr>
                <w:sz w:val="20"/>
                <w:szCs w:val="20"/>
                <w:color w:val="auto"/>
              </w:rPr>
            </w:pPr>
            <w:r>
              <w:rPr>
                <w:rFonts w:ascii="Arial" w:cs="Arial" w:eastAsia="Arial" w:hAnsi="Arial"/>
                <w:sz w:val="18"/>
                <w:szCs w:val="18"/>
                <w:color w:val="auto"/>
              </w:rPr>
              <w:t>ended March 31, 2010 and 2009</w:t>
            </w:r>
          </w:p>
        </w:tc>
        <w:tc>
          <w:tcPr>
            <w:tcW w:w="720" w:type="dxa"/>
            <w:vAlign w:val="bottom"/>
            <w:gridSpan w:val="2"/>
          </w:tcPr>
          <w:p>
            <w:pPr>
              <w:jc w:val="center"/>
              <w:ind w:left="272"/>
              <w:spacing w:after="0"/>
              <w:rPr>
                <w:sz w:val="20"/>
                <w:szCs w:val="20"/>
                <w:color w:val="auto"/>
              </w:rPr>
            </w:pPr>
            <w:r>
              <w:rPr>
                <w:rFonts w:ascii="Arial" w:cs="Arial" w:eastAsia="Arial" w:hAnsi="Arial"/>
                <w:sz w:val="18"/>
                <w:szCs w:val="18"/>
                <w:color w:val="auto"/>
                <w:w w:val="79"/>
              </w:rPr>
              <w:t>3</w:t>
            </w:r>
          </w:p>
        </w:tc>
      </w:tr>
      <w:tr>
        <w:trPr>
          <w:trHeight w:val="237"/>
        </w:trPr>
        <w:tc>
          <w:tcPr>
            <w:tcW w:w="7620" w:type="dxa"/>
            <w:vAlign w:val="bottom"/>
          </w:tcPr>
          <w:p>
            <w:pPr>
              <w:ind w:left="780"/>
              <w:spacing w:after="0"/>
              <w:rPr>
                <w:sz w:val="20"/>
                <w:szCs w:val="20"/>
                <w:color w:val="auto"/>
              </w:rPr>
            </w:pPr>
            <w:r>
              <w:rPr>
                <w:rFonts w:ascii="Arial" w:cs="Arial" w:eastAsia="Arial" w:hAnsi="Arial"/>
                <w:sz w:val="18"/>
                <w:szCs w:val="18"/>
                <w:color w:val="auto"/>
                <w:w w:val="99"/>
              </w:rPr>
              <w:t>Unaudited Consolidated Statement of Stockholders' Equity for the three months ended</w:t>
            </w:r>
          </w:p>
        </w:tc>
        <w:tc>
          <w:tcPr>
            <w:tcW w:w="720" w:type="dxa"/>
            <w:vAlign w:val="bottom"/>
            <w:gridSpan w:val="2"/>
          </w:tcPr>
          <w:p>
            <w:pPr>
              <w:jc w:val="center"/>
              <w:ind w:left="272"/>
              <w:spacing w:after="0"/>
              <w:rPr>
                <w:sz w:val="20"/>
                <w:szCs w:val="20"/>
                <w:color w:val="auto"/>
              </w:rPr>
            </w:pPr>
            <w:r>
              <w:rPr>
                <w:rFonts w:ascii="Arial" w:cs="Arial" w:eastAsia="Arial" w:hAnsi="Arial"/>
                <w:sz w:val="18"/>
                <w:szCs w:val="18"/>
                <w:color w:val="auto"/>
                <w:w w:val="79"/>
              </w:rPr>
              <w:t>4</w:t>
            </w:r>
          </w:p>
        </w:tc>
      </w:tr>
      <w:tr>
        <w:trPr>
          <w:trHeight w:val="222"/>
        </w:trPr>
        <w:tc>
          <w:tcPr>
            <w:tcW w:w="7620" w:type="dxa"/>
            <w:vAlign w:val="bottom"/>
          </w:tcPr>
          <w:p>
            <w:pPr>
              <w:ind w:left="900"/>
              <w:spacing w:after="0"/>
              <w:rPr>
                <w:sz w:val="20"/>
                <w:szCs w:val="20"/>
                <w:color w:val="auto"/>
              </w:rPr>
            </w:pPr>
            <w:r>
              <w:rPr>
                <w:rFonts w:ascii="Arial" w:cs="Arial" w:eastAsia="Arial" w:hAnsi="Arial"/>
                <w:sz w:val="18"/>
                <w:szCs w:val="18"/>
                <w:color w:val="auto"/>
              </w:rPr>
              <w:t>March 31, 2010</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ectPr>
          <w:pgSz w:w="11900" w:h="16895" w:orient="portrait"/>
          <w:cols w:equalWidth="0" w:num="1">
            <w:col w:w="11280"/>
          </w:cols>
          <w:pgMar w:left="240" w:top="239" w:right="379" w:bottom="0" w:gutter="0" w:footer="0" w:header="0"/>
        </w:sectPr>
      </w:pPr>
    </w:p>
    <w:bookmarkStart w:id="1" w:name="page2"/>
    <w:bookmarkEnd w:id="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rPr>
              <w:t>Unaudited Consolidated Statements of Cash Flows for the three months ended</w:t>
            </w:r>
          </w:p>
        </w:tc>
        <w:tc>
          <w:tcPr>
            <w:tcW w:w="800" w:type="dxa"/>
            <w:vAlign w:val="bottom"/>
          </w:tcPr>
          <w:p>
            <w:pPr>
              <w:jc w:val="center"/>
              <w:ind w:left="232"/>
              <w:spacing w:after="0"/>
              <w:rPr>
                <w:sz w:val="20"/>
                <w:szCs w:val="20"/>
                <w:color w:val="auto"/>
              </w:rPr>
            </w:pPr>
            <w:r>
              <w:rPr>
                <w:rFonts w:ascii="Arial" w:cs="Arial" w:eastAsia="Arial" w:hAnsi="Arial"/>
                <w:sz w:val="18"/>
                <w:szCs w:val="18"/>
                <w:color w:val="auto"/>
                <w:w w:val="79"/>
              </w:rPr>
              <w:t>5</w:t>
            </w:r>
          </w:p>
        </w:tc>
      </w:tr>
      <w:tr>
        <w:trPr>
          <w:trHeight w:val="222"/>
        </w:trPr>
        <w:tc>
          <w:tcPr>
            <w:tcW w:w="720" w:type="dxa"/>
            <w:vAlign w:val="bottom"/>
          </w:tcPr>
          <w:p>
            <w:pPr>
              <w:spacing w:after="0"/>
              <w:rPr>
                <w:sz w:val="19"/>
                <w:szCs w:val="19"/>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March 31, 2010 and 2009</w:t>
            </w:r>
          </w:p>
        </w:tc>
        <w:tc>
          <w:tcPr>
            <w:tcW w:w="800" w:type="dxa"/>
            <w:vAlign w:val="bottom"/>
          </w:tcPr>
          <w:p>
            <w:pPr>
              <w:spacing w:after="0"/>
              <w:rPr>
                <w:sz w:val="19"/>
                <w:szCs w:val="19"/>
                <w:color w:val="auto"/>
              </w:rPr>
            </w:pPr>
          </w:p>
        </w:tc>
      </w:tr>
      <w:tr>
        <w:trPr>
          <w:trHeight w:val="243"/>
        </w:trPr>
        <w:tc>
          <w:tcPr>
            <w:tcW w:w="720" w:type="dxa"/>
            <w:vAlign w:val="bottom"/>
          </w:tcPr>
          <w:p>
            <w:pPr>
              <w:spacing w:after="0"/>
              <w:rPr>
                <w:sz w:val="21"/>
                <w:szCs w:val="21"/>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rPr>
              <w:t>Notes to Consolidated Financial Statements</w:t>
            </w:r>
          </w:p>
        </w:tc>
        <w:tc>
          <w:tcPr>
            <w:tcW w:w="800" w:type="dxa"/>
            <w:vAlign w:val="bottom"/>
          </w:tcPr>
          <w:p>
            <w:pPr>
              <w:jc w:val="center"/>
              <w:ind w:left="232"/>
              <w:spacing w:after="0"/>
              <w:rPr>
                <w:sz w:val="20"/>
                <w:szCs w:val="20"/>
                <w:color w:val="auto"/>
              </w:rPr>
            </w:pPr>
            <w:r>
              <w:rPr>
                <w:rFonts w:ascii="Arial" w:cs="Arial" w:eastAsia="Arial" w:hAnsi="Arial"/>
                <w:sz w:val="18"/>
                <w:szCs w:val="18"/>
                <w:color w:val="auto"/>
                <w:w w:val="86"/>
              </w:rPr>
              <w:t>6 - 17</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688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88"/>
              </w:rPr>
              <w:t>Management's Discussion and Analysis of Financial Condition and Results of Operations</w:t>
            </w:r>
          </w:p>
        </w:tc>
        <w:tc>
          <w:tcPr>
            <w:tcW w:w="800" w:type="dxa"/>
            <w:vAlign w:val="bottom"/>
          </w:tcPr>
          <w:p>
            <w:pPr>
              <w:jc w:val="center"/>
              <w:ind w:left="232"/>
              <w:spacing w:after="0"/>
              <w:rPr>
                <w:sz w:val="20"/>
                <w:szCs w:val="20"/>
                <w:color w:val="auto"/>
              </w:rPr>
            </w:pPr>
            <w:r>
              <w:rPr>
                <w:rFonts w:ascii="Arial" w:cs="Arial" w:eastAsia="Arial" w:hAnsi="Arial"/>
                <w:sz w:val="18"/>
                <w:szCs w:val="18"/>
                <w:color w:val="auto"/>
                <w:w w:val="85"/>
              </w:rPr>
              <w:t>18 - 24</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68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800" w:type="dxa"/>
            <w:vAlign w:val="bottom"/>
          </w:tcPr>
          <w:p>
            <w:pPr>
              <w:jc w:val="center"/>
              <w:ind w:left="232"/>
              <w:spacing w:after="0"/>
              <w:rPr>
                <w:sz w:val="20"/>
                <w:szCs w:val="20"/>
                <w:color w:val="auto"/>
              </w:rPr>
            </w:pPr>
            <w:r>
              <w:rPr>
                <w:rFonts w:ascii="Arial" w:cs="Arial" w:eastAsia="Arial" w:hAnsi="Arial"/>
                <w:sz w:val="18"/>
                <w:szCs w:val="18"/>
                <w:color w:val="auto"/>
                <w:w w:val="79"/>
              </w:rPr>
              <w:t>24</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4T.</w:t>
            </w:r>
          </w:p>
        </w:tc>
        <w:tc>
          <w:tcPr>
            <w:tcW w:w="68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Controls and Procedures</w:t>
            </w:r>
          </w:p>
        </w:tc>
        <w:tc>
          <w:tcPr>
            <w:tcW w:w="800" w:type="dxa"/>
            <w:vAlign w:val="bottom"/>
          </w:tcPr>
          <w:p>
            <w:pPr>
              <w:jc w:val="center"/>
              <w:ind w:left="232"/>
              <w:spacing w:after="0"/>
              <w:rPr>
                <w:sz w:val="20"/>
                <w:szCs w:val="20"/>
                <w:color w:val="auto"/>
              </w:rPr>
            </w:pPr>
            <w:r>
              <w:rPr>
                <w:rFonts w:ascii="Arial" w:cs="Arial" w:eastAsia="Arial" w:hAnsi="Arial"/>
                <w:sz w:val="18"/>
                <w:szCs w:val="18"/>
                <w:color w:val="auto"/>
                <w:w w:val="85"/>
              </w:rPr>
              <w:t>24 - 25</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880" w:type="dxa"/>
            <w:vAlign w:val="bottom"/>
          </w:tcPr>
          <w:p>
            <w:pPr>
              <w:ind w:left="60"/>
              <w:spacing w:after="0"/>
              <w:rPr>
                <w:sz w:val="20"/>
                <w:szCs w:val="20"/>
                <w:color w:val="auto"/>
              </w:rPr>
            </w:pPr>
            <w:r>
              <w:rPr>
                <w:rFonts w:ascii="Arial" w:cs="Arial" w:eastAsia="Arial" w:hAnsi="Arial"/>
                <w:sz w:val="18"/>
                <w:szCs w:val="18"/>
                <w:b w:val="1"/>
                <w:bCs w:val="1"/>
                <w:color w:val="auto"/>
              </w:rPr>
              <w:t>OTHER INFORMATION</w:t>
            </w:r>
          </w:p>
        </w:tc>
        <w:tc>
          <w:tcPr>
            <w:tcW w:w="800" w:type="dxa"/>
            <w:vAlign w:val="bottom"/>
          </w:tcPr>
          <w:p>
            <w:pPr>
              <w:spacing w:after="0"/>
              <w:rPr>
                <w:sz w:val="24"/>
                <w:szCs w:val="24"/>
                <w:color w:val="auto"/>
              </w:rPr>
            </w:pP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68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Legal Proceedings</w:t>
            </w:r>
          </w:p>
        </w:tc>
        <w:tc>
          <w:tcPr>
            <w:tcW w:w="800" w:type="dxa"/>
            <w:vAlign w:val="bottom"/>
          </w:tcPr>
          <w:p>
            <w:pPr>
              <w:jc w:val="center"/>
              <w:ind w:left="232"/>
              <w:spacing w:after="0"/>
              <w:rPr>
                <w:sz w:val="20"/>
                <w:szCs w:val="20"/>
                <w:color w:val="auto"/>
              </w:rPr>
            </w:pPr>
            <w:r>
              <w:rPr>
                <w:rFonts w:ascii="Arial" w:cs="Arial" w:eastAsia="Arial" w:hAnsi="Arial"/>
                <w:sz w:val="18"/>
                <w:szCs w:val="18"/>
                <w:color w:val="auto"/>
                <w:w w:val="79"/>
              </w:rPr>
              <w:t>25</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w w:val="99"/>
              </w:rPr>
              <w:t>Item 1A.</w:t>
            </w:r>
          </w:p>
        </w:tc>
        <w:tc>
          <w:tcPr>
            <w:tcW w:w="68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Risk Factors</w:t>
            </w:r>
          </w:p>
        </w:tc>
        <w:tc>
          <w:tcPr>
            <w:tcW w:w="800" w:type="dxa"/>
            <w:vAlign w:val="bottom"/>
          </w:tcPr>
          <w:p>
            <w:pPr>
              <w:jc w:val="center"/>
              <w:ind w:left="232"/>
              <w:spacing w:after="0"/>
              <w:rPr>
                <w:sz w:val="20"/>
                <w:szCs w:val="20"/>
                <w:color w:val="auto"/>
              </w:rPr>
            </w:pPr>
            <w:r>
              <w:rPr>
                <w:rFonts w:ascii="Arial" w:cs="Arial" w:eastAsia="Arial" w:hAnsi="Arial"/>
                <w:sz w:val="18"/>
                <w:szCs w:val="18"/>
                <w:color w:val="auto"/>
                <w:w w:val="79"/>
              </w:rPr>
              <w:t>25</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68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800" w:type="dxa"/>
            <w:vAlign w:val="bottom"/>
          </w:tcPr>
          <w:p>
            <w:pPr>
              <w:jc w:val="center"/>
              <w:ind w:left="232"/>
              <w:spacing w:after="0"/>
              <w:rPr>
                <w:sz w:val="20"/>
                <w:szCs w:val="20"/>
                <w:color w:val="auto"/>
              </w:rPr>
            </w:pPr>
            <w:r>
              <w:rPr>
                <w:rFonts w:ascii="Arial" w:cs="Arial" w:eastAsia="Arial" w:hAnsi="Arial"/>
                <w:sz w:val="18"/>
                <w:szCs w:val="18"/>
                <w:color w:val="auto"/>
                <w:w w:val="79"/>
              </w:rPr>
              <w:t>25</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68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800" w:type="dxa"/>
            <w:vAlign w:val="bottom"/>
          </w:tcPr>
          <w:p>
            <w:pPr>
              <w:jc w:val="center"/>
              <w:ind w:left="232"/>
              <w:spacing w:after="0"/>
              <w:rPr>
                <w:sz w:val="20"/>
                <w:szCs w:val="20"/>
                <w:color w:val="auto"/>
              </w:rPr>
            </w:pPr>
            <w:r>
              <w:rPr>
                <w:rFonts w:ascii="Arial" w:cs="Arial" w:eastAsia="Arial" w:hAnsi="Arial"/>
                <w:sz w:val="18"/>
                <w:szCs w:val="18"/>
                <w:color w:val="auto"/>
                <w:w w:val="79"/>
              </w:rPr>
              <w:t>25</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68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(Removed and Reserved)</w:t>
            </w:r>
          </w:p>
        </w:tc>
        <w:tc>
          <w:tcPr>
            <w:tcW w:w="800" w:type="dxa"/>
            <w:vAlign w:val="bottom"/>
          </w:tcPr>
          <w:p>
            <w:pPr>
              <w:jc w:val="center"/>
              <w:ind w:left="232"/>
              <w:spacing w:after="0"/>
              <w:rPr>
                <w:sz w:val="20"/>
                <w:szCs w:val="20"/>
                <w:color w:val="auto"/>
              </w:rPr>
            </w:pPr>
            <w:r>
              <w:rPr>
                <w:rFonts w:ascii="Arial" w:cs="Arial" w:eastAsia="Arial" w:hAnsi="Arial"/>
                <w:sz w:val="18"/>
                <w:szCs w:val="18"/>
                <w:color w:val="auto"/>
                <w:w w:val="79"/>
              </w:rPr>
              <w:t>25</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68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Other Information</w:t>
            </w:r>
          </w:p>
        </w:tc>
        <w:tc>
          <w:tcPr>
            <w:tcW w:w="800" w:type="dxa"/>
            <w:vAlign w:val="bottom"/>
          </w:tcPr>
          <w:p>
            <w:pPr>
              <w:jc w:val="center"/>
              <w:ind w:left="232"/>
              <w:spacing w:after="0"/>
              <w:rPr>
                <w:sz w:val="20"/>
                <w:szCs w:val="20"/>
                <w:color w:val="auto"/>
              </w:rPr>
            </w:pPr>
            <w:r>
              <w:rPr>
                <w:rFonts w:ascii="Arial" w:cs="Arial" w:eastAsia="Arial" w:hAnsi="Arial"/>
                <w:sz w:val="18"/>
                <w:szCs w:val="18"/>
                <w:color w:val="auto"/>
                <w:w w:val="79"/>
              </w:rPr>
              <w:t>25</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68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Exhibits</w:t>
            </w:r>
          </w:p>
        </w:tc>
        <w:tc>
          <w:tcPr>
            <w:tcW w:w="800" w:type="dxa"/>
            <w:vAlign w:val="bottom"/>
          </w:tcPr>
          <w:p>
            <w:pPr>
              <w:jc w:val="center"/>
              <w:ind w:left="232"/>
              <w:spacing w:after="0"/>
              <w:rPr>
                <w:sz w:val="20"/>
                <w:szCs w:val="20"/>
                <w:color w:val="auto"/>
              </w:rPr>
            </w:pPr>
            <w:r>
              <w:rPr>
                <w:rFonts w:ascii="Arial" w:cs="Arial" w:eastAsia="Arial" w:hAnsi="Arial"/>
                <w:sz w:val="18"/>
                <w:szCs w:val="18"/>
                <w:color w:val="auto"/>
                <w:w w:val="79"/>
              </w:rPr>
              <w:t>25</w:t>
            </w:r>
          </w:p>
        </w:tc>
      </w:tr>
      <w:tr>
        <w:trPr>
          <w:trHeight w:val="486"/>
        </w:trPr>
        <w:tc>
          <w:tcPr>
            <w:tcW w:w="7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800" w:type="dxa"/>
            <w:vAlign w:val="bottom"/>
          </w:tcPr>
          <w:p>
            <w:pPr>
              <w:jc w:val="center"/>
              <w:ind w:left="232"/>
              <w:spacing w:after="0"/>
              <w:rPr>
                <w:sz w:val="20"/>
                <w:szCs w:val="20"/>
                <w:color w:val="auto"/>
              </w:rPr>
            </w:pPr>
            <w:r>
              <w:rPr>
                <w:rFonts w:ascii="Arial" w:cs="Arial" w:eastAsia="Arial" w:hAnsi="Arial"/>
                <w:sz w:val="18"/>
                <w:szCs w:val="18"/>
                <w:color w:val="auto"/>
                <w:w w:val="79"/>
              </w:rPr>
              <w:t>26</w:t>
            </w:r>
          </w:p>
        </w:tc>
      </w:tr>
      <w:tr>
        <w:trPr>
          <w:trHeight w:val="243"/>
        </w:trPr>
        <w:tc>
          <w:tcPr>
            <w:tcW w:w="7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800" w:type="dxa"/>
            <w:vAlign w:val="bottom"/>
          </w:tcPr>
          <w:p>
            <w:pPr>
              <w:jc w:val="center"/>
              <w:ind w:left="232"/>
              <w:spacing w:after="0"/>
              <w:rPr>
                <w:sz w:val="20"/>
                <w:szCs w:val="20"/>
                <w:color w:val="auto"/>
              </w:rPr>
            </w:pPr>
            <w:r>
              <w:rPr>
                <w:rFonts w:ascii="Arial" w:cs="Arial" w:eastAsia="Arial" w:hAnsi="Arial"/>
                <w:sz w:val="18"/>
                <w:szCs w:val="18"/>
                <w:color w:val="auto"/>
                <w:w w:val="79"/>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7"/>
        </w:trPr>
        <w:tc>
          <w:tcPr>
            <w:tcW w:w="6880" w:type="dxa"/>
            <w:vAlign w:val="bottom"/>
          </w:tcPr>
          <w:p>
            <w:pPr>
              <w:jc w:val="center"/>
              <w:ind w:left="4472"/>
              <w:spacing w:after="0"/>
              <w:rPr>
                <w:sz w:val="20"/>
                <w:szCs w:val="20"/>
                <w:color w:val="auto"/>
              </w:rPr>
            </w:pPr>
            <w:r>
              <w:rPr>
                <w:rFonts w:ascii="Arial" w:cs="Arial" w:eastAsia="Arial" w:hAnsi="Arial"/>
                <w:sz w:val="18"/>
                <w:szCs w:val="18"/>
                <w:b w:val="1"/>
                <w:bCs w:val="1"/>
                <w:color w:val="auto"/>
                <w:w w:val="96"/>
              </w:rPr>
              <w:t>inTEST CORPORATION</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color w:val="auto"/>
                <w:w w:val="85"/>
              </w:rPr>
              <w:t>(In thousands, except share and per share data)</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6880" w:type="dxa"/>
            <w:vAlign w:val="bottom"/>
          </w:tcPr>
          <w:p>
            <w:pPr>
              <w:spacing w:after="0"/>
              <w:rPr>
                <w:sz w:val="24"/>
                <w:szCs w:val="24"/>
                <w:color w:val="auto"/>
              </w:rPr>
            </w:pPr>
          </w:p>
        </w:tc>
        <w:tc>
          <w:tcPr>
            <w:tcW w:w="1460" w:type="dxa"/>
            <w:vAlign w:val="bottom"/>
            <w:gridSpan w:val="3"/>
          </w:tcPr>
          <w:p>
            <w:pPr>
              <w:jc w:val="right"/>
              <w:ind w:right="220"/>
              <w:spacing w:after="0"/>
              <w:rPr>
                <w:sz w:val="20"/>
                <w:szCs w:val="20"/>
                <w:color w:val="auto"/>
              </w:rPr>
            </w:pPr>
            <w:r>
              <w:rPr>
                <w:rFonts w:ascii="Courier New" w:cs="Courier New" w:eastAsia="Courier New" w:hAnsi="Courier New"/>
                <w:sz w:val="18"/>
                <w:szCs w:val="18"/>
                <w:color w:val="auto"/>
              </w:rPr>
              <w:t>Mar. 31,</w:t>
            </w:r>
          </w:p>
        </w:tc>
        <w:tc>
          <w:tcPr>
            <w:tcW w:w="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2010</w:t>
            </w:r>
          </w:p>
        </w:tc>
        <w:tc>
          <w:tcPr>
            <w:tcW w:w="320" w:type="dxa"/>
            <w:vAlign w:val="bottom"/>
          </w:tcPr>
          <w:p>
            <w:pPr>
              <w:spacing w:after="0"/>
              <w:rPr>
                <w:sz w:val="17"/>
                <w:szCs w:val="17"/>
                <w:color w:val="auto"/>
              </w:rPr>
            </w:pP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2009</w:t>
            </w:r>
          </w:p>
        </w:tc>
        <w:tc>
          <w:tcPr>
            <w:tcW w:w="100" w:type="dxa"/>
            <w:vAlign w:val="bottom"/>
          </w:tcPr>
          <w:p>
            <w:pPr>
              <w:spacing w:after="0"/>
              <w:rPr>
                <w:sz w:val="17"/>
                <w:szCs w:val="17"/>
                <w:color w:val="auto"/>
              </w:rPr>
            </w:pPr>
          </w:p>
        </w:tc>
      </w:tr>
      <w:tr>
        <w:trPr>
          <w:trHeight w:val="203"/>
        </w:trPr>
        <w:tc>
          <w:tcPr>
            <w:tcW w:w="6880" w:type="dxa"/>
            <w:vAlign w:val="bottom"/>
          </w:tcPr>
          <w:p>
            <w:pPr>
              <w:spacing w:after="0"/>
              <w:rPr>
                <w:sz w:val="17"/>
                <w:szCs w:val="17"/>
                <w:color w:val="auto"/>
              </w:rPr>
            </w:pPr>
          </w:p>
        </w:tc>
        <w:tc>
          <w:tcPr>
            <w:tcW w:w="1460" w:type="dxa"/>
            <w:vAlign w:val="bottom"/>
            <w:gridSpan w:val="3"/>
          </w:tcPr>
          <w:p>
            <w:pPr>
              <w:jc w:val="right"/>
              <w:ind w:right="2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460" w:type="dxa"/>
            <w:vAlign w:val="bottom"/>
            <w:gridSpan w:val="3"/>
          </w:tcPr>
          <w:p>
            <w:pPr>
              <w:jc w:val="right"/>
              <w:ind w:right="120"/>
              <w:spacing w:after="0" w:line="203" w:lineRule="exact"/>
              <w:rPr>
                <w:sz w:val="20"/>
                <w:szCs w:val="20"/>
                <w:color w:val="auto"/>
              </w:rPr>
            </w:pPr>
            <w:r>
              <w:rPr>
                <w:rFonts w:ascii="Courier New" w:cs="Courier New" w:eastAsia="Courier New" w:hAnsi="Courier New"/>
                <w:sz w:val="18"/>
                <w:szCs w:val="18"/>
                <w:color w:val="auto"/>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$ 2,873</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$ 2,647</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 doubtful</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of $91 and $154, respectively</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6,539</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5,413</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3,617</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3,064</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396</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377</w:t>
            </w:r>
          </w:p>
        </w:tc>
        <w:tc>
          <w:tcPr>
            <w:tcW w:w="100" w:type="dxa"/>
            <w:vAlign w:val="bottom"/>
          </w:tcPr>
          <w:p>
            <w:pPr>
              <w:spacing w:after="0"/>
              <w:rPr>
                <w:sz w:val="14"/>
                <w:szCs w:val="14"/>
                <w:color w:val="auto"/>
              </w:rPr>
            </w:pP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114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13,425</w:t>
            </w:r>
          </w:p>
        </w:tc>
        <w:tc>
          <w:tcPr>
            <w:tcW w:w="320" w:type="dxa"/>
            <w:vAlign w:val="bottom"/>
          </w:tcPr>
          <w:p>
            <w:pPr>
              <w:spacing w:after="0"/>
              <w:rPr>
                <w:sz w:val="15"/>
                <w:szCs w:val="15"/>
                <w:color w:val="auto"/>
              </w:rPr>
            </w:pPr>
          </w:p>
        </w:tc>
        <w:tc>
          <w:tcPr>
            <w:tcW w:w="94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11,501</w:t>
            </w: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3,359</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3,377</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578</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533</w:t>
            </w:r>
          </w:p>
        </w:tc>
        <w:tc>
          <w:tcPr>
            <w:tcW w:w="100" w:type="dxa"/>
            <w:vAlign w:val="bottom"/>
          </w:tcPr>
          <w:p>
            <w:pPr>
              <w:spacing w:after="0"/>
              <w:rPr>
                <w:sz w:val="14"/>
                <w:szCs w:val="14"/>
                <w:color w:val="auto"/>
              </w:rPr>
            </w:pPr>
          </w:p>
        </w:tc>
      </w:tr>
      <w:tr>
        <w:trPr>
          <w:trHeight w:val="221"/>
        </w:trPr>
        <w:tc>
          <w:tcPr>
            <w:tcW w:w="68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3,937</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3,910</w:t>
            </w:r>
          </w:p>
        </w:tc>
        <w:tc>
          <w:tcPr>
            <w:tcW w:w="100" w:type="dxa"/>
            <w:vAlign w:val="bottom"/>
          </w:tcPr>
          <w:p>
            <w:pPr>
              <w:spacing w:after="0"/>
              <w:rPr>
                <w:sz w:val="19"/>
                <w:szCs w:val="19"/>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400" w:type="dxa"/>
            <w:vAlign w:val="bottom"/>
          </w:tcPr>
          <w:p>
            <w:pPr>
              <w:spacing w:after="0"/>
              <w:rPr>
                <w:sz w:val="14"/>
                <w:szCs w:val="14"/>
                <w:color w:val="auto"/>
              </w:rPr>
            </w:pPr>
          </w:p>
        </w:tc>
        <w:tc>
          <w:tcPr>
            <w:tcW w:w="1060" w:type="dxa"/>
            <w:vAlign w:val="bottom"/>
            <w:gridSpan w:val="2"/>
          </w:tcPr>
          <w:p>
            <w:pPr>
              <w:jc w:val="right"/>
              <w:ind w:right="220"/>
              <w:spacing w:after="0" w:line="164" w:lineRule="exact"/>
              <w:rPr>
                <w:sz w:val="20"/>
                <w:szCs w:val="20"/>
                <w:color w:val="auto"/>
              </w:rPr>
            </w:pPr>
            <w:r>
              <w:rPr>
                <w:rFonts w:ascii="Courier New" w:cs="Courier New" w:eastAsia="Courier New" w:hAnsi="Courier New"/>
                <w:sz w:val="18"/>
                <w:szCs w:val="18"/>
                <w:color w:val="auto"/>
              </w:rPr>
              <w:t>(3,653)</w:t>
            </w:r>
          </w:p>
        </w:tc>
        <w:tc>
          <w:tcPr>
            <w:tcW w:w="94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(3,613)</w:t>
            </w: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4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284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297</w:t>
            </w:r>
          </w:p>
        </w:tc>
        <w:tc>
          <w:tcPr>
            <w:tcW w:w="100" w:type="dxa"/>
            <w:vAlign w:val="bottom"/>
          </w:tcPr>
          <w:p>
            <w:pPr>
              <w:spacing w:after="0"/>
              <w:rPr>
                <w:sz w:val="15"/>
                <w:szCs w:val="15"/>
                <w:color w:val="auto"/>
              </w:rPr>
            </w:pPr>
          </w:p>
        </w:tc>
      </w:tr>
      <w:tr>
        <w:trPr>
          <w:trHeight w:val="424"/>
        </w:trPr>
        <w:tc>
          <w:tcPr>
            <w:tcW w:w="6880" w:type="dxa"/>
            <w:vAlign w:val="bottom"/>
          </w:tcPr>
          <w:p>
            <w:pPr>
              <w:spacing w:after="0"/>
              <w:rPr>
                <w:sz w:val="20"/>
                <w:szCs w:val="20"/>
                <w:color w:val="auto"/>
              </w:rPr>
            </w:pPr>
            <w:r>
              <w:rPr>
                <w:rFonts w:ascii="Courier New" w:cs="Courier New" w:eastAsia="Courier New" w:hAnsi="Courier New"/>
                <w:sz w:val="18"/>
                <w:szCs w:val="18"/>
                <w:color w:val="auto"/>
              </w:rPr>
              <w:t>Goodwill</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1,656</w:t>
            </w:r>
          </w:p>
        </w:tc>
        <w:tc>
          <w:tcPr>
            <w:tcW w:w="3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1,656</w:t>
            </w:r>
          </w:p>
        </w:tc>
        <w:tc>
          <w:tcPr>
            <w:tcW w:w="100" w:type="dxa"/>
            <w:vAlign w:val="bottom"/>
          </w:tcPr>
          <w:p>
            <w:pPr>
              <w:spacing w:after="0"/>
              <w:rPr>
                <w:sz w:val="24"/>
                <w:szCs w:val="24"/>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1,178</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1,212</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500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250</w:t>
            </w:r>
          </w:p>
        </w:tc>
        <w:tc>
          <w:tcPr>
            <w:tcW w:w="100" w:type="dxa"/>
            <w:vAlign w:val="bottom"/>
          </w:tcPr>
          <w:p>
            <w:pPr>
              <w:spacing w:after="0"/>
              <w:rPr>
                <w:sz w:val="17"/>
                <w:szCs w:val="17"/>
                <w:color w:val="auto"/>
              </w:rPr>
            </w:pPr>
          </w:p>
        </w:tc>
      </w:tr>
      <w:tr>
        <w:trPr>
          <w:trHeight w:val="164"/>
        </w:trPr>
        <w:tc>
          <w:tcPr>
            <w:tcW w:w="688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221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228</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$17,264</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$15,144</w:t>
            </w:r>
          </w:p>
        </w:tc>
        <w:tc>
          <w:tcPr>
            <w:tcW w:w="100" w:type="dxa"/>
            <w:vAlign w:val="bottom"/>
          </w:tcPr>
          <w:p>
            <w:pPr>
              <w:spacing w:after="0"/>
              <w:rPr>
                <w:sz w:val="19"/>
                <w:szCs w:val="19"/>
                <w:color w:val="auto"/>
              </w:rPr>
            </w:pP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$ 3,055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$ 2,576</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1,066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653</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379</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375</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warranty</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211</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228</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404</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315</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restructuring and other charges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130</w:t>
            </w:r>
          </w:p>
        </w:tc>
        <w:tc>
          <w:tcPr>
            <w:tcW w:w="100" w:type="dxa"/>
            <w:vAlign w:val="bottom"/>
          </w:tcPr>
          <w:p>
            <w:pPr>
              <w:spacing w:after="0"/>
              <w:rPr>
                <w:sz w:val="17"/>
                <w:szCs w:val="17"/>
                <w:color w:val="auto"/>
              </w:rPr>
            </w:pPr>
          </w:p>
        </w:tc>
      </w:tr>
    </w:tbl>
    <w:p>
      <w:pPr>
        <w:sectPr>
          <w:pgSz w:w="11900" w:h="16838" w:orient="portrait"/>
          <w:cols w:equalWidth="0" w:num="1">
            <w:col w:w="10219"/>
          </w:cols>
          <w:pgMar w:left="240" w:top="145"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ind w:left="220"/>
              <w:spacing w:after="0"/>
              <w:rPr>
                <w:sz w:val="20"/>
                <w:szCs w:val="20"/>
                <w:color w:val="auto"/>
              </w:rPr>
            </w:pPr>
            <w:r>
              <w:rPr>
                <w:rFonts w:ascii="Courier New" w:cs="Courier New" w:eastAsia="Courier New" w:hAnsi="Courier New"/>
                <w:sz w:val="18"/>
                <w:szCs w:val="18"/>
                <w:color w:val="auto"/>
              </w:rPr>
              <w:t>Other accrued expenses</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632</w:t>
            </w:r>
          </w:p>
        </w:tc>
        <w:tc>
          <w:tcPr>
            <w:tcW w:w="1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455</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and foreign income taxes payable</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w:t>
            </w:r>
          </w:p>
        </w:tc>
        <w:tc>
          <w:tcPr>
            <w:tcW w:w="1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payable to stockholder</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381</w:t>
            </w:r>
          </w:p>
        </w:tc>
        <w:tc>
          <w:tcPr>
            <w:tcW w:w="1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381</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Deferred rent</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118</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118</w:t>
            </w:r>
          </w:p>
        </w:tc>
        <w:tc>
          <w:tcPr>
            <w:tcW w:w="100" w:type="dxa"/>
            <w:vAlign w:val="bottom"/>
          </w:tcPr>
          <w:p>
            <w:pPr>
              <w:spacing w:after="0"/>
              <w:rPr>
                <w:sz w:val="14"/>
                <w:szCs w:val="14"/>
                <w:color w:val="auto"/>
              </w:rPr>
            </w:pP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6,300</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5,249</w:t>
            </w:r>
          </w:p>
        </w:tc>
        <w:tc>
          <w:tcPr>
            <w:tcW w:w="100" w:type="dxa"/>
            <w:vAlign w:val="bottom"/>
          </w:tcPr>
          <w:p>
            <w:pPr>
              <w:spacing w:after="0"/>
              <w:rPr>
                <w:sz w:val="15"/>
                <w:szCs w:val="15"/>
                <w:color w:val="auto"/>
              </w:rPr>
            </w:pPr>
          </w:p>
        </w:tc>
      </w:tr>
      <w:tr>
        <w:trPr>
          <w:trHeight w:val="221"/>
        </w:trPr>
        <w:tc>
          <w:tcPr>
            <w:tcW w:w="7060" w:type="dxa"/>
            <w:vAlign w:val="bottom"/>
          </w:tcPr>
          <w:p>
            <w:pPr>
              <w:spacing w:after="0"/>
              <w:rPr>
                <w:sz w:val="20"/>
                <w:szCs w:val="20"/>
                <w:color w:val="auto"/>
              </w:rPr>
            </w:pPr>
            <w:r>
              <w:rPr>
                <w:rFonts w:ascii="Courier New" w:cs="Courier New" w:eastAsia="Courier New" w:hAnsi="Courier New"/>
                <w:sz w:val="18"/>
                <w:szCs w:val="18"/>
                <w:color w:val="auto"/>
              </w:rPr>
              <w:t>Notes payable to stockholder, net of current portion</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1,144</w:t>
            </w: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1,144</w:t>
            </w:r>
          </w:p>
        </w:tc>
        <w:tc>
          <w:tcPr>
            <w:tcW w:w="100" w:type="dxa"/>
            <w:vAlign w:val="bottom"/>
          </w:tcPr>
          <w:p>
            <w:pPr>
              <w:spacing w:after="0"/>
              <w:rPr>
                <w:sz w:val="19"/>
                <w:szCs w:val="19"/>
                <w:color w:val="auto"/>
              </w:rPr>
            </w:pPr>
          </w:p>
        </w:tc>
      </w:tr>
      <w:tr>
        <w:trPr>
          <w:trHeight w:val="164"/>
        </w:trPr>
        <w:tc>
          <w:tcPr>
            <w:tcW w:w="7060" w:type="dxa"/>
            <w:vAlign w:val="bottom"/>
          </w:tcPr>
          <w:p>
            <w:pPr>
              <w:spacing w:after="0" w:line="164" w:lineRule="exact"/>
              <w:rPr>
                <w:sz w:val="20"/>
                <w:szCs w:val="20"/>
                <w:color w:val="auto"/>
              </w:rPr>
            </w:pPr>
            <w:r>
              <w:rPr>
                <w:rFonts w:ascii="Courier New" w:cs="Courier New" w:eastAsia="Courier New" w:hAnsi="Courier New"/>
                <w:sz w:val="18"/>
                <w:szCs w:val="18"/>
                <w:color w:val="auto"/>
              </w:rPr>
              <w:t>Deferred rent, net of current portion</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128</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157</w:t>
            </w:r>
          </w:p>
        </w:tc>
        <w:tc>
          <w:tcPr>
            <w:tcW w:w="100" w:type="dxa"/>
            <w:vAlign w:val="bottom"/>
          </w:tcPr>
          <w:p>
            <w:pPr>
              <w:spacing w:after="0"/>
              <w:rPr>
                <w:sz w:val="14"/>
                <w:szCs w:val="14"/>
                <w:color w:val="auto"/>
              </w:rPr>
            </w:pP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liabilities</w:t>
            </w:r>
          </w:p>
        </w:tc>
        <w:tc>
          <w:tcPr>
            <w:tcW w:w="96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7,572</w:t>
            </w:r>
          </w:p>
        </w:tc>
        <w:tc>
          <w:tcPr>
            <w:tcW w:w="160" w:type="dxa"/>
            <w:vAlign w:val="bottom"/>
          </w:tcPr>
          <w:p>
            <w:pPr>
              <w:spacing w:after="0"/>
              <w:rPr>
                <w:sz w:val="15"/>
                <w:szCs w:val="15"/>
                <w:color w:val="auto"/>
              </w:rPr>
            </w:pPr>
          </w:p>
        </w:tc>
        <w:tc>
          <w:tcPr>
            <w:tcW w:w="110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6,550</w:t>
            </w:r>
          </w:p>
        </w:tc>
      </w:tr>
      <w:tr>
        <w:trPr>
          <w:trHeight w:val="221"/>
        </w:trPr>
        <w:tc>
          <w:tcPr>
            <w:tcW w:w="70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 (Notes 9 and 11)</w:t>
            </w: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10,440,755 and 10,193,255 shares issued, respectively</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104</w:t>
            </w:r>
          </w:p>
        </w:tc>
        <w:tc>
          <w:tcPr>
            <w:tcW w:w="1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102</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25,836</w:t>
            </w:r>
          </w:p>
        </w:tc>
        <w:tc>
          <w:tcPr>
            <w:tcW w:w="1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25,798</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1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(16,689)</w:t>
            </w:r>
          </w:p>
        </w:tc>
        <w:tc>
          <w:tcPr>
            <w:tcW w:w="1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(17,801)</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1,302</w:t>
            </w:r>
          </w:p>
        </w:tc>
        <w:tc>
          <w:tcPr>
            <w:tcW w:w="1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1,356</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w w:val="97"/>
              </w:rPr>
              <w:t>Treasury stock, at cost; 139,299 and 139,299 shares, respectively</w:t>
            </w:r>
          </w:p>
        </w:tc>
        <w:tc>
          <w:tcPr>
            <w:tcW w:w="220" w:type="dxa"/>
            <w:vAlign w:val="bottom"/>
          </w:tcPr>
          <w:p>
            <w:pPr>
              <w:spacing w:after="0"/>
              <w:rPr>
                <w:sz w:val="14"/>
                <w:szCs w:val="14"/>
                <w:color w:val="auto"/>
              </w:rPr>
            </w:pPr>
          </w:p>
        </w:tc>
        <w:tc>
          <w:tcPr>
            <w:tcW w:w="900" w:type="dxa"/>
            <w:vAlign w:val="bottom"/>
            <w:gridSpan w:val="2"/>
          </w:tcPr>
          <w:p>
            <w:pPr>
              <w:jc w:val="right"/>
              <w:spacing w:after="0" w:line="164" w:lineRule="exact"/>
              <w:rPr>
                <w:sz w:val="20"/>
                <w:szCs w:val="20"/>
                <w:color w:val="auto"/>
              </w:rPr>
            </w:pPr>
            <w:r>
              <w:rPr>
                <w:rFonts w:ascii="Courier New" w:cs="Courier New" w:eastAsia="Courier New" w:hAnsi="Courier New"/>
                <w:sz w:val="18"/>
                <w:szCs w:val="18"/>
                <w:color w:val="auto"/>
              </w:rPr>
              <w:t>(861)</w:t>
            </w:r>
          </w:p>
        </w:tc>
        <w:tc>
          <w:tcPr>
            <w:tcW w:w="11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(861)</w:t>
            </w: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stockholders' equity</w:t>
            </w:r>
          </w:p>
        </w:tc>
        <w:tc>
          <w:tcPr>
            <w:tcW w:w="22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9,692</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8,594</w:t>
            </w:r>
          </w:p>
        </w:tc>
        <w:tc>
          <w:tcPr>
            <w:tcW w:w="100" w:type="dxa"/>
            <w:vAlign w:val="bottom"/>
          </w:tcPr>
          <w:p>
            <w:pPr>
              <w:spacing w:after="0"/>
              <w:rPr>
                <w:sz w:val="15"/>
                <w:szCs w:val="15"/>
                <w:color w:val="auto"/>
              </w:rPr>
            </w:pPr>
          </w:p>
        </w:tc>
      </w:tr>
      <w:tr>
        <w:trPr>
          <w:trHeight w:val="221"/>
        </w:trPr>
        <w:tc>
          <w:tcPr>
            <w:tcW w:w="706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$17,264</w:t>
            </w: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$15,144</w:t>
            </w:r>
          </w:p>
        </w:tc>
        <w:tc>
          <w:tcPr>
            <w:tcW w:w="100" w:type="dxa"/>
            <w:vAlign w:val="bottom"/>
          </w:tcPr>
          <w:p>
            <w:pPr>
              <w:spacing w:after="0"/>
              <w:rPr>
                <w:sz w:val="19"/>
                <w:szCs w:val="19"/>
                <w:color w:val="auto"/>
              </w:rPr>
            </w:pPr>
          </w:p>
        </w:tc>
      </w:tr>
      <w:tr>
        <w:trPr>
          <w:trHeight w:val="203"/>
        </w:trPr>
        <w:tc>
          <w:tcPr>
            <w:tcW w:w="70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385"/>
        </w:trPr>
        <w:tc>
          <w:tcPr>
            <w:tcW w:w="8020" w:type="dxa"/>
            <w:vAlign w:val="bottom"/>
            <w:gridSpan w:val="3"/>
          </w:tcPr>
          <w:p>
            <w:pPr>
              <w:jc w:val="center"/>
              <w:ind w:left="3332"/>
              <w:spacing w:after="0"/>
              <w:rPr>
                <w:sz w:val="20"/>
                <w:szCs w:val="20"/>
                <w:color w:val="auto"/>
              </w:rPr>
            </w:pPr>
            <w:r>
              <w:rPr>
                <w:rFonts w:ascii="Arial" w:cs="Arial" w:eastAsia="Arial" w:hAnsi="Arial"/>
                <w:sz w:val="18"/>
                <w:szCs w:val="18"/>
                <w:color w:val="auto"/>
                <w:w w:val="87"/>
              </w:rPr>
              <w:t>See accompanying Notes to Consolidated Financial Statements.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7060" w:type="dxa"/>
            <w:vAlign w:val="bottom"/>
          </w:tcPr>
          <w:p>
            <w:pPr>
              <w:jc w:val="center"/>
              <w:ind w:left="4292"/>
              <w:spacing w:after="0"/>
              <w:rPr>
                <w:sz w:val="20"/>
                <w:szCs w:val="20"/>
                <w:color w:val="auto"/>
              </w:rPr>
            </w:pPr>
            <w:r>
              <w:rPr>
                <w:rFonts w:ascii="Arial" w:cs="Arial" w:eastAsia="Arial" w:hAnsi="Arial"/>
                <w:sz w:val="18"/>
                <w:szCs w:val="18"/>
                <w:color w:val="auto"/>
                <w:w w:val="92"/>
              </w:rPr>
              <w:t>- - 1 -</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771"/>
        </w:trPr>
        <w:tc>
          <w:tcPr>
            <w:tcW w:w="7060" w:type="dxa"/>
            <w:vAlign w:val="bottom"/>
          </w:tcPr>
          <w:p>
            <w:pPr>
              <w:jc w:val="center"/>
              <w:ind w:left="4292"/>
              <w:spacing w:after="0"/>
              <w:rPr>
                <w:sz w:val="20"/>
                <w:szCs w:val="20"/>
                <w:color w:val="auto"/>
              </w:rPr>
            </w:pPr>
            <w:r>
              <w:rPr>
                <w:rFonts w:ascii="Arial" w:cs="Arial" w:eastAsia="Arial" w:hAnsi="Arial"/>
                <w:sz w:val="18"/>
                <w:szCs w:val="18"/>
                <w:b w:val="1"/>
                <w:bCs w:val="1"/>
                <w:color w:val="auto"/>
                <w:w w:val="96"/>
              </w:rPr>
              <w:t>inTEST CORPORATION</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8020" w:type="dxa"/>
            <w:vAlign w:val="bottom"/>
            <w:gridSpan w:val="3"/>
          </w:tcPr>
          <w:p>
            <w:pPr>
              <w:jc w:val="center"/>
              <w:ind w:left="3312"/>
              <w:spacing w:after="0"/>
              <w:rPr>
                <w:sz w:val="20"/>
                <w:szCs w:val="20"/>
                <w:color w:val="auto"/>
              </w:rPr>
            </w:pPr>
            <w:r>
              <w:rPr>
                <w:rFonts w:ascii="Arial" w:cs="Arial" w:eastAsia="Arial" w:hAnsi="Arial"/>
                <w:sz w:val="18"/>
                <w:szCs w:val="18"/>
                <w:b w:val="1"/>
                <w:bCs w:val="1"/>
                <w:color w:val="auto"/>
                <w:w w:val="96"/>
              </w:rPr>
              <w:t>CONSOLIDATED STATEMENTS OF OPERATIONS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020" w:type="dxa"/>
            <w:vAlign w:val="bottom"/>
            <w:gridSpan w:val="3"/>
          </w:tcPr>
          <w:p>
            <w:pPr>
              <w:jc w:val="center"/>
              <w:ind w:left="3332"/>
              <w:spacing w:after="0"/>
              <w:rPr>
                <w:sz w:val="20"/>
                <w:szCs w:val="20"/>
                <w:color w:val="auto"/>
              </w:rPr>
            </w:pPr>
            <w:r>
              <w:rPr>
                <w:rFonts w:ascii="Arial" w:cs="Arial" w:eastAsia="Arial" w:hAnsi="Arial"/>
                <w:sz w:val="18"/>
                <w:szCs w:val="18"/>
                <w:color w:val="auto"/>
                <w:w w:val="85"/>
              </w:rPr>
              <w:t>(In thousands, except share and per share data)</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7060" w:type="dxa"/>
            <w:vAlign w:val="bottom"/>
          </w:tcPr>
          <w:p>
            <w:pPr>
              <w:jc w:val="center"/>
              <w:ind w:left="4272"/>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81"/>
        </w:trPr>
        <w:tc>
          <w:tcPr>
            <w:tcW w:w="7060" w:type="dxa"/>
            <w:vAlign w:val="bottom"/>
          </w:tcPr>
          <w:p>
            <w:pPr>
              <w:spacing w:after="0"/>
              <w:rPr>
                <w:sz w:val="24"/>
                <w:szCs w:val="24"/>
                <w:color w:val="auto"/>
              </w:rPr>
            </w:pPr>
          </w:p>
        </w:tc>
        <w:tc>
          <w:tcPr>
            <w:tcW w:w="2220" w:type="dxa"/>
            <w:vAlign w:val="bottom"/>
            <w:gridSpan w:val="6"/>
          </w:tcPr>
          <w:p>
            <w:pPr>
              <w:jc w:val="right"/>
              <w:ind w:right="22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7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5"/>
          </w:tcPr>
          <w:p>
            <w:pPr>
              <w:jc w:val="right"/>
              <w:ind w:right="640"/>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7060" w:type="dxa"/>
            <w:vAlign w:val="bottom"/>
          </w:tcPr>
          <w:p>
            <w:pPr>
              <w:spacing w:after="0"/>
              <w:rPr>
                <w:sz w:val="17"/>
                <w:szCs w:val="17"/>
                <w:color w:val="auto"/>
              </w:rPr>
            </w:pPr>
          </w:p>
        </w:tc>
        <w:tc>
          <w:tcPr>
            <w:tcW w:w="212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060" w:type="dxa"/>
            <w:vAlign w:val="bottom"/>
          </w:tcPr>
          <w:p>
            <w:pPr>
              <w:spacing w:after="0"/>
              <w:rPr>
                <w:sz w:val="17"/>
                <w:szCs w:val="17"/>
                <w:color w:val="auto"/>
              </w:rPr>
            </w:pP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2010</w:t>
            </w:r>
          </w:p>
        </w:tc>
        <w:tc>
          <w:tcPr>
            <w:tcW w:w="160" w:type="dxa"/>
            <w:vAlign w:val="bottom"/>
          </w:tcPr>
          <w:p>
            <w:pPr>
              <w:spacing w:after="0"/>
              <w:rPr>
                <w:sz w:val="17"/>
                <w:szCs w:val="17"/>
                <w:color w:val="auto"/>
              </w:rPr>
            </w:pPr>
          </w:p>
        </w:tc>
        <w:tc>
          <w:tcPr>
            <w:tcW w:w="1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2009</w:t>
            </w:r>
          </w:p>
        </w:tc>
        <w:tc>
          <w:tcPr>
            <w:tcW w:w="100" w:type="dxa"/>
            <w:vAlign w:val="bottom"/>
          </w:tcPr>
          <w:p>
            <w:pPr>
              <w:spacing w:after="0"/>
              <w:rPr>
                <w:sz w:val="17"/>
                <w:szCs w:val="17"/>
                <w:color w:val="auto"/>
              </w:rPr>
            </w:pPr>
          </w:p>
        </w:tc>
      </w:tr>
      <w:tr>
        <w:trPr>
          <w:trHeight w:val="203"/>
        </w:trPr>
        <w:tc>
          <w:tcPr>
            <w:tcW w:w="70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00" w:type="dxa"/>
            <w:vAlign w:val="bottom"/>
          </w:tcPr>
          <w:p>
            <w:pPr>
              <w:spacing w:after="0"/>
              <w:rPr>
                <w:sz w:val="17"/>
                <w:szCs w:val="17"/>
                <w:color w:val="auto"/>
              </w:rPr>
            </w:pP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$ 9,529</w:t>
            </w:r>
          </w:p>
        </w:tc>
        <w:tc>
          <w:tcPr>
            <w:tcW w:w="160" w:type="dxa"/>
            <w:vAlign w:val="bottom"/>
          </w:tcPr>
          <w:p>
            <w:pPr>
              <w:spacing w:after="0"/>
              <w:rPr>
                <w:sz w:val="24"/>
                <w:szCs w:val="24"/>
                <w:color w:val="auto"/>
              </w:rPr>
            </w:pPr>
          </w:p>
        </w:tc>
        <w:tc>
          <w:tcPr>
            <w:tcW w:w="10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$ 4,395</w:t>
            </w:r>
          </w:p>
        </w:tc>
        <w:tc>
          <w:tcPr>
            <w:tcW w:w="100" w:type="dxa"/>
            <w:vAlign w:val="bottom"/>
          </w:tcPr>
          <w:p>
            <w:pPr>
              <w:spacing w:after="0"/>
              <w:rPr>
                <w:sz w:val="24"/>
                <w:szCs w:val="24"/>
                <w:color w:val="auto"/>
              </w:rPr>
            </w:pP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4,992</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3,592</w:t>
            </w:r>
          </w:p>
        </w:tc>
        <w:tc>
          <w:tcPr>
            <w:tcW w:w="100" w:type="dxa"/>
            <w:vAlign w:val="bottom"/>
          </w:tcPr>
          <w:p>
            <w:pPr>
              <w:spacing w:after="0"/>
              <w:rPr>
                <w:sz w:val="17"/>
                <w:szCs w:val="17"/>
                <w:color w:val="auto"/>
              </w:rPr>
            </w:pPr>
          </w:p>
        </w:tc>
      </w:tr>
      <w:tr>
        <w:trPr>
          <w:trHeight w:val="203"/>
        </w:trPr>
        <w:tc>
          <w:tcPr>
            <w:tcW w:w="70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4,537</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803</w:t>
            </w:r>
          </w:p>
        </w:tc>
        <w:tc>
          <w:tcPr>
            <w:tcW w:w="100" w:type="dxa"/>
            <w:vAlign w:val="bottom"/>
          </w:tcPr>
          <w:p>
            <w:pPr>
              <w:spacing w:after="0"/>
              <w:rPr>
                <w:sz w:val="17"/>
                <w:szCs w:val="17"/>
                <w:color w:val="auto"/>
              </w:rPr>
            </w:pPr>
          </w:p>
        </w:tc>
      </w:tr>
      <w:tr>
        <w:trPr>
          <w:trHeight w:val="203"/>
        </w:trPr>
        <w:tc>
          <w:tcPr>
            <w:tcW w:w="70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expense</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1,229</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1,137</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Engineering and product development expense</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701</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757</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1,481</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1,684</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Restructuring and other charges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60</w:t>
            </w:r>
          </w:p>
        </w:tc>
        <w:tc>
          <w:tcPr>
            <w:tcW w:w="100" w:type="dxa"/>
            <w:vAlign w:val="bottom"/>
          </w:tcPr>
          <w:p>
            <w:pPr>
              <w:spacing w:after="0"/>
              <w:rPr>
                <w:sz w:val="17"/>
                <w:szCs w:val="17"/>
                <w:color w:val="auto"/>
              </w:rPr>
            </w:pPr>
          </w:p>
        </w:tc>
      </w:tr>
      <w:tr>
        <w:trPr>
          <w:trHeight w:val="203"/>
        </w:trPr>
        <w:tc>
          <w:tcPr>
            <w:tcW w:w="70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3,411</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3,638</w:t>
            </w:r>
          </w:p>
        </w:tc>
        <w:tc>
          <w:tcPr>
            <w:tcW w:w="100" w:type="dxa"/>
            <w:vAlign w:val="bottom"/>
          </w:tcPr>
          <w:p>
            <w:pPr>
              <w:spacing w:after="0"/>
              <w:rPr>
                <w:sz w:val="17"/>
                <w:szCs w:val="17"/>
                <w:color w:val="auto"/>
              </w:rPr>
            </w:pPr>
          </w:p>
        </w:tc>
      </w:tr>
      <w:tr>
        <w:trPr>
          <w:trHeight w:val="203"/>
        </w:trPr>
        <w:tc>
          <w:tcPr>
            <w:tcW w:w="70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1,126</w:t>
            </w:r>
          </w:p>
        </w:tc>
        <w:tc>
          <w:tcPr>
            <w:tcW w:w="1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(2,835)</w:t>
            </w:r>
          </w:p>
        </w:tc>
        <w:tc>
          <w:tcPr>
            <w:tcW w:w="100" w:type="dxa"/>
            <w:vAlign w:val="bottom"/>
          </w:tcPr>
          <w:p>
            <w:pPr>
              <w:spacing w:after="0"/>
              <w:rPr>
                <w:sz w:val="17"/>
                <w:szCs w:val="17"/>
                <w:color w:val="auto"/>
              </w:rPr>
            </w:pPr>
          </w:p>
        </w:tc>
      </w:tr>
      <w:tr>
        <w:trPr>
          <w:trHeight w:val="203"/>
        </w:trPr>
        <w:tc>
          <w:tcPr>
            <w:tcW w:w="70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17</w:t>
            </w:r>
          </w:p>
        </w:tc>
        <w:tc>
          <w:tcPr>
            <w:tcW w:w="100" w:type="dxa"/>
            <w:vAlign w:val="bottom"/>
          </w:tcPr>
          <w:p>
            <w:pPr>
              <w:spacing w:after="0"/>
              <w:rPr>
                <w:sz w:val="17"/>
                <w:szCs w:val="17"/>
                <w:color w:val="auto"/>
              </w:rPr>
            </w:pP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11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w:t>
            </w:r>
          </w:p>
        </w:tc>
        <w:tc>
          <w:tcPr>
            <w:tcW w:w="100" w:type="dxa"/>
            <w:vAlign w:val="bottom"/>
          </w:tcPr>
          <w:p>
            <w:pPr>
              <w:spacing w:after="0"/>
              <w:rPr>
                <w:sz w:val="17"/>
                <w:szCs w:val="17"/>
                <w:color w:val="auto"/>
              </w:rPr>
            </w:pP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81</w:t>
            </w:r>
          </w:p>
        </w:tc>
        <w:tc>
          <w:tcPr>
            <w:tcW w:w="100" w:type="dxa"/>
            <w:vAlign w:val="bottom"/>
          </w:tcPr>
          <w:p>
            <w:pPr>
              <w:spacing w:after="0"/>
              <w:rPr>
                <w:sz w:val="17"/>
                <w:szCs w:val="17"/>
                <w:color w:val="auto"/>
              </w:rPr>
            </w:pPr>
          </w:p>
        </w:tc>
      </w:tr>
      <w:tr>
        <w:trPr>
          <w:trHeight w:val="203"/>
        </w:trPr>
        <w:tc>
          <w:tcPr>
            <w:tcW w:w="70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other income (expense)</w:t>
            </w:r>
          </w:p>
        </w:tc>
        <w:tc>
          <w:tcPr>
            <w:tcW w:w="11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(11)</w:t>
            </w: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81</w:t>
            </w:r>
          </w:p>
        </w:tc>
        <w:tc>
          <w:tcPr>
            <w:tcW w:w="100" w:type="dxa"/>
            <w:vAlign w:val="bottom"/>
          </w:tcPr>
          <w:p>
            <w:pPr>
              <w:spacing w:after="0"/>
              <w:rPr>
                <w:sz w:val="17"/>
                <w:szCs w:val="17"/>
                <w:color w:val="auto"/>
              </w:rPr>
            </w:pPr>
          </w:p>
        </w:tc>
      </w:tr>
      <w:tr>
        <w:trPr>
          <w:trHeight w:val="203"/>
        </w:trPr>
        <w:tc>
          <w:tcPr>
            <w:tcW w:w="70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(loss) before income tax expense</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1,115</w:t>
            </w:r>
          </w:p>
        </w:tc>
        <w:tc>
          <w:tcPr>
            <w:tcW w:w="1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(2,754)</w:t>
            </w:r>
          </w:p>
        </w:tc>
        <w:tc>
          <w:tcPr>
            <w:tcW w:w="100" w:type="dxa"/>
            <w:vAlign w:val="bottom"/>
          </w:tcPr>
          <w:p>
            <w:pPr>
              <w:spacing w:after="0"/>
              <w:rPr>
                <w:sz w:val="17"/>
                <w:szCs w:val="17"/>
                <w:color w:val="auto"/>
              </w:rPr>
            </w:pP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c>
          <w:tcPr>
            <w:tcW w:w="100" w:type="dxa"/>
            <w:vAlign w:val="bottom"/>
          </w:tcPr>
          <w:p>
            <w:pPr>
              <w:spacing w:after="0"/>
              <w:rPr>
                <w:sz w:val="17"/>
                <w:szCs w:val="17"/>
                <w:color w:val="auto"/>
              </w:rPr>
            </w:pPr>
          </w:p>
        </w:tc>
      </w:tr>
      <w:tr>
        <w:trPr>
          <w:trHeight w:val="203"/>
        </w:trPr>
        <w:tc>
          <w:tcPr>
            <w:tcW w:w="70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Net earnings (loss)</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$ 1,112</w:t>
            </w:r>
          </w:p>
        </w:tc>
        <w:tc>
          <w:tcPr>
            <w:tcW w:w="1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$(2,755)</w:t>
            </w:r>
          </w:p>
        </w:tc>
        <w:tc>
          <w:tcPr>
            <w:tcW w:w="100" w:type="dxa"/>
            <w:vAlign w:val="bottom"/>
          </w:tcPr>
          <w:p>
            <w:pPr>
              <w:spacing w:after="0"/>
              <w:rPr>
                <w:sz w:val="24"/>
                <w:szCs w:val="24"/>
                <w:color w:val="auto"/>
              </w:rPr>
            </w:pPr>
          </w:p>
        </w:tc>
      </w:tr>
      <w:tr>
        <w:trPr>
          <w:trHeight w:val="203"/>
        </w:trPr>
        <w:tc>
          <w:tcPr>
            <w:tcW w:w="70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608"/>
        </w:trPr>
        <w:tc>
          <w:tcPr>
            <w:tcW w:w="7060" w:type="dxa"/>
            <w:vAlign w:val="bottom"/>
          </w:tcPr>
          <w:p>
            <w:pPr>
              <w:spacing w:after="0"/>
              <w:rPr>
                <w:sz w:val="20"/>
                <w:szCs w:val="20"/>
                <w:color w:val="auto"/>
              </w:rPr>
            </w:pPr>
            <w:r>
              <w:rPr>
                <w:rFonts w:ascii="Courier New" w:cs="Courier New" w:eastAsia="Courier New" w:hAnsi="Courier New"/>
                <w:sz w:val="18"/>
                <w:szCs w:val="18"/>
                <w:color w:val="auto"/>
              </w:rPr>
              <w:t>Net earnings (loss) per common share - basic</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$0.11</w:t>
            </w:r>
          </w:p>
        </w:tc>
        <w:tc>
          <w:tcPr>
            <w:tcW w:w="1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$(0.28)</w:t>
            </w:r>
          </w:p>
        </w:tc>
        <w:tc>
          <w:tcPr>
            <w:tcW w:w="100" w:type="dxa"/>
            <w:vAlign w:val="bottom"/>
          </w:tcPr>
          <w:p>
            <w:pPr>
              <w:spacing w:after="0"/>
              <w:rPr>
                <w:sz w:val="24"/>
                <w:szCs w:val="24"/>
                <w:color w:val="auto"/>
              </w:rPr>
            </w:pP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 - basic</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9,993,089</w:t>
            </w:r>
          </w:p>
        </w:tc>
        <w:tc>
          <w:tcPr>
            <w:tcW w:w="116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9,956,989</w:t>
            </w:r>
          </w:p>
        </w:tc>
        <w:tc>
          <w:tcPr>
            <w:tcW w:w="100" w:type="dxa"/>
            <w:vAlign w:val="bottom"/>
          </w:tcPr>
          <w:p>
            <w:pPr>
              <w:spacing w:after="0"/>
              <w:rPr>
                <w:sz w:val="24"/>
                <w:szCs w:val="24"/>
                <w:color w:val="auto"/>
              </w:rPr>
            </w:pP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Net earnings (loss) per common share - diluted</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$0.11</w:t>
            </w:r>
          </w:p>
        </w:tc>
        <w:tc>
          <w:tcPr>
            <w:tcW w:w="1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$(0.28)</w:t>
            </w:r>
          </w:p>
        </w:tc>
        <w:tc>
          <w:tcPr>
            <w:tcW w:w="100" w:type="dxa"/>
            <w:vAlign w:val="bottom"/>
          </w:tcPr>
          <w:p>
            <w:pPr>
              <w:spacing w:after="0"/>
              <w:rPr>
                <w:sz w:val="24"/>
                <w:szCs w:val="24"/>
                <w:color w:val="auto"/>
              </w:rPr>
            </w:pP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and common share</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equivalents outstanding - diluted</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9,998,892</w:t>
            </w:r>
          </w:p>
        </w:tc>
        <w:tc>
          <w:tcPr>
            <w:tcW w:w="11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9,956,989</w:t>
            </w:r>
          </w:p>
        </w:tc>
        <w:tc>
          <w:tcPr>
            <w:tcW w:w="10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219"/>
          </w:cols>
          <w:pgMar w:left="240" w:top="136" w:right="1440" w:bottom="0" w:gutter="0" w:footer="0" w:header="0"/>
        </w:sectPr>
      </w:pPr>
    </w:p>
    <w:p>
      <w:pPr>
        <w:spacing w:after="0" w:line="185"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See accompanying Notes to Consolidated Financial Statements.</w:t>
      </w:r>
    </w:p>
    <w:p>
      <w:pPr>
        <w:sectPr>
          <w:pgSz w:w="11900" w:h="16838" w:orient="portrait"/>
          <w:cols w:equalWidth="0" w:num="1">
            <w:col w:w="10219"/>
          </w:cols>
          <w:pgMar w:left="240" w:top="136" w:right="1440" w:bottom="0" w:gutter="0" w:footer="0" w:header="0"/>
          <w:type w:val="continuous"/>
        </w:sectPr>
      </w:pPr>
    </w:p>
    <w:bookmarkStart w:id="3" w:name="page4"/>
    <w:bookmarkEnd w:id="3"/>
    <w:p>
      <w:pPr>
        <w:ind w:left="5520"/>
        <w:spacing w:after="0"/>
        <w:rPr>
          <w:sz w:val="20"/>
          <w:szCs w:val="20"/>
          <w:color w:val="auto"/>
        </w:rPr>
      </w:pPr>
      <w:r>
        <w:rPr>
          <w:rFonts w:ascii="Arial" w:cs="Arial" w:eastAsia="Arial" w:hAnsi="Arial"/>
          <w:sz w:val="18"/>
          <w:szCs w:val="18"/>
          <w:color w:val="auto"/>
        </w:rPr>
        <w:t>- - 2 -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CONSOLIDATED STATEMENTS OF COMPREHENSIVE EARNINGS (LOSS)</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0219"/>
          </w:cols>
          <w:pgMar w:left="240" w:top="3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earnings (loss)</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Three Months Ended</w:t>
      </w:r>
    </w:p>
    <w:p>
      <w:pPr>
        <w:ind w:left="540"/>
        <w:spacing w:after="0" w:line="238" w:lineRule="auto"/>
        <w:rPr>
          <w:sz w:val="20"/>
          <w:szCs w:val="20"/>
          <w:color w:val="auto"/>
        </w:rPr>
      </w:pPr>
      <w:r>
        <w:rPr>
          <w:rFonts w:ascii="Courier New" w:cs="Courier New" w:eastAsia="Courier New" w:hAnsi="Courier New"/>
          <w:sz w:val="18"/>
          <w:szCs w:val="18"/>
          <w:color w:val="auto"/>
        </w:rPr>
        <w:t>March 31,</w:t>
      </w:r>
    </w:p>
    <w:p>
      <w:pPr>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tabs>
          <w:tab w:leader="none" w:pos="1360" w:val="left"/>
        </w:tabs>
        <w:rPr>
          <w:sz w:val="20"/>
          <w:szCs w:val="20"/>
          <w:color w:val="auto"/>
        </w:rPr>
      </w:pPr>
      <w:r>
        <w:rPr>
          <w:rFonts w:ascii="Courier New" w:cs="Courier New" w:eastAsia="Courier New" w:hAnsi="Courier New"/>
          <w:sz w:val="18"/>
          <w:szCs w:val="18"/>
          <w:color w:val="auto"/>
        </w:rPr>
        <w:t>2010</w:t>
      </w:r>
      <w:r>
        <w:rPr>
          <w:sz w:val="20"/>
          <w:szCs w:val="20"/>
          <w:color w:val="auto"/>
        </w:rPr>
        <w:tab/>
      </w:r>
      <w:r>
        <w:rPr>
          <w:rFonts w:ascii="Courier New" w:cs="Courier New" w:eastAsia="Courier New" w:hAnsi="Courier New"/>
          <w:sz w:val="18"/>
          <w:szCs w:val="18"/>
          <w:color w:val="auto"/>
        </w:rPr>
        <w:t>2009</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w:t>
        <w:tab/>
        <w:t>-------</w:t>
      </w:r>
    </w:p>
    <w:p>
      <w:pPr>
        <w:ind w:left="120"/>
        <w:spacing w:after="0"/>
        <w:tabs>
          <w:tab w:leader="none" w:pos="1140" w:val="left"/>
        </w:tabs>
        <w:rPr>
          <w:sz w:val="20"/>
          <w:szCs w:val="20"/>
          <w:color w:val="auto"/>
        </w:rPr>
      </w:pPr>
      <w:r>
        <w:rPr>
          <w:rFonts w:ascii="Courier New" w:cs="Courier New" w:eastAsia="Courier New" w:hAnsi="Courier New"/>
          <w:sz w:val="18"/>
          <w:szCs w:val="18"/>
          <w:color w:val="auto"/>
        </w:rPr>
        <w:t>$1,112</w:t>
      </w:r>
      <w:r>
        <w:rPr>
          <w:sz w:val="20"/>
          <w:szCs w:val="20"/>
          <w:color w:val="auto"/>
        </w:rPr>
        <w:tab/>
      </w:r>
      <w:r>
        <w:rPr>
          <w:rFonts w:ascii="Courier New" w:cs="Courier New" w:eastAsia="Courier New" w:hAnsi="Courier New"/>
          <w:sz w:val="16"/>
          <w:szCs w:val="16"/>
          <w:color w:val="auto"/>
        </w:rPr>
        <w:t>$(2,755)</w:t>
      </w:r>
    </w:p>
    <w:p>
      <w:pPr>
        <w:spacing w:after="0" w:line="200" w:lineRule="exact"/>
        <w:rPr>
          <w:sz w:val="20"/>
          <w:szCs w:val="20"/>
          <w:color w:val="auto"/>
        </w:rPr>
      </w:pPr>
    </w:p>
    <w:p>
      <w:pPr>
        <w:sectPr>
          <w:pgSz w:w="11900" w:h="16838" w:orient="portrait"/>
          <w:cols w:equalWidth="0" w:num="2">
            <w:col w:w="6020" w:space="720"/>
            <w:col w:w="3479"/>
          </w:cols>
          <w:pgMar w:left="240" w:top="347"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currency translation adjustments</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6"/>
          <w:szCs w:val="16"/>
          <w:color w:val="auto"/>
        </w:rPr>
        <w:t>(54)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8"/>
          <w:szCs w:val="18"/>
          <w:color w:val="auto"/>
        </w:rPr>
        <w:t>(303)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6140" w:space="720"/>
            <w:col w:w="740" w:space="300"/>
            <w:col w:w="2319"/>
          </w:cols>
          <w:pgMar w:left="240" w:top="34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Comprehensive earnings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$1,058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$(3,058)</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6140" w:space="720"/>
            <w:col w:w="620" w:space="420"/>
            <w:col w:w="2319"/>
          </w:cols>
          <w:pgMar w:left="240" w:top="347" w:right="1440" w:bottom="0" w:gutter="0" w:footer="0" w:header="0"/>
          <w:type w:val="continuous"/>
        </w:sectPr>
      </w:pP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60" w:type="dxa"/>
            <w:vAlign w:val="bottom"/>
            <w:gridSpan w:val="3"/>
          </w:tcPr>
          <w:p>
            <w:pPr>
              <w:jc w:val="center"/>
              <w:ind w:left="54"/>
              <w:spacing w:after="0"/>
              <w:rPr>
                <w:sz w:val="20"/>
                <w:szCs w:val="20"/>
                <w:color w:val="auto"/>
              </w:rPr>
            </w:pPr>
            <w:r>
              <w:rPr>
                <w:rFonts w:ascii="Arial" w:cs="Arial" w:eastAsia="Arial" w:hAnsi="Arial"/>
                <w:sz w:val="18"/>
                <w:szCs w:val="18"/>
                <w:b w:val="1"/>
                <w:bCs w:val="1"/>
                <w:color w:val="auto"/>
                <w:w w:val="96"/>
              </w:rPr>
              <w:t>inTEST CORPORATION</w:t>
            </w:r>
          </w:p>
        </w:tc>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2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380" w:type="dxa"/>
            <w:vAlign w:val="bottom"/>
            <w:gridSpan w:val="6"/>
          </w:tcPr>
          <w:p>
            <w:pPr>
              <w:jc w:val="center"/>
              <w:ind w:right="30"/>
              <w:spacing w:after="0"/>
              <w:rPr>
                <w:sz w:val="20"/>
                <w:szCs w:val="20"/>
                <w:color w:val="auto"/>
              </w:rPr>
            </w:pPr>
            <w:r>
              <w:rPr>
                <w:rFonts w:ascii="Arial" w:cs="Arial" w:eastAsia="Arial" w:hAnsi="Arial"/>
                <w:sz w:val="18"/>
                <w:szCs w:val="18"/>
                <w:b w:val="1"/>
                <w:bCs w:val="1"/>
                <w:color w:val="auto"/>
                <w:w w:val="98"/>
              </w:rPr>
              <w:t>CONSOLIDATED STATEMENT OF STOCKHOLDERS' EQUITY</w:t>
            </w:r>
          </w:p>
        </w:tc>
        <w:tc>
          <w:tcPr>
            <w:tcW w:w="1020" w:type="dxa"/>
            <w:vAlign w:val="bottom"/>
          </w:tcPr>
          <w:p>
            <w:pPr>
              <w:spacing w:after="0"/>
              <w:rPr>
                <w:sz w:val="19"/>
                <w:szCs w:val="19"/>
                <w:color w:val="auto"/>
              </w:rPr>
            </w:pPr>
          </w:p>
        </w:tc>
      </w:tr>
      <w:tr>
        <w:trPr>
          <w:trHeight w:val="216"/>
        </w:trPr>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60" w:type="dxa"/>
            <w:vAlign w:val="bottom"/>
            <w:gridSpan w:val="3"/>
          </w:tcPr>
          <w:p>
            <w:pPr>
              <w:jc w:val="center"/>
              <w:ind w:left="34"/>
              <w:spacing w:after="0"/>
              <w:rPr>
                <w:sz w:val="20"/>
                <w:szCs w:val="20"/>
                <w:color w:val="auto"/>
              </w:rPr>
            </w:pPr>
            <w:r>
              <w:rPr>
                <w:rFonts w:ascii="Arial" w:cs="Arial" w:eastAsia="Arial" w:hAnsi="Arial"/>
                <w:sz w:val="18"/>
                <w:szCs w:val="18"/>
                <w:color w:val="auto"/>
                <w:w w:val="85"/>
              </w:rPr>
              <w:t>(In thousands, except share data)</w:t>
            </w:r>
          </w:p>
        </w:tc>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2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jc w:val="center"/>
              <w:ind w:right="32"/>
              <w:spacing w:after="0"/>
              <w:rPr>
                <w:sz w:val="20"/>
                <w:szCs w:val="20"/>
                <w:color w:val="auto"/>
              </w:rPr>
            </w:pPr>
            <w:r>
              <w:rPr>
                <w:rFonts w:ascii="Arial" w:cs="Arial" w:eastAsia="Arial" w:hAnsi="Arial"/>
                <w:sz w:val="18"/>
                <w:szCs w:val="18"/>
                <w:color w:val="auto"/>
                <w:w w:val="91"/>
              </w:rPr>
              <w:t>(Unaudited)</w:t>
            </w:r>
          </w:p>
        </w:tc>
        <w:tc>
          <w:tcPr>
            <w:tcW w:w="6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509"/>
        </w:trPr>
        <w:tc>
          <w:tcPr>
            <w:tcW w:w="2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Courier New" w:cs="Courier New" w:eastAsia="Courier New" w:hAnsi="Courier New"/>
                <w:sz w:val="12"/>
                <w:szCs w:val="12"/>
                <w:color w:val="auto"/>
              </w:rPr>
              <w:t>Accumulated</w:t>
            </w:r>
          </w:p>
        </w:tc>
        <w:tc>
          <w:tcPr>
            <w:tcW w:w="620" w:type="dxa"/>
            <w:vAlign w:val="bottom"/>
          </w:tcPr>
          <w:p>
            <w:pPr>
              <w:spacing w:after="0"/>
              <w:rPr>
                <w:sz w:val="24"/>
                <w:szCs w:val="24"/>
                <w:color w:val="auto"/>
              </w:rPr>
            </w:pPr>
          </w:p>
        </w:tc>
        <w:tc>
          <w:tcPr>
            <w:tcW w:w="1520" w:type="dxa"/>
            <w:vAlign w:val="bottom"/>
          </w:tcPr>
          <w:p>
            <w:pPr>
              <w:ind w:left="60"/>
              <w:spacing w:after="0"/>
              <w:rPr>
                <w:sz w:val="20"/>
                <w:szCs w:val="20"/>
                <w:color w:val="auto"/>
              </w:rPr>
            </w:pPr>
            <w:r>
              <w:rPr>
                <w:rFonts w:ascii="Courier New" w:cs="Courier New" w:eastAsia="Courier New" w:hAnsi="Courier New"/>
                <w:sz w:val="12"/>
                <w:szCs w:val="12"/>
                <w:color w:val="auto"/>
              </w:rPr>
              <w:t>Total</w:t>
            </w:r>
          </w:p>
        </w:tc>
        <w:tc>
          <w:tcPr>
            <w:tcW w:w="1020" w:type="dxa"/>
            <w:vAlign w:val="bottom"/>
          </w:tcPr>
          <w:p>
            <w:pPr>
              <w:spacing w:after="0"/>
              <w:rPr>
                <w:sz w:val="24"/>
                <w:szCs w:val="24"/>
                <w:color w:val="auto"/>
              </w:rPr>
            </w:pPr>
          </w:p>
        </w:tc>
      </w:tr>
      <w:tr>
        <w:trPr>
          <w:trHeight w:val="135"/>
        </w:trPr>
        <w:tc>
          <w:tcPr>
            <w:tcW w:w="2140" w:type="dxa"/>
            <w:vAlign w:val="bottom"/>
          </w:tcPr>
          <w:p>
            <w:pPr>
              <w:spacing w:after="0"/>
              <w:rPr>
                <w:sz w:val="11"/>
                <w:szCs w:val="11"/>
                <w:color w:val="auto"/>
              </w:rPr>
            </w:pPr>
          </w:p>
        </w:tc>
        <w:tc>
          <w:tcPr>
            <w:tcW w:w="1400" w:type="dxa"/>
            <w:vAlign w:val="bottom"/>
            <w:gridSpan w:val="2"/>
          </w:tcPr>
          <w:p>
            <w:pPr>
              <w:jc w:val="right"/>
              <w:ind w:right="115"/>
              <w:spacing w:after="0"/>
              <w:rPr>
                <w:sz w:val="20"/>
                <w:szCs w:val="20"/>
                <w:color w:val="auto"/>
              </w:rPr>
            </w:pPr>
            <w:r>
              <w:rPr>
                <w:rFonts w:ascii="Courier New" w:cs="Courier New" w:eastAsia="Courier New" w:hAnsi="Courier New"/>
                <w:sz w:val="12"/>
                <w:szCs w:val="12"/>
                <w:color w:val="auto"/>
              </w:rPr>
              <w:t>Common Stock</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Additional</w:t>
            </w:r>
          </w:p>
        </w:tc>
        <w:tc>
          <w:tcPr>
            <w:tcW w:w="82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2"/>
                <w:szCs w:val="12"/>
                <w:color w:val="auto"/>
                <w:w w:val="99"/>
              </w:rPr>
              <w:t>Other</w:t>
            </w:r>
          </w:p>
        </w:tc>
        <w:tc>
          <w:tcPr>
            <w:tcW w:w="620" w:type="dxa"/>
            <w:vAlign w:val="bottom"/>
          </w:tcPr>
          <w:p>
            <w:pPr>
              <w:spacing w:after="0"/>
              <w:rPr>
                <w:sz w:val="11"/>
                <w:szCs w:val="11"/>
                <w:color w:val="auto"/>
              </w:rPr>
            </w:pPr>
          </w:p>
        </w:tc>
        <w:tc>
          <w:tcPr>
            <w:tcW w:w="1520" w:type="dxa"/>
            <w:vAlign w:val="bottom"/>
          </w:tcPr>
          <w:p>
            <w:pPr>
              <w:ind w:left="60"/>
              <w:spacing w:after="0"/>
              <w:rPr>
                <w:sz w:val="20"/>
                <w:szCs w:val="20"/>
                <w:color w:val="auto"/>
              </w:rPr>
            </w:pPr>
            <w:r>
              <w:rPr>
                <w:rFonts w:ascii="Courier New" w:cs="Courier New" w:eastAsia="Courier New" w:hAnsi="Courier New"/>
                <w:sz w:val="12"/>
                <w:szCs w:val="12"/>
                <w:color w:val="auto"/>
              </w:rPr>
              <w:t>Stock-</w:t>
            </w:r>
          </w:p>
        </w:tc>
        <w:tc>
          <w:tcPr>
            <w:tcW w:w="1020" w:type="dxa"/>
            <w:vAlign w:val="bottom"/>
          </w:tcPr>
          <w:p>
            <w:pPr>
              <w:spacing w:after="0"/>
              <w:rPr>
                <w:sz w:val="11"/>
                <w:szCs w:val="11"/>
                <w:color w:val="auto"/>
              </w:rPr>
            </w:pPr>
          </w:p>
        </w:tc>
      </w:tr>
      <w:tr>
        <w:trPr>
          <w:trHeight w:val="135"/>
        </w:trPr>
        <w:tc>
          <w:tcPr>
            <w:tcW w:w="2140" w:type="dxa"/>
            <w:vAlign w:val="bottom"/>
          </w:tcPr>
          <w:p>
            <w:pPr>
              <w:spacing w:after="0"/>
              <w:rPr>
                <w:sz w:val="11"/>
                <w:szCs w:val="11"/>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7"/>
              <w:spacing w:after="0"/>
              <w:rPr>
                <w:sz w:val="20"/>
                <w:szCs w:val="20"/>
                <w:color w:val="auto"/>
              </w:rPr>
            </w:pPr>
            <w:r>
              <w:rPr>
                <w:rFonts w:ascii="Courier New" w:cs="Courier New" w:eastAsia="Courier New" w:hAnsi="Courier New"/>
                <w:sz w:val="12"/>
                <w:szCs w:val="12"/>
                <w:color w:val="auto"/>
              </w:rPr>
              <w:t>Paid-In</w:t>
            </w:r>
          </w:p>
        </w:tc>
        <w:tc>
          <w:tcPr>
            <w:tcW w:w="4080" w:type="dxa"/>
            <w:vAlign w:val="bottom"/>
            <w:gridSpan w:val="4"/>
          </w:tcPr>
          <w:p>
            <w:pPr>
              <w:jc w:val="right"/>
              <w:ind w:right="790"/>
              <w:spacing w:after="0"/>
              <w:rPr>
                <w:sz w:val="20"/>
                <w:szCs w:val="20"/>
                <w:color w:val="auto"/>
              </w:rPr>
            </w:pPr>
            <w:r>
              <w:rPr>
                <w:rFonts w:ascii="Courier New" w:cs="Courier New" w:eastAsia="Courier New" w:hAnsi="Courier New"/>
                <w:sz w:val="12"/>
                <w:szCs w:val="12"/>
                <w:color w:val="auto"/>
              </w:rPr>
              <w:t>Accumulated Comprehensive Treasury holders'</w:t>
            </w:r>
          </w:p>
        </w:tc>
        <w:tc>
          <w:tcPr>
            <w:tcW w:w="1020" w:type="dxa"/>
            <w:vAlign w:val="bottom"/>
          </w:tcPr>
          <w:p>
            <w:pPr>
              <w:spacing w:after="0"/>
              <w:rPr>
                <w:sz w:val="11"/>
                <w:szCs w:val="11"/>
                <w:color w:val="auto"/>
              </w:rPr>
            </w:pPr>
          </w:p>
        </w:tc>
      </w:tr>
      <w:tr>
        <w:trPr>
          <w:trHeight w:val="135"/>
        </w:trPr>
        <w:tc>
          <w:tcPr>
            <w:tcW w:w="2140" w:type="dxa"/>
            <w:vAlign w:val="bottom"/>
          </w:tcPr>
          <w:p>
            <w:pPr>
              <w:spacing w:after="0"/>
              <w:rPr>
                <w:sz w:val="11"/>
                <w:szCs w:val="11"/>
                <w:color w:val="auto"/>
              </w:rPr>
            </w:pP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Shares</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w w:val="92"/>
              </w:rPr>
              <w:t>Amount</w:t>
            </w:r>
          </w:p>
        </w:tc>
        <w:tc>
          <w:tcPr>
            <w:tcW w:w="840" w:type="dxa"/>
            <w:vAlign w:val="bottom"/>
          </w:tcPr>
          <w:p>
            <w:pPr>
              <w:jc w:val="right"/>
              <w:ind w:right="77"/>
              <w:spacing w:after="0"/>
              <w:rPr>
                <w:sz w:val="20"/>
                <w:szCs w:val="20"/>
                <w:color w:val="auto"/>
              </w:rPr>
            </w:pPr>
            <w:r>
              <w:rPr>
                <w:rFonts w:ascii="Courier New" w:cs="Courier New" w:eastAsia="Courier New" w:hAnsi="Courier New"/>
                <w:sz w:val="12"/>
                <w:szCs w:val="12"/>
                <w:color w:val="auto"/>
              </w:rPr>
              <w:t>Capital</w:t>
            </w:r>
          </w:p>
        </w:tc>
        <w:tc>
          <w:tcPr>
            <w:tcW w:w="820" w:type="dxa"/>
            <w:vAlign w:val="bottom"/>
          </w:tcPr>
          <w:p>
            <w:pPr>
              <w:jc w:val="right"/>
              <w:ind w:right="14"/>
              <w:spacing w:after="0"/>
              <w:rPr>
                <w:sz w:val="20"/>
                <w:szCs w:val="20"/>
                <w:color w:val="auto"/>
              </w:rPr>
            </w:pPr>
            <w:r>
              <w:rPr>
                <w:rFonts w:ascii="Courier New" w:cs="Courier New" w:eastAsia="Courier New" w:hAnsi="Courier New"/>
                <w:sz w:val="12"/>
                <w:szCs w:val="12"/>
                <w:color w:val="auto"/>
              </w:rPr>
              <w:t>Deficit</w:t>
            </w:r>
          </w:p>
        </w:tc>
        <w:tc>
          <w:tcPr>
            <w:tcW w:w="1120" w:type="dxa"/>
            <w:vAlign w:val="bottom"/>
          </w:tcPr>
          <w:p>
            <w:pPr>
              <w:jc w:val="right"/>
              <w:ind w:right="272"/>
              <w:spacing w:after="0"/>
              <w:rPr>
                <w:sz w:val="20"/>
                <w:szCs w:val="20"/>
                <w:color w:val="auto"/>
              </w:rPr>
            </w:pPr>
            <w:r>
              <w:rPr>
                <w:rFonts w:ascii="Courier New" w:cs="Courier New" w:eastAsia="Courier New" w:hAnsi="Courier New"/>
                <w:sz w:val="12"/>
                <w:szCs w:val="12"/>
                <w:color w:val="auto"/>
              </w:rPr>
              <w:t>Income</w:t>
            </w:r>
          </w:p>
        </w:tc>
        <w:tc>
          <w:tcPr>
            <w:tcW w:w="6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Stock</w:t>
            </w:r>
          </w:p>
        </w:tc>
        <w:tc>
          <w:tcPr>
            <w:tcW w:w="1520" w:type="dxa"/>
            <w:vAlign w:val="bottom"/>
          </w:tcPr>
          <w:p>
            <w:pPr>
              <w:ind w:left="60"/>
              <w:spacing w:after="0"/>
              <w:rPr>
                <w:sz w:val="20"/>
                <w:szCs w:val="20"/>
                <w:color w:val="auto"/>
              </w:rPr>
            </w:pPr>
            <w:r>
              <w:rPr>
                <w:rFonts w:ascii="Courier New" w:cs="Courier New" w:eastAsia="Courier New" w:hAnsi="Courier New"/>
                <w:sz w:val="12"/>
                <w:szCs w:val="12"/>
                <w:color w:val="auto"/>
              </w:rPr>
              <w:t>Equity</w:t>
            </w:r>
          </w:p>
        </w:tc>
        <w:tc>
          <w:tcPr>
            <w:tcW w:w="1020" w:type="dxa"/>
            <w:vAlign w:val="bottom"/>
          </w:tcPr>
          <w:p>
            <w:pPr>
              <w:spacing w:after="0"/>
              <w:rPr>
                <w:sz w:val="11"/>
                <w:szCs w:val="11"/>
                <w:color w:val="auto"/>
              </w:rPr>
            </w:pPr>
          </w:p>
        </w:tc>
      </w:tr>
      <w:tr>
        <w:trPr>
          <w:trHeight w:val="137"/>
        </w:trPr>
        <w:tc>
          <w:tcPr>
            <w:tcW w:w="2140" w:type="dxa"/>
            <w:vAlign w:val="bottom"/>
          </w:tcPr>
          <w:p>
            <w:pPr>
              <w:spacing w:after="0"/>
              <w:rPr>
                <w:sz w:val="11"/>
                <w:szCs w:val="11"/>
                <w:color w:val="auto"/>
              </w:rPr>
            </w:pPr>
          </w:p>
        </w:tc>
        <w:tc>
          <w:tcPr>
            <w:tcW w:w="22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 ------ ----------</w:t>
            </w:r>
          </w:p>
        </w:tc>
        <w:tc>
          <w:tcPr>
            <w:tcW w:w="4080" w:type="dxa"/>
            <w:vAlign w:val="bottom"/>
            <w:gridSpan w:val="4"/>
          </w:tcPr>
          <w:p>
            <w:pPr>
              <w:jc w:val="right"/>
              <w:ind w:right="870"/>
              <w:spacing w:after="0"/>
              <w:rPr>
                <w:sz w:val="20"/>
                <w:szCs w:val="20"/>
                <w:color w:val="auto"/>
              </w:rPr>
            </w:pPr>
            <w:r>
              <w:rPr>
                <w:rFonts w:ascii="Courier New" w:cs="Courier New" w:eastAsia="Courier New" w:hAnsi="Courier New"/>
                <w:sz w:val="12"/>
                <w:szCs w:val="12"/>
                <w:color w:val="auto"/>
              </w:rPr>
              <w:t>----------- ------------- -------- -------</w:t>
            </w:r>
          </w:p>
        </w:tc>
        <w:tc>
          <w:tcPr>
            <w:tcW w:w="1020" w:type="dxa"/>
            <w:vAlign w:val="bottom"/>
          </w:tcPr>
          <w:p>
            <w:pPr>
              <w:spacing w:after="0"/>
              <w:rPr>
                <w:sz w:val="11"/>
                <w:szCs w:val="11"/>
                <w:color w:val="auto"/>
              </w:rPr>
            </w:pPr>
          </w:p>
        </w:tc>
      </w:tr>
      <w:tr>
        <w:trPr>
          <w:trHeight w:val="270"/>
        </w:trPr>
        <w:tc>
          <w:tcPr>
            <w:tcW w:w="2140" w:type="dxa"/>
            <w:vAlign w:val="bottom"/>
          </w:tcPr>
          <w:p>
            <w:pPr>
              <w:spacing w:after="0"/>
              <w:rPr>
                <w:sz w:val="20"/>
                <w:szCs w:val="20"/>
                <w:color w:val="auto"/>
              </w:rPr>
            </w:pPr>
            <w:r>
              <w:rPr>
                <w:rFonts w:ascii="Courier New" w:cs="Courier New" w:eastAsia="Courier New" w:hAnsi="Courier New"/>
                <w:sz w:val="12"/>
                <w:szCs w:val="12"/>
                <w:color w:val="auto"/>
              </w:rPr>
              <w:t>Balance, January 1, 2010</w:t>
            </w:r>
          </w:p>
        </w:tc>
        <w:tc>
          <w:tcPr>
            <w:tcW w:w="9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10,193,255</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$ 102</w:t>
            </w:r>
          </w:p>
        </w:tc>
        <w:tc>
          <w:tcPr>
            <w:tcW w:w="840" w:type="dxa"/>
            <w:vAlign w:val="bottom"/>
          </w:tcPr>
          <w:p>
            <w:pPr>
              <w:jc w:val="right"/>
              <w:ind w:right="77"/>
              <w:spacing w:after="0"/>
              <w:rPr>
                <w:sz w:val="20"/>
                <w:szCs w:val="20"/>
                <w:color w:val="auto"/>
              </w:rPr>
            </w:pPr>
            <w:r>
              <w:rPr>
                <w:rFonts w:ascii="Courier New" w:cs="Courier New" w:eastAsia="Courier New" w:hAnsi="Courier New"/>
                <w:sz w:val="12"/>
                <w:szCs w:val="12"/>
                <w:color w:val="auto"/>
              </w:rPr>
              <w:t>$25,798</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$(17,801)</w:t>
            </w:r>
          </w:p>
        </w:tc>
        <w:tc>
          <w:tcPr>
            <w:tcW w:w="1120" w:type="dxa"/>
            <w:vAlign w:val="bottom"/>
          </w:tcPr>
          <w:p>
            <w:pPr>
              <w:jc w:val="right"/>
              <w:ind w:right="272"/>
              <w:spacing w:after="0"/>
              <w:rPr>
                <w:sz w:val="20"/>
                <w:szCs w:val="20"/>
                <w:color w:val="auto"/>
              </w:rPr>
            </w:pPr>
            <w:r>
              <w:rPr>
                <w:rFonts w:ascii="Courier New" w:cs="Courier New" w:eastAsia="Courier New" w:hAnsi="Courier New"/>
                <w:sz w:val="12"/>
                <w:szCs w:val="12"/>
                <w:color w:val="auto"/>
              </w:rPr>
              <w:t>$1,356</w:t>
            </w: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$(861)</w:t>
            </w:r>
          </w:p>
        </w:tc>
        <w:tc>
          <w:tcPr>
            <w:tcW w:w="1520" w:type="dxa"/>
            <w:vAlign w:val="bottom"/>
          </w:tcPr>
          <w:p>
            <w:pPr>
              <w:jc w:val="right"/>
              <w:ind w:right="870"/>
              <w:spacing w:after="0"/>
              <w:rPr>
                <w:sz w:val="20"/>
                <w:szCs w:val="20"/>
                <w:color w:val="auto"/>
              </w:rPr>
            </w:pPr>
            <w:r>
              <w:rPr>
                <w:rFonts w:ascii="Courier New" w:cs="Courier New" w:eastAsia="Courier New" w:hAnsi="Courier New"/>
                <w:sz w:val="12"/>
                <w:szCs w:val="12"/>
                <w:color w:val="auto"/>
              </w:rPr>
              <w:t>$ 8,594</w:t>
            </w:r>
          </w:p>
        </w:tc>
        <w:tc>
          <w:tcPr>
            <w:tcW w:w="1020" w:type="dxa"/>
            <w:vAlign w:val="bottom"/>
          </w:tcPr>
          <w:p>
            <w:pPr>
              <w:spacing w:after="0"/>
              <w:rPr>
                <w:sz w:val="23"/>
                <w:szCs w:val="23"/>
                <w:color w:val="auto"/>
              </w:rPr>
            </w:pPr>
          </w:p>
        </w:tc>
      </w:tr>
      <w:tr>
        <w:trPr>
          <w:trHeight w:val="270"/>
        </w:trPr>
        <w:tc>
          <w:tcPr>
            <w:tcW w:w="214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9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7"/>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2"/>
                <w:szCs w:val="12"/>
                <w:color w:val="auto"/>
              </w:rPr>
              <w:t>1,112</w:t>
            </w:r>
          </w:p>
        </w:tc>
        <w:tc>
          <w:tcPr>
            <w:tcW w:w="1120" w:type="dxa"/>
            <w:vAlign w:val="bottom"/>
          </w:tcPr>
          <w:p>
            <w:pPr>
              <w:jc w:val="right"/>
              <w:ind w:right="272"/>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520" w:type="dxa"/>
            <w:vAlign w:val="bottom"/>
          </w:tcPr>
          <w:p>
            <w:pPr>
              <w:jc w:val="right"/>
              <w:ind w:right="870"/>
              <w:spacing w:after="0"/>
              <w:rPr>
                <w:sz w:val="20"/>
                <w:szCs w:val="20"/>
                <w:color w:val="auto"/>
              </w:rPr>
            </w:pPr>
            <w:r>
              <w:rPr>
                <w:rFonts w:ascii="Courier New" w:cs="Courier New" w:eastAsia="Courier New" w:hAnsi="Courier New"/>
                <w:sz w:val="12"/>
                <w:szCs w:val="12"/>
                <w:color w:val="auto"/>
              </w:rPr>
              <w:t>1,112</w:t>
            </w:r>
          </w:p>
        </w:tc>
        <w:tc>
          <w:tcPr>
            <w:tcW w:w="1020" w:type="dxa"/>
            <w:vAlign w:val="bottom"/>
          </w:tcPr>
          <w:p>
            <w:pPr>
              <w:spacing w:after="0"/>
              <w:rPr>
                <w:sz w:val="23"/>
                <w:szCs w:val="23"/>
                <w:color w:val="auto"/>
              </w:rPr>
            </w:pPr>
          </w:p>
        </w:tc>
      </w:tr>
      <w:tr>
        <w:trPr>
          <w:trHeight w:val="270"/>
        </w:trPr>
        <w:tc>
          <w:tcPr>
            <w:tcW w:w="2140" w:type="dxa"/>
            <w:vAlign w:val="bottom"/>
          </w:tcPr>
          <w:p>
            <w:pPr>
              <w:spacing w:after="0"/>
              <w:rPr>
                <w:sz w:val="20"/>
                <w:szCs w:val="20"/>
                <w:color w:val="auto"/>
              </w:rPr>
            </w:pPr>
            <w:r>
              <w:rPr>
                <w:rFonts w:ascii="Courier New" w:cs="Courier New" w:eastAsia="Courier New" w:hAnsi="Courier New"/>
                <w:sz w:val="12"/>
                <w:szCs w:val="12"/>
                <w:color w:val="auto"/>
              </w:rPr>
              <w:t>Other comprehensive loss</w:t>
            </w:r>
          </w:p>
        </w:tc>
        <w:tc>
          <w:tcPr>
            <w:tcW w:w="9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7"/>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192"/>
              <w:spacing w:after="0"/>
              <w:rPr>
                <w:sz w:val="20"/>
                <w:szCs w:val="20"/>
                <w:color w:val="auto"/>
              </w:rPr>
            </w:pPr>
            <w:r>
              <w:rPr>
                <w:rFonts w:ascii="Courier New" w:cs="Courier New" w:eastAsia="Courier New" w:hAnsi="Courier New"/>
                <w:sz w:val="12"/>
                <w:szCs w:val="12"/>
                <w:color w:val="auto"/>
              </w:rPr>
              <w:t>(54)</w:t>
            </w:r>
          </w:p>
        </w:tc>
        <w:tc>
          <w:tcPr>
            <w:tcW w:w="6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520" w:type="dxa"/>
            <w:vAlign w:val="bottom"/>
          </w:tcPr>
          <w:p>
            <w:pPr>
              <w:jc w:val="right"/>
              <w:ind w:right="790"/>
              <w:spacing w:after="0"/>
              <w:rPr>
                <w:sz w:val="20"/>
                <w:szCs w:val="20"/>
                <w:color w:val="auto"/>
              </w:rPr>
            </w:pPr>
            <w:r>
              <w:rPr>
                <w:rFonts w:ascii="Courier New" w:cs="Courier New" w:eastAsia="Courier New" w:hAnsi="Courier New"/>
                <w:sz w:val="12"/>
                <w:szCs w:val="12"/>
                <w:color w:val="auto"/>
              </w:rPr>
              <w:t>(54)</w:t>
            </w:r>
          </w:p>
        </w:tc>
        <w:tc>
          <w:tcPr>
            <w:tcW w:w="1020" w:type="dxa"/>
            <w:vAlign w:val="bottom"/>
          </w:tcPr>
          <w:p>
            <w:pPr>
              <w:spacing w:after="0"/>
              <w:rPr>
                <w:sz w:val="23"/>
                <w:szCs w:val="23"/>
                <w:color w:val="auto"/>
              </w:rPr>
            </w:pPr>
          </w:p>
        </w:tc>
      </w:tr>
      <w:tr>
        <w:trPr>
          <w:trHeight w:val="268"/>
        </w:trPr>
        <w:tc>
          <w:tcPr>
            <w:tcW w:w="214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9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35"/>
        </w:trPr>
        <w:tc>
          <w:tcPr>
            <w:tcW w:w="2140" w:type="dxa"/>
            <w:vAlign w:val="bottom"/>
          </w:tcPr>
          <w:p>
            <w:pPr>
              <w:spacing w:after="0"/>
              <w:rPr>
                <w:sz w:val="20"/>
                <w:szCs w:val="20"/>
                <w:color w:val="auto"/>
              </w:rPr>
            </w:pPr>
            <w:r>
              <w:rPr>
                <w:rFonts w:ascii="Courier New" w:cs="Courier New" w:eastAsia="Courier New" w:hAnsi="Courier New"/>
                <w:sz w:val="12"/>
                <w:szCs w:val="12"/>
                <w:color w:val="auto"/>
              </w:rPr>
              <w:t>compensation related</w:t>
            </w:r>
          </w:p>
        </w:tc>
        <w:tc>
          <w:tcPr>
            <w:tcW w:w="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7"/>
        </w:trPr>
        <w:tc>
          <w:tcPr>
            <w:tcW w:w="2140" w:type="dxa"/>
            <w:vAlign w:val="bottom"/>
          </w:tcPr>
          <w:p>
            <w:pPr>
              <w:spacing w:after="0"/>
              <w:rPr>
                <w:sz w:val="20"/>
                <w:szCs w:val="20"/>
                <w:color w:val="auto"/>
              </w:rPr>
            </w:pPr>
            <w:r>
              <w:rPr>
                <w:rFonts w:ascii="Courier New" w:cs="Courier New" w:eastAsia="Courier New" w:hAnsi="Courier New"/>
                <w:sz w:val="12"/>
                <w:szCs w:val="12"/>
                <w:color w:val="auto"/>
              </w:rPr>
              <w:t>to restricted stock</w:t>
            </w:r>
          </w:p>
        </w:tc>
        <w:tc>
          <w:tcPr>
            <w:tcW w:w="9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7"/>
              <w:spacing w:after="0"/>
              <w:rPr>
                <w:sz w:val="20"/>
                <w:szCs w:val="20"/>
                <w:color w:val="auto"/>
              </w:rPr>
            </w:pPr>
            <w:r>
              <w:rPr>
                <w:rFonts w:ascii="Courier New" w:cs="Courier New" w:eastAsia="Courier New" w:hAnsi="Courier New"/>
                <w:sz w:val="12"/>
                <w:szCs w:val="12"/>
                <w:color w:val="auto"/>
              </w:rPr>
              <w:t>40</w:t>
            </w:r>
          </w:p>
        </w:tc>
        <w:tc>
          <w:tcPr>
            <w:tcW w:w="820" w:type="dxa"/>
            <w:vAlign w:val="bottom"/>
          </w:tcPr>
          <w:p>
            <w:pPr>
              <w:jc w:val="right"/>
              <w:ind w:right="14"/>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272"/>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520" w:type="dxa"/>
            <w:vAlign w:val="bottom"/>
          </w:tcPr>
          <w:p>
            <w:pPr>
              <w:jc w:val="right"/>
              <w:ind w:right="870"/>
              <w:spacing w:after="0"/>
              <w:rPr>
                <w:sz w:val="20"/>
                <w:szCs w:val="20"/>
                <w:color w:val="auto"/>
              </w:rPr>
            </w:pPr>
            <w:r>
              <w:rPr>
                <w:rFonts w:ascii="Courier New" w:cs="Courier New" w:eastAsia="Courier New" w:hAnsi="Courier New"/>
                <w:sz w:val="12"/>
                <w:szCs w:val="12"/>
                <w:color w:val="auto"/>
              </w:rPr>
              <w:t>40</w:t>
            </w:r>
          </w:p>
        </w:tc>
        <w:tc>
          <w:tcPr>
            <w:tcW w:w="1020" w:type="dxa"/>
            <w:vAlign w:val="bottom"/>
          </w:tcPr>
          <w:p>
            <w:pPr>
              <w:spacing w:after="0"/>
              <w:rPr>
                <w:sz w:val="11"/>
                <w:szCs w:val="11"/>
                <w:color w:val="auto"/>
              </w:rPr>
            </w:pPr>
          </w:p>
        </w:tc>
      </w:tr>
      <w:tr>
        <w:trPr>
          <w:trHeight w:val="268"/>
        </w:trPr>
        <w:tc>
          <w:tcPr>
            <w:tcW w:w="2140" w:type="dxa"/>
            <w:vAlign w:val="bottom"/>
          </w:tcPr>
          <w:p>
            <w:pPr>
              <w:spacing w:after="0"/>
              <w:rPr>
                <w:sz w:val="20"/>
                <w:szCs w:val="20"/>
                <w:color w:val="auto"/>
              </w:rPr>
            </w:pPr>
            <w:r>
              <w:rPr>
                <w:rFonts w:ascii="Courier New" w:cs="Courier New" w:eastAsia="Courier New" w:hAnsi="Courier New"/>
                <w:sz w:val="12"/>
                <w:szCs w:val="12"/>
                <w:color w:val="auto"/>
              </w:rPr>
              <w:t>Issuance of non-vested</w:t>
            </w:r>
          </w:p>
        </w:tc>
        <w:tc>
          <w:tcPr>
            <w:tcW w:w="9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37"/>
        </w:trPr>
        <w:tc>
          <w:tcPr>
            <w:tcW w:w="2140" w:type="dxa"/>
            <w:vAlign w:val="bottom"/>
          </w:tcPr>
          <w:p>
            <w:pPr>
              <w:spacing w:after="0"/>
              <w:rPr>
                <w:sz w:val="20"/>
                <w:szCs w:val="20"/>
                <w:color w:val="auto"/>
              </w:rPr>
            </w:pPr>
            <w:r>
              <w:rPr>
                <w:rFonts w:ascii="Courier New" w:cs="Courier New" w:eastAsia="Courier New" w:hAnsi="Courier New"/>
                <w:sz w:val="12"/>
                <w:szCs w:val="12"/>
                <w:color w:val="auto"/>
              </w:rPr>
              <w:t>shares of restricted stock</w:t>
            </w:r>
          </w:p>
        </w:tc>
        <w:tc>
          <w:tcPr>
            <w:tcW w:w="9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250,000</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2</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(2)</w:t>
            </w:r>
          </w:p>
        </w:tc>
        <w:tc>
          <w:tcPr>
            <w:tcW w:w="820" w:type="dxa"/>
            <w:vAlign w:val="bottom"/>
          </w:tcPr>
          <w:p>
            <w:pPr>
              <w:jc w:val="right"/>
              <w:ind w:right="14"/>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272"/>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520" w:type="dxa"/>
            <w:vAlign w:val="bottom"/>
          </w:tcPr>
          <w:p>
            <w:pPr>
              <w:jc w:val="right"/>
              <w:ind w:right="870"/>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spacing w:after="0"/>
              <w:rPr>
                <w:sz w:val="11"/>
                <w:szCs w:val="11"/>
                <w:color w:val="auto"/>
              </w:rPr>
            </w:pPr>
          </w:p>
        </w:tc>
      </w:tr>
      <w:tr>
        <w:trPr>
          <w:trHeight w:val="268"/>
        </w:trPr>
        <w:tc>
          <w:tcPr>
            <w:tcW w:w="2140" w:type="dxa"/>
            <w:vAlign w:val="bottom"/>
          </w:tcPr>
          <w:p>
            <w:pPr>
              <w:spacing w:after="0"/>
              <w:rPr>
                <w:sz w:val="20"/>
                <w:szCs w:val="20"/>
                <w:color w:val="auto"/>
              </w:rPr>
            </w:pPr>
            <w:r>
              <w:rPr>
                <w:rFonts w:ascii="Courier New" w:cs="Courier New" w:eastAsia="Courier New" w:hAnsi="Courier New"/>
                <w:sz w:val="12"/>
                <w:szCs w:val="12"/>
                <w:color w:val="auto"/>
              </w:rPr>
              <w:t>Forfeiture of non-vested</w:t>
            </w:r>
          </w:p>
        </w:tc>
        <w:tc>
          <w:tcPr>
            <w:tcW w:w="9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35"/>
        </w:trPr>
        <w:tc>
          <w:tcPr>
            <w:tcW w:w="2140" w:type="dxa"/>
            <w:vAlign w:val="bottom"/>
          </w:tcPr>
          <w:p>
            <w:pPr>
              <w:spacing w:after="0"/>
              <w:rPr>
                <w:sz w:val="20"/>
                <w:szCs w:val="20"/>
                <w:color w:val="auto"/>
              </w:rPr>
            </w:pPr>
            <w:r>
              <w:rPr>
                <w:rFonts w:ascii="Courier New" w:cs="Courier New" w:eastAsia="Courier New" w:hAnsi="Courier New"/>
                <w:sz w:val="12"/>
                <w:szCs w:val="12"/>
                <w:color w:val="auto"/>
              </w:rPr>
              <w:t>shares of restricted stock</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(2,500)</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7"/>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272"/>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520" w:type="dxa"/>
            <w:vAlign w:val="bottom"/>
          </w:tcPr>
          <w:p>
            <w:pPr>
              <w:jc w:val="right"/>
              <w:ind w:right="870"/>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spacing w:after="0"/>
              <w:rPr>
                <w:sz w:val="11"/>
                <w:szCs w:val="11"/>
                <w:color w:val="auto"/>
              </w:rPr>
            </w:pPr>
          </w:p>
        </w:tc>
      </w:tr>
      <w:tr>
        <w:trPr>
          <w:trHeight w:val="137"/>
        </w:trPr>
        <w:tc>
          <w:tcPr>
            <w:tcW w:w="2140" w:type="dxa"/>
            <w:vAlign w:val="bottom"/>
          </w:tcPr>
          <w:p>
            <w:pPr>
              <w:spacing w:after="0"/>
              <w:rPr>
                <w:sz w:val="11"/>
                <w:szCs w:val="11"/>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7"/>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272"/>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520" w:type="dxa"/>
            <w:vAlign w:val="bottom"/>
          </w:tcPr>
          <w:p>
            <w:pPr>
              <w:jc w:val="right"/>
              <w:ind w:right="870"/>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spacing w:after="0"/>
              <w:rPr>
                <w:sz w:val="11"/>
                <w:szCs w:val="11"/>
                <w:color w:val="auto"/>
              </w:rPr>
            </w:pPr>
          </w:p>
        </w:tc>
      </w:tr>
      <w:tr>
        <w:trPr>
          <w:trHeight w:val="268"/>
        </w:trPr>
        <w:tc>
          <w:tcPr>
            <w:tcW w:w="2140" w:type="dxa"/>
            <w:vAlign w:val="bottom"/>
          </w:tcPr>
          <w:p>
            <w:pPr>
              <w:spacing w:after="0"/>
              <w:rPr>
                <w:sz w:val="20"/>
                <w:szCs w:val="20"/>
                <w:color w:val="auto"/>
              </w:rPr>
            </w:pPr>
            <w:r>
              <w:rPr>
                <w:rFonts w:ascii="Courier New" w:cs="Courier New" w:eastAsia="Courier New" w:hAnsi="Courier New"/>
                <w:sz w:val="12"/>
                <w:szCs w:val="12"/>
                <w:color w:val="auto"/>
              </w:rPr>
              <w:t>Balance, March 31, 2010</w:t>
            </w:r>
          </w:p>
        </w:tc>
        <w:tc>
          <w:tcPr>
            <w:tcW w:w="9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10,440,755</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$ 104</w:t>
            </w:r>
          </w:p>
        </w:tc>
        <w:tc>
          <w:tcPr>
            <w:tcW w:w="840" w:type="dxa"/>
            <w:vAlign w:val="bottom"/>
          </w:tcPr>
          <w:p>
            <w:pPr>
              <w:jc w:val="right"/>
              <w:ind w:right="77"/>
              <w:spacing w:after="0"/>
              <w:rPr>
                <w:sz w:val="20"/>
                <w:szCs w:val="20"/>
                <w:color w:val="auto"/>
              </w:rPr>
            </w:pPr>
            <w:r>
              <w:rPr>
                <w:rFonts w:ascii="Courier New" w:cs="Courier New" w:eastAsia="Courier New" w:hAnsi="Courier New"/>
                <w:sz w:val="12"/>
                <w:szCs w:val="12"/>
                <w:color w:val="auto"/>
              </w:rPr>
              <w:t>$25,836</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$(16,689)</w:t>
            </w:r>
          </w:p>
        </w:tc>
        <w:tc>
          <w:tcPr>
            <w:tcW w:w="1120" w:type="dxa"/>
            <w:vAlign w:val="bottom"/>
          </w:tcPr>
          <w:p>
            <w:pPr>
              <w:jc w:val="right"/>
              <w:ind w:right="272"/>
              <w:spacing w:after="0"/>
              <w:rPr>
                <w:sz w:val="20"/>
                <w:szCs w:val="20"/>
                <w:color w:val="auto"/>
              </w:rPr>
            </w:pPr>
            <w:r>
              <w:rPr>
                <w:rFonts w:ascii="Courier New" w:cs="Courier New" w:eastAsia="Courier New" w:hAnsi="Courier New"/>
                <w:sz w:val="12"/>
                <w:szCs w:val="12"/>
                <w:color w:val="auto"/>
              </w:rPr>
              <w:t>$1,302</w:t>
            </w: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$(861)</w:t>
            </w:r>
          </w:p>
        </w:tc>
        <w:tc>
          <w:tcPr>
            <w:tcW w:w="1520" w:type="dxa"/>
            <w:vAlign w:val="bottom"/>
          </w:tcPr>
          <w:p>
            <w:pPr>
              <w:jc w:val="right"/>
              <w:ind w:right="870"/>
              <w:spacing w:after="0"/>
              <w:rPr>
                <w:sz w:val="20"/>
                <w:szCs w:val="20"/>
                <w:color w:val="auto"/>
              </w:rPr>
            </w:pPr>
            <w:r>
              <w:rPr>
                <w:rFonts w:ascii="Courier New" w:cs="Courier New" w:eastAsia="Courier New" w:hAnsi="Courier New"/>
                <w:sz w:val="12"/>
                <w:szCs w:val="12"/>
                <w:color w:val="auto"/>
              </w:rPr>
              <w:t>$ 9,692</w:t>
            </w:r>
          </w:p>
        </w:tc>
        <w:tc>
          <w:tcPr>
            <w:tcW w:w="1020" w:type="dxa"/>
            <w:vAlign w:val="bottom"/>
          </w:tcPr>
          <w:p>
            <w:pPr>
              <w:spacing w:after="0"/>
              <w:rPr>
                <w:sz w:val="23"/>
                <w:szCs w:val="23"/>
                <w:color w:val="auto"/>
              </w:rPr>
            </w:pPr>
          </w:p>
        </w:tc>
      </w:tr>
      <w:tr>
        <w:trPr>
          <w:trHeight w:val="137"/>
        </w:trPr>
        <w:tc>
          <w:tcPr>
            <w:tcW w:w="2140" w:type="dxa"/>
            <w:vAlign w:val="bottom"/>
          </w:tcPr>
          <w:p>
            <w:pPr>
              <w:spacing w:after="0"/>
              <w:rPr>
                <w:sz w:val="11"/>
                <w:szCs w:val="11"/>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7"/>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272"/>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520" w:type="dxa"/>
            <w:vAlign w:val="bottom"/>
          </w:tcPr>
          <w:p>
            <w:pPr>
              <w:jc w:val="right"/>
              <w:ind w:right="870"/>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spacing w:after="0"/>
              <w:rPr>
                <w:sz w:val="11"/>
                <w:szCs w:val="11"/>
                <w:color w:val="auto"/>
              </w:rPr>
            </w:pPr>
          </w:p>
        </w:tc>
      </w:tr>
      <w:tr>
        <w:trPr>
          <w:trHeight w:val="826"/>
        </w:trPr>
        <w:tc>
          <w:tcPr>
            <w:tcW w:w="2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380" w:type="dxa"/>
            <w:vAlign w:val="bottom"/>
            <w:gridSpan w:val="6"/>
          </w:tcPr>
          <w:p>
            <w:pPr>
              <w:jc w:val="center"/>
              <w:ind w:right="30"/>
              <w:spacing w:after="0"/>
              <w:rPr>
                <w:sz w:val="20"/>
                <w:szCs w:val="20"/>
                <w:color w:val="auto"/>
              </w:rPr>
            </w:pPr>
            <w:r>
              <w:rPr>
                <w:rFonts w:ascii="Arial" w:cs="Arial" w:eastAsia="Arial" w:hAnsi="Arial"/>
                <w:sz w:val="18"/>
                <w:szCs w:val="18"/>
                <w:color w:val="auto"/>
                <w:w w:val="87"/>
              </w:rPr>
              <w:t>See accompanying Notes to Consolidated Financial Statements.</w:t>
            </w:r>
          </w:p>
        </w:tc>
        <w:tc>
          <w:tcPr>
            <w:tcW w:w="102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jc w:val="center"/>
              <w:ind w:right="12"/>
              <w:spacing w:after="0"/>
              <w:rPr>
                <w:sz w:val="20"/>
                <w:szCs w:val="20"/>
                <w:color w:val="auto"/>
              </w:rPr>
            </w:pPr>
            <w:r>
              <w:rPr>
                <w:rFonts w:ascii="Arial" w:cs="Arial" w:eastAsia="Arial" w:hAnsi="Arial"/>
                <w:sz w:val="18"/>
                <w:szCs w:val="18"/>
                <w:color w:val="auto"/>
                <w:w w:val="92"/>
              </w:rPr>
              <w:t>- - 4 -</w:t>
            </w: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03"/>
        </w:trPr>
        <w:tc>
          <w:tcPr>
            <w:tcW w:w="2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60" w:type="dxa"/>
            <w:vAlign w:val="bottom"/>
            <w:gridSpan w:val="3"/>
          </w:tcPr>
          <w:p>
            <w:pPr>
              <w:jc w:val="center"/>
              <w:ind w:left="54"/>
              <w:spacing w:after="0"/>
              <w:rPr>
                <w:sz w:val="20"/>
                <w:szCs w:val="20"/>
                <w:color w:val="auto"/>
              </w:rPr>
            </w:pPr>
            <w:r>
              <w:rPr>
                <w:rFonts w:ascii="Arial" w:cs="Arial" w:eastAsia="Arial" w:hAnsi="Arial"/>
                <w:sz w:val="18"/>
                <w:szCs w:val="18"/>
                <w:b w:val="1"/>
                <w:bCs w:val="1"/>
                <w:color w:val="auto"/>
                <w:w w:val="96"/>
              </w:rPr>
              <w:t>inTEST CORPORATION</w:t>
            </w: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2"/>
        </w:trPr>
        <w:tc>
          <w:tcPr>
            <w:tcW w:w="2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920" w:type="dxa"/>
            <w:vAlign w:val="bottom"/>
            <w:gridSpan w:val="5"/>
          </w:tcPr>
          <w:p>
            <w:pPr>
              <w:jc w:val="center"/>
              <w:ind w:right="490"/>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1020" w:type="dxa"/>
            <w:vAlign w:val="bottom"/>
          </w:tcPr>
          <w:p>
            <w:pPr>
              <w:spacing w:after="0"/>
              <w:rPr>
                <w:sz w:val="19"/>
                <w:szCs w:val="19"/>
                <w:color w:val="auto"/>
              </w:rPr>
            </w:pPr>
          </w:p>
        </w:tc>
      </w:tr>
      <w:tr>
        <w:trPr>
          <w:trHeight w:val="216"/>
        </w:trPr>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jc w:val="center"/>
              <w:ind w:right="32"/>
              <w:spacing w:after="0"/>
              <w:rPr>
                <w:sz w:val="20"/>
                <w:szCs w:val="20"/>
                <w:color w:val="auto"/>
              </w:rPr>
            </w:pPr>
            <w:r>
              <w:rPr>
                <w:rFonts w:ascii="Arial" w:cs="Arial" w:eastAsia="Arial" w:hAnsi="Arial"/>
                <w:sz w:val="18"/>
                <w:szCs w:val="18"/>
                <w:color w:val="auto"/>
                <w:w w:val="88"/>
              </w:rPr>
              <w:t>(In thousands)</w:t>
            </w: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2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jc w:val="center"/>
              <w:ind w:right="32"/>
              <w:spacing w:after="0"/>
              <w:rPr>
                <w:sz w:val="20"/>
                <w:szCs w:val="20"/>
                <w:color w:val="auto"/>
              </w:rPr>
            </w:pPr>
            <w:r>
              <w:rPr>
                <w:rFonts w:ascii="Arial" w:cs="Arial" w:eastAsia="Arial" w:hAnsi="Arial"/>
                <w:sz w:val="18"/>
                <w:szCs w:val="18"/>
                <w:color w:val="auto"/>
                <w:w w:val="91"/>
              </w:rPr>
              <w:t>(Unaudited)</w:t>
            </w:r>
          </w:p>
        </w:tc>
        <w:tc>
          <w:tcPr>
            <w:tcW w:w="6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78"/>
        </w:trPr>
        <w:tc>
          <w:tcPr>
            <w:tcW w:w="2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2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40" w:type="dxa"/>
            <w:vAlign w:val="bottom"/>
            <w:gridSpan w:val="2"/>
          </w:tcPr>
          <w:p>
            <w:pPr>
              <w:ind w:left="1180"/>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2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20" w:type="dxa"/>
            <w:vAlign w:val="bottom"/>
          </w:tcPr>
          <w:p>
            <w:pPr>
              <w:jc w:val="right"/>
              <w:ind w:right="270"/>
              <w:spacing w:after="0" w:line="203" w:lineRule="exact"/>
              <w:rPr>
                <w:sz w:val="20"/>
                <w:szCs w:val="20"/>
                <w:color w:val="auto"/>
              </w:rPr>
            </w:pPr>
            <w:r>
              <w:rPr>
                <w:rFonts w:ascii="Courier New" w:cs="Courier New" w:eastAsia="Courier New" w:hAnsi="Courier New"/>
                <w:sz w:val="18"/>
                <w:szCs w:val="18"/>
                <w:color w:val="auto"/>
              </w:rPr>
              <w:t>2010</w:t>
            </w:r>
          </w:p>
        </w:tc>
        <w:tc>
          <w:tcPr>
            <w:tcW w:w="10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2009</w:t>
            </w:r>
          </w:p>
        </w:tc>
      </w:tr>
      <w:tr>
        <w:trPr>
          <w:trHeight w:val="203"/>
        </w:trPr>
        <w:tc>
          <w:tcPr>
            <w:tcW w:w="2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1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 (loss)</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$ 1,112</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$(2,755)</w:t>
            </w:r>
          </w:p>
        </w:tc>
      </w:tr>
      <w:tr>
        <w:trPr>
          <w:trHeight w:val="203"/>
        </w:trPr>
        <w:tc>
          <w:tcPr>
            <w:tcW w:w="69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8"/>
              </w:rPr>
              <w:t>Adjustments to reconcile net earnings (loss) to net cash provided</w:t>
            </w: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r>
    </w:tbl>
    <w:p>
      <w:pPr>
        <w:sectPr>
          <w:pgSz w:w="11900" w:h="16838" w:orient="portrait"/>
          <w:cols w:equalWidth="0" w:num="1">
            <w:col w:w="10219"/>
          </w:cols>
          <w:pgMar w:left="240" w:top="347" w:right="1440" w:bottom="0" w:gutter="0" w:footer="0" w:header="0"/>
          <w:type w:val="continuous"/>
        </w:sectPr>
      </w:pPr>
    </w:p>
    <w:bookmarkStart w:id="4" w:name="page5"/>
    <w:bookmarkEnd w:id="4"/>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ind w:left="120"/>
              <w:spacing w:after="0"/>
              <w:rPr>
                <w:sz w:val="20"/>
                <w:szCs w:val="20"/>
                <w:color w:val="auto"/>
              </w:rPr>
            </w:pPr>
            <w:r>
              <w:rPr>
                <w:rFonts w:ascii="Courier New" w:cs="Courier New" w:eastAsia="Courier New" w:hAnsi="Courier New"/>
                <w:sz w:val="18"/>
                <w:szCs w:val="18"/>
                <w:color w:val="auto"/>
              </w:rPr>
              <w:t>by</w:t>
            </w:r>
          </w:p>
        </w:tc>
        <w:tc>
          <w:tcPr>
            <w:tcW w:w="7060" w:type="dxa"/>
            <w:vAlign w:val="bottom"/>
          </w:tcPr>
          <w:p>
            <w:pPr>
              <w:ind w:left="40"/>
              <w:spacing w:after="0"/>
              <w:rPr>
                <w:sz w:val="20"/>
                <w:szCs w:val="20"/>
                <w:color w:val="auto"/>
              </w:rPr>
            </w:pPr>
            <w:r>
              <w:rPr>
                <w:rFonts w:ascii="Courier New" w:cs="Courier New" w:eastAsia="Courier New" w:hAnsi="Courier New"/>
                <w:sz w:val="18"/>
                <w:szCs w:val="18"/>
                <w:color w:val="auto"/>
              </w:rPr>
              <w:t>(used in) operating activities: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7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6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w:t>
            </w:r>
          </w:p>
        </w:tc>
      </w:tr>
      <w:tr>
        <w:trPr>
          <w:trHeight w:val="203"/>
        </w:trPr>
        <w:tc>
          <w:tcPr>
            <w:tcW w:w="7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Foreign exchange (gain) loss</w:t>
            </w:r>
          </w:p>
        </w:tc>
        <w:tc>
          <w:tcPr>
            <w:tcW w:w="16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7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Amortization of deferred compensation related to restricted stock</w:t>
            </w:r>
          </w:p>
        </w:tc>
        <w:tc>
          <w:tcPr>
            <w:tcW w:w="16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7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7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Trade accounts receivable</w:t>
            </w:r>
          </w:p>
        </w:tc>
        <w:tc>
          <w:tcPr>
            <w:tcW w:w="1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(1,153)</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887</w:t>
            </w:r>
          </w:p>
        </w:tc>
      </w:tr>
      <w:tr>
        <w:trPr>
          <w:trHeight w:val="203"/>
        </w:trPr>
        <w:tc>
          <w:tcPr>
            <w:tcW w:w="380" w:type="dxa"/>
            <w:vAlign w:val="bottom"/>
          </w:tcPr>
          <w:p>
            <w:pPr>
              <w:spacing w:after="0"/>
              <w:rPr>
                <w:sz w:val="17"/>
                <w:szCs w:val="17"/>
                <w:color w:val="auto"/>
              </w:rPr>
            </w:pPr>
          </w:p>
        </w:tc>
        <w:tc>
          <w:tcPr>
            <w:tcW w:w="7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Inventories</w:t>
            </w:r>
          </w:p>
        </w:tc>
        <w:tc>
          <w:tcPr>
            <w:tcW w:w="1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(563)</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633</w:t>
            </w:r>
          </w:p>
        </w:tc>
      </w:tr>
      <w:tr>
        <w:trPr>
          <w:trHeight w:val="203"/>
        </w:trPr>
        <w:tc>
          <w:tcPr>
            <w:tcW w:w="380" w:type="dxa"/>
            <w:vAlign w:val="bottom"/>
          </w:tcPr>
          <w:p>
            <w:pPr>
              <w:spacing w:after="0"/>
              <w:rPr>
                <w:sz w:val="17"/>
                <w:szCs w:val="17"/>
                <w:color w:val="auto"/>
              </w:rPr>
            </w:pPr>
          </w:p>
        </w:tc>
        <w:tc>
          <w:tcPr>
            <w:tcW w:w="7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1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w:t>
            </w:r>
          </w:p>
        </w:tc>
      </w:tr>
      <w:tr>
        <w:trPr>
          <w:trHeight w:val="203"/>
        </w:trPr>
        <w:tc>
          <w:tcPr>
            <w:tcW w:w="380" w:type="dxa"/>
            <w:vAlign w:val="bottom"/>
          </w:tcPr>
          <w:p>
            <w:pPr>
              <w:spacing w:after="0"/>
              <w:rPr>
                <w:sz w:val="17"/>
                <w:szCs w:val="17"/>
                <w:color w:val="auto"/>
              </w:rPr>
            </w:pPr>
          </w:p>
        </w:tc>
        <w:tc>
          <w:tcPr>
            <w:tcW w:w="7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1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(250)</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7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Other assets</w:t>
            </w:r>
          </w:p>
        </w:tc>
        <w:tc>
          <w:tcPr>
            <w:tcW w:w="16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380" w:type="dxa"/>
            <w:vAlign w:val="bottom"/>
          </w:tcPr>
          <w:p>
            <w:pPr>
              <w:spacing w:after="0"/>
              <w:rPr>
                <w:sz w:val="17"/>
                <w:szCs w:val="17"/>
                <w:color w:val="auto"/>
              </w:rPr>
            </w:pPr>
          </w:p>
        </w:tc>
        <w:tc>
          <w:tcPr>
            <w:tcW w:w="7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6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479</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(503)</w:t>
            </w:r>
          </w:p>
        </w:tc>
      </w:tr>
      <w:tr>
        <w:trPr>
          <w:trHeight w:val="203"/>
        </w:trPr>
        <w:tc>
          <w:tcPr>
            <w:tcW w:w="380" w:type="dxa"/>
            <w:vAlign w:val="bottom"/>
          </w:tcPr>
          <w:p>
            <w:pPr>
              <w:spacing w:after="0"/>
              <w:rPr>
                <w:sz w:val="17"/>
                <w:szCs w:val="17"/>
                <w:color w:val="auto"/>
              </w:rPr>
            </w:pPr>
          </w:p>
        </w:tc>
        <w:tc>
          <w:tcPr>
            <w:tcW w:w="7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16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422</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80" w:type="dxa"/>
            <w:vAlign w:val="bottom"/>
          </w:tcPr>
          <w:p>
            <w:pPr>
              <w:spacing w:after="0"/>
              <w:rPr>
                <w:sz w:val="17"/>
                <w:szCs w:val="17"/>
                <w:color w:val="auto"/>
              </w:rPr>
            </w:pPr>
          </w:p>
        </w:tc>
        <w:tc>
          <w:tcPr>
            <w:tcW w:w="7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16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380" w:type="dxa"/>
            <w:vAlign w:val="bottom"/>
          </w:tcPr>
          <w:p>
            <w:pPr>
              <w:spacing w:after="0"/>
              <w:rPr>
                <w:sz w:val="17"/>
                <w:szCs w:val="17"/>
                <w:color w:val="auto"/>
              </w:rPr>
            </w:pPr>
          </w:p>
        </w:tc>
        <w:tc>
          <w:tcPr>
            <w:tcW w:w="7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Accrued warranty</w:t>
            </w:r>
          </w:p>
        </w:tc>
        <w:tc>
          <w:tcPr>
            <w:tcW w:w="1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380" w:type="dxa"/>
            <w:vAlign w:val="bottom"/>
          </w:tcPr>
          <w:p>
            <w:pPr>
              <w:spacing w:after="0"/>
              <w:rPr>
                <w:sz w:val="17"/>
                <w:szCs w:val="17"/>
                <w:color w:val="auto"/>
              </w:rPr>
            </w:pPr>
          </w:p>
        </w:tc>
        <w:tc>
          <w:tcPr>
            <w:tcW w:w="7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16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380" w:type="dxa"/>
            <w:vAlign w:val="bottom"/>
          </w:tcPr>
          <w:p>
            <w:pPr>
              <w:spacing w:after="0"/>
              <w:rPr>
                <w:sz w:val="17"/>
                <w:szCs w:val="17"/>
                <w:color w:val="auto"/>
              </w:rPr>
            </w:pPr>
          </w:p>
        </w:tc>
        <w:tc>
          <w:tcPr>
            <w:tcW w:w="7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Accrued restructuring and other charges</w:t>
            </w:r>
          </w:p>
        </w:tc>
        <w:tc>
          <w:tcPr>
            <w:tcW w:w="1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(97)</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w:t>
            </w:r>
          </w:p>
        </w:tc>
      </w:tr>
      <w:tr>
        <w:trPr>
          <w:trHeight w:val="203"/>
        </w:trPr>
        <w:tc>
          <w:tcPr>
            <w:tcW w:w="380" w:type="dxa"/>
            <w:vAlign w:val="bottom"/>
          </w:tcPr>
          <w:p>
            <w:pPr>
              <w:spacing w:after="0"/>
              <w:rPr>
                <w:sz w:val="17"/>
                <w:szCs w:val="17"/>
                <w:color w:val="auto"/>
              </w:rPr>
            </w:pPr>
          </w:p>
        </w:tc>
        <w:tc>
          <w:tcPr>
            <w:tcW w:w="7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Other accrued expenses</w:t>
            </w:r>
          </w:p>
        </w:tc>
        <w:tc>
          <w:tcPr>
            <w:tcW w:w="16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177</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380" w:type="dxa"/>
            <w:vAlign w:val="bottom"/>
          </w:tcPr>
          <w:p>
            <w:pPr>
              <w:spacing w:after="0"/>
              <w:rPr>
                <w:sz w:val="17"/>
                <w:szCs w:val="17"/>
                <w:color w:val="auto"/>
              </w:rPr>
            </w:pPr>
          </w:p>
        </w:tc>
        <w:tc>
          <w:tcPr>
            <w:tcW w:w="7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Domestic and foreign income taxes payable</w:t>
            </w:r>
          </w:p>
        </w:tc>
        <w:tc>
          <w:tcPr>
            <w:tcW w:w="16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380" w:type="dxa"/>
            <w:vAlign w:val="bottom"/>
          </w:tcPr>
          <w:p>
            <w:pPr>
              <w:spacing w:after="0"/>
              <w:rPr>
                <w:sz w:val="17"/>
                <w:szCs w:val="17"/>
                <w:color w:val="auto"/>
              </w:rPr>
            </w:pPr>
          </w:p>
        </w:tc>
        <w:tc>
          <w:tcPr>
            <w:tcW w:w="7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Deferred rent</w:t>
            </w:r>
          </w:p>
        </w:tc>
        <w:tc>
          <w:tcPr>
            <w:tcW w:w="1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(29)</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3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0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w:t>
            </w:r>
          </w:p>
        </w:tc>
        <w:tc>
          <w:tcPr>
            <w:tcW w:w="7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cash provided by (used in) operating activities</w:t>
            </w:r>
          </w:p>
        </w:tc>
        <w:tc>
          <w:tcPr>
            <w:tcW w:w="16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299</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(1,694)</w:t>
            </w:r>
          </w:p>
        </w:tc>
      </w:tr>
      <w:tr>
        <w:trPr>
          <w:trHeight w:val="203"/>
        </w:trPr>
        <w:tc>
          <w:tcPr>
            <w:tcW w:w="3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0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7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Purchase of property and equipment</w:t>
            </w:r>
          </w:p>
        </w:tc>
        <w:tc>
          <w:tcPr>
            <w:tcW w:w="1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(54)</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3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0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w:t>
            </w:r>
          </w:p>
        </w:tc>
        <w:tc>
          <w:tcPr>
            <w:tcW w:w="7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cash used in investing activities</w:t>
            </w:r>
          </w:p>
        </w:tc>
        <w:tc>
          <w:tcPr>
            <w:tcW w:w="1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(54)</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3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0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7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Repayments of capital lease obligations</w:t>
            </w:r>
          </w:p>
        </w:tc>
        <w:tc>
          <w:tcPr>
            <w:tcW w:w="16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3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0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w:t>
            </w:r>
          </w:p>
        </w:tc>
        <w:tc>
          <w:tcPr>
            <w:tcW w:w="7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cash used in financing activities</w:t>
            </w:r>
          </w:p>
        </w:tc>
        <w:tc>
          <w:tcPr>
            <w:tcW w:w="16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3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0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Effects of exchange rates on cash</w:t>
            </w:r>
          </w:p>
        </w:tc>
        <w:tc>
          <w:tcPr>
            <w:tcW w:w="1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w:t>
            </w:r>
          </w:p>
        </w:tc>
      </w:tr>
      <w:tr>
        <w:trPr>
          <w:trHeight w:val="203"/>
        </w:trPr>
        <w:tc>
          <w:tcPr>
            <w:tcW w:w="3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0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w:t>
            </w:r>
          </w:p>
        </w:tc>
        <w:tc>
          <w:tcPr>
            <w:tcW w:w="7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cash provided by (used in) all activities</w:t>
            </w:r>
          </w:p>
        </w:tc>
        <w:tc>
          <w:tcPr>
            <w:tcW w:w="16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226</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(1,901)</w:t>
            </w:r>
          </w:p>
        </w:tc>
      </w:tr>
      <w:tr>
        <w:trPr>
          <w:trHeight w:val="203"/>
        </w:trPr>
        <w:tc>
          <w:tcPr>
            <w:tcW w:w="7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6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2,647</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7,137</w:t>
            </w:r>
          </w:p>
        </w:tc>
      </w:tr>
      <w:tr>
        <w:trPr>
          <w:trHeight w:val="203"/>
        </w:trPr>
        <w:tc>
          <w:tcPr>
            <w:tcW w:w="3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0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0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$ 2,873</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$ 5,236</w:t>
            </w:r>
          </w:p>
        </w:tc>
      </w:tr>
      <w:tr>
        <w:trPr>
          <w:trHeight w:val="203"/>
        </w:trPr>
        <w:tc>
          <w:tcPr>
            <w:tcW w:w="3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0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40" w:type="dxa"/>
            <w:vAlign w:val="bottom"/>
            <w:gridSpan w:val="2"/>
          </w:tcPr>
          <w:p>
            <w:pPr>
              <w:spacing w:after="0"/>
              <w:rPr>
                <w:sz w:val="20"/>
                <w:szCs w:val="20"/>
                <w:color w:val="auto"/>
              </w:rPr>
            </w:pPr>
            <w:r>
              <w:rPr>
                <w:rFonts w:ascii="Courier New" w:cs="Courier New" w:eastAsia="Courier New" w:hAnsi="Courier New"/>
                <w:sz w:val="18"/>
                <w:szCs w:val="18"/>
                <w:color w:val="auto"/>
                <w:w w:val="98"/>
              </w:rPr>
              <w:t>SUPPLEMENTAL SCHEDULE OF NON-CASH INVESTING AND FINANCING  ACTIVITIES: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7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Issuance of non-vested shares of restricted stock</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355</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Forfeiture of non-vested shares of restricted stock</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Cash payments for:</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7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Domestic and foreign income taxes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7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- 5 -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400"/>
        <w:spacing w:after="0" w:line="332" w:lineRule="auto"/>
        <w:rPr>
          <w:sz w:val="20"/>
          <w:szCs w:val="20"/>
          <w:color w:val="auto"/>
        </w:rPr>
      </w:pPr>
      <w:r>
        <w:rPr>
          <w:rFonts w:ascii="Arial" w:cs="Arial" w:eastAsia="Arial" w:hAnsi="Arial"/>
          <w:sz w:val="16"/>
          <w:szCs w:val="16"/>
          <w:color w:val="auto"/>
        </w:rPr>
        <w:t>We are an independent designer, manufacturer and marketer of mechanical, thermal and electrical products that are primarily used by semiconductor manufacturers in conjunction with automatic test equipment ("ATE") in the testing of integrated circuits ("ICs" or "semiconductors").</w:t>
      </w:r>
    </w:p>
    <w:p>
      <w:pPr>
        <w:spacing w:after="0" w:line="139"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Mechanical Products, Thermal Products and Electrical Products. We manufacture our products in the U.S. Marketing and support activities are conducted worldwide from our facilities in the U.S., Germany and Singapore.</w:t>
      </w:r>
    </w:p>
    <w:p>
      <w:pPr>
        <w:spacing w:after="0" w:line="194"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On April 14, 2009, we approved reductions in workforce in our Singaporean operation. In connection with this action, we centralized manufacturing of mechanical products in our Cherry Hill, New Jersey operation. During the fourth quarter of 2009, we closed our Japanese operation. Sales of our mechanical products that had been handled through this operation are now handled through our operation in Cherry Hill, New Jersey. Both of these operations were included in our Mechanical Products segment. In addition, during the third quarter of 2009, we approved the relocation of Sigma Systems Corporation ("Sigma") to Sharon, Massachusetts. Sigma now shares a facility with Temptronic Corporation. These two companies, along with an operation in Germany and the remaining sales and support operations of our subsidiary in Singapore, comprise our Thermal Products segment. The relocation of Sigma commenced in mid-December and was completed during the first quarter of 2010. All of these actions, including the costs associated with them, are discussed further in Note 4.</w:t>
      </w:r>
    </w:p>
    <w:p>
      <w:pPr>
        <w:spacing w:after="0" w:line="172" w:lineRule="exact"/>
        <w:rPr>
          <w:sz w:val="20"/>
          <w:szCs w:val="20"/>
          <w:color w:val="auto"/>
        </w:rPr>
      </w:pPr>
    </w:p>
    <w:p>
      <w:pPr>
        <w:ind w:left="540" w:right="500"/>
        <w:spacing w:after="0" w:line="294" w:lineRule="auto"/>
        <w:rPr>
          <w:sz w:val="20"/>
          <w:szCs w:val="20"/>
          <w:color w:val="auto"/>
        </w:rPr>
      </w:pPr>
      <w:r>
        <w:rPr>
          <w:rFonts w:ascii="Arial" w:cs="Arial" w:eastAsia="Arial" w:hAnsi="Arial"/>
          <w:sz w:val="16"/>
          <w:szCs w:val="16"/>
          <w:color w:val="auto"/>
        </w:rPr>
        <w:t>The semiconductor industry in which we operate is characterized by rapid technological change, competitive pricing pressures and cyclical market patterns. This industry is subject to significant economic downturns at various times. Our financial results are affected by a wide variety of factors, including, but not limited to, general economic conditions worldwide or in the markets in which we operate, economic conditions specific to the semiconductor industry, our ability to safeguard patents and intellectual property in a rapidly evolving market, downward pricing pressures from customers, and our reliance on a relatively few number of customers for a significant portion of our sales. In addition, we are exposed to the risk of</w:t>
      </w:r>
    </w:p>
    <w:p>
      <w:pPr>
        <w:sectPr>
          <w:pgSz w:w="11900" w:h="16882" w:orient="portrait"/>
          <w:cols w:equalWidth="0" w:num="1">
            <w:col w:w="11380"/>
          </w:cols>
          <w:pgMar w:left="240" w:top="136" w:right="279" w:bottom="0" w:gutter="0" w:footer="0" w:header="0"/>
        </w:sectPr>
      </w:pPr>
    </w:p>
    <w:bookmarkStart w:id="5" w:name="page6"/>
    <w:bookmarkEnd w:id="5"/>
    <w:p>
      <w:pPr>
        <w:spacing w:after="0" w:line="138" w:lineRule="exact"/>
        <w:rPr>
          <w:sz w:val="20"/>
          <w:szCs w:val="20"/>
          <w:color w:val="auto"/>
        </w:rPr>
      </w:pPr>
    </w:p>
    <w:p>
      <w:pPr>
        <w:ind w:left="532" w:right="40"/>
        <w:spacing w:after="0" w:line="268" w:lineRule="auto"/>
        <w:rPr>
          <w:sz w:val="20"/>
          <w:szCs w:val="20"/>
          <w:color w:val="auto"/>
        </w:rPr>
      </w:pPr>
      <w:r>
        <w:rPr>
          <w:rFonts w:ascii="Arial" w:cs="Arial" w:eastAsia="Arial" w:hAnsi="Arial"/>
          <w:sz w:val="18"/>
          <w:szCs w:val="18"/>
          <w:color w:val="auto"/>
        </w:rPr>
        <w:t>obsolescence of our inventory depending on the mix of future business and technological changes within the industry. As a result of these or other factors, we may experience significant period-to-period fluctuations in future operating results.</w:t>
      </w:r>
    </w:p>
    <w:p>
      <w:pPr>
        <w:spacing w:after="0" w:line="356" w:lineRule="exact"/>
        <w:rPr>
          <w:sz w:val="20"/>
          <w:szCs w:val="20"/>
          <w:color w:val="auto"/>
        </w:rPr>
      </w:pPr>
    </w:p>
    <w:p>
      <w:pPr>
        <w:ind w:left="532" w:right="6540" w:hanging="532"/>
        <w:spacing w:after="0" w:line="541" w:lineRule="auto"/>
        <w:tabs>
          <w:tab w:leader="none" w:pos="284"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32" w:right="20"/>
        <w:spacing w:after="0" w:line="291" w:lineRule="auto"/>
        <w:rPr>
          <w:sz w:val="20"/>
          <w:szCs w:val="20"/>
          <w:color w:val="auto"/>
        </w:rPr>
      </w:pPr>
      <w:r>
        <w:rPr>
          <w:rFonts w:ascii="Arial" w:cs="Arial" w:eastAsia="Arial" w:hAnsi="Arial"/>
          <w:sz w:val="16"/>
          <w:szCs w:val="16"/>
          <w:color w:val="auto"/>
        </w:rPr>
        <w:t>The accompanying unaudited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deferred income tax valuation allowances and product warranty reserves, are particularly affected by estimates.</w:t>
      </w:r>
    </w:p>
    <w:p>
      <w:pPr>
        <w:spacing w:after="0" w:line="174" w:lineRule="exact"/>
        <w:rPr>
          <w:sz w:val="20"/>
          <w:szCs w:val="20"/>
          <w:color w:val="auto"/>
        </w:rPr>
      </w:pPr>
    </w:p>
    <w:p>
      <w:pPr>
        <w:ind w:left="532" w:right="20"/>
        <w:spacing w:after="0" w:line="294"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2009 filed with the Securities and Exchange Commission on March 31, 2010 (the "2009 Form 10-K").</w:t>
      </w:r>
    </w:p>
    <w:p>
      <w:pPr>
        <w:spacing w:after="0" w:line="170"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color w:val="auto"/>
        </w:rPr>
        <w:t>Certain prior year amounts have been reclassified to be comparable with the current year's presentation.</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- 6 -</w:t>
      </w:r>
    </w:p>
    <w:p>
      <w:pPr>
        <w:spacing w:after="0" w:line="200" w:lineRule="exact"/>
        <w:rPr>
          <w:sz w:val="20"/>
          <w:szCs w:val="20"/>
          <w:color w:val="auto"/>
        </w:rPr>
      </w:pPr>
    </w:p>
    <w:p>
      <w:pPr>
        <w:spacing w:after="0" w:line="37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ind w:left="292" w:hanging="292"/>
        <w:spacing w:after="0"/>
        <w:tabs>
          <w:tab w:leader="none" w:pos="2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32" w:right="20"/>
        <w:spacing w:after="0" w:line="289" w:lineRule="auto"/>
        <w:rPr>
          <w:sz w:val="20"/>
          <w:szCs w:val="20"/>
          <w:color w:val="auto"/>
        </w:rPr>
      </w:pPr>
      <w:r>
        <w:rPr>
          <w:rFonts w:ascii="Arial" w:cs="Arial" w:eastAsia="Arial" w:hAnsi="Arial"/>
          <w:sz w:val="16"/>
          <w:szCs w:val="16"/>
          <w:color w:val="auto"/>
        </w:rPr>
        <w:t>Inventory is valued at standard cost, which approximates actual cost computed on a first-in, first-out basis, not in excess of market value. Cash flows from the sale of inventory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industry conditions, anticipated product life cycles, new product introductions and expected future use of the inventory. The charges for excess and obsolete inventory we record establish a new cost basis for the related inventory. We incurred excess and obsolete inventory charges of $142 and $350 for the three months ended March 31, 2010 and 2009, respectively.</w:t>
      </w:r>
    </w:p>
    <w:p>
      <w:pPr>
        <w:spacing w:after="0" w:line="172"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32"/>
        <w:spacing w:after="0" w:line="288" w:lineRule="auto"/>
        <w:rPr>
          <w:sz w:val="20"/>
          <w:szCs w:val="20"/>
          <w:color w:val="auto"/>
        </w:rPr>
      </w:pPr>
      <w:r>
        <w:rPr>
          <w:rFonts w:ascii="Arial" w:cs="Arial" w:eastAsia="Arial" w:hAnsi="Arial"/>
          <w:sz w:val="16"/>
          <w:szCs w:val="16"/>
          <w:color w:val="auto"/>
        </w:rPr>
        <w:t>Goodwill is assessed for impairment at least annually in the fourth quarter, on a reporting unit basis, or more frequently when events and circumstances occur indicating that the recorded goodwill may be impaired. The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w:t>
      </w:r>
    </w:p>
    <w:p>
      <w:pPr>
        <w:spacing w:after="0" w:line="174" w:lineRule="exact"/>
        <w:rPr>
          <w:sz w:val="20"/>
          <w:szCs w:val="20"/>
          <w:color w:val="auto"/>
        </w:rPr>
      </w:pPr>
    </w:p>
    <w:p>
      <w:pPr>
        <w:ind w:left="532" w:right="120"/>
        <w:spacing w:after="0" w:line="253" w:lineRule="auto"/>
        <w:rPr>
          <w:sz w:val="20"/>
          <w:szCs w:val="20"/>
          <w:color w:val="auto"/>
        </w:rPr>
      </w:pPr>
      <w:r>
        <w:rPr>
          <w:rFonts w:ascii="Arial" w:cs="Arial" w:eastAsia="Arial" w:hAnsi="Arial"/>
          <w:sz w:val="18"/>
          <w:szCs w:val="18"/>
          <w:color w:val="auto"/>
        </w:rPr>
        <w:t>During the goodwill impairment assessment, we perform a step I test to identify potential impairment, in which the fair value of a reporting unit is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Indefinite-lived intangible assets are assessed for impairment at least annually in the fourth quarter, or more frequently if events or changes in circumstances indicate that the asset might be impaired. The impairment test consists of a comparison of the fair value of an intangible asset with its carrying amount. If the carrying amount of an intangible asset exceeds its fair value, an impairment loss is recognized in an amount equal to that excess.</w:t>
      </w:r>
    </w:p>
    <w:p>
      <w:pPr>
        <w:spacing w:after="0" w:line="201" w:lineRule="exact"/>
        <w:rPr>
          <w:sz w:val="20"/>
          <w:szCs w:val="20"/>
          <w:color w:val="auto"/>
        </w:rPr>
      </w:pPr>
    </w:p>
    <w:p>
      <w:pPr>
        <w:ind w:left="532" w:right="12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0"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32" w:right="260"/>
        <w:spacing w:after="0" w:line="335" w:lineRule="auto"/>
        <w:rPr>
          <w:sz w:val="20"/>
          <w:szCs w:val="20"/>
          <w:color w:val="auto"/>
        </w:rPr>
      </w:pPr>
      <w:r>
        <w:rPr>
          <w:rFonts w:ascii="Arial" w:cs="Arial" w:eastAsia="Arial" w:hAnsi="Arial"/>
          <w:sz w:val="15"/>
          <w:szCs w:val="15"/>
          <w:color w:val="auto"/>
        </w:rPr>
        <w:t>We account for stock-based compensation in accordance with Accounting Standards Codification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w:t>
      </w:r>
    </w:p>
    <w:p>
      <w:pPr>
        <w:sectPr>
          <w:pgSz w:w="11900" w:h="16977" w:orient="portrait"/>
          <w:cols w:equalWidth="0" w:num="1">
            <w:col w:w="11412"/>
          </w:cols>
          <w:pgMar w:left="248" w:top="131" w:right="239" w:bottom="0" w:gutter="0" w:footer="0" w:header="0"/>
        </w:sectPr>
      </w:pPr>
    </w:p>
    <w:bookmarkStart w:id="6" w:name="page7"/>
    <w:bookmarkEnd w:id="6"/>
    <w:p>
      <w:pPr>
        <w:spacing w:after="0" w:line="47" w:lineRule="exact"/>
        <w:rPr>
          <w:sz w:val="20"/>
          <w:szCs w:val="20"/>
          <w:color w:val="auto"/>
        </w:rPr>
      </w:pPr>
    </w:p>
    <w:p>
      <w:pPr>
        <w:ind w:left="532"/>
        <w:spacing w:after="0"/>
        <w:rPr>
          <w:sz w:val="20"/>
          <w:szCs w:val="20"/>
          <w:color w:val="auto"/>
        </w:rPr>
      </w:pPr>
      <w:r>
        <w:rPr>
          <w:rFonts w:ascii="Arial" w:cs="Arial" w:eastAsia="Arial" w:hAnsi="Arial"/>
          <w:sz w:val="18"/>
          <w:szCs w:val="18"/>
          <w:color w:val="auto"/>
        </w:rPr>
        <w:t>related to our stock-based compensation plan in Note 10.</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32" w:right="280"/>
        <w:spacing w:after="0" w:line="268" w:lineRule="auto"/>
        <w:rPr>
          <w:sz w:val="20"/>
          <w:szCs w:val="20"/>
          <w:color w:val="auto"/>
        </w:rPr>
      </w:pPr>
      <w:r>
        <w:rPr>
          <w:rFonts w:ascii="Arial" w:cs="Arial" w:eastAsia="Arial" w:hAnsi="Arial"/>
          <w:sz w:val="18"/>
          <w:szCs w:val="18"/>
          <w:color w:val="auto"/>
        </w:rPr>
        <w:t>We have made an assessment of our operations and determined there were no material subsequent events requiring adjustment to, or disclosure in, our consolidated financial statements for the quarter ended March 31, 2010.</w:t>
      </w:r>
    </w:p>
    <w:p>
      <w:pPr>
        <w:spacing w:after="0" w:line="14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- 7 -</w:t>
      </w:r>
    </w:p>
    <w:p>
      <w:pPr>
        <w:spacing w:after="0" w:line="17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ind w:left="292" w:hanging="292"/>
        <w:spacing w:after="0"/>
        <w:tabs>
          <w:tab w:leader="none" w:pos="29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32" w:right="6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collectibility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72" w:lineRule="exact"/>
        <w:rPr>
          <w:sz w:val="20"/>
          <w:szCs w:val="20"/>
          <w:color w:val="auto"/>
        </w:rPr>
      </w:pPr>
    </w:p>
    <w:p>
      <w:pPr>
        <w:ind w:left="532" w:right="26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32" w:right="32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Restructuring and Other Charges</w:t>
      </w:r>
    </w:p>
    <w:p>
      <w:pPr>
        <w:spacing w:after="0" w:line="225" w:lineRule="exact"/>
        <w:rPr>
          <w:sz w:val="20"/>
          <w:szCs w:val="20"/>
          <w:color w:val="auto"/>
        </w:rPr>
      </w:pPr>
    </w:p>
    <w:p>
      <w:pPr>
        <w:ind w:left="532" w:right="40"/>
        <w:spacing w:after="0" w:line="288" w:lineRule="auto"/>
        <w:rPr>
          <w:sz w:val="20"/>
          <w:szCs w:val="20"/>
          <w:color w:val="auto"/>
        </w:rPr>
      </w:pPr>
      <w:r>
        <w:rPr>
          <w:rFonts w:ascii="Arial" w:cs="Arial" w:eastAsia="Arial" w:hAnsi="Arial"/>
          <w:sz w:val="16"/>
          <w:szCs w:val="16"/>
          <w:color w:val="auto"/>
        </w:rPr>
        <w:t>We recognize a liability for restructuring costs at fair value only when the liability is incurred. The three main components of our restructuring plans have been related to workforce reductions, the consolidation of excess facilities and asset impairments. Workforce-related charges are accrued when it is determined that a liability has been incurred, which is generally after individuals have been notified of their termination dates and expected severance benefits. Plans to consolidate excess facilities result in charges for lease termination fees and future commitments to pay lease charges, net of estimated future sub-lease income. We recognize these charges when we have vacated the premises. In addition, as a result of plans to consolidate excess facilities, we may incur other associated costs such as charges to relocate inventory, equipment or personnel. We recognize charges for other associated costs when these costs are incurred, which is generally when the goods or services have been provided to us. As sets that may be impaired consist of property, plant and equipment and intangible assets. Asset impairment charges are based on an estimate of the amounts and timing of future cash flows related to the expected future remaining use and ultimate sale or disposal of the asset.</w:t>
      </w:r>
    </w:p>
    <w:p>
      <w:pPr>
        <w:spacing w:after="0" w:line="174"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32" w:right="20"/>
        <w:spacing w:after="0" w:line="291"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periods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74" w:lineRule="exact"/>
        <w:rPr>
          <w:sz w:val="20"/>
          <w:szCs w:val="20"/>
          <w:color w:val="auto"/>
        </w:rPr>
      </w:pPr>
    </w:p>
    <w:p>
      <w:pPr>
        <w:ind w:left="532"/>
        <w:spacing w:after="0" w:line="255" w:lineRule="auto"/>
        <w:rPr>
          <w:sz w:val="20"/>
          <w:szCs w:val="20"/>
          <w:color w:val="auto"/>
        </w:rPr>
      </w:pPr>
      <w:r>
        <w:rPr>
          <w:rFonts w:ascii="Arial" w:cs="Arial" w:eastAsia="Arial" w:hAnsi="Arial"/>
          <w:sz w:val="18"/>
          <w:szCs w:val="18"/>
          <w:color w:val="auto"/>
        </w:rPr>
        <w:t>For the quarters ended March 31, 2010 and 2009, we recorded income tax expense of $3 and $1, respectively. On a quarterly basis, we record income tax expense or benefit based on the expected annualized effective tax rate for the various taxing jurisdictions in which we operate our businesses. Due to our history of operating losses in both our domestic and certain of our foreign operations, we have recorded a full valuation allowance against the deferred tax assets of these operations, including net operating loss carryforwards, where we believe it is more likely than not that we will not have sufficient taxable income to utilize these assets before they expire.</w:t>
      </w:r>
    </w:p>
    <w:p>
      <w:pPr>
        <w:spacing w:after="0" w:line="15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- 8 -</w:t>
      </w:r>
    </w:p>
    <w:p>
      <w:pPr>
        <w:spacing w:after="0" w:line="200" w:lineRule="exact"/>
        <w:rPr>
          <w:sz w:val="20"/>
          <w:szCs w:val="20"/>
          <w:color w:val="auto"/>
        </w:rPr>
      </w:pPr>
    </w:p>
    <w:p>
      <w:pPr>
        <w:spacing w:after="0" w:line="37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ind w:left="292" w:hanging="292"/>
        <w:spacing w:after="0"/>
        <w:tabs>
          <w:tab w:leader="none" w:pos="29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Net Earnings (Loss) Per Common Share</w:t>
      </w:r>
    </w:p>
    <w:p>
      <w:pPr>
        <w:spacing w:after="0" w:line="225" w:lineRule="exact"/>
        <w:rPr>
          <w:sz w:val="20"/>
          <w:szCs w:val="20"/>
          <w:color w:val="auto"/>
        </w:rPr>
      </w:pPr>
    </w:p>
    <w:p>
      <w:pPr>
        <w:ind w:left="532"/>
        <w:spacing w:after="0" w:line="323" w:lineRule="auto"/>
        <w:rPr>
          <w:sz w:val="20"/>
          <w:szCs w:val="20"/>
          <w:color w:val="auto"/>
        </w:rPr>
      </w:pPr>
      <w:r>
        <w:rPr>
          <w:rFonts w:ascii="Arial" w:cs="Arial" w:eastAsia="Arial" w:hAnsi="Arial"/>
          <w:sz w:val="15"/>
          <w:szCs w:val="15"/>
          <w:color w:val="auto"/>
        </w:rPr>
        <w:t>Net earnings (loss) per common share - basic is computed by dividing net earnings (loss) by the weighted average number of common shares outstanding during each period. Net earnings (loss) per common share - diluted is computed by dividing net earnings (loss) by the weighted average number of common shares and common share equivalents outstanding during each period. Common share equivalents represent stock options and unvested shares of restricted stock and are calculated using the treasury stock method. Common share equivalents are excluded from the calculation if their effect is anti-</w:t>
      </w:r>
    </w:p>
    <w:p>
      <w:pPr>
        <w:sectPr>
          <w:pgSz w:w="11900" w:h="16886" w:orient="portrait"/>
          <w:cols w:equalWidth="0" w:num="1">
            <w:col w:w="11372"/>
          </w:cols>
          <w:pgMar w:left="248" w:top="131" w:right="279" w:bottom="0" w:gutter="0" w:footer="0" w:header="0"/>
        </w:sectPr>
      </w:pPr>
    </w:p>
    <w:bookmarkStart w:id="7" w:name="page8"/>
    <w:bookmarkEnd w:id="7"/>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dilutive.</w:t>
      </w:r>
    </w:p>
    <w:p>
      <w:pPr>
        <w:spacing w:after="0" w:line="225" w:lineRule="exact"/>
        <w:rPr>
          <w:sz w:val="20"/>
          <w:szCs w:val="20"/>
          <w:color w:val="auto"/>
        </w:rPr>
      </w:pPr>
    </w:p>
    <w:p>
      <w:pPr>
        <w:jc w:val="both"/>
        <w:ind w:left="540" w:right="540"/>
        <w:spacing w:after="0" w:line="335" w:lineRule="auto"/>
        <w:rPr>
          <w:sz w:val="20"/>
          <w:szCs w:val="20"/>
          <w:color w:val="auto"/>
        </w:rPr>
      </w:pPr>
      <w:r>
        <w:rPr>
          <w:rFonts w:ascii="Arial" w:cs="Arial" w:eastAsia="Arial" w:hAnsi="Arial"/>
          <w:sz w:val="15"/>
          <w:szCs w:val="15"/>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and their respective weighted average exercise prices that were excluded from the calculation of diluted earnings per share because their effect was anti-dilutive:</w:t>
      </w:r>
    </w:p>
    <w:p>
      <w:pPr>
        <w:spacing w:after="0" w:line="112" w:lineRule="exact"/>
        <w:rPr>
          <w:sz w:val="20"/>
          <w:szCs w:val="20"/>
          <w:color w:val="auto"/>
        </w:rPr>
      </w:pPr>
    </w:p>
    <w:p>
      <w:pPr>
        <w:ind w:left="6540"/>
        <w:spacing w:after="0"/>
        <w:rPr>
          <w:sz w:val="20"/>
          <w:szCs w:val="20"/>
          <w:color w:val="auto"/>
        </w:rPr>
      </w:pPr>
      <w:r>
        <w:rPr>
          <w:rFonts w:ascii="Arial" w:cs="Arial" w:eastAsia="Arial" w:hAnsi="Arial"/>
          <w:sz w:val="14"/>
          <w:szCs w:val="14"/>
          <w:b w:val="1"/>
          <w:bCs w:val="1"/>
          <w:i w:val="1"/>
          <w:iCs w:val="1"/>
          <w:color w:val="auto"/>
        </w:rPr>
        <w:t>Three Months Ended</w:t>
      </w:r>
    </w:p>
    <w:p>
      <w:pPr>
        <w:ind w:left="6820"/>
        <w:spacing w:after="0"/>
        <w:rPr>
          <w:sz w:val="20"/>
          <w:szCs w:val="20"/>
          <w:color w:val="auto"/>
        </w:rPr>
      </w:pPr>
      <w:r>
        <w:rPr>
          <w:rFonts w:ascii="Arial" w:cs="Arial" w:eastAsia="Arial" w:hAnsi="Arial"/>
          <w:sz w:val="14"/>
          <w:szCs w:val="14"/>
          <w:b w:val="1"/>
          <w:bCs w:val="1"/>
          <w:i w:val="1"/>
          <w:i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4116070</wp:posOffset>
            </wp:positionH>
            <wp:positionV relativeFrom="paragraph">
              <wp:posOffset>-16510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148"/>
        </w:trPr>
        <w:tc>
          <w:tcPr>
            <w:tcW w:w="5840" w:type="dxa"/>
            <w:vAlign w:val="bottom"/>
          </w:tcPr>
          <w:p>
            <w:pPr>
              <w:spacing w:after="0"/>
              <w:rPr>
                <w:sz w:val="12"/>
                <w:szCs w:val="12"/>
                <w:color w:val="auto"/>
              </w:rPr>
            </w:pPr>
          </w:p>
        </w:tc>
        <w:tc>
          <w:tcPr>
            <w:tcW w:w="4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i w:val="1"/>
                <w:iCs w:val="1"/>
                <w:color w:val="auto"/>
              </w:rPr>
              <w:t>2010</w:t>
            </w:r>
          </w:p>
        </w:tc>
        <w:tc>
          <w:tcPr>
            <w:tcW w:w="300" w:type="dxa"/>
            <w:vAlign w:val="bottom"/>
          </w:tcPr>
          <w:p>
            <w:pPr>
              <w:spacing w:after="0"/>
              <w:rPr>
                <w:sz w:val="12"/>
                <w:szCs w:val="12"/>
                <w:color w:val="auto"/>
              </w:rPr>
            </w:pPr>
          </w:p>
        </w:tc>
        <w:tc>
          <w:tcPr>
            <w:tcW w:w="580" w:type="dxa"/>
            <w:vAlign w:val="bottom"/>
            <w:gridSpan w:val="4"/>
          </w:tcPr>
          <w:p>
            <w:pPr>
              <w:jc w:val="right"/>
              <w:spacing w:after="0" w:line="149" w:lineRule="exact"/>
              <w:rPr>
                <w:sz w:val="20"/>
                <w:szCs w:val="20"/>
                <w:color w:val="auto"/>
              </w:rPr>
            </w:pPr>
            <w:r>
              <w:rPr>
                <w:rFonts w:ascii="Arial" w:cs="Arial" w:eastAsia="Arial" w:hAnsi="Arial"/>
                <w:sz w:val="14"/>
                <w:szCs w:val="14"/>
                <w:b w:val="1"/>
                <w:bCs w:val="1"/>
                <w:i w:val="1"/>
                <w:iCs w:val="1"/>
                <w:color w:val="auto"/>
              </w:rPr>
              <w:t>2009</w:t>
            </w:r>
          </w:p>
        </w:tc>
        <w:tc>
          <w:tcPr>
            <w:tcW w:w="280" w:type="dxa"/>
            <w:vAlign w:val="bottom"/>
          </w:tcPr>
          <w:p>
            <w:pPr>
              <w:spacing w:after="0"/>
              <w:rPr>
                <w:sz w:val="12"/>
                <w:szCs w:val="12"/>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5"/>
        </w:trPr>
        <w:tc>
          <w:tcPr>
            <w:tcW w:w="584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w w:val="87"/>
              </w:rPr>
              <w:t>9,993,089</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9,956,989</w:t>
            </w:r>
          </w:p>
        </w:tc>
      </w:tr>
      <w:tr>
        <w:trPr>
          <w:trHeight w:val="459"/>
        </w:trPr>
        <w:tc>
          <w:tcPr>
            <w:tcW w:w="584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21"/>
        </w:trPr>
        <w:tc>
          <w:tcPr>
            <w:tcW w:w="5840" w:type="dxa"/>
            <w:vAlign w:val="bottom"/>
          </w:tcPr>
          <w:p>
            <w:pPr>
              <w:ind w:left="220"/>
              <w:spacing w:after="0"/>
              <w:rPr>
                <w:sz w:val="20"/>
                <w:szCs w:val="20"/>
                <w:color w:val="auto"/>
              </w:rPr>
            </w:pPr>
            <w:r>
              <w:rPr>
                <w:rFonts w:ascii="Arial" w:cs="Arial" w:eastAsia="Arial" w:hAnsi="Arial"/>
                <w:sz w:val="18"/>
                <w:szCs w:val="18"/>
                <w:color w:val="auto"/>
              </w:rPr>
              <w:t>Employee stock options and unvested shares of restricted stock</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5,803</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w:t>
            </w:r>
          </w:p>
        </w:tc>
      </w:tr>
      <w:tr>
        <w:trPr>
          <w:trHeight w:val="471"/>
        </w:trPr>
        <w:tc>
          <w:tcPr>
            <w:tcW w:w="5840" w:type="dxa"/>
            <w:vAlign w:val="bottom"/>
          </w:tcPr>
          <w:p>
            <w:pPr>
              <w:spacing w:after="0"/>
              <w:rPr>
                <w:sz w:val="20"/>
                <w:szCs w:val="20"/>
                <w:color w:val="auto"/>
              </w:rPr>
            </w:pPr>
            <w:r>
              <w:rPr>
                <w:rFonts w:ascii="Arial" w:cs="Arial" w:eastAsia="Arial" w:hAnsi="Arial"/>
                <w:sz w:val="18"/>
                <w:szCs w:val="18"/>
                <w:color w:val="auto"/>
              </w:rPr>
              <w:t>Weighted average common shares and common share equivalents</w:t>
            </w: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r>
      <w:tr>
        <w:trPr>
          <w:trHeight w:val="184"/>
        </w:trPr>
        <w:tc>
          <w:tcPr>
            <w:tcW w:w="5840" w:type="dxa"/>
            <w:vAlign w:val="bottom"/>
          </w:tcPr>
          <w:p>
            <w:pPr>
              <w:ind w:left="80"/>
              <w:spacing w:after="0" w:line="184" w:lineRule="exact"/>
              <w:rPr>
                <w:sz w:val="20"/>
                <w:szCs w:val="20"/>
                <w:color w:val="auto"/>
              </w:rPr>
            </w:pPr>
            <w:r>
              <w:rPr>
                <w:rFonts w:ascii="Arial" w:cs="Arial" w:eastAsia="Arial" w:hAnsi="Arial"/>
                <w:sz w:val="18"/>
                <w:szCs w:val="18"/>
                <w:color w:val="auto"/>
              </w:rPr>
              <w:t>outstanding -- diluted</w:t>
            </w:r>
          </w:p>
        </w:tc>
        <w:tc>
          <w:tcPr>
            <w:tcW w:w="720" w:type="dxa"/>
            <w:vAlign w:val="bottom"/>
            <w:tcBorders>
              <w:bottom w:val="single" w:sz="8" w:color="auto"/>
            </w:tcBorders>
            <w:gridSpan w:val="4"/>
          </w:tcPr>
          <w:p>
            <w:pPr>
              <w:jc w:val="right"/>
              <w:spacing w:after="0" w:line="184" w:lineRule="exact"/>
              <w:rPr>
                <w:sz w:val="20"/>
                <w:szCs w:val="20"/>
                <w:color w:val="auto"/>
              </w:rPr>
            </w:pPr>
            <w:r>
              <w:rPr>
                <w:rFonts w:ascii="Arial" w:cs="Arial" w:eastAsia="Arial" w:hAnsi="Arial"/>
                <w:sz w:val="18"/>
                <w:szCs w:val="18"/>
                <w:color w:val="auto"/>
                <w:w w:val="87"/>
              </w:rPr>
              <w:t>9,998,892</w:t>
            </w:r>
          </w:p>
        </w:tc>
        <w:tc>
          <w:tcPr>
            <w:tcW w:w="160" w:type="dxa"/>
            <w:vAlign w:val="bottom"/>
          </w:tcPr>
          <w:p>
            <w:pPr>
              <w:spacing w:after="0"/>
              <w:rPr>
                <w:sz w:val="15"/>
                <w:szCs w:val="15"/>
                <w:color w:val="auto"/>
              </w:rPr>
            </w:pPr>
          </w:p>
        </w:tc>
        <w:tc>
          <w:tcPr>
            <w:tcW w:w="700" w:type="dxa"/>
            <w:vAlign w:val="bottom"/>
            <w:tcBorders>
              <w:bottom w:val="single" w:sz="8" w:color="auto"/>
            </w:tcBorders>
            <w:gridSpan w:val="4"/>
          </w:tcPr>
          <w:p>
            <w:pPr>
              <w:jc w:val="right"/>
              <w:spacing w:after="0" w:line="184" w:lineRule="exact"/>
              <w:rPr>
                <w:sz w:val="20"/>
                <w:szCs w:val="20"/>
                <w:color w:val="auto"/>
              </w:rPr>
            </w:pPr>
            <w:r>
              <w:rPr>
                <w:rFonts w:ascii="Arial" w:cs="Arial" w:eastAsia="Arial" w:hAnsi="Arial"/>
                <w:sz w:val="18"/>
                <w:szCs w:val="18"/>
                <w:color w:val="auto"/>
                <w:w w:val="84"/>
              </w:rPr>
              <w:t>9,956,989</w:t>
            </w:r>
          </w:p>
        </w:tc>
      </w:tr>
      <w:tr>
        <w:trPr>
          <w:trHeight w:val="869"/>
        </w:trPr>
        <w:tc>
          <w:tcPr>
            <w:tcW w:w="5840" w:type="dxa"/>
            <w:vAlign w:val="bottom"/>
          </w:tcPr>
          <w:p>
            <w:pPr>
              <w:spacing w:after="0"/>
              <w:rPr>
                <w:sz w:val="20"/>
                <w:szCs w:val="20"/>
                <w:color w:val="auto"/>
              </w:rPr>
            </w:pPr>
            <w:r>
              <w:rPr>
                <w:rFonts w:ascii="Arial" w:cs="Arial" w:eastAsia="Arial" w:hAnsi="Arial"/>
                <w:sz w:val="18"/>
                <w:szCs w:val="18"/>
                <w:color w:val="auto"/>
                <w:w w:val="98"/>
              </w:rPr>
              <w:t>Average number of potentially dilutive securities excluded from calculation</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452,562</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530,939</w:t>
            </w:r>
          </w:p>
        </w:tc>
      </w:tr>
      <w:tr>
        <w:trPr>
          <w:trHeight w:val="459"/>
        </w:trPr>
        <w:tc>
          <w:tcPr>
            <w:tcW w:w="5840" w:type="dxa"/>
            <w:vAlign w:val="bottom"/>
          </w:tcPr>
          <w:p>
            <w:pPr>
              <w:spacing w:after="0"/>
              <w:rPr>
                <w:sz w:val="20"/>
                <w:szCs w:val="20"/>
                <w:color w:val="auto"/>
              </w:rPr>
            </w:pPr>
            <w:r>
              <w:rPr>
                <w:rFonts w:ascii="Arial" w:cs="Arial" w:eastAsia="Arial" w:hAnsi="Arial"/>
                <w:sz w:val="18"/>
                <w:szCs w:val="18"/>
                <w:color w:val="auto"/>
              </w:rPr>
              <w:t>Weighted average exercise price of excluded securities</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$3.62</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$3.59</w:t>
            </w: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New Accounting Standards</w:t>
      </w:r>
    </w:p>
    <w:p>
      <w:pPr>
        <w:spacing w:after="0" w:line="225"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 xml:space="preserve">In January 2010, the FASB issued ASU No. 2010-06, </w:t>
      </w:r>
      <w:r>
        <w:rPr>
          <w:rFonts w:ascii="Arial" w:cs="Arial" w:eastAsia="Arial" w:hAnsi="Arial"/>
          <w:sz w:val="16"/>
          <w:szCs w:val="16"/>
          <w:i w:val="1"/>
          <w:iCs w:val="1"/>
          <w:color w:val="auto"/>
        </w:rPr>
        <w:t>Fair Value Measurements and Disclosures (Topic 820): Improving Disclosures about 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w:t>
      </w:r>
      <w:r>
        <w:rPr>
          <w:rFonts w:ascii="Arial" w:cs="Arial" w:eastAsia="Arial" w:hAnsi="Arial"/>
          <w:sz w:val="16"/>
          <w:szCs w:val="16"/>
          <w:color w:val="auto"/>
        </w:rPr>
        <w:t>("ASU 2010-06"), which amends the disclosure guidance with respect to fair value measurements. Specifically, the new guidance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of amounts transferred in and out of Levels 1 and 2 fair value measurements, a reconciliation presented on a gross basis rather than a net basis of activity in Level 3 fair value measurements, greater disaggregation of the assets and liabilities for which fair value measurements are presented and more robust disclosure of the valuation techniques and inputs used to measure Level 2 and 3 fair value measurements. ASU 2010-06 is effective for interim and annual reporting periods beginning after December 15, 2009, with the exception of the new guidance around the Level 3 activity reconciliations, which is effective for fiscal years beginning after December 15, 2010. The adopti on of ASU 2010-06 for reporting as of March 31, 2010 did not have any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9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As of March 31, 2010 and December 31, 2009, our goodwill totaled $1,656 and our indefinite-lived intangible asset totaled $510. The goodwill and indefinite-lived intangible asset are both a result of our acquisition of Sigma in October 2008 and are allocated to our Thermal Products reporting unit, as discussed in Note 3 to the consolidated financial statements in our 2009 Form 10-K.</w:t>
      </w:r>
    </w:p>
    <w:p>
      <w:pPr>
        <w:spacing w:after="0" w:line="194" w:lineRule="exact"/>
        <w:rPr>
          <w:sz w:val="20"/>
          <w:szCs w:val="20"/>
          <w:color w:val="auto"/>
        </w:rPr>
      </w:pPr>
    </w:p>
    <w:p>
      <w:pPr>
        <w:ind w:left="540" w:right="60"/>
        <w:spacing w:after="0" w:line="291" w:lineRule="auto"/>
        <w:rPr>
          <w:sz w:val="20"/>
          <w:szCs w:val="20"/>
          <w:color w:val="auto"/>
        </w:rPr>
      </w:pPr>
      <w:r>
        <w:rPr>
          <w:rFonts w:ascii="Arial" w:cs="Arial" w:eastAsia="Arial" w:hAnsi="Arial"/>
          <w:sz w:val="16"/>
          <w:szCs w:val="16"/>
          <w:color w:val="auto"/>
        </w:rPr>
        <w:t>As of March 31, 2010 and December 31, 2009, we had finite-lived intangible assets which totaled $668 and $701, net of accumulated amortization of $202 and $169, respectively. At March 31, 2010 and December 31, 2009, we had three finite-lived intangible assets which consisted of customer relationships, software and patents held by Sigma at the time of our acquisition of this operation in October 2008, as discussed further in Note 3 to the consolidated financial statements in our 2009 Form 10-K. These intangible assets are being amortized on a straight-line basis over estimated useful lives of 72 months, 120 months and 60 months, respectively. As of March 31, 2010, these assets had remaining estimated useful lives of 54 months, 102 months, and 42 months, respectively. These intangible assets are allocated to our Thermal Products segment.</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- 9 -</w:t>
      </w: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GOODWILL AND INTANGIBLE ASSETS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sets forth changes in the amount of the carrying value of finite-lived intangible assets for the three months ended March 31, 2010:</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Balance - January 1, 2010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79"/>
              </w:rPr>
              <w:t>$701</w:t>
            </w:r>
          </w:p>
        </w:tc>
        <w:tc>
          <w:tcPr>
            <w:tcW w:w="40" w:type="dxa"/>
            <w:vAlign w:val="bottom"/>
          </w:tcPr>
          <w:p>
            <w:pPr>
              <w:spacing w:after="0"/>
              <w:rPr>
                <w:sz w:val="19"/>
                <w:szCs w:val="19"/>
                <w:color w:val="auto"/>
              </w:rPr>
            </w:pPr>
          </w:p>
        </w:tc>
      </w:tr>
      <w:tr>
        <w:trPr>
          <w:trHeight w:val="421"/>
        </w:trPr>
        <w:tc>
          <w:tcPr>
            <w:tcW w:w="3640" w:type="dxa"/>
            <w:vAlign w:val="bottom"/>
          </w:tcPr>
          <w:p>
            <w:pPr>
              <w:spacing w:after="0"/>
              <w:rPr>
                <w:sz w:val="20"/>
                <w:szCs w:val="20"/>
                <w:color w:val="auto"/>
              </w:rPr>
            </w:pPr>
            <w:r>
              <w:rPr>
                <w:rFonts w:ascii="Arial" w:cs="Arial" w:eastAsia="Arial" w:hAnsi="Arial"/>
                <w:sz w:val="18"/>
                <w:szCs w:val="18"/>
                <w:color w:val="auto"/>
              </w:rPr>
              <w:t>Amortization</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3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3640" w:type="dxa"/>
            <w:vAlign w:val="bottom"/>
          </w:tcPr>
          <w:p>
            <w:pPr>
              <w:spacing w:after="0"/>
              <w:rPr>
                <w:sz w:val="20"/>
                <w:szCs w:val="20"/>
                <w:color w:val="auto"/>
              </w:rPr>
            </w:pPr>
            <w:r>
              <w:rPr>
                <w:rFonts w:ascii="Arial" w:cs="Arial" w:eastAsia="Arial" w:hAnsi="Arial"/>
                <w:sz w:val="18"/>
                <w:szCs w:val="18"/>
                <w:color w:val="auto"/>
              </w:rPr>
              <w:t>Balance - March 31, 2010</w:t>
            </w: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668</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sets forth the estimated annual amortization expense for our finite-lived intangible assets for each of the next five years:</w:t>
      </w:r>
    </w:p>
    <w:p>
      <w:pPr>
        <w:spacing w:after="0" w:line="262" w:lineRule="exact"/>
        <w:rPr>
          <w:sz w:val="20"/>
          <w:szCs w:val="20"/>
          <w:color w:val="auto"/>
        </w:rPr>
      </w:pPr>
    </w:p>
    <w:tbl>
      <w:tblPr>
        <w:tblLayout w:type="fixed"/>
        <w:tblInd w:w="2180" w:type="dxa"/>
        <w:tblCellMar>
          <w:top w:w="0" w:type="dxa"/>
          <w:left w:w="0" w:type="dxa"/>
          <w:bottom w:w="0" w:type="dxa"/>
          <w:right w:w="0" w:type="dxa"/>
        </w:tblCellMar>
      </w:tblPr>
      <w:tr>
        <w:trPr>
          <w:trHeight w:val="222"/>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2010</w:t>
            </w:r>
          </w:p>
        </w:tc>
        <w:tc>
          <w:tcPr>
            <w:tcW w:w="14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59"/>
        </w:trPr>
        <w:tc>
          <w:tcPr>
            <w:tcW w:w="1480" w:type="dxa"/>
            <w:vAlign w:val="bottom"/>
          </w:tcPr>
          <w:p>
            <w:pPr>
              <w:jc w:val="right"/>
              <w:ind w:right="1052"/>
              <w:spacing w:after="0"/>
              <w:rPr>
                <w:sz w:val="20"/>
                <w:szCs w:val="20"/>
                <w:color w:val="auto"/>
              </w:rPr>
            </w:pPr>
            <w:r>
              <w:rPr>
                <w:rFonts w:ascii="Arial" w:cs="Arial" w:eastAsia="Arial" w:hAnsi="Arial"/>
                <w:sz w:val="18"/>
                <w:szCs w:val="18"/>
                <w:color w:val="auto"/>
                <w:w w:val="79"/>
              </w:rPr>
              <w:t>2011</w:t>
            </w:r>
          </w:p>
        </w:tc>
        <w:tc>
          <w:tcPr>
            <w:tcW w:w="14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2012</w:t>
            </w:r>
          </w:p>
        </w:tc>
        <w:tc>
          <w:tcPr>
            <w:tcW w:w="14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2013</w:t>
            </w:r>
          </w:p>
        </w:tc>
        <w:tc>
          <w:tcPr>
            <w:tcW w:w="1460" w:type="dxa"/>
            <w:vAlign w:val="bottom"/>
          </w:tcPr>
          <w:p>
            <w:pPr>
              <w:jc w:val="right"/>
              <w:spacing w:after="0"/>
              <w:rPr>
                <w:sz w:val="20"/>
                <w:szCs w:val="20"/>
                <w:color w:val="auto"/>
              </w:rPr>
            </w:pPr>
            <w:r>
              <w:rPr>
                <w:rFonts w:ascii="Arial" w:cs="Arial" w:eastAsia="Arial" w:hAnsi="Arial"/>
                <w:sz w:val="18"/>
                <w:szCs w:val="18"/>
                <w:color w:val="auto"/>
              </w:rPr>
              <w:t>$123</w:t>
            </w:r>
          </w:p>
        </w:tc>
      </w:tr>
    </w:tbl>
    <w:p>
      <w:pPr>
        <w:sectPr>
          <w:pgSz w:w="11900" w:h="16841" w:orient="portrait"/>
          <w:cols w:equalWidth="0" w:num="1">
            <w:col w:w="11320"/>
          </w:cols>
          <w:pgMar w:left="240" w:top="131" w:right="339" w:bottom="0" w:gutter="0" w:footer="0" w:header="0"/>
        </w:sectPr>
      </w:pPr>
    </w:p>
    <w:bookmarkStart w:id="8" w:name="page9"/>
    <w:bookmarkEnd w:id="8"/>
    <w:p>
      <w:pPr>
        <w:ind w:left="2180"/>
        <w:spacing w:after="0"/>
        <w:tabs>
          <w:tab w:leader="none" w:pos="476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$ 73</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AND OTHER CHARGES</w:t>
      </w:r>
    </w:p>
    <w:p>
      <w:pPr>
        <w:spacing w:after="0" w:line="191"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In response to the significant decline in our orders and net revenues during 2008 and 2009, we took actions to reduce our cost structure. The actions taken in 2009 are discussed below. Actions taken in 2008 are discussed in Note 5 to the consolidated financial statements in our 2009 Form 10-K. The review of our operations is on-going. We continue to explore methods to further reduce our costs and we will likely incur additional restructuring charges in future periods; however, we cannot predict the amount of such charges at this time.</w:t>
      </w:r>
    </w:p>
    <w:p>
      <w:pPr>
        <w:spacing w:after="0" w:line="197"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We consider some of the actions we took to be temporary in nature, such as certain salary and benefits reductions for current employees. At the time we take these temporary actions, it is generally our intent to restore all or a portion of the reduced salary and benefits in future periods when our results of operations and our cash flows improve sufficiently so as to allow us to do so. Any such restoration would impact the ultimate level of savings which will result from our restructuring actions. Effective January 1, 2010, we restored all of the temporary salary reductions we implemented in 2008 and 2009 for our domestic employees, with the exception of the salary of our Executive Chairman, which was restored to approximately 65% of its full reinstated level, reflecting a voluntary continued 35% reduction in his salary. Effective April 1, 2010, we restored the 401(k) Plan discretionary matching contribution for all domestic employees which had been eliminated for most of these employees at the beginning of 2009.</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2009 Restructuring Actions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Thermal Products Segment</w:t>
      </w:r>
    </w:p>
    <w:p>
      <w:pPr>
        <w:spacing w:after="0" w:line="15" w:lineRule="exact"/>
        <w:rPr>
          <w:sz w:val="20"/>
          <w:szCs w:val="20"/>
          <w:color w:val="auto"/>
        </w:rPr>
      </w:pPr>
    </w:p>
    <w:p>
      <w:pPr>
        <w:ind w:left="540" w:right="60"/>
        <w:spacing w:after="0" w:line="287" w:lineRule="auto"/>
        <w:rPr>
          <w:sz w:val="20"/>
          <w:szCs w:val="20"/>
          <w:color w:val="auto"/>
        </w:rPr>
      </w:pPr>
      <w:r>
        <w:rPr>
          <w:rFonts w:ascii="Arial" w:cs="Arial" w:eastAsia="Arial" w:hAnsi="Arial"/>
          <w:sz w:val="16"/>
          <w:szCs w:val="16"/>
          <w:color w:val="auto"/>
        </w:rPr>
        <w:t>During 2009, we approved three separate workforce reductions in our Thermal Products segment. On January 15, 2009, we approved a reduction of five employees, representing approximately 6% of the total employees in this segment and on February 19, 2009, we approved a reduction in workforce of six employees, representing approximately 8% of the total employees in this segment (collectively the "Q1 2009 TP Workforce Reduction"). We completed the communications of these actions to our employees on January 22, 2009 and February 19, 2009, respectively. We incurred $60 in total costs related to these actions for one-time termination benefits. These costs were incurred in the first quarter of 2009. On April 8, 2009, we approved a reduction of 11 employees, representing approximately 15% of the total employees in this segment (the "Q2 2009 TP Workforce Reduction"). We completed the communication of this action to our employees on April 15, 2009. We incurred approximately $62 in total costs related to these ac tions for one-time termination benefits. These costs were incurred in the second quarter of 2009. These actions were taken to reduce the operating expenses of this segment in response to current business conditions.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RESTRUCTURING AND OTHER CHARGES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In September 2009, we approved the relocation of Sigma from El Cajon, California to Sharon, Massachusetts (the "Sigma Relocation") where Temptronic Corporation's manufacturing operations are located. Sigma will share a facility with Temptronic (both of these operations are part of our Thermal Products segment). On September 30, 2009, we announced this relocation to the Sigma employees. In connection with the facility closure in El Cajon, we terminated 18 Sigma employees, representing approximately 32% of the employees in this segment, and incurred approximately $115 in one-time termination benefits related to this action during the fourth quarter of 2009. We completed the facility closure in El Cajon during the fourth quarter of 2009 and completed the relocation of the product line to our facility in Sharon during the first quarter of 2010. During the fourth quarter of 2009, we incurred approximately $195 of facility closure costs related to this action. These costs included lease termination fees of appr oximately $62 and other costs associated with this consolidation of facilities, including the cost to relocate inventory, equipment and personnel, of approximately $133. This action was taken to reduce the operating expenses of this segment in response to current business conditions.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Mechanical Products Segment</w:t>
      </w:r>
    </w:p>
    <w:p>
      <w:pPr>
        <w:spacing w:after="0" w:line="15" w:lineRule="exact"/>
        <w:rPr>
          <w:sz w:val="20"/>
          <w:szCs w:val="20"/>
          <w:color w:val="auto"/>
        </w:rPr>
      </w:pPr>
    </w:p>
    <w:p>
      <w:pPr>
        <w:ind w:left="540" w:right="160"/>
        <w:spacing w:after="0" w:line="302" w:lineRule="auto"/>
        <w:rPr>
          <w:sz w:val="20"/>
          <w:szCs w:val="20"/>
          <w:color w:val="auto"/>
        </w:rPr>
      </w:pPr>
      <w:r>
        <w:rPr>
          <w:rFonts w:ascii="Arial" w:cs="Arial" w:eastAsia="Arial" w:hAnsi="Arial"/>
          <w:sz w:val="16"/>
          <w:szCs w:val="16"/>
          <w:color w:val="auto"/>
        </w:rPr>
        <w:t>On April 8, 2009, we approved a reduction in workforce in our Mechanical Products segment of 13 employees which represented approximately 20% of the employees in this segment. We incurred approximately $71 in total costs related to this action for one-time termination benefits. These costs were incurred in the second quarter of 2009. We completed the communication of this action to our employees on April 15, 2009.</w:t>
      </w:r>
    </w:p>
    <w:p>
      <w:pPr>
        <w:spacing w:after="0" w:line="163" w:lineRule="exact"/>
        <w:rPr>
          <w:sz w:val="20"/>
          <w:szCs w:val="20"/>
          <w:color w:val="auto"/>
        </w:rPr>
      </w:pPr>
    </w:p>
    <w:p>
      <w:pPr>
        <w:jc w:val="both"/>
        <w:ind w:left="540" w:right="120"/>
        <w:spacing w:after="0" w:line="294" w:lineRule="auto"/>
        <w:rPr>
          <w:sz w:val="20"/>
          <w:szCs w:val="20"/>
          <w:color w:val="auto"/>
        </w:rPr>
      </w:pPr>
      <w:r>
        <w:rPr>
          <w:rFonts w:ascii="Arial" w:cs="Arial" w:eastAsia="Arial" w:hAnsi="Arial"/>
          <w:sz w:val="16"/>
          <w:szCs w:val="16"/>
          <w:color w:val="auto"/>
        </w:rPr>
        <w:t>Also on April 8, 2009, we approved the closure of our Japanese operation, which was part of our Mechanical Products segment. The four full-time and one part-time employees were notified of this planned closure on April 24, 2009. Three full-time employees were terminated on May 31, 2009. The two remaining employees were terminated during the fourth quarter of 2009. No one-time termination benefits were paid to these employees when they were terminated. During the third quarter of 2009, we recorded facility closure costs of $27 for our Japanese operation. We vacated our Japanese facility at the end of the third quarter of 2009. We completed the closure of this operation during the fourth quarter of 2009.</w:t>
      </w:r>
    </w:p>
    <w:p>
      <w:pPr>
        <w:spacing w:after="0" w:line="170" w:lineRule="exact"/>
        <w:rPr>
          <w:sz w:val="20"/>
          <w:szCs w:val="20"/>
          <w:color w:val="auto"/>
        </w:rPr>
      </w:pPr>
    </w:p>
    <w:p>
      <w:pPr>
        <w:ind w:left="540" w:right="220"/>
        <w:spacing w:after="0" w:line="294" w:lineRule="auto"/>
        <w:rPr>
          <w:sz w:val="20"/>
          <w:szCs w:val="20"/>
          <w:color w:val="auto"/>
        </w:rPr>
      </w:pPr>
      <w:r>
        <w:rPr>
          <w:rFonts w:ascii="Arial" w:cs="Arial" w:eastAsia="Arial" w:hAnsi="Arial"/>
          <w:sz w:val="16"/>
          <w:szCs w:val="16"/>
          <w:color w:val="auto"/>
        </w:rPr>
        <w:t>On April 14, 2009, we approved reductions in workforce in our Singaporean operation, which was also part of our Mechanical Products segment at that time, of eight employees and notified these employees of their planned termination on April 20, 2009. We terminated four employees on May 15, 2009, one employee on May 31, 2009, and three employees on June 30, 2009. We incurred approximately $51 in total costs related to this action for one-time termination benefits. We incurred these costs during the second quarter of 2009. In connection with this action, we centralized manufacturing of all mechanical products in our Cherry Hill, New Jersey operation.</w:t>
      </w:r>
    </w:p>
    <w:p>
      <w:pPr>
        <w:spacing w:after="0" w:line="170" w:lineRule="exact"/>
        <w:rPr>
          <w:sz w:val="20"/>
          <w:szCs w:val="20"/>
          <w:color w:val="auto"/>
        </w:rPr>
      </w:pPr>
    </w:p>
    <w:p>
      <w:pPr>
        <w:ind w:left="540" w:right="600"/>
        <w:spacing w:after="0" w:line="268" w:lineRule="auto"/>
        <w:rPr>
          <w:sz w:val="20"/>
          <w:szCs w:val="20"/>
          <w:color w:val="auto"/>
        </w:rPr>
      </w:pPr>
      <w:r>
        <w:rPr>
          <w:rFonts w:ascii="Arial" w:cs="Arial" w:eastAsia="Arial" w:hAnsi="Arial"/>
          <w:sz w:val="18"/>
          <w:szCs w:val="18"/>
          <w:color w:val="auto"/>
        </w:rPr>
        <w:t>The reductions in force noted above for our Japanese and Singaporean operations totaled 13 employees, representing 26% of the employees in our Mechanical Products segment.</w:t>
      </w:r>
    </w:p>
    <w:p>
      <w:pPr>
        <w:spacing w:after="0" w:line="186" w:lineRule="exact"/>
        <w:rPr>
          <w:sz w:val="20"/>
          <w:szCs w:val="20"/>
          <w:color w:val="auto"/>
        </w:rPr>
      </w:pPr>
    </w:p>
    <w:p>
      <w:pPr>
        <w:ind w:left="540" w:right="480"/>
        <w:spacing w:after="0" w:line="268" w:lineRule="auto"/>
        <w:rPr>
          <w:sz w:val="20"/>
          <w:szCs w:val="20"/>
          <w:color w:val="auto"/>
        </w:rPr>
      </w:pPr>
      <w:r>
        <w:rPr>
          <w:rFonts w:ascii="Arial" w:cs="Arial" w:eastAsia="Arial" w:hAnsi="Arial"/>
          <w:sz w:val="18"/>
          <w:szCs w:val="18"/>
          <w:color w:val="auto"/>
        </w:rPr>
        <w:t>All of the actions discussed above (collectively, the "Q2 2009 MP Plan") were taken to reduce the operating expenses of this segment in response to current business conditions.</w:t>
      </w:r>
    </w:p>
    <w:p>
      <w:pPr>
        <w:sectPr>
          <w:pgSz w:w="11900" w:h="16838" w:orient="portrait"/>
          <w:cols w:equalWidth="0" w:num="1">
            <w:col w:w="11420"/>
          </w:cols>
          <w:pgMar w:left="240" w:top="158" w:right="239" w:bottom="0" w:gutter="0" w:footer="0" w:header="0"/>
        </w:sectPr>
      </w:pPr>
    </w:p>
    <w:p>
      <w:pPr>
        <w:spacing w:after="0" w:line="186"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Electrical Products Segment</w:t>
      </w:r>
    </w:p>
    <w:p>
      <w:pPr>
        <w:sectPr>
          <w:pgSz w:w="11900" w:h="16838" w:orient="portrait"/>
          <w:cols w:equalWidth="0" w:num="1">
            <w:col w:w="11420"/>
          </w:cols>
          <w:pgMar w:left="240" w:top="158" w:right="239" w:bottom="0" w:gutter="0" w:footer="0" w:header="0"/>
          <w:type w:val="continuous"/>
        </w:sectPr>
      </w:pPr>
    </w:p>
    <w:bookmarkStart w:id="9" w:name="page10"/>
    <w:bookmarkEnd w:id="9"/>
    <w:p>
      <w:pPr>
        <w:ind w:left="540"/>
        <w:spacing w:after="0" w:line="298" w:lineRule="auto"/>
        <w:rPr>
          <w:sz w:val="20"/>
          <w:szCs w:val="20"/>
          <w:color w:val="auto"/>
        </w:rPr>
      </w:pPr>
      <w:r>
        <w:rPr>
          <w:rFonts w:ascii="Arial" w:cs="Arial" w:eastAsia="Arial" w:hAnsi="Arial"/>
          <w:sz w:val="16"/>
          <w:szCs w:val="16"/>
          <w:color w:val="auto"/>
        </w:rPr>
        <w:t>On April 27, 2009, we approved workforce reductions in our Electrical Products segment (the "Q2 2009 EP Workforce Reduction"). On April 30, 2009, we terminated 10 employees and an additional staff person was terminated on May 15, 2009, which represented 61% of the employees in this segment. We incurred approximately $77 in total costs related to these actions for one-time termination benefits. We incurred these costs during the second quarter of 2009. These actions were taken to reduce the operating expenses of this segment in response to current business conditions.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Corporate Segment</w:t>
      </w:r>
    </w:p>
    <w:p>
      <w:pPr>
        <w:spacing w:after="0" w:line="15" w:lineRule="exact"/>
        <w:rPr>
          <w:sz w:val="20"/>
          <w:szCs w:val="20"/>
          <w:color w:val="auto"/>
        </w:rPr>
      </w:pPr>
    </w:p>
    <w:p>
      <w:pPr>
        <w:ind w:left="540" w:right="140"/>
        <w:spacing w:after="0" w:line="292" w:lineRule="auto"/>
        <w:rPr>
          <w:sz w:val="20"/>
          <w:szCs w:val="20"/>
          <w:color w:val="auto"/>
        </w:rPr>
      </w:pPr>
      <w:r>
        <w:rPr>
          <w:rFonts w:ascii="Arial" w:cs="Arial" w:eastAsia="Arial" w:hAnsi="Arial"/>
          <w:sz w:val="16"/>
          <w:szCs w:val="16"/>
          <w:color w:val="auto"/>
        </w:rPr>
        <w:t>On April 8, 2009, we approved a reduction in workforce in our Corporate segment of one employee which represented approximately 20% of the employees in this segment (the "Q2 2009 Corporate Workforce Reduction"). We incurred approximately $6 in total costs related to this action for one-time termination benefits. These costs were incurred in the second quarter of 2009. We also approved a reduction in the base salary of our Executive Chairman of approximately $152. We completed the communications of these actions to our employees on April 15, 2009. These actions were taken to reduce the operating expenses of this segment in response to current business conditions.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- 11 -</w:t>
      </w: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RESTRUCTURING AND OTHER CHARGES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restructuring costs for the three months ended March 31, 2010 and 2009, respectively, are summarized as follows:</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tcPr>
          <w:p>
            <w:pPr>
              <w:jc w:val="center"/>
              <w:ind w:right="140"/>
              <w:spacing w:after="0"/>
              <w:rPr>
                <w:sz w:val="20"/>
                <w:szCs w:val="20"/>
                <w:color w:val="auto"/>
              </w:rPr>
            </w:pPr>
            <w:r>
              <w:rPr>
                <w:rFonts w:ascii="Arial" w:cs="Arial" w:eastAsia="Arial" w:hAnsi="Arial"/>
                <w:sz w:val="14"/>
                <w:szCs w:val="14"/>
                <w:b w:val="1"/>
                <w:bCs w:val="1"/>
                <w:i w:val="1"/>
                <w:iCs w:val="1"/>
                <w:color w:val="auto"/>
                <w:w w:val="71"/>
              </w:rPr>
              <w:t>Sigma</w:t>
            </w:r>
          </w:p>
        </w:tc>
      </w:tr>
      <w:tr>
        <w:trPr>
          <w:trHeight w:val="146"/>
        </w:trPr>
        <w:tc>
          <w:tcPr>
            <w:tcW w:w="3660" w:type="dxa"/>
            <w:vAlign w:val="bottom"/>
          </w:tcPr>
          <w:p>
            <w:pPr>
              <w:spacing w:after="0"/>
              <w:rPr>
                <w:sz w:val="12"/>
                <w:szCs w:val="12"/>
                <w:color w:val="auto"/>
              </w:rPr>
            </w:pPr>
          </w:p>
        </w:tc>
        <w:tc>
          <w:tcPr>
            <w:tcW w:w="960" w:type="dxa"/>
            <w:vAlign w:val="bottom"/>
            <w:gridSpan w:val="4"/>
          </w:tcPr>
          <w:p>
            <w:pPr>
              <w:jc w:val="center"/>
              <w:ind w:left="279"/>
              <w:spacing w:after="0" w:line="146" w:lineRule="exact"/>
              <w:rPr>
                <w:sz w:val="20"/>
                <w:szCs w:val="20"/>
                <w:color w:val="auto"/>
              </w:rPr>
            </w:pPr>
            <w:r>
              <w:rPr>
                <w:rFonts w:ascii="Arial" w:cs="Arial" w:eastAsia="Arial" w:hAnsi="Arial"/>
                <w:sz w:val="14"/>
                <w:szCs w:val="14"/>
                <w:b w:val="1"/>
                <w:bCs w:val="1"/>
                <w:i w:val="1"/>
                <w:iCs w:val="1"/>
                <w:color w:val="auto"/>
                <w:w w:val="83"/>
              </w:rPr>
              <w:t>Relocation</w:t>
            </w:r>
          </w:p>
        </w:tc>
      </w:tr>
      <w:tr>
        <w:trPr>
          <w:trHeight w:val="235"/>
        </w:trPr>
        <w:tc>
          <w:tcPr>
            <w:tcW w:w="3660" w:type="dxa"/>
            <w:vAlign w:val="bottom"/>
          </w:tcPr>
          <w:p>
            <w:pPr>
              <w:spacing w:after="0"/>
              <w:rPr>
                <w:sz w:val="20"/>
                <w:szCs w:val="20"/>
                <w:color w:val="auto"/>
              </w:rPr>
            </w:pPr>
            <w:r>
              <w:rPr>
                <w:rFonts w:ascii="Arial" w:cs="Arial" w:eastAsia="Arial" w:hAnsi="Arial"/>
                <w:sz w:val="18"/>
                <w:szCs w:val="18"/>
                <w:color w:val="auto"/>
              </w:rPr>
              <w:t>Balance - January 1, 2010</w:t>
            </w:r>
          </w:p>
        </w:tc>
        <w:tc>
          <w:tcPr>
            <w:tcW w:w="360" w:type="dxa"/>
            <w:vAlign w:val="bottom"/>
          </w:tcPr>
          <w:p>
            <w:pPr>
              <w:spacing w:after="0"/>
              <w:rPr>
                <w:sz w:val="20"/>
                <w:szCs w:val="20"/>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top w:val="single" w:sz="8" w:color="auto"/>
            </w:tcBorders>
          </w:tcPr>
          <w:p>
            <w:pPr>
              <w:spacing w:after="0"/>
              <w:rPr>
                <w:sz w:val="20"/>
                <w:szCs w:val="20"/>
                <w:color w:val="auto"/>
              </w:rPr>
            </w:pPr>
          </w:p>
        </w:tc>
      </w:tr>
      <w:tr>
        <w:trPr>
          <w:trHeight w:val="453"/>
        </w:trPr>
        <w:tc>
          <w:tcPr>
            <w:tcW w:w="3660" w:type="dxa"/>
            <w:vAlign w:val="bottom"/>
          </w:tcPr>
          <w:p>
            <w:pPr>
              <w:spacing w:after="0"/>
              <w:rPr>
                <w:sz w:val="20"/>
                <w:szCs w:val="20"/>
                <w:color w:val="auto"/>
              </w:rPr>
            </w:pPr>
            <w:r>
              <w:rPr>
                <w:rFonts w:ascii="Arial" w:cs="Arial" w:eastAsia="Arial" w:hAnsi="Arial"/>
                <w:sz w:val="18"/>
                <w:szCs w:val="18"/>
                <w:color w:val="auto"/>
                <w:w w:val="99"/>
              </w:rPr>
              <w:t>Accruals for one-time termination benefits and</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3660" w:type="dxa"/>
            <w:vAlign w:val="bottom"/>
          </w:tcPr>
          <w:p>
            <w:pPr>
              <w:ind w:left="180"/>
              <w:spacing w:after="0"/>
              <w:rPr>
                <w:sz w:val="20"/>
                <w:szCs w:val="20"/>
                <w:color w:val="auto"/>
              </w:rPr>
            </w:pPr>
            <w:r>
              <w:rPr>
                <w:rFonts w:ascii="Arial" w:cs="Arial" w:eastAsia="Arial" w:hAnsi="Arial"/>
                <w:sz w:val="18"/>
                <w:szCs w:val="18"/>
                <w:color w:val="auto"/>
              </w:rPr>
              <w:t>facility closure costs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9"/>
                <w:szCs w:val="19"/>
                <w:color w:val="auto"/>
              </w:rPr>
            </w:pPr>
          </w:p>
        </w:tc>
      </w:tr>
      <w:tr>
        <w:trPr>
          <w:trHeight w:val="453"/>
        </w:trPr>
        <w:tc>
          <w:tcPr>
            <w:tcW w:w="3660" w:type="dxa"/>
            <w:vAlign w:val="bottom"/>
          </w:tcPr>
          <w:p>
            <w:pPr>
              <w:spacing w:after="0"/>
              <w:rPr>
                <w:sz w:val="20"/>
                <w:szCs w:val="20"/>
                <w:color w:val="auto"/>
              </w:rPr>
            </w:pPr>
            <w:r>
              <w:rPr>
                <w:rFonts w:ascii="Arial" w:cs="Arial" w:eastAsia="Arial" w:hAnsi="Arial"/>
                <w:sz w:val="18"/>
                <w:szCs w:val="18"/>
                <w:color w:val="auto"/>
                <w:w w:val="97"/>
              </w:rPr>
              <w:t>Severance and other cash payments related to</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one-time termination benefits and facility</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84"/>
        </w:trPr>
        <w:tc>
          <w:tcPr>
            <w:tcW w:w="3660" w:type="dxa"/>
            <w:vAlign w:val="bottom"/>
          </w:tcPr>
          <w:p>
            <w:pPr>
              <w:ind w:left="180"/>
              <w:spacing w:after="0" w:line="184" w:lineRule="exact"/>
              <w:rPr>
                <w:sz w:val="20"/>
                <w:szCs w:val="20"/>
                <w:color w:val="auto"/>
              </w:rPr>
            </w:pPr>
            <w:r>
              <w:rPr>
                <w:rFonts w:ascii="Arial" w:cs="Arial" w:eastAsia="Arial" w:hAnsi="Arial"/>
                <w:sz w:val="18"/>
                <w:szCs w:val="18"/>
                <w:color w:val="auto"/>
              </w:rPr>
              <w:t>closure costs</w:t>
            </w:r>
          </w:p>
        </w:tc>
        <w:tc>
          <w:tcPr>
            <w:tcW w:w="520" w:type="dxa"/>
            <w:vAlign w:val="bottom"/>
            <w:gridSpan w:val="2"/>
          </w:tcPr>
          <w:p>
            <w:pPr>
              <w:spacing w:after="0"/>
              <w:rPr>
                <w:sz w:val="15"/>
                <w:szCs w:val="15"/>
                <w:color w:val="auto"/>
              </w:rPr>
            </w:pPr>
          </w:p>
        </w:tc>
        <w:tc>
          <w:tcPr>
            <w:tcW w:w="440" w:type="dxa"/>
            <w:vAlign w:val="bottom"/>
            <w:gridSpan w:val="2"/>
          </w:tcPr>
          <w:p>
            <w:pPr>
              <w:jc w:val="right"/>
              <w:ind w:right="100"/>
              <w:spacing w:after="0" w:line="184" w:lineRule="exact"/>
              <w:rPr>
                <w:sz w:val="20"/>
                <w:szCs w:val="20"/>
                <w:color w:val="auto"/>
              </w:rPr>
            </w:pPr>
            <w:r>
              <w:rPr>
                <w:rFonts w:ascii="Arial" w:cs="Arial" w:eastAsia="Arial" w:hAnsi="Arial"/>
                <w:sz w:val="18"/>
                <w:szCs w:val="18"/>
                <w:color w:val="auto"/>
                <w:w w:val="99"/>
              </w:rPr>
              <w:t>(96)</w:t>
            </w:r>
          </w:p>
        </w:tc>
      </w:tr>
      <w:tr>
        <w:trPr>
          <w:trHeight w:val="20"/>
        </w:trPr>
        <w:tc>
          <w:tcPr>
            <w:tcW w:w="36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39"/>
        </w:trPr>
        <w:tc>
          <w:tcPr>
            <w:tcW w:w="3660" w:type="dxa"/>
            <w:vAlign w:val="bottom"/>
          </w:tcPr>
          <w:p>
            <w:pPr>
              <w:spacing w:after="0"/>
              <w:rPr>
                <w:sz w:val="20"/>
                <w:szCs w:val="20"/>
                <w:color w:val="auto"/>
              </w:rPr>
            </w:pPr>
            <w:r>
              <w:rPr>
                <w:rFonts w:ascii="Arial" w:cs="Arial" w:eastAsia="Arial" w:hAnsi="Arial"/>
                <w:sz w:val="18"/>
                <w:szCs w:val="18"/>
                <w:color w:val="auto"/>
              </w:rPr>
              <w:t>Balance - March 31, 2010</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$ 34</w:t>
            </w:r>
          </w:p>
        </w:tc>
        <w:tc>
          <w:tcPr>
            <w:tcW w:w="140" w:type="dxa"/>
            <w:vAlign w:val="bottom"/>
          </w:tcPr>
          <w:p>
            <w:pPr>
              <w:spacing w:after="0"/>
              <w:rPr>
                <w:sz w:val="24"/>
                <w:szCs w:val="24"/>
                <w:color w:val="auto"/>
              </w:rPr>
            </w:pPr>
          </w:p>
        </w:tc>
      </w:tr>
      <w:tr>
        <w:trPr>
          <w:trHeight w:val="20"/>
        </w:trPr>
        <w:tc>
          <w:tcPr>
            <w:tcW w:w="3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5"/>
          </w:tcPr>
          <w:p>
            <w:pPr>
              <w:jc w:val="center"/>
              <w:ind w:right="60"/>
              <w:spacing w:after="0"/>
              <w:rPr>
                <w:sz w:val="20"/>
                <w:szCs w:val="20"/>
                <w:color w:val="auto"/>
              </w:rPr>
            </w:pPr>
            <w:r>
              <w:rPr>
                <w:rFonts w:ascii="Arial" w:cs="Arial" w:eastAsia="Arial" w:hAnsi="Arial"/>
                <w:sz w:val="14"/>
                <w:szCs w:val="14"/>
                <w:b w:val="1"/>
                <w:bCs w:val="1"/>
                <w:i w:val="1"/>
                <w:iCs w:val="1"/>
                <w:color w:val="auto"/>
                <w:w w:val="89"/>
              </w:rPr>
              <w:t>Q1 2009</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3380" w:type="dxa"/>
            <w:vAlign w:val="bottom"/>
          </w:tcPr>
          <w:p>
            <w:pPr>
              <w:spacing w:after="0"/>
              <w:rPr>
                <w:sz w:val="12"/>
                <w:szCs w:val="12"/>
                <w:color w:val="auto"/>
              </w:rPr>
            </w:pPr>
          </w:p>
        </w:tc>
        <w:tc>
          <w:tcPr>
            <w:tcW w:w="8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i w:val="1"/>
                <w:iCs w:val="1"/>
                <w:color w:val="auto"/>
                <w:w w:val="89"/>
              </w:rPr>
              <w:t>Q3 2008</w:t>
            </w:r>
          </w:p>
        </w:tc>
        <w:tc>
          <w:tcPr>
            <w:tcW w:w="8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Q4 2008</w:t>
            </w:r>
          </w:p>
        </w:tc>
        <w:tc>
          <w:tcPr>
            <w:tcW w:w="8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i w:val="1"/>
                <w:iCs w:val="1"/>
                <w:color w:val="auto"/>
                <w:w w:val="89"/>
              </w:rPr>
              <w:t>Q3 2008</w:t>
            </w:r>
          </w:p>
        </w:tc>
        <w:tc>
          <w:tcPr>
            <w:tcW w:w="7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Q4 2008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89"/>
              </w:rPr>
              <w:t>TP</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95"/>
              </w:rPr>
              <w:t>MP</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95"/>
              </w:rPr>
              <w:t>MP</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i w:val="1"/>
                <w:iCs w:val="1"/>
                <w:color w:val="auto"/>
                <w:w w:val="85"/>
              </w:rPr>
              <w:t>EP</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96"/>
              </w:rPr>
              <w:t>EP</w:t>
            </w:r>
          </w:p>
        </w:tc>
        <w:tc>
          <w:tcPr>
            <w:tcW w:w="74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Workforce</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6"/>
        </w:trPr>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i w:val="1"/>
                <w:iCs w:val="1"/>
                <w:color w:val="auto"/>
                <w:w w:val="87"/>
              </w:rPr>
              <w:t>Plan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81"/>
              </w:rPr>
              <w:t>Plan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7"/>
              </w:rPr>
              <w:t>Plan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i w:val="1"/>
                <w:iCs w:val="1"/>
                <w:color w:val="auto"/>
                <w:w w:val="87"/>
              </w:rPr>
              <w:t>Plan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5"/>
          </w:tcPr>
          <w:p>
            <w:pPr>
              <w:jc w:val="center"/>
              <w:ind w:right="60"/>
              <w:spacing w:after="0" w:line="146" w:lineRule="exact"/>
              <w:rPr>
                <w:sz w:val="20"/>
                <w:szCs w:val="20"/>
                <w:color w:val="auto"/>
              </w:rPr>
            </w:pPr>
            <w:r>
              <w:rPr>
                <w:rFonts w:ascii="Arial" w:cs="Arial" w:eastAsia="Arial" w:hAnsi="Arial"/>
                <w:sz w:val="14"/>
                <w:szCs w:val="14"/>
                <w:b w:val="1"/>
                <w:bCs w:val="1"/>
                <w:i w:val="1"/>
                <w:iCs w:val="1"/>
                <w:color w:val="auto"/>
                <w:w w:val="81"/>
              </w:rPr>
              <w:t>Reduction</w:t>
            </w:r>
          </w:p>
        </w:tc>
        <w:tc>
          <w:tcPr>
            <w:tcW w:w="160" w:type="dxa"/>
            <w:vAlign w:val="bottom"/>
          </w:tcPr>
          <w:p>
            <w:pPr>
              <w:spacing w:after="0"/>
              <w:rPr>
                <w:sz w:val="12"/>
                <w:szCs w:val="12"/>
                <w:color w:val="auto"/>
              </w:rPr>
            </w:pPr>
          </w:p>
        </w:tc>
        <w:tc>
          <w:tcPr>
            <w:tcW w:w="360" w:type="dxa"/>
            <w:vAlign w:val="bottom"/>
            <w:gridSpan w:val="3"/>
          </w:tcPr>
          <w:p>
            <w:pPr>
              <w:spacing w:after="0" w:line="146" w:lineRule="exact"/>
              <w:rPr>
                <w:sz w:val="20"/>
                <w:szCs w:val="20"/>
                <w:color w:val="auto"/>
              </w:rPr>
            </w:pPr>
            <w:r>
              <w:rPr>
                <w:rFonts w:ascii="Arial" w:cs="Arial" w:eastAsia="Arial" w:hAnsi="Arial"/>
                <w:sz w:val="14"/>
                <w:szCs w:val="14"/>
                <w:b w:val="1"/>
                <w:bCs w:val="1"/>
                <w:i w:val="1"/>
                <w:iCs w:val="1"/>
                <w:color w:val="auto"/>
              </w:rPr>
              <w:t>Total</w:t>
            </w:r>
          </w:p>
        </w:tc>
      </w:tr>
      <w:tr>
        <w:trPr>
          <w:trHeight w:val="20"/>
        </w:trPr>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5"/>
        </w:trPr>
        <w:tc>
          <w:tcPr>
            <w:tcW w:w="3380" w:type="dxa"/>
            <w:vAlign w:val="bottom"/>
          </w:tcPr>
          <w:p>
            <w:pPr>
              <w:spacing w:after="0"/>
              <w:rPr>
                <w:sz w:val="20"/>
                <w:szCs w:val="20"/>
                <w:color w:val="auto"/>
              </w:rPr>
            </w:pPr>
            <w:r>
              <w:rPr>
                <w:rFonts w:ascii="Arial" w:cs="Arial" w:eastAsia="Arial" w:hAnsi="Arial"/>
                <w:sz w:val="18"/>
                <w:szCs w:val="18"/>
                <w:color w:val="auto"/>
              </w:rPr>
              <w:t>Balance - January 1, 2009</w:t>
            </w:r>
          </w:p>
        </w:tc>
        <w:tc>
          <w:tcPr>
            <w:tcW w:w="18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$ 72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$ 28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$ 3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$ 38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$ 141</w:t>
            </w:r>
          </w:p>
        </w:tc>
        <w:tc>
          <w:tcPr>
            <w:tcW w:w="60" w:type="dxa"/>
            <w:vAlign w:val="bottom"/>
          </w:tcPr>
          <w:p>
            <w:pPr>
              <w:spacing w:after="0"/>
              <w:rPr>
                <w:sz w:val="20"/>
                <w:szCs w:val="20"/>
                <w:color w:val="auto"/>
              </w:rPr>
            </w:pPr>
          </w:p>
        </w:tc>
      </w:tr>
      <w:tr>
        <w:trPr>
          <w:trHeight w:val="459"/>
        </w:trPr>
        <w:tc>
          <w:tcPr>
            <w:tcW w:w="3380" w:type="dxa"/>
            <w:vAlign w:val="bottom"/>
          </w:tcPr>
          <w:p>
            <w:pPr>
              <w:spacing w:after="0"/>
              <w:rPr>
                <w:sz w:val="20"/>
                <w:szCs w:val="20"/>
                <w:color w:val="auto"/>
              </w:rPr>
            </w:pPr>
            <w:r>
              <w:rPr>
                <w:rFonts w:ascii="Arial" w:cs="Arial" w:eastAsia="Arial" w:hAnsi="Arial"/>
                <w:sz w:val="18"/>
                <w:szCs w:val="18"/>
                <w:color w:val="auto"/>
              </w:rPr>
              <w:t>Accruals for one-time termination benefits</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60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24"/>
                <w:szCs w:val="24"/>
                <w:color w:val="auto"/>
              </w:rPr>
            </w:pPr>
          </w:p>
        </w:tc>
      </w:tr>
      <w:tr>
        <w:trPr>
          <w:trHeight w:val="453"/>
        </w:trPr>
        <w:tc>
          <w:tcPr>
            <w:tcW w:w="3380" w:type="dxa"/>
            <w:vAlign w:val="bottom"/>
          </w:tcPr>
          <w:p>
            <w:pPr>
              <w:spacing w:after="0"/>
              <w:rPr>
                <w:sz w:val="20"/>
                <w:szCs w:val="20"/>
                <w:color w:val="auto"/>
              </w:rPr>
            </w:pPr>
            <w:r>
              <w:rPr>
                <w:rFonts w:ascii="Arial" w:cs="Arial" w:eastAsia="Arial" w:hAnsi="Arial"/>
                <w:sz w:val="18"/>
                <w:szCs w:val="18"/>
                <w:color w:val="auto"/>
                <w:w w:val="90"/>
              </w:rPr>
              <w:t>Severance and other cash payments related to</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w w:val="98"/>
              </w:rPr>
              <w:t>one-time termination benefits and facility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4"/>
        </w:trPr>
        <w:tc>
          <w:tcPr>
            <w:tcW w:w="3380" w:type="dxa"/>
            <w:vAlign w:val="bottom"/>
          </w:tcPr>
          <w:p>
            <w:pPr>
              <w:ind w:left="180"/>
              <w:spacing w:after="0" w:line="184" w:lineRule="exact"/>
              <w:rPr>
                <w:sz w:val="20"/>
                <w:szCs w:val="20"/>
                <w:color w:val="auto"/>
              </w:rPr>
            </w:pPr>
            <w:r>
              <w:rPr>
                <w:rFonts w:ascii="Arial" w:cs="Arial" w:eastAsia="Arial" w:hAnsi="Arial"/>
                <w:sz w:val="18"/>
                <w:szCs w:val="18"/>
                <w:color w:val="auto"/>
              </w:rPr>
              <w:t>closure costs</w:t>
            </w:r>
          </w:p>
        </w:tc>
        <w:tc>
          <w:tcPr>
            <w:tcW w:w="280" w:type="dxa"/>
            <w:vAlign w:val="bottom"/>
            <w:gridSpan w:val="2"/>
          </w:tcPr>
          <w:p>
            <w:pPr>
              <w:spacing w:after="0"/>
              <w:rPr>
                <w:sz w:val="15"/>
                <w:szCs w:val="15"/>
                <w:color w:val="auto"/>
              </w:rPr>
            </w:pPr>
          </w:p>
        </w:tc>
        <w:tc>
          <w:tcPr>
            <w:tcW w:w="36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w w:val="99"/>
              </w:rPr>
              <w:t>(65)</w:t>
            </w:r>
          </w:p>
        </w:tc>
        <w:tc>
          <w:tcPr>
            <w:tcW w:w="160" w:type="dxa"/>
            <w:vAlign w:val="bottom"/>
          </w:tcPr>
          <w:p>
            <w:pPr>
              <w:spacing w:after="0"/>
              <w:rPr>
                <w:sz w:val="15"/>
                <w:szCs w:val="15"/>
                <w:color w:val="auto"/>
              </w:rPr>
            </w:pPr>
          </w:p>
        </w:tc>
        <w:tc>
          <w:tcPr>
            <w:tcW w:w="58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(23)</w:t>
            </w:r>
          </w:p>
        </w:tc>
        <w:tc>
          <w:tcPr>
            <w:tcW w:w="240" w:type="dxa"/>
            <w:vAlign w:val="bottom"/>
          </w:tcPr>
          <w:p>
            <w:pPr>
              <w:spacing w:after="0"/>
              <w:rPr>
                <w:sz w:val="15"/>
                <w:szCs w:val="15"/>
                <w:color w:val="auto"/>
              </w:rPr>
            </w:pPr>
          </w:p>
        </w:tc>
        <w:tc>
          <w:tcPr>
            <w:tcW w:w="56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20" w:type="dxa"/>
            <w:vAlign w:val="bottom"/>
            <w:gridSpan w:val="4"/>
          </w:tcPr>
          <w:p>
            <w:pPr>
              <w:jc w:val="right"/>
              <w:ind w:right="20"/>
              <w:spacing w:after="0" w:line="184"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5"/>
                <w:szCs w:val="15"/>
                <w:color w:val="auto"/>
              </w:rPr>
            </w:pPr>
          </w:p>
        </w:tc>
        <w:tc>
          <w:tcPr>
            <w:tcW w:w="680" w:type="dxa"/>
            <w:vAlign w:val="bottom"/>
            <w:gridSpan w:val="5"/>
          </w:tcPr>
          <w:p>
            <w:pPr>
              <w:jc w:val="right"/>
              <w:ind w:right="20"/>
              <w:spacing w:after="0" w:line="184" w:lineRule="exact"/>
              <w:rPr>
                <w:sz w:val="20"/>
                <w:szCs w:val="20"/>
                <w:color w:val="auto"/>
              </w:rPr>
            </w:pPr>
            <w:r>
              <w:rPr>
                <w:rFonts w:ascii="Arial" w:cs="Arial" w:eastAsia="Arial" w:hAnsi="Arial"/>
                <w:sz w:val="18"/>
                <w:szCs w:val="18"/>
                <w:color w:val="auto"/>
              </w:rPr>
              <w:t>(60)</w:t>
            </w:r>
          </w:p>
        </w:tc>
        <w:tc>
          <w:tcPr>
            <w:tcW w:w="60" w:type="dxa"/>
            <w:vAlign w:val="bottom"/>
          </w:tcPr>
          <w:p>
            <w:pPr>
              <w:spacing w:after="0"/>
              <w:rPr>
                <w:sz w:val="15"/>
                <w:szCs w:val="15"/>
                <w:color w:val="auto"/>
              </w:rPr>
            </w:pPr>
          </w:p>
        </w:tc>
        <w:tc>
          <w:tcPr>
            <w:tcW w:w="520" w:type="dxa"/>
            <w:vAlign w:val="bottom"/>
            <w:gridSpan w:val="4"/>
          </w:tcPr>
          <w:p>
            <w:pPr>
              <w:ind w:left="140"/>
              <w:spacing w:after="0" w:line="184" w:lineRule="exact"/>
              <w:rPr>
                <w:sz w:val="20"/>
                <w:szCs w:val="20"/>
                <w:color w:val="auto"/>
              </w:rPr>
            </w:pPr>
            <w:r>
              <w:rPr>
                <w:rFonts w:ascii="Arial" w:cs="Arial" w:eastAsia="Arial" w:hAnsi="Arial"/>
                <w:sz w:val="18"/>
                <w:szCs w:val="18"/>
                <w:color w:val="auto"/>
                <w:w w:val="85"/>
              </w:rPr>
              <w:t>(181)</w:t>
            </w:r>
          </w:p>
        </w:tc>
      </w:tr>
      <w:tr>
        <w:trPr>
          <w:trHeight w:val="20"/>
        </w:trPr>
        <w:tc>
          <w:tcPr>
            <w:tcW w:w="3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3380" w:type="dxa"/>
            <w:vAlign w:val="bottom"/>
          </w:tcPr>
          <w:p>
            <w:pPr>
              <w:spacing w:after="0"/>
              <w:rPr>
                <w:sz w:val="20"/>
                <w:szCs w:val="20"/>
                <w:color w:val="auto"/>
              </w:rPr>
            </w:pPr>
            <w:r>
              <w:rPr>
                <w:rFonts w:ascii="Arial" w:cs="Arial" w:eastAsia="Arial" w:hAnsi="Arial"/>
                <w:sz w:val="18"/>
                <w:szCs w:val="18"/>
                <w:color w:val="auto"/>
              </w:rPr>
              <w:t>Balance - March 31, 2009</w:t>
            </w:r>
          </w:p>
        </w:tc>
        <w:tc>
          <w:tcPr>
            <w:tcW w:w="2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3"/>
              </w:rPr>
              <w:t>$  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  5</w:t>
            </w:r>
          </w:p>
        </w:tc>
        <w:tc>
          <w:tcPr>
            <w:tcW w:w="24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$ 3</w:t>
            </w:r>
          </w:p>
        </w:tc>
        <w:tc>
          <w:tcPr>
            <w:tcW w:w="240" w:type="dxa"/>
            <w:vAlign w:val="bottom"/>
          </w:tcPr>
          <w:p>
            <w:pPr>
              <w:spacing w:after="0"/>
              <w:rPr>
                <w:sz w:val="24"/>
                <w:szCs w:val="24"/>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rPr>
              <w:t>$  5</w:t>
            </w:r>
          </w:p>
        </w:tc>
        <w:tc>
          <w:tcPr>
            <w:tcW w:w="12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  20</w:t>
            </w:r>
          </w:p>
        </w:tc>
        <w:tc>
          <w:tcPr>
            <w:tcW w:w="60" w:type="dxa"/>
            <w:vAlign w:val="bottom"/>
          </w:tcPr>
          <w:p>
            <w:pPr>
              <w:spacing w:after="0"/>
              <w:rPr>
                <w:sz w:val="24"/>
                <w:szCs w:val="24"/>
                <w:color w:val="auto"/>
              </w:rPr>
            </w:pPr>
          </w:p>
        </w:tc>
      </w:tr>
      <w:tr>
        <w:trPr>
          <w:trHeight w:val="20"/>
        </w:trPr>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MAJOR CUSTOMERS</w:t>
      </w:r>
    </w:p>
    <w:p>
      <w:pPr>
        <w:spacing w:after="0" w:line="191"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color w:val="auto"/>
        </w:rPr>
        <w:t>Teradyne, Inc. accounted for 19% of our consolidated net revenues for the three months ended March 31, 2010. These revenues were generated by both our Mechanical and Electrical Products segments. Texas Instruments Incorporated accounted for 18% of our consolidated net revenues for the three months ended March 31, 2010. While all three of our operating segments sold products to this customer, these revenues were primarily generated by our Mechanical Products segment. During the three months ended March 31, 2010, no other customer accounted for 10% or more of our consolidated net revenues. During the three months ended March 31, 2009, no customer accounted for 10% or more of our consolidated net revenues.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March 31, 2010 and December 31, 2009 were comprised of the following:</w:t>
      </w:r>
    </w:p>
    <w:p>
      <w:pPr>
        <w:spacing w:after="0" w:line="183"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760" w:type="dxa"/>
            <w:vAlign w:val="bottom"/>
            <w:gridSpan w:val="4"/>
          </w:tcPr>
          <w:p>
            <w:pPr>
              <w:jc w:val="center"/>
              <w:ind w:right="280"/>
              <w:spacing w:after="0"/>
              <w:rPr>
                <w:sz w:val="20"/>
                <w:szCs w:val="20"/>
                <w:color w:val="auto"/>
              </w:rPr>
            </w:pPr>
            <w:r>
              <w:rPr>
                <w:rFonts w:ascii="Arial" w:cs="Arial" w:eastAsia="Arial" w:hAnsi="Arial"/>
                <w:sz w:val="14"/>
                <w:szCs w:val="14"/>
                <w:b w:val="1"/>
                <w:bCs w:val="1"/>
                <w:i w:val="1"/>
                <w:iCs w:val="1"/>
                <w:color w:val="auto"/>
                <w:w w:val="91"/>
              </w:rPr>
              <w:t>Mar. 31,</w:t>
            </w:r>
          </w:p>
        </w:tc>
        <w:tc>
          <w:tcPr>
            <w:tcW w:w="540" w:type="dxa"/>
            <w:vAlign w:val="bottom"/>
            <w:gridSpan w:val="3"/>
          </w:tcPr>
          <w:p>
            <w:pPr>
              <w:jc w:val="center"/>
              <w:ind w:right="4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46"/>
        </w:trPr>
        <w:tc>
          <w:tcPr>
            <w:tcW w:w="292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2009</w:t>
            </w:r>
          </w:p>
        </w:tc>
        <w:tc>
          <w:tcPr>
            <w:tcW w:w="60" w:type="dxa"/>
            <w:vAlign w:val="bottom"/>
          </w:tcPr>
          <w:p>
            <w:pPr>
              <w:spacing w:after="0"/>
              <w:rPr>
                <w:sz w:val="12"/>
                <w:szCs w:val="12"/>
                <w:color w:val="auto"/>
              </w:rPr>
            </w:pPr>
          </w:p>
        </w:tc>
      </w:tr>
      <w:tr>
        <w:trPr>
          <w:trHeight w:val="235"/>
        </w:trPr>
        <w:tc>
          <w:tcPr>
            <w:tcW w:w="2920" w:type="dxa"/>
            <w:vAlign w:val="bottom"/>
          </w:tcPr>
          <w:p>
            <w:pPr>
              <w:spacing w:after="0"/>
              <w:rPr>
                <w:sz w:val="20"/>
                <w:szCs w:val="20"/>
                <w:color w:val="auto"/>
              </w:rPr>
            </w:pPr>
            <w:r>
              <w:rPr>
                <w:rFonts w:ascii="Arial" w:cs="Arial" w:eastAsia="Arial" w:hAnsi="Arial"/>
                <w:sz w:val="18"/>
                <w:szCs w:val="18"/>
                <w:color w:val="auto"/>
              </w:rPr>
              <w:t>Raw materials</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$2,486</w:t>
            </w:r>
          </w:p>
        </w:tc>
        <w:tc>
          <w:tcPr>
            <w:tcW w:w="2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$2,176</w:t>
            </w:r>
          </w:p>
        </w:tc>
      </w:tr>
      <w:tr>
        <w:trPr>
          <w:trHeight w:val="459"/>
        </w:trPr>
        <w:tc>
          <w:tcPr>
            <w:tcW w:w="2920" w:type="dxa"/>
            <w:vAlign w:val="bottom"/>
          </w:tcPr>
          <w:p>
            <w:pPr>
              <w:spacing w:after="0"/>
              <w:rPr>
                <w:sz w:val="20"/>
                <w:szCs w:val="20"/>
                <w:color w:val="auto"/>
              </w:rPr>
            </w:pPr>
            <w:r>
              <w:rPr>
                <w:rFonts w:ascii="Arial" w:cs="Arial" w:eastAsia="Arial" w:hAnsi="Arial"/>
                <w:sz w:val="18"/>
                <w:szCs w:val="18"/>
                <w:color w:val="auto"/>
              </w:rPr>
              <w:t>Work in process</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795</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285</w:t>
            </w:r>
          </w:p>
        </w:tc>
      </w:tr>
      <w:tr>
        <w:trPr>
          <w:trHeight w:val="459"/>
        </w:trPr>
        <w:tc>
          <w:tcPr>
            <w:tcW w:w="292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72</w:t>
            </w:r>
          </w:p>
        </w:tc>
      </w:tr>
      <w:tr>
        <w:trPr>
          <w:trHeight w:val="421"/>
        </w:trPr>
        <w:tc>
          <w:tcPr>
            <w:tcW w:w="2920" w:type="dxa"/>
            <w:vAlign w:val="bottom"/>
          </w:tcPr>
          <w:p>
            <w:pPr>
              <w:spacing w:after="0"/>
              <w:rPr>
                <w:sz w:val="20"/>
                <w:szCs w:val="20"/>
                <w:color w:val="auto"/>
              </w:rPr>
            </w:pPr>
            <w:r>
              <w:rPr>
                <w:rFonts w:ascii="Arial" w:cs="Arial" w:eastAsia="Arial" w:hAnsi="Arial"/>
                <w:sz w:val="18"/>
                <w:szCs w:val="18"/>
                <w:color w:val="auto"/>
              </w:rPr>
              <w:t>Finished goods</w:t>
            </w:r>
          </w:p>
        </w:tc>
        <w:tc>
          <w:tcPr>
            <w:tcW w:w="100" w:type="dxa"/>
            <w:vAlign w:val="bottom"/>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531</w:t>
            </w:r>
          </w:p>
        </w:tc>
      </w:tr>
    </w:tbl>
    <w:p>
      <w:pPr>
        <w:sectPr>
          <w:pgSz w:w="11900" w:h="16838" w:orient="portrait"/>
          <w:cols w:equalWidth="0" w:num="1">
            <w:col w:w="11300"/>
          </w:cols>
          <w:pgMar w:left="240" w:top="131" w:right="359" w:bottom="0" w:gutter="0" w:footer="0" w:header="0"/>
        </w:sectPr>
      </w:pPr>
    </w:p>
    <w:bookmarkStart w:id="10" w:name="page11"/>
    <w:bookmarkEnd w:id="10"/>
    <w:p>
      <w:pPr>
        <w:ind w:left="4620"/>
        <w:spacing w:after="0"/>
        <w:tabs>
          <w:tab w:leader="none" w:pos="5360" w:val="left"/>
        </w:tabs>
        <w:rPr>
          <w:sz w:val="20"/>
          <w:szCs w:val="20"/>
          <w:color w:val="auto"/>
        </w:rPr>
      </w:pPr>
      <w:r>
        <w:rPr>
          <w:rFonts w:ascii="Arial" w:cs="Arial" w:eastAsia="Arial" w:hAnsi="Arial"/>
          <w:sz w:val="18"/>
          <w:szCs w:val="18"/>
          <w:u w:val="single" w:color="auto"/>
          <w:color w:val="auto"/>
        </w:rPr>
        <w:t>$3,617</w:t>
      </w:r>
      <w:r>
        <w:rPr>
          <w:sz w:val="20"/>
          <w:szCs w:val="20"/>
          <w:color w:val="auto"/>
        </w:rPr>
        <w:tab/>
      </w:r>
      <w:r>
        <w:rPr>
          <w:rFonts w:ascii="Arial" w:cs="Arial" w:eastAsia="Arial" w:hAnsi="Arial"/>
          <w:sz w:val="15"/>
          <w:szCs w:val="15"/>
          <w:u w:val="single" w:color="auto"/>
          <w:color w:val="auto"/>
        </w:rPr>
        <w:t>$3,064</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- 12 -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Notes Payable to Stockholder</w:t>
      </w:r>
    </w:p>
    <w:p>
      <w:pPr>
        <w:spacing w:after="0" w:line="225"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As a result of our acquisition of Sigma as more fully discussed in Note 3 to the consolidated financial statements in our 2009 Form 10-K, we have non-negotiable promissory notes in an aggregate principal amount of $1,525 outstanding at March 31, 2010 and December 31, 2009. The notes bear interest at the prime rate plus 1.25% and are secured by the assets of Sigma. Interest is payable annually on the anniversary of closing. Principal is payable in four equal annual installments of $381 beginning on October 6, 2010.</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Line of Credit</w:t>
      </w:r>
    </w:p>
    <w:p>
      <w:pPr>
        <w:spacing w:after="0" w:line="225"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At each of March 31, 2010 and December 31, 2009, we have a secured credit facility that provides for maximum borrowings of $250. We have not used this credit facility to borrow any funds. Our usage consists of the issuance of letters of credit in the face amount of $250. This facility had been secured by all assets of inTEST Corporation, Temptronic Corporation and inTEST Silicon Valley Corporation, excluding all patents, trademarks and applications for same. During the quarter ended September 30, 2009, we agreed with the lender who provides this secured credit facility to release their liens against the assets of our operations in exchange for pledged certificates of deposit in amounts equal to the face amount of the letters of credit issued under this facility. These certificates of deposit are included in Restricted Certificates of Deposit on our balance sheet. We pay a quarterly fee of 1.5% per annum on the total amount of the outstanding letters of credit. This credit facility expires on September 30, 20 10.</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right="40"/>
        <w:spacing w:after="0" w:line="298" w:lineRule="auto"/>
        <w:rPr>
          <w:sz w:val="20"/>
          <w:szCs w:val="20"/>
          <w:color w:val="auto"/>
        </w:rPr>
      </w:pPr>
      <w:r>
        <w:rPr>
          <w:rFonts w:ascii="Arial" w:cs="Arial" w:eastAsia="Arial" w:hAnsi="Arial"/>
          <w:sz w:val="16"/>
          <w:szCs w:val="16"/>
          <w:color w:val="auto"/>
        </w:rPr>
        <w:t>At each of March 31, 2010 and December 31, 2009, we had an outstanding letter of credit in the amount of $200. This letter of credit was originally issued in December 2000 as a security deposit under a lease that our Temptronic subsidiary entered into for its facility in Sharon, Massachusetts. This letter of credit expires January 1, 2011; however, the terms of the lease require that the letter of credit be renewed at least thirty days prior to its expiration date for successive terms of not less than one year throughout the entire lease term, which ends February 28, 2011.</w:t>
      </w:r>
    </w:p>
    <w:p>
      <w:pPr>
        <w:spacing w:after="0" w:line="167" w:lineRule="exact"/>
        <w:rPr>
          <w:sz w:val="20"/>
          <w:szCs w:val="20"/>
          <w:color w:val="auto"/>
        </w:rPr>
      </w:pPr>
    </w:p>
    <w:p>
      <w:pPr>
        <w:ind w:left="540" w:right="60"/>
        <w:spacing w:after="0" w:line="323" w:lineRule="auto"/>
        <w:rPr>
          <w:sz w:val="20"/>
          <w:szCs w:val="20"/>
          <w:color w:val="auto"/>
        </w:rPr>
      </w:pPr>
      <w:r>
        <w:rPr>
          <w:rFonts w:ascii="Arial" w:cs="Arial" w:eastAsia="Arial" w:hAnsi="Arial"/>
          <w:sz w:val="15"/>
          <w:szCs w:val="15"/>
          <w:color w:val="auto"/>
        </w:rPr>
        <w:t>At each of March 31, 2010 and December 31, 2009, we also had an outstanding letter of credit in the amount of $50. This letter of credit was issued in September 2004 as a portion of the security deposit under a lease that we entered into for a facility for our Electrical Products operation based in northern California. This letter of credit expires September 13, 2010, however, the terms of the lease require that the letter of credit be renewed at least thirty days prior to its expiration date for successive terms of not less than one year until June 30, 2012, which is sixty days after the expiration of the lease term.</w:t>
      </w:r>
    </w:p>
    <w:p>
      <w:pPr>
        <w:spacing w:after="0" w:line="152"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On April 1, 2010, an additional letter of credit in the amount of $250 was issued. This letter of credit is secured by a separate pledged certificate of deposit in the amount of $250. This letter of credit was issued as a security deposit under a lease that we have entered into for a facility in Mount Laurel, New Jersey. Our Mechanical Products operation which is currently located in Cherry Hill, New Jersey will be relocating to this smaller facility in Mount Laurel, New Jersey during the fourth quarter of 2010. This letter of credit expires April 1, 2011; however, the terms of the lease require that the letter of credit be renewed at least thirty days prior to its expiration date for successive terms of not less than one year throughout the entire lease term, which ends 123 months after we take occupancy of the facility.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LEASEHOLD IMPROVEMENTS AND DEFERRED RENT</w:t>
      </w:r>
    </w:p>
    <w:p>
      <w:pPr>
        <w:spacing w:after="0" w:line="191" w:lineRule="exact"/>
        <w:rPr>
          <w:sz w:val="20"/>
          <w:szCs w:val="20"/>
          <w:color w:val="auto"/>
        </w:rPr>
      </w:pPr>
    </w:p>
    <w:p>
      <w:pPr>
        <w:ind w:left="540" w:right="60"/>
        <w:spacing w:after="0" w:line="298" w:lineRule="auto"/>
        <w:rPr>
          <w:sz w:val="20"/>
          <w:szCs w:val="20"/>
          <w:color w:val="auto"/>
        </w:rPr>
      </w:pPr>
      <w:r>
        <w:rPr>
          <w:rFonts w:ascii="Arial" w:cs="Arial" w:eastAsia="Arial" w:hAnsi="Arial"/>
          <w:sz w:val="16"/>
          <w:szCs w:val="16"/>
          <w:color w:val="auto"/>
        </w:rPr>
        <w:t>We record tenant improvements made to our leased facilities based on the amount of the total cost to construct the improvements regardless of whether a portion of that cost was paid through an allowance provided by the facility's landlord. The amount of the allowance, if any, is recorded as deferred rent. We amortize deferred rent on a straight-line basis over the lease term and record the amortization as a reduction of rent expense. Amortization of deferred rent for the three months ended March 31, 2010 and 2009 was $29 and $29, respectively.</w:t>
      </w:r>
    </w:p>
    <w:p>
      <w:pPr>
        <w:spacing w:after="0" w:line="167" w:lineRule="exact"/>
        <w:rPr>
          <w:sz w:val="20"/>
          <w:szCs w:val="20"/>
          <w:color w:val="auto"/>
        </w:rPr>
      </w:pPr>
    </w:p>
    <w:p>
      <w:pPr>
        <w:ind w:left="540" w:right="200"/>
        <w:spacing w:after="0" w:line="306" w:lineRule="auto"/>
        <w:rPr>
          <w:sz w:val="20"/>
          <w:szCs w:val="20"/>
          <w:color w:val="auto"/>
        </w:rPr>
      </w:pPr>
      <w:r>
        <w:rPr>
          <w:rFonts w:ascii="Arial" w:cs="Arial" w:eastAsia="Arial" w:hAnsi="Arial"/>
          <w:sz w:val="16"/>
          <w:szCs w:val="16"/>
          <w:color w:val="auto"/>
        </w:rPr>
        <w:t>In addition, certain of our operating leases contain predetermined fixed escalations of minimum rentals during the original lease terms. For these leases, we recognize the related rental expense on a straight-line basis over the life of the lease and record the difference between the amounts charged to operations and amounts paid as accrued rent which is included in other accrued expenses on our balance sheet.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ind w:left="540" w:right="9440" w:hanging="532"/>
        <w:spacing w:after="0" w:line="577" w:lineRule="auto"/>
        <w:tabs>
          <w:tab w:leader="none" w:pos="292"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GUARANTEES </w:t>
      </w:r>
      <w:r>
        <w:rPr>
          <w:rFonts w:ascii="Arial" w:cs="Arial" w:eastAsia="Arial" w:hAnsi="Arial"/>
          <w:sz w:val="15"/>
          <w:szCs w:val="15"/>
          <w:b w:val="1"/>
          <w:bCs w:val="1"/>
          <w:i w:val="1"/>
          <w:iCs w:val="1"/>
          <w:u w:val="single" w:color="auto"/>
          <w:color w:val="auto"/>
        </w:rPr>
        <w:t>Product Warranties</w:t>
      </w:r>
    </w:p>
    <w:p>
      <w:pPr>
        <w:ind w:left="540" w:right="180"/>
        <w:spacing w:after="0" w:line="268" w:lineRule="auto"/>
        <w:rPr>
          <w:sz w:val="20"/>
          <w:szCs w:val="20"/>
          <w:color w:val="auto"/>
        </w:rPr>
      </w:pPr>
      <w:r>
        <w:rPr>
          <w:rFonts w:ascii="Arial" w:cs="Arial" w:eastAsia="Arial" w:hAnsi="Arial"/>
          <w:sz w:val="18"/>
          <w:szCs w:val="18"/>
          <w:color w:val="auto"/>
        </w:rPr>
        <w:t>Warranty expense for the three months ended March 31, 2010 and 2009 was $14 and $18, respectively. The following table sets forth the changes in the liability for product warranties for the three months ended March 31, 2010:</w:t>
      </w:r>
    </w:p>
    <w:p>
      <w:pPr>
        <w:spacing w:after="0" w:line="159" w:lineRule="exact"/>
        <w:rPr>
          <w:sz w:val="20"/>
          <w:szCs w:val="20"/>
          <w:color w:val="auto"/>
        </w:rPr>
      </w:pPr>
    </w:p>
    <w:tbl>
      <w:tblPr>
        <w:tblLayout w:type="fixed"/>
        <w:tblInd w:w="1640" w:type="dxa"/>
        <w:tblCellMar>
          <w:top w:w="0" w:type="dxa"/>
          <w:left w:w="0" w:type="dxa"/>
          <w:bottom w:w="0" w:type="dxa"/>
          <w:right w:w="0" w:type="dxa"/>
        </w:tblCellMar>
      </w:tblP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Balance - January 1, 2010</w:t>
            </w:r>
          </w:p>
        </w:tc>
        <w:tc>
          <w:tcPr>
            <w:tcW w:w="68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459"/>
        </w:trPr>
        <w:tc>
          <w:tcPr>
            <w:tcW w:w="3080" w:type="dxa"/>
            <w:vAlign w:val="bottom"/>
          </w:tcPr>
          <w:p>
            <w:pPr>
              <w:spacing w:after="0"/>
              <w:rPr>
                <w:sz w:val="20"/>
                <w:szCs w:val="20"/>
                <w:color w:val="auto"/>
              </w:rPr>
            </w:pPr>
            <w:r>
              <w:rPr>
                <w:rFonts w:ascii="Arial" w:cs="Arial" w:eastAsia="Arial" w:hAnsi="Arial"/>
                <w:sz w:val="18"/>
                <w:szCs w:val="18"/>
                <w:color w:val="auto"/>
                <w:w w:val="95"/>
              </w:rPr>
              <w:t>Payments made under product warranty</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00"/>
          </w:cols>
          <w:pgMar w:left="240" w:top="158" w:right="259" w:bottom="0" w:gutter="0" w:footer="0" w:header="0"/>
        </w:sectPr>
      </w:pPr>
    </w:p>
    <w:bookmarkStart w:id="11" w:name="page12"/>
    <w:bookmarkEnd w:id="11"/>
    <w:p>
      <w:pPr>
        <w:ind w:left="1640"/>
        <w:spacing w:after="0"/>
        <w:rPr>
          <w:sz w:val="20"/>
          <w:szCs w:val="20"/>
          <w:color w:val="auto"/>
        </w:rPr>
      </w:pPr>
      <w:r>
        <w:rPr>
          <w:rFonts w:ascii="Arial" w:cs="Arial" w:eastAsia="Arial" w:hAnsi="Arial"/>
          <w:sz w:val="18"/>
          <w:szCs w:val="18"/>
          <w:color w:val="auto"/>
        </w:rPr>
        <w:t>Accruals for product warranty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-74295</wp:posOffset>
            </wp:positionV>
            <wp:extent cx="1949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4945" cy="8890"/>
                    </a:xfrm>
                    <a:prstGeom prst="rect">
                      <a:avLst/>
                    </a:prstGeom>
                    <a:noFill/>
                  </pic:spPr>
                </pic:pic>
              </a:graphicData>
            </a:graphic>
          </wp:anchor>
        </w:drawing>
      </w:r>
    </w:p>
    <w:p>
      <w:pPr>
        <w:spacing w:after="0" w:line="209"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3360" w:type="dxa"/>
            <w:vAlign w:val="bottom"/>
          </w:tcPr>
          <w:p>
            <w:pPr>
              <w:spacing w:after="0"/>
              <w:rPr>
                <w:sz w:val="20"/>
                <w:szCs w:val="20"/>
                <w:color w:val="auto"/>
              </w:rPr>
            </w:pPr>
            <w:r>
              <w:rPr>
                <w:rFonts w:ascii="Arial" w:cs="Arial" w:eastAsia="Arial" w:hAnsi="Arial"/>
                <w:sz w:val="18"/>
                <w:szCs w:val="18"/>
                <w:color w:val="auto"/>
              </w:rPr>
              <w:t>Balance - March 31, 2010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211</w:t>
            </w: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U.K. Lease Guarantee</w:t>
      </w:r>
    </w:p>
    <w:p>
      <w:pPr>
        <w:spacing w:after="0" w:line="225"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In connection with the closure of our U.K. manufacturing operation, we have entered into a sub-leasing arrangement for the facility which was occupied by this operation prior to its closure. As a condition of the sub-lease, the landlord of this facility has required that we guarantee the performance of the sub-lessee with respect to the lease payments. We have performed a credit analysis of the sub-lessee and believe that a default by them with regard to their obligations under the sub-lease agreement is remote. However, as of March 31, 2010, there was approximately $63 of future payments that we would be obligated to make if the sub-lessee were to default and we were unable to enter into a new sub-lease agreement with another party. Our original lease on this facility extends through December 31, 2010. As of March 31, 2010 we have not recorded any amounts in our financial statements related to this guarantee.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91"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As of March 31, 2010, we have outstanding stock options and unvested restricted stock awards granted under stock-based employee compensation plans that are described more fully in Note 16 to the consolidated financial statements in our 2009 Form 10-K.</w:t>
      </w:r>
    </w:p>
    <w:p>
      <w:pPr>
        <w:spacing w:after="0" w:line="186"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As of March 31, 2010, total compensation expense to be recognized in future periods was $492. The weighted average period over which this expense is expected to be recognized is 3.5 years. All of this expense is related to nonvested shares of restricted stock.</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Restricted Stock Awards</w:t>
      </w:r>
    </w:p>
    <w:p>
      <w:pPr>
        <w:spacing w:after="0" w:line="225" w:lineRule="exact"/>
        <w:rPr>
          <w:sz w:val="20"/>
          <w:szCs w:val="20"/>
          <w:color w:val="auto"/>
        </w:rPr>
      </w:pPr>
    </w:p>
    <w:p>
      <w:pPr>
        <w:ind w:left="540" w:right="420"/>
        <w:spacing w:after="0" w:line="306" w:lineRule="auto"/>
        <w:rPr>
          <w:sz w:val="20"/>
          <w:szCs w:val="20"/>
          <w:color w:val="auto"/>
        </w:rPr>
      </w:pPr>
      <w:r>
        <w:rPr>
          <w:rFonts w:ascii="Arial" w:cs="Arial" w:eastAsia="Arial" w:hAnsi="Arial"/>
          <w:sz w:val="16"/>
          <w:szCs w:val="16"/>
          <w:color w:val="auto"/>
        </w:rPr>
        <w:t>We record compensation expense for restricted stock awards (nonvested shares) based on the quoted market price of our stock at the grant date and amortize the expense over the vesting period. Restricted stock awards generally vest over four years. The following table shows the allocation of the compensation expense we recorded during the three months ended March 31, 2010 and 2009, respectively, related to nonvested shares:</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i w:val="1"/>
          <w:iCs w:val="1"/>
          <w:color w:val="auto"/>
        </w:rPr>
        <w:t>Three Months Ended</w:t>
      </w:r>
    </w:p>
    <w:p>
      <w:pPr>
        <w:jc w:val="center"/>
        <w:ind w:right="40"/>
        <w:spacing w:after="0"/>
        <w:rPr>
          <w:sz w:val="20"/>
          <w:szCs w:val="20"/>
          <w:color w:val="auto"/>
        </w:rPr>
      </w:pPr>
      <w:r>
        <w:rPr>
          <w:rFonts w:ascii="Arial" w:cs="Arial" w:eastAsia="Arial" w:hAnsi="Arial"/>
          <w:sz w:val="14"/>
          <w:szCs w:val="14"/>
          <w:b w:val="1"/>
          <w:bCs w:val="1"/>
          <w:i w:val="1"/>
          <w:i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3342005</wp:posOffset>
            </wp:positionH>
            <wp:positionV relativeFrom="paragraph">
              <wp:posOffset>-16510</wp:posOffset>
            </wp:positionV>
            <wp:extent cx="538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8480" cy="8890"/>
                    </a:xfrm>
                    <a:prstGeom prst="rect">
                      <a:avLst/>
                    </a:prstGeom>
                    <a:noFill/>
                  </pic:spPr>
                </pic:pic>
              </a:graphicData>
            </a:graphic>
          </wp:anchor>
        </w:drawing>
      </w:r>
    </w:p>
    <w:p>
      <w:pPr>
        <w:spacing w:after="0" w:line="102"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83"/>
              </w:rPr>
              <w:t>2010</w:t>
            </w:r>
          </w:p>
        </w:tc>
        <w:tc>
          <w:tcPr>
            <w:tcW w:w="6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83"/>
              </w:rPr>
              <w:t>2009</w:t>
            </w:r>
          </w:p>
        </w:tc>
        <w:tc>
          <w:tcPr>
            <w:tcW w:w="60" w:type="dxa"/>
            <w:vAlign w:val="bottom"/>
          </w:tcPr>
          <w:p>
            <w:pPr>
              <w:spacing w:after="0"/>
              <w:rPr>
                <w:sz w:val="14"/>
                <w:szCs w:val="14"/>
                <w:color w:val="auto"/>
              </w:rPr>
            </w:pPr>
          </w:p>
        </w:tc>
      </w:tr>
      <w:tr>
        <w:trPr>
          <w:trHeight w:val="451"/>
        </w:trPr>
        <w:tc>
          <w:tcPr>
            <w:tcW w:w="3560" w:type="dxa"/>
            <w:vAlign w:val="bottom"/>
          </w:tcPr>
          <w:p>
            <w:pPr>
              <w:spacing w:after="0"/>
              <w:rPr>
                <w:sz w:val="20"/>
                <w:szCs w:val="20"/>
                <w:color w:val="auto"/>
              </w:rPr>
            </w:pPr>
            <w:r>
              <w:rPr>
                <w:rFonts w:ascii="Arial" w:cs="Arial" w:eastAsia="Arial" w:hAnsi="Arial"/>
                <w:sz w:val="18"/>
                <w:szCs w:val="18"/>
                <w:color w:val="auto"/>
              </w:rPr>
              <w:t>Cost of revenues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$ 2</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$ 1</w:t>
            </w:r>
          </w:p>
        </w:tc>
      </w:tr>
      <w:tr>
        <w:trPr>
          <w:trHeight w:val="459"/>
        </w:trPr>
        <w:tc>
          <w:tcPr>
            <w:tcW w:w="3560" w:type="dxa"/>
            <w:vAlign w:val="bottom"/>
          </w:tcPr>
          <w:p>
            <w:pPr>
              <w:spacing w:after="0"/>
              <w:rPr>
                <w:sz w:val="20"/>
                <w:szCs w:val="20"/>
                <w:color w:val="auto"/>
              </w:rPr>
            </w:pPr>
            <w:r>
              <w:rPr>
                <w:rFonts w:ascii="Arial" w:cs="Arial" w:eastAsia="Arial" w:hAnsi="Arial"/>
                <w:sz w:val="18"/>
                <w:szCs w:val="18"/>
                <w:color w:val="auto"/>
              </w:rPr>
              <w:t>Selling expense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3</w:t>
            </w:r>
          </w:p>
        </w:tc>
      </w:tr>
      <w:tr>
        <w:trPr>
          <w:trHeight w:val="459"/>
        </w:trPr>
        <w:tc>
          <w:tcPr>
            <w:tcW w:w="3560" w:type="dxa"/>
            <w:vAlign w:val="bottom"/>
          </w:tcPr>
          <w:p>
            <w:pPr>
              <w:spacing w:after="0"/>
              <w:rPr>
                <w:sz w:val="20"/>
                <w:szCs w:val="20"/>
                <w:color w:val="auto"/>
              </w:rPr>
            </w:pPr>
            <w:r>
              <w:rPr>
                <w:rFonts w:ascii="Arial" w:cs="Arial" w:eastAsia="Arial" w:hAnsi="Arial"/>
                <w:sz w:val="18"/>
                <w:szCs w:val="18"/>
                <w:color w:val="auto"/>
                <w:w w:val="93"/>
              </w:rPr>
              <w:t>Engineering and product development expense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8</w:t>
            </w:r>
          </w:p>
        </w:tc>
      </w:tr>
      <w:tr>
        <w:trPr>
          <w:trHeight w:val="421"/>
        </w:trPr>
        <w:tc>
          <w:tcPr>
            <w:tcW w:w="356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32</w:t>
            </w:r>
          </w:p>
        </w:tc>
      </w:tr>
      <w:tr>
        <w:trPr>
          <w:trHeight w:val="439"/>
        </w:trPr>
        <w:tc>
          <w:tcPr>
            <w:tcW w:w="3560" w:type="dxa"/>
            <w:vAlign w:val="bottom"/>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$ 40</w:t>
            </w:r>
          </w:p>
        </w:tc>
        <w:tc>
          <w:tcPr>
            <w:tcW w:w="34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6"/>
              </w:rPr>
              <w:t>$ 44</w:t>
            </w: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was no compensation expense capitalized in the three months ended March 31, 2010 or 2009.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STOCK-BASED COMPENSATION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nonvested shares for the three months ended March 31, 2010:</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79"/>
              </w:rPr>
              <w:t>Weighted</w:t>
            </w:r>
          </w:p>
        </w:tc>
      </w:tr>
      <w:tr>
        <w:trPr>
          <w:trHeight w:val="149"/>
        </w:trPr>
        <w:tc>
          <w:tcPr>
            <w:tcW w:w="4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3"/>
              </w:rPr>
              <w:t>Average</w:t>
            </w:r>
          </w:p>
        </w:tc>
      </w:tr>
      <w:tr>
        <w:trPr>
          <w:trHeight w:val="149"/>
        </w:trPr>
        <w:tc>
          <w:tcPr>
            <w:tcW w:w="4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i w:val="1"/>
                <w:iCs w:val="1"/>
                <w:color w:val="auto"/>
                <w:w w:val="79"/>
              </w:rPr>
              <w:t>Number</w:t>
            </w: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Grant Date</w:t>
            </w:r>
          </w:p>
        </w:tc>
      </w:tr>
      <w:tr>
        <w:trPr>
          <w:trHeight w:val="146"/>
        </w:trPr>
        <w:tc>
          <w:tcPr>
            <w:tcW w:w="4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72"/>
              </w:rPr>
              <w:t>of Shares</w:t>
            </w:r>
          </w:p>
        </w:tc>
        <w:tc>
          <w:tcPr>
            <w:tcW w:w="220" w:type="dxa"/>
            <w:vAlign w:val="bottom"/>
            <w:gridSpan w:val="2"/>
          </w:tcPr>
          <w:p>
            <w:pPr>
              <w:spacing w:after="0"/>
              <w:rPr>
                <w:sz w:val="12"/>
                <w:szCs w:val="12"/>
                <w:color w:val="auto"/>
              </w:rPr>
            </w:pPr>
          </w:p>
        </w:tc>
        <w:tc>
          <w:tcPr>
            <w:tcW w:w="70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6"/>
              </w:rPr>
              <w:t>Fair Value</w:t>
            </w:r>
          </w:p>
        </w:tc>
      </w:tr>
      <w:tr>
        <w:trPr>
          <w:trHeight w:val="20"/>
        </w:trPr>
        <w:tc>
          <w:tcPr>
            <w:tcW w:w="400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4000" w:type="dxa"/>
            <w:vAlign w:val="bottom"/>
          </w:tcPr>
          <w:p>
            <w:pPr>
              <w:spacing w:after="0"/>
              <w:rPr>
                <w:sz w:val="20"/>
                <w:szCs w:val="20"/>
                <w:color w:val="auto"/>
              </w:rPr>
            </w:pPr>
            <w:r>
              <w:rPr>
                <w:rFonts w:ascii="Arial" w:cs="Arial" w:eastAsia="Arial" w:hAnsi="Arial"/>
                <w:sz w:val="18"/>
                <w:szCs w:val="18"/>
                <w:color w:val="auto"/>
              </w:rPr>
              <w:t>Nonvested shares outstanding, January 1, 2010</w:t>
            </w:r>
          </w:p>
        </w:tc>
        <w:tc>
          <w:tcPr>
            <w:tcW w:w="7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66,500</w:t>
            </w: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20"/>
                <w:szCs w:val="20"/>
                <w:color w:val="auto"/>
              </w:rPr>
            </w:pPr>
          </w:p>
        </w:tc>
      </w:tr>
      <w:tr>
        <w:trPr>
          <w:trHeight w:val="459"/>
        </w:trPr>
        <w:tc>
          <w:tcPr>
            <w:tcW w:w="40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24"/>
                <w:szCs w:val="24"/>
                <w:color w:val="auto"/>
              </w:rPr>
            </w:pPr>
          </w:p>
        </w:tc>
      </w:tr>
      <w:tr>
        <w:trPr>
          <w:trHeight w:val="459"/>
        </w:trPr>
        <w:tc>
          <w:tcPr>
            <w:tcW w:w="4000" w:type="dxa"/>
            <w:vAlign w:val="bottom"/>
          </w:tcPr>
          <w:p>
            <w:pPr>
              <w:ind w:left="140"/>
              <w:spacing w:after="0"/>
              <w:rPr>
                <w:sz w:val="20"/>
                <w:szCs w:val="20"/>
                <w:color w:val="auto"/>
              </w:rPr>
            </w:pPr>
            <w:r>
              <w:rPr>
                <w:rFonts w:ascii="Arial" w:cs="Arial" w:eastAsia="Arial" w:hAnsi="Arial"/>
                <w:sz w:val="18"/>
                <w:szCs w:val="18"/>
                <w:color w:val="auto"/>
              </w:rPr>
              <w:t>Vested</w:t>
            </w: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rPr>
              <w:t>(19,500)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24"/>
                <w:szCs w:val="24"/>
                <w:color w:val="auto"/>
              </w:rPr>
            </w:pPr>
          </w:p>
        </w:tc>
      </w:tr>
      <w:tr>
        <w:trPr>
          <w:trHeight w:val="421"/>
        </w:trPr>
        <w:tc>
          <w:tcPr>
            <w:tcW w:w="400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760" w:type="dxa"/>
            <w:vAlign w:val="bottom"/>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(2,500)</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24"/>
                <w:szCs w:val="24"/>
                <w:color w:val="auto"/>
              </w:rPr>
            </w:pPr>
          </w:p>
        </w:tc>
      </w:tr>
      <w:tr>
        <w:trPr>
          <w:trHeight w:val="439"/>
        </w:trPr>
        <w:tc>
          <w:tcPr>
            <w:tcW w:w="4000" w:type="dxa"/>
            <w:vAlign w:val="bottom"/>
          </w:tcPr>
          <w:p>
            <w:pPr>
              <w:spacing w:after="0"/>
              <w:rPr>
                <w:sz w:val="20"/>
                <w:szCs w:val="20"/>
                <w:color w:val="auto"/>
              </w:rPr>
            </w:pPr>
            <w:r>
              <w:rPr>
                <w:rFonts w:ascii="Arial" w:cs="Arial" w:eastAsia="Arial" w:hAnsi="Arial"/>
                <w:sz w:val="18"/>
                <w:szCs w:val="18"/>
                <w:color w:val="auto"/>
              </w:rPr>
              <w:t>Nonvested shares outstanding, March 31, 2010</w:t>
            </w:r>
          </w:p>
        </w:tc>
        <w:tc>
          <w:tcPr>
            <w:tcW w:w="760" w:type="dxa"/>
            <w:vAlign w:val="bottom"/>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294,500</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00"/>
          </w:cols>
          <w:pgMar w:left="240" w:top="131" w:right="259" w:bottom="0" w:gutter="0" w:footer="0" w:header="0"/>
        </w:sect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5"/>
          <w:szCs w:val="15"/>
          <w:i w:val="1"/>
          <w:iCs w:val="1"/>
          <w:u w:val="single" w:color="auto"/>
          <w:color w:val="auto"/>
        </w:rPr>
        <w:t>Stock Options</w:t>
      </w:r>
    </w:p>
    <w:p>
      <w:pPr>
        <w:sectPr>
          <w:pgSz w:w="11900" w:h="16838" w:orient="portrait"/>
          <w:cols w:equalWidth="0" w:num="1">
            <w:col w:w="11400"/>
          </w:cols>
          <w:pgMar w:left="240" w:top="131" w:right="259" w:bottom="0" w:gutter="0" w:footer="0" w:header="0"/>
          <w:type w:val="continuous"/>
        </w:sectPr>
      </w:pPr>
    </w:p>
    <w:bookmarkStart w:id="12" w:name="page13"/>
    <w:bookmarkEnd w:id="12"/>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stock option activity for the three months ended March 31, 2010:</w:t>
      </w:r>
    </w:p>
    <w:p>
      <w:pPr>
        <w:spacing w:after="0" w:line="22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79"/>
              </w:rPr>
              <w:t>Weighted</w:t>
            </w:r>
          </w:p>
        </w:tc>
      </w:tr>
      <w:tr>
        <w:trPr>
          <w:trHeight w:val="149"/>
        </w:trPr>
        <w:tc>
          <w:tcPr>
            <w:tcW w:w="4640" w:type="dxa"/>
            <w:vAlign w:val="bottom"/>
          </w:tcPr>
          <w:p>
            <w:pPr>
              <w:spacing w:after="0"/>
              <w:rPr>
                <w:sz w:val="12"/>
                <w:szCs w:val="12"/>
                <w:color w:val="auto"/>
              </w:rPr>
            </w:pPr>
          </w:p>
        </w:tc>
        <w:tc>
          <w:tcPr>
            <w:tcW w:w="6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i w:val="1"/>
                <w:iCs w:val="1"/>
                <w:color w:val="auto"/>
                <w:w w:val="79"/>
              </w:rPr>
              <w:t>Number</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Average</w:t>
            </w:r>
          </w:p>
        </w:tc>
      </w:tr>
      <w:tr>
        <w:trPr>
          <w:trHeight w:val="146"/>
        </w:trPr>
        <w:tc>
          <w:tcPr>
            <w:tcW w:w="4640" w:type="dxa"/>
            <w:vAlign w:val="bottom"/>
          </w:tcPr>
          <w:p>
            <w:pPr>
              <w:spacing w:after="0"/>
              <w:rPr>
                <w:sz w:val="12"/>
                <w:szCs w:val="12"/>
                <w:color w:val="auto"/>
              </w:rPr>
            </w:pPr>
          </w:p>
        </w:tc>
        <w:tc>
          <w:tcPr>
            <w:tcW w:w="680" w:type="dxa"/>
            <w:vAlign w:val="bottom"/>
            <w:gridSpan w:val="4"/>
          </w:tcPr>
          <w:p>
            <w:pPr>
              <w:jc w:val="center"/>
              <w:ind w:right="240"/>
              <w:spacing w:after="0"/>
              <w:rPr>
                <w:sz w:val="20"/>
                <w:szCs w:val="20"/>
                <w:color w:val="auto"/>
              </w:rPr>
            </w:pPr>
            <w:r>
              <w:rPr>
                <w:rFonts w:ascii="Arial" w:cs="Arial" w:eastAsia="Arial" w:hAnsi="Arial"/>
                <w:sz w:val="12"/>
                <w:szCs w:val="12"/>
                <w:b w:val="1"/>
                <w:bCs w:val="1"/>
                <w:i w:val="1"/>
                <w:iCs w:val="1"/>
                <w:color w:val="auto"/>
                <w:w w:val="80"/>
              </w:rPr>
              <w:t>of Shares</w:t>
            </w:r>
          </w:p>
        </w:tc>
        <w:tc>
          <w:tcPr>
            <w:tcW w:w="82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Exercise Price</w:t>
            </w:r>
          </w:p>
        </w:tc>
      </w:tr>
      <w:tr>
        <w:trPr>
          <w:trHeight w:val="20"/>
        </w:trPr>
        <w:tc>
          <w:tcPr>
            <w:tcW w:w="46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35"/>
        </w:trPr>
        <w:tc>
          <w:tcPr>
            <w:tcW w:w="4640" w:type="dxa"/>
            <w:vAlign w:val="bottom"/>
          </w:tcPr>
          <w:p>
            <w:pPr>
              <w:spacing w:after="0"/>
              <w:rPr>
                <w:sz w:val="20"/>
                <w:szCs w:val="20"/>
                <w:color w:val="auto"/>
              </w:rPr>
            </w:pPr>
            <w:r>
              <w:rPr>
                <w:rFonts w:ascii="Arial" w:cs="Arial" w:eastAsia="Arial" w:hAnsi="Arial"/>
                <w:sz w:val="18"/>
                <w:szCs w:val="18"/>
                <w:color w:val="auto"/>
                <w:w w:val="96"/>
              </w:rPr>
              <w:t>Options outstanding, January 1, 2010 (408,000 exercisable)</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2"/>
              </w:rPr>
              <w:t>408,000</w:t>
            </w:r>
          </w:p>
        </w:tc>
        <w:tc>
          <w:tcPr>
            <w:tcW w:w="1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8"/>
                <w:szCs w:val="18"/>
                <w:color w:val="auto"/>
              </w:rPr>
              <w:t>$ 3.45</w:t>
            </w:r>
          </w:p>
        </w:tc>
      </w:tr>
      <w:tr>
        <w:trPr>
          <w:trHeight w:val="459"/>
        </w:trPr>
        <w:tc>
          <w:tcPr>
            <w:tcW w:w="4640" w:type="dxa"/>
            <w:vAlign w:val="bottom"/>
          </w:tcPr>
          <w:p>
            <w:pPr>
              <w:ind w:left="140"/>
              <w:spacing w:after="0"/>
              <w:rPr>
                <w:sz w:val="20"/>
                <w:szCs w:val="20"/>
                <w:color w:val="auto"/>
              </w:rPr>
            </w:pPr>
            <w:r>
              <w:rPr>
                <w:rFonts w:ascii="Arial" w:cs="Arial" w:eastAsia="Arial" w:hAnsi="Arial"/>
                <w:sz w:val="18"/>
                <w:szCs w:val="18"/>
                <w:color w:val="auto"/>
              </w:rPr>
              <w:t>Granted</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8"/>
                <w:szCs w:val="18"/>
                <w:color w:val="auto"/>
              </w:rPr>
              <w:t>-</w:t>
            </w:r>
          </w:p>
        </w:tc>
      </w:tr>
      <w:tr>
        <w:trPr>
          <w:trHeight w:val="459"/>
        </w:trPr>
        <w:tc>
          <w:tcPr>
            <w:tcW w:w="464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8"/>
                <w:szCs w:val="18"/>
                <w:color w:val="auto"/>
              </w:rPr>
              <w:t>-</w:t>
            </w:r>
          </w:p>
        </w:tc>
      </w:tr>
      <w:tr>
        <w:trPr>
          <w:trHeight w:val="421"/>
        </w:trPr>
        <w:tc>
          <w:tcPr>
            <w:tcW w:w="4640" w:type="dxa"/>
            <w:vAlign w:val="bottom"/>
          </w:tcPr>
          <w:p>
            <w:pPr>
              <w:ind w:left="140"/>
              <w:spacing w:after="0"/>
              <w:rPr>
                <w:sz w:val="20"/>
                <w:szCs w:val="20"/>
                <w:color w:val="auto"/>
              </w:rPr>
            </w:pPr>
            <w:r>
              <w:rPr>
                <w:rFonts w:ascii="Arial" w:cs="Arial" w:eastAsia="Arial" w:hAnsi="Arial"/>
                <w:sz w:val="18"/>
                <w:szCs w:val="18"/>
                <w:color w:val="auto"/>
              </w:rPr>
              <w:t>Forfeited/Expired</w:t>
            </w: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rPr>
              <w:t>(5,000)</w:t>
            </w:r>
          </w:p>
        </w:tc>
        <w:tc>
          <w:tcPr>
            <w:tcW w:w="820" w:type="dxa"/>
            <w:vAlign w:val="bottom"/>
          </w:tcPr>
          <w:p>
            <w:pPr>
              <w:jc w:val="right"/>
              <w:ind w:right="40"/>
              <w:spacing w:after="0"/>
              <w:rPr>
                <w:sz w:val="20"/>
                <w:szCs w:val="20"/>
                <w:color w:val="auto"/>
              </w:rPr>
            </w:pPr>
            <w:r>
              <w:rPr>
                <w:rFonts w:ascii="Arial" w:cs="Arial" w:eastAsia="Arial" w:hAnsi="Arial"/>
                <w:sz w:val="18"/>
                <w:szCs w:val="18"/>
                <w:color w:val="auto"/>
              </w:rPr>
              <w:t>3.35</w:t>
            </w:r>
          </w:p>
        </w:tc>
      </w:tr>
      <w:tr>
        <w:trPr>
          <w:trHeight w:val="20"/>
        </w:trPr>
        <w:tc>
          <w:tcPr>
            <w:tcW w:w="46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39"/>
        </w:trPr>
        <w:tc>
          <w:tcPr>
            <w:tcW w:w="4640" w:type="dxa"/>
            <w:vAlign w:val="bottom"/>
          </w:tcPr>
          <w:p>
            <w:pPr>
              <w:spacing w:after="0"/>
              <w:rPr>
                <w:sz w:val="20"/>
                <w:szCs w:val="20"/>
                <w:color w:val="auto"/>
              </w:rPr>
            </w:pPr>
            <w:r>
              <w:rPr>
                <w:rFonts w:ascii="Arial" w:cs="Arial" w:eastAsia="Arial" w:hAnsi="Arial"/>
                <w:sz w:val="18"/>
                <w:szCs w:val="18"/>
                <w:color w:val="auto"/>
                <w:w w:val="97"/>
              </w:rPr>
              <w:t>Options outstanding, March 31, 2010 (403,000 exercisable)</w:t>
            </w: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2"/>
              </w:rPr>
              <w:t>403,000</w:t>
            </w:r>
          </w:p>
        </w:tc>
        <w:tc>
          <w:tcPr>
            <w:tcW w:w="12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8"/>
                <w:szCs w:val="18"/>
                <w:color w:val="auto"/>
              </w:rPr>
              <w:t>3.45</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91" w:lineRule="exact"/>
        <w:rPr>
          <w:sz w:val="20"/>
          <w:szCs w:val="20"/>
          <w:color w:val="auto"/>
        </w:rPr>
      </w:pPr>
    </w:p>
    <w:p>
      <w:pPr>
        <w:ind w:left="540" w:right="80"/>
        <w:spacing w:after="0" w:line="298" w:lineRule="auto"/>
        <w:rPr>
          <w:sz w:val="20"/>
          <w:szCs w:val="20"/>
          <w:color w:val="auto"/>
        </w:rPr>
      </w:pPr>
      <w:r>
        <w:rPr>
          <w:rFonts w:ascii="Arial" w:cs="Arial" w:eastAsia="Arial" w:hAnsi="Arial"/>
          <w:sz w:val="16"/>
          <w:szCs w:val="16"/>
          <w:color w:val="auto"/>
        </w:rPr>
        <w:t>We have a defined contribution 401(k) plan (the "inTEST 401(k) Plan") for our employees who work in the U.S. As a part of this plan, we may match a portion of employee contributions. This plan, including our discretionary employer matching contributions, is more fully discussed in Note 17 to the consolidated financial statements in our 2009 Form 10-K. Effective April 1, 2010, we restored the 401(k) Plan discretionary matching contribution for all domestic employees which had been eliminated for most of these employees at the beginning of 2009.</w:t>
      </w:r>
    </w:p>
    <w:p>
      <w:pPr>
        <w:spacing w:after="0" w:line="167" w:lineRule="exact"/>
        <w:rPr>
          <w:sz w:val="20"/>
          <w:szCs w:val="20"/>
          <w:color w:val="auto"/>
        </w:rPr>
      </w:pPr>
    </w:p>
    <w:p>
      <w:pPr>
        <w:ind w:left="540" w:right="20"/>
        <w:spacing w:after="0" w:line="286" w:lineRule="auto"/>
        <w:rPr>
          <w:sz w:val="20"/>
          <w:szCs w:val="20"/>
          <w:color w:val="auto"/>
        </w:rPr>
      </w:pPr>
      <w:r>
        <w:rPr>
          <w:rFonts w:ascii="Arial" w:cs="Arial" w:eastAsia="Arial" w:hAnsi="Arial"/>
          <w:sz w:val="16"/>
          <w:szCs w:val="16"/>
          <w:color w:val="auto"/>
        </w:rPr>
        <w:t>In addition to the employer matching contributions for which employees of our Temptronic subsidiary are eligible, upon the termination of the Temptronic Equity Participation Plan ("EPP"), we acknowledged that it was our intention to contribute $3,000 in the aggregate to the inTEST 401(k) Plan as a form of profit sharing (not to exceed $300 per year) for the benefit of Temptronic employees. The amount of these profit sharing contributions approximates the amount that we had been committed to contribute to the EPP as of its termination date. All such profit sharing contributions are at the discretion of management, and will be allocated to employees annually in essentially the same manner in which the shares held by the EPP had been allocated. The vesting provisions for these contributions will be the same as those of the inTEST 401(k) Plan. Through December 31, 2008, we had made a total of $1,328 in profit sharing contributions. Effective January 1, 2009, we temporarily suspended profit sharing contributions due to operating losses being incurred by Temptronic. Accordingly, no accruals for profit sharing contributions were made during the three month periods ended March 31, 2010 or 2009. We have historically funded these obligations through the use of treasury shares during the quarter subsequent to the quarter in which we record the profit sharing liability, although management has the discretion to use cash to fund these obligations. Our current intention is to use cash to fund these obligations when our stock price is below $3.00 per share.</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have three reportable segments, which are also our reporting units: Mechanical Products, Thermal Products and Electrical Products.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SEGMENT INFORMATION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The Mechanical Products segment includes the operations of our Cherry Hill, New Jersey manufacturing facility and the operations of Diamond, which we acquired in July 2008, as more fully discussed in Note 3 to the consolidated financial statements in our 2009 Form 10-K. In addition, in 2009, our Mechanical Products segment included the operations of two of our foreign subsidiaries: inTEST KK (Japan) and inTEST Pte, Limited (Singapore). As discussed more fully in Note 4, we closed inTEST KK during the fourth quarter of 2009. In addition, we reduced our workforce significantly at inTEST Pte and have centralized the manufacturing of all Mechanical Products in our Cherry Hill, New Jersey manufacturing facility. As a result of this workforce reduction and centralization of manufacturing operations, the remaining operations at inTEST Pte are primarily the sale and servicing of Thermal Products. Accordingly, effective January 1, 2010, this operation is included in our Thermal Products segment for reporting and w e have reclassified the 2009 segment disclosures to reflect this change. Sales of our Mechanical Products segment consist primarily of manipulator and docking hardware products, which we design, manufacture and market. In addition, this segment provides post warranty service and support for various ATE equipment.</w:t>
      </w:r>
    </w:p>
    <w:p>
      <w:pPr>
        <w:spacing w:after="0" w:line="174" w:lineRule="exact"/>
        <w:rPr>
          <w:sz w:val="20"/>
          <w:szCs w:val="20"/>
          <w:color w:val="auto"/>
        </w:rPr>
      </w:pPr>
    </w:p>
    <w:p>
      <w:pPr>
        <w:ind w:left="540" w:right="180"/>
        <w:spacing w:after="0" w:line="255" w:lineRule="auto"/>
        <w:rPr>
          <w:sz w:val="20"/>
          <w:szCs w:val="20"/>
          <w:color w:val="auto"/>
        </w:rPr>
      </w:pPr>
      <w:r>
        <w:rPr>
          <w:rFonts w:ascii="Arial" w:cs="Arial" w:eastAsia="Arial" w:hAnsi="Arial"/>
          <w:sz w:val="18"/>
          <w:szCs w:val="18"/>
          <w:color w:val="auto"/>
        </w:rPr>
        <w:t>The Thermal Products segment includes the operations of Temptronic Corporation in Sharon, Massachusetts, Temptronic GmbH (Germany) and Sigma, which we acquired in October 2008, as more fully discussed in Note 3 to the consolidated financial statements in our 2009 Form 10-K. As noted above, effective January 1, 2010, this segment also includes the operations of inTEST Pte, Limited. Sales of this segment consist primarily of temperature management systems which we design, manufacture and market under our Temptronic and Sigma Systems product lines. In addition, this segment provides post warranty service and support.</w:t>
      </w:r>
    </w:p>
    <w:p>
      <w:pPr>
        <w:spacing w:after="0" w:line="197"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86" w:lineRule="exact"/>
        <w:rPr>
          <w:sz w:val="20"/>
          <w:szCs w:val="20"/>
          <w:color w:val="auto"/>
        </w:rPr>
      </w:pPr>
    </w:p>
    <w:p>
      <w:pPr>
        <w:ind w:left="540" w:right="300"/>
        <w:spacing w:after="0" w:line="298" w:lineRule="auto"/>
        <w:rPr>
          <w:sz w:val="20"/>
          <w:szCs w:val="20"/>
          <w:color w:val="auto"/>
        </w:rPr>
      </w:pPr>
      <w:r>
        <w:rPr>
          <w:rFonts w:ascii="Arial" w:cs="Arial" w:eastAsia="Arial" w:hAnsi="Arial"/>
          <w:sz w:val="16"/>
          <w:szCs w:val="16"/>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industries outside of the semiconductor industry, including the aerospace, automotive, communications, consumer electronics, defense and medical industries. Intercompany pricing between segments is either a multiple of cost for component parts or list price for finished goods.</w:t>
      </w:r>
    </w:p>
    <w:p>
      <w:pPr>
        <w:spacing w:after="0" w:line="137" w:lineRule="exact"/>
        <w:rPr>
          <w:sz w:val="20"/>
          <w:szCs w:val="20"/>
          <w:color w:val="auto"/>
        </w:rPr>
      </w:pPr>
    </w:p>
    <w:p>
      <w:pPr>
        <w:ind w:left="5140"/>
        <w:spacing w:after="0"/>
        <w:rPr>
          <w:sz w:val="20"/>
          <w:szCs w:val="20"/>
          <w:color w:val="auto"/>
        </w:rPr>
      </w:pPr>
      <w:r>
        <w:rPr>
          <w:rFonts w:ascii="Arial" w:cs="Arial" w:eastAsia="Arial" w:hAnsi="Arial"/>
          <w:sz w:val="14"/>
          <w:szCs w:val="14"/>
          <w:b w:val="1"/>
          <w:bCs w:val="1"/>
          <w:i w:val="1"/>
          <w:iCs w:val="1"/>
          <w:color w:val="auto"/>
        </w:rPr>
        <w:t>Three Months Ended</w:t>
      </w:r>
    </w:p>
    <w:p>
      <w:pPr>
        <w:ind w:left="5440"/>
        <w:spacing w:after="0"/>
        <w:rPr>
          <w:sz w:val="20"/>
          <w:szCs w:val="20"/>
          <w:color w:val="auto"/>
        </w:rPr>
      </w:pPr>
      <w:r>
        <w:rPr>
          <w:rFonts w:ascii="Arial" w:cs="Arial" w:eastAsia="Arial" w:hAnsi="Arial"/>
          <w:sz w:val="14"/>
          <w:szCs w:val="14"/>
          <w:b w:val="1"/>
          <w:bCs w:val="1"/>
          <w:i w:val="1"/>
          <w:i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-16510</wp:posOffset>
            </wp:positionV>
            <wp:extent cx="7315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520" cy="8890"/>
                    </a:xfrm>
                    <a:prstGeom prst="rect">
                      <a:avLst/>
                    </a:prstGeom>
                    <a:noFill/>
                  </pic:spPr>
                </pic:pic>
              </a:graphicData>
            </a:graphic>
          </wp:anchor>
        </w:drawing>
      </w:r>
    </w:p>
    <w:p>
      <w:pPr>
        <w:sectPr>
          <w:pgSz w:w="11900" w:h="16954" w:orient="portrait"/>
          <w:cols w:equalWidth="0" w:num="1">
            <w:col w:w="11420"/>
          </w:cols>
          <w:pgMar w:left="240" w:top="131" w:right="239" w:bottom="0" w:gutter="0" w:footer="0" w:header="0"/>
        </w:sectPr>
      </w:pPr>
    </w:p>
    <w:p>
      <w:pPr>
        <w:spacing w:after="0" w:line="3" w:lineRule="exact"/>
        <w:rPr>
          <w:sz w:val="20"/>
          <w:szCs w:val="20"/>
          <w:color w:val="auto"/>
        </w:rPr>
      </w:pPr>
    </w:p>
    <w:p>
      <w:pPr>
        <w:ind w:left="1100"/>
        <w:spacing w:after="0"/>
        <w:tabs>
          <w:tab w:leader="none" w:pos="5300" w:val="left"/>
          <w:tab w:leader="none" w:pos="6080" w:val="left"/>
        </w:tabs>
        <w:rPr>
          <w:sz w:val="20"/>
          <w:szCs w:val="20"/>
          <w:color w:val="auto"/>
        </w:rPr>
      </w:pPr>
      <w:r>
        <w:rPr>
          <w:rFonts w:ascii="Arial" w:cs="Arial" w:eastAsia="Arial" w:hAnsi="Arial"/>
          <w:sz w:val="18"/>
          <w:szCs w:val="18"/>
          <w:b w:val="1"/>
          <w:bCs w:val="1"/>
          <w:i w:val="1"/>
          <w:iCs w:val="1"/>
          <w:color w:val="auto"/>
        </w:rPr>
        <w:t>Net revenues from unaffiliated customers:</w:t>
      </w:r>
      <w:r>
        <w:rPr>
          <w:sz w:val="20"/>
          <w:szCs w:val="20"/>
          <w:color w:val="auto"/>
        </w:rPr>
        <w:tab/>
      </w:r>
      <w:r>
        <w:rPr>
          <w:rFonts w:ascii="Arial" w:cs="Arial" w:eastAsia="Arial" w:hAnsi="Arial"/>
          <w:sz w:val="27"/>
          <w:szCs w:val="27"/>
          <w:b w:val="1"/>
          <w:bCs w:val="1"/>
          <w:i w:val="1"/>
          <w:iCs w:val="1"/>
          <w:u w:val="single" w:color="auto"/>
          <w:color w:val="auto"/>
          <w:vertAlign w:val="superscript"/>
        </w:rPr>
        <w:t>2010</w:t>
      </w:r>
      <w:r>
        <w:rPr>
          <w:sz w:val="20"/>
          <w:szCs w:val="20"/>
          <w:color w:val="auto"/>
        </w:rPr>
        <w:tab/>
      </w:r>
      <w:r>
        <w:rPr>
          <w:rFonts w:ascii="Arial" w:cs="Arial" w:eastAsia="Arial" w:hAnsi="Arial"/>
          <w:sz w:val="17"/>
          <w:szCs w:val="17"/>
          <w:b w:val="1"/>
          <w:bCs w:val="1"/>
          <w:i w:val="1"/>
          <w:iCs w:val="1"/>
          <w:u w:val="single" w:color="auto"/>
          <w:color w:val="auto"/>
          <w:vertAlign w:val="superscript"/>
        </w:rPr>
        <w:t>2009</w:t>
      </w:r>
    </w:p>
    <w:p>
      <w:pPr>
        <w:sectPr>
          <w:pgSz w:w="11900" w:h="16954" w:orient="portrait"/>
          <w:cols w:equalWidth="0" w:num="1">
            <w:col w:w="11420"/>
          </w:cols>
          <w:pgMar w:left="240" w:top="131" w:right="239" w:bottom="0" w:gutter="0" w:footer="0" w:header="0"/>
          <w:type w:val="continuous"/>
        </w:sectPr>
      </w:pPr>
    </w:p>
    <w:bookmarkStart w:id="13" w:name="page14"/>
    <w:bookmarkEnd w:id="13"/>
    <w:tbl>
      <w:tblPr>
        <w:tblLayout w:type="fixed"/>
        <w:tblInd w:w="1100" w:type="dxa"/>
        <w:tblCellMar>
          <w:top w:w="0" w:type="dxa"/>
          <w:left w:w="0" w:type="dxa"/>
          <w:bottom w:w="0" w:type="dxa"/>
          <w:right w:w="0" w:type="dxa"/>
        </w:tblCellMar>
      </w:tblP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Mechanical Products</w:t>
            </w:r>
          </w:p>
        </w:tc>
        <w:tc>
          <w:tcPr>
            <w:tcW w:w="480" w:type="dxa"/>
            <w:vAlign w:val="bottom"/>
            <w:gridSpan w:val="5"/>
          </w:tcPr>
          <w:p>
            <w:pPr>
              <w:jc w:val="right"/>
              <w:spacing w:after="0"/>
              <w:rPr>
                <w:sz w:val="20"/>
                <w:szCs w:val="20"/>
                <w:color w:val="auto"/>
              </w:rPr>
            </w:pPr>
            <w:r>
              <w:rPr>
                <w:rFonts w:ascii="Arial" w:cs="Arial" w:eastAsia="Arial" w:hAnsi="Arial"/>
                <w:sz w:val="18"/>
                <w:szCs w:val="18"/>
                <w:color w:val="auto"/>
                <w:w w:val="87"/>
              </w:rPr>
              <w:t>$4,756</w:t>
            </w:r>
          </w:p>
        </w:tc>
        <w:tc>
          <w:tcPr>
            <w:tcW w:w="220" w:type="dxa"/>
            <w:vAlign w:val="bottom"/>
          </w:tcPr>
          <w:p>
            <w:pPr>
              <w:spacing w:after="0"/>
              <w:rPr>
                <w:sz w:val="19"/>
                <w:szCs w:val="19"/>
                <w:color w:val="auto"/>
              </w:rPr>
            </w:pPr>
          </w:p>
        </w:tc>
        <w:tc>
          <w:tcPr>
            <w:tcW w:w="600" w:type="dxa"/>
            <w:vAlign w:val="bottom"/>
            <w:gridSpan w:val="5"/>
          </w:tcPr>
          <w:p>
            <w:pPr>
              <w:jc w:val="right"/>
              <w:ind w:right="40"/>
              <w:spacing w:after="0"/>
              <w:rPr>
                <w:sz w:val="20"/>
                <w:szCs w:val="20"/>
                <w:color w:val="auto"/>
              </w:rPr>
            </w:pPr>
            <w:r>
              <w:rPr>
                <w:rFonts w:ascii="Arial" w:cs="Arial" w:eastAsia="Arial" w:hAnsi="Arial"/>
                <w:sz w:val="18"/>
                <w:szCs w:val="18"/>
                <w:color w:val="auto"/>
              </w:rPr>
              <w:t>$ 553</w:t>
            </w:r>
          </w:p>
        </w:tc>
      </w:tr>
      <w:tr>
        <w:trPr>
          <w:trHeight w:val="459"/>
        </w:trPr>
        <w:tc>
          <w:tcPr>
            <w:tcW w:w="4100" w:type="dxa"/>
            <w:vAlign w:val="bottom"/>
          </w:tcPr>
          <w:p>
            <w:pPr>
              <w:spacing w:after="0"/>
              <w:rPr>
                <w:sz w:val="20"/>
                <w:szCs w:val="20"/>
                <w:color w:val="auto"/>
              </w:rPr>
            </w:pPr>
            <w:r>
              <w:rPr>
                <w:rFonts w:ascii="Arial" w:cs="Arial" w:eastAsia="Arial" w:hAnsi="Arial"/>
                <w:sz w:val="18"/>
                <w:szCs w:val="18"/>
                <w:color w:val="auto"/>
              </w:rPr>
              <w:t>Thermal Products</w:t>
            </w:r>
          </w:p>
        </w:tc>
        <w:tc>
          <w:tcPr>
            <w:tcW w:w="480" w:type="dxa"/>
            <w:vAlign w:val="bottom"/>
            <w:gridSpan w:val="5"/>
          </w:tcPr>
          <w:p>
            <w:pPr>
              <w:jc w:val="right"/>
              <w:spacing w:after="0"/>
              <w:rPr>
                <w:sz w:val="20"/>
                <w:szCs w:val="20"/>
                <w:color w:val="auto"/>
              </w:rPr>
            </w:pPr>
            <w:r>
              <w:rPr>
                <w:rFonts w:ascii="Arial" w:cs="Arial" w:eastAsia="Arial" w:hAnsi="Arial"/>
                <w:sz w:val="18"/>
                <w:szCs w:val="18"/>
                <w:color w:val="auto"/>
              </w:rPr>
              <w:t>3,512</w:t>
            </w:r>
          </w:p>
        </w:tc>
        <w:tc>
          <w:tcPr>
            <w:tcW w:w="220" w:type="dxa"/>
            <w:vAlign w:val="bottom"/>
          </w:tcPr>
          <w:p>
            <w:pPr>
              <w:spacing w:after="0"/>
              <w:rPr>
                <w:sz w:val="24"/>
                <w:szCs w:val="24"/>
                <w:color w:val="auto"/>
              </w:rPr>
            </w:pPr>
          </w:p>
        </w:tc>
        <w:tc>
          <w:tcPr>
            <w:tcW w:w="600" w:type="dxa"/>
            <w:vAlign w:val="bottom"/>
            <w:gridSpan w:val="5"/>
          </w:tcPr>
          <w:p>
            <w:pPr>
              <w:jc w:val="right"/>
              <w:ind w:right="40"/>
              <w:spacing w:after="0"/>
              <w:rPr>
                <w:sz w:val="20"/>
                <w:szCs w:val="20"/>
                <w:color w:val="auto"/>
              </w:rPr>
            </w:pPr>
            <w:r>
              <w:rPr>
                <w:rFonts w:ascii="Arial" w:cs="Arial" w:eastAsia="Arial" w:hAnsi="Arial"/>
                <w:sz w:val="18"/>
                <w:szCs w:val="18"/>
                <w:color w:val="auto"/>
              </w:rPr>
              <w:t>3,711</w:t>
            </w:r>
          </w:p>
        </w:tc>
      </w:tr>
      <w:tr>
        <w:trPr>
          <w:trHeight w:val="459"/>
        </w:trPr>
        <w:tc>
          <w:tcPr>
            <w:tcW w:w="4100" w:type="dxa"/>
            <w:vAlign w:val="bottom"/>
          </w:tcPr>
          <w:p>
            <w:pPr>
              <w:spacing w:after="0"/>
              <w:rPr>
                <w:sz w:val="20"/>
                <w:szCs w:val="20"/>
                <w:color w:val="auto"/>
              </w:rPr>
            </w:pPr>
            <w:r>
              <w:rPr>
                <w:rFonts w:ascii="Arial" w:cs="Arial" w:eastAsia="Arial" w:hAnsi="Arial"/>
                <w:sz w:val="18"/>
                <w:szCs w:val="18"/>
                <w:color w:val="auto"/>
              </w:rPr>
              <w:t>Electrical Products</w:t>
            </w:r>
          </w:p>
        </w:tc>
        <w:tc>
          <w:tcPr>
            <w:tcW w:w="480" w:type="dxa"/>
            <w:vAlign w:val="bottom"/>
            <w:gridSpan w:val="5"/>
          </w:tcPr>
          <w:p>
            <w:pPr>
              <w:jc w:val="right"/>
              <w:spacing w:after="0"/>
              <w:rPr>
                <w:sz w:val="20"/>
                <w:szCs w:val="20"/>
                <w:color w:val="auto"/>
              </w:rPr>
            </w:pPr>
            <w:r>
              <w:rPr>
                <w:rFonts w:ascii="Arial" w:cs="Arial" w:eastAsia="Arial" w:hAnsi="Arial"/>
                <w:sz w:val="18"/>
                <w:szCs w:val="18"/>
                <w:color w:val="auto"/>
              </w:rPr>
              <w:t>1,262</w:t>
            </w:r>
          </w:p>
        </w:tc>
        <w:tc>
          <w:tcPr>
            <w:tcW w:w="220" w:type="dxa"/>
            <w:vAlign w:val="bottom"/>
          </w:tcPr>
          <w:p>
            <w:pPr>
              <w:spacing w:after="0"/>
              <w:rPr>
                <w:sz w:val="24"/>
                <w:szCs w:val="24"/>
                <w:color w:val="auto"/>
              </w:rPr>
            </w:pPr>
          </w:p>
        </w:tc>
        <w:tc>
          <w:tcPr>
            <w:tcW w:w="600" w:type="dxa"/>
            <w:vAlign w:val="bottom"/>
            <w:gridSpan w:val="5"/>
          </w:tcPr>
          <w:p>
            <w:pPr>
              <w:jc w:val="right"/>
              <w:ind w:right="40"/>
              <w:spacing w:after="0"/>
              <w:rPr>
                <w:sz w:val="20"/>
                <w:szCs w:val="20"/>
                <w:color w:val="auto"/>
              </w:rPr>
            </w:pPr>
            <w:r>
              <w:rPr>
                <w:rFonts w:ascii="Arial" w:cs="Arial" w:eastAsia="Arial" w:hAnsi="Arial"/>
                <w:sz w:val="18"/>
                <w:szCs w:val="18"/>
                <w:color w:val="auto"/>
              </w:rPr>
              <w:t>501</w:t>
            </w:r>
          </w:p>
        </w:tc>
      </w:tr>
      <w:tr>
        <w:trPr>
          <w:trHeight w:val="421"/>
        </w:trPr>
        <w:tc>
          <w:tcPr>
            <w:tcW w:w="4100" w:type="dxa"/>
            <w:vAlign w:val="bottom"/>
          </w:tcPr>
          <w:p>
            <w:pPr>
              <w:spacing w:after="0"/>
              <w:rPr>
                <w:sz w:val="20"/>
                <w:szCs w:val="20"/>
                <w:color w:val="auto"/>
              </w:rPr>
            </w:pPr>
            <w:r>
              <w:rPr>
                <w:rFonts w:ascii="Arial" w:cs="Arial" w:eastAsia="Arial" w:hAnsi="Arial"/>
                <w:sz w:val="18"/>
                <w:szCs w:val="18"/>
                <w:color w:val="auto"/>
              </w:rPr>
              <w:t>Intersegment sales</w:t>
            </w:r>
          </w:p>
        </w:tc>
        <w:tc>
          <w:tcPr>
            <w:tcW w:w="60" w:type="dxa"/>
            <w:vAlign w:val="bottom"/>
            <w:gridSpan w:val="2"/>
          </w:tcPr>
          <w:p>
            <w:pPr>
              <w:spacing w:after="0"/>
              <w:rPr>
                <w:sz w:val="24"/>
                <w:szCs w:val="24"/>
                <w:color w:val="auto"/>
              </w:rPr>
            </w:pPr>
          </w:p>
        </w:tc>
        <w:tc>
          <w:tcPr>
            <w:tcW w:w="640" w:type="dxa"/>
            <w:vAlign w:val="bottom"/>
            <w:gridSpan w:val="4"/>
          </w:tcPr>
          <w:p>
            <w:pPr>
              <w:jc w:val="right"/>
              <w:ind w:right="160"/>
              <w:spacing w:after="0"/>
              <w:rPr>
                <w:sz w:val="20"/>
                <w:szCs w:val="20"/>
                <w:color w:val="auto"/>
              </w:rPr>
            </w:pPr>
            <w:r>
              <w:rPr>
                <w:rFonts w:ascii="Arial" w:cs="Arial" w:eastAsia="Arial" w:hAnsi="Arial"/>
                <w:sz w:val="18"/>
                <w:szCs w:val="18"/>
                <w:color w:val="auto"/>
              </w:rPr>
              <w:t>(1)</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(370)</w:t>
            </w:r>
          </w:p>
        </w:tc>
      </w:tr>
      <w:tr>
        <w:trPr>
          <w:trHeight w:val="20"/>
        </w:trPr>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100" w:type="dxa"/>
            <w:vAlign w:val="bottom"/>
          </w:tcPr>
          <w:p>
            <w:pPr>
              <w:spacing w:after="0"/>
              <w:rPr>
                <w:sz w:val="24"/>
                <w:szCs w:val="24"/>
                <w:color w:val="auto"/>
              </w:rPr>
            </w:pPr>
          </w:p>
        </w:tc>
        <w:tc>
          <w:tcPr>
            <w:tcW w:w="48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9,529</w:t>
            </w:r>
          </w:p>
        </w:tc>
        <w:tc>
          <w:tcPr>
            <w:tcW w:w="220" w:type="dxa"/>
            <w:vAlign w:val="bottom"/>
          </w:tcPr>
          <w:p>
            <w:pPr>
              <w:spacing w:after="0"/>
              <w:rPr>
                <w:sz w:val="24"/>
                <w:szCs w:val="24"/>
                <w:color w:val="auto"/>
              </w:rPr>
            </w:pPr>
          </w:p>
        </w:tc>
        <w:tc>
          <w:tcPr>
            <w:tcW w:w="60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4,395</w:t>
            </w:r>
          </w:p>
        </w:tc>
      </w:tr>
      <w:tr>
        <w:trPr>
          <w:trHeight w:val="410"/>
        </w:trPr>
        <w:tc>
          <w:tcPr>
            <w:tcW w:w="410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100" w:type="dxa"/>
            <w:vAlign w:val="bottom"/>
          </w:tcPr>
          <w:p>
            <w:pPr>
              <w:spacing w:after="0"/>
              <w:rPr>
                <w:sz w:val="20"/>
                <w:szCs w:val="20"/>
                <w:color w:val="auto"/>
              </w:rPr>
            </w:pPr>
            <w:r>
              <w:rPr>
                <w:rFonts w:ascii="Arial" w:cs="Arial" w:eastAsia="Arial" w:hAnsi="Arial"/>
                <w:sz w:val="18"/>
                <w:szCs w:val="18"/>
                <w:color w:val="auto"/>
              </w:rPr>
              <w:t>Mechanical Products</w:t>
            </w:r>
          </w:p>
        </w:tc>
        <w:tc>
          <w:tcPr>
            <w:tcW w:w="480" w:type="dxa"/>
            <w:vAlign w:val="bottom"/>
            <w:gridSpan w:val="5"/>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4"/>
                <w:szCs w:val="24"/>
                <w:color w:val="auto"/>
              </w:rPr>
            </w:pPr>
          </w:p>
        </w:tc>
        <w:tc>
          <w:tcPr>
            <w:tcW w:w="600" w:type="dxa"/>
            <w:vAlign w:val="bottom"/>
            <w:gridSpan w:val="5"/>
          </w:tcPr>
          <w:p>
            <w:pPr>
              <w:jc w:val="right"/>
              <w:ind w:right="40"/>
              <w:spacing w:after="0"/>
              <w:rPr>
                <w:sz w:val="20"/>
                <w:szCs w:val="20"/>
                <w:color w:val="auto"/>
              </w:rPr>
            </w:pPr>
            <w:r>
              <w:rPr>
                <w:rFonts w:ascii="Arial" w:cs="Arial" w:eastAsia="Arial" w:hAnsi="Arial"/>
                <w:sz w:val="18"/>
                <w:szCs w:val="18"/>
                <w:color w:val="auto"/>
              </w:rPr>
              <w:t>$   -</w:t>
            </w:r>
          </w:p>
        </w:tc>
      </w:tr>
      <w:tr>
        <w:trPr>
          <w:trHeight w:val="459"/>
        </w:trPr>
        <w:tc>
          <w:tcPr>
            <w:tcW w:w="4100" w:type="dxa"/>
            <w:vAlign w:val="bottom"/>
          </w:tcPr>
          <w:p>
            <w:pPr>
              <w:spacing w:after="0"/>
              <w:rPr>
                <w:sz w:val="20"/>
                <w:szCs w:val="20"/>
                <w:color w:val="auto"/>
              </w:rPr>
            </w:pPr>
            <w:r>
              <w:rPr>
                <w:rFonts w:ascii="Arial" w:cs="Arial" w:eastAsia="Arial" w:hAnsi="Arial"/>
                <w:sz w:val="18"/>
                <w:szCs w:val="18"/>
                <w:color w:val="auto"/>
              </w:rPr>
              <w:t>Thermal Products</w:t>
            </w:r>
          </w:p>
        </w:tc>
        <w:tc>
          <w:tcPr>
            <w:tcW w:w="48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00" w:type="dxa"/>
            <w:vAlign w:val="bottom"/>
            <w:gridSpan w:val="5"/>
          </w:tcPr>
          <w:p>
            <w:pPr>
              <w:jc w:val="right"/>
              <w:ind w:right="40"/>
              <w:spacing w:after="0"/>
              <w:rPr>
                <w:sz w:val="20"/>
                <w:szCs w:val="20"/>
                <w:color w:val="auto"/>
              </w:rPr>
            </w:pPr>
            <w:r>
              <w:rPr>
                <w:rFonts w:ascii="Arial" w:cs="Arial" w:eastAsia="Arial" w:hAnsi="Arial"/>
                <w:sz w:val="18"/>
                <w:szCs w:val="18"/>
                <w:color w:val="auto"/>
              </w:rPr>
              <w:t>268</w:t>
            </w:r>
          </w:p>
        </w:tc>
      </w:tr>
      <w:tr>
        <w:trPr>
          <w:trHeight w:val="421"/>
        </w:trPr>
        <w:tc>
          <w:tcPr>
            <w:tcW w:w="4100" w:type="dxa"/>
            <w:vAlign w:val="bottom"/>
          </w:tcPr>
          <w:p>
            <w:pPr>
              <w:spacing w:after="0"/>
              <w:rPr>
                <w:sz w:val="20"/>
                <w:szCs w:val="20"/>
                <w:color w:val="auto"/>
              </w:rPr>
            </w:pPr>
            <w:r>
              <w:rPr>
                <w:rFonts w:ascii="Arial" w:cs="Arial" w:eastAsia="Arial" w:hAnsi="Arial"/>
                <w:sz w:val="18"/>
                <w:szCs w:val="18"/>
                <w:color w:val="auto"/>
              </w:rPr>
              <w:t>Electrical Products</w:t>
            </w:r>
          </w:p>
        </w:tc>
        <w:tc>
          <w:tcPr>
            <w:tcW w:w="320" w:type="dxa"/>
            <w:vAlign w:val="bottom"/>
            <w:gridSpan w:val="4"/>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102</w:t>
            </w:r>
          </w:p>
        </w:tc>
      </w:tr>
      <w:tr>
        <w:trPr>
          <w:trHeight w:val="20"/>
        </w:trPr>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100" w:type="dxa"/>
            <w:vAlign w:val="bottom"/>
          </w:tcPr>
          <w:p>
            <w:pPr>
              <w:spacing w:after="0"/>
              <w:rPr>
                <w:sz w:val="24"/>
                <w:szCs w:val="24"/>
                <w:color w:val="auto"/>
              </w:rPr>
            </w:pPr>
          </w:p>
        </w:tc>
        <w:tc>
          <w:tcPr>
            <w:tcW w:w="480" w:type="dxa"/>
            <w:vAlign w:val="bottom"/>
            <w:gridSpan w:val="5"/>
          </w:tcPr>
          <w:p>
            <w:pPr>
              <w:jc w:val="right"/>
              <w:spacing w:after="0"/>
              <w:rPr>
                <w:sz w:val="20"/>
                <w:szCs w:val="20"/>
                <w:color w:val="auto"/>
              </w:rPr>
            </w:pPr>
            <w:r>
              <w:rPr>
                <w:rFonts w:ascii="Arial" w:cs="Arial" w:eastAsia="Arial" w:hAnsi="Arial"/>
                <w:sz w:val="18"/>
                <w:szCs w:val="18"/>
                <w:color w:val="auto"/>
              </w:rPr>
              <w:t>$ 1</w:t>
            </w:r>
          </w:p>
        </w:tc>
        <w:tc>
          <w:tcPr>
            <w:tcW w:w="220" w:type="dxa"/>
            <w:vAlign w:val="bottom"/>
          </w:tcPr>
          <w:p>
            <w:pPr>
              <w:spacing w:after="0"/>
              <w:rPr>
                <w:sz w:val="24"/>
                <w:szCs w:val="24"/>
                <w:color w:val="auto"/>
              </w:rPr>
            </w:pPr>
          </w:p>
        </w:tc>
        <w:tc>
          <w:tcPr>
            <w:tcW w:w="60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370</w:t>
            </w:r>
          </w:p>
        </w:tc>
      </w:tr>
      <w:tr>
        <w:trPr>
          <w:trHeight w:val="410"/>
        </w:trPr>
        <w:tc>
          <w:tcPr>
            <w:tcW w:w="4100" w:type="dxa"/>
            <w:vAlign w:val="bottom"/>
          </w:tcPr>
          <w:p>
            <w:pPr>
              <w:spacing w:after="0"/>
              <w:rPr>
                <w:sz w:val="20"/>
                <w:szCs w:val="20"/>
                <w:color w:val="auto"/>
              </w:rPr>
            </w:pPr>
            <w:r>
              <w:rPr>
                <w:rFonts w:ascii="Arial" w:cs="Arial" w:eastAsia="Arial" w:hAnsi="Arial"/>
                <w:sz w:val="18"/>
                <w:szCs w:val="18"/>
                <w:b w:val="1"/>
                <w:bCs w:val="1"/>
                <w:i w:val="1"/>
                <w:iCs w:val="1"/>
                <w:color w:val="auto"/>
              </w:rPr>
              <w:t>Earnings (loss) before income taxes: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100" w:type="dxa"/>
            <w:vAlign w:val="bottom"/>
          </w:tcPr>
          <w:p>
            <w:pPr>
              <w:spacing w:after="0"/>
              <w:rPr>
                <w:sz w:val="20"/>
                <w:szCs w:val="20"/>
                <w:color w:val="auto"/>
              </w:rPr>
            </w:pPr>
            <w:r>
              <w:rPr>
                <w:rFonts w:ascii="Arial" w:cs="Arial" w:eastAsia="Arial" w:hAnsi="Arial"/>
                <w:sz w:val="18"/>
                <w:szCs w:val="18"/>
                <w:color w:val="auto"/>
              </w:rPr>
              <w:t>Mechanical Products</w:t>
            </w:r>
          </w:p>
        </w:tc>
        <w:tc>
          <w:tcPr>
            <w:tcW w:w="480" w:type="dxa"/>
            <w:vAlign w:val="bottom"/>
            <w:gridSpan w:val="5"/>
          </w:tcPr>
          <w:p>
            <w:pPr>
              <w:jc w:val="right"/>
              <w:spacing w:after="0"/>
              <w:rPr>
                <w:sz w:val="20"/>
                <w:szCs w:val="20"/>
                <w:color w:val="auto"/>
              </w:rPr>
            </w:pPr>
            <w:r>
              <w:rPr>
                <w:rFonts w:ascii="Arial" w:cs="Arial" w:eastAsia="Arial" w:hAnsi="Arial"/>
                <w:sz w:val="18"/>
                <w:szCs w:val="18"/>
                <w:color w:val="auto"/>
                <w:w w:val="87"/>
              </w:rPr>
              <w:t>$1,050</w:t>
            </w:r>
          </w:p>
        </w:tc>
        <w:tc>
          <w:tcPr>
            <w:tcW w:w="220" w:type="dxa"/>
            <w:vAlign w:val="bottom"/>
          </w:tcPr>
          <w:p>
            <w:pPr>
              <w:spacing w:after="0"/>
              <w:rPr>
                <w:sz w:val="24"/>
                <w:szCs w:val="24"/>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color w:val="auto"/>
                <w:w w:val="86"/>
              </w:rPr>
              <w:t>$(1,494)</w:t>
            </w:r>
          </w:p>
        </w:tc>
      </w:tr>
      <w:tr>
        <w:trPr>
          <w:trHeight w:val="459"/>
        </w:trPr>
        <w:tc>
          <w:tcPr>
            <w:tcW w:w="4100" w:type="dxa"/>
            <w:vAlign w:val="bottom"/>
          </w:tcPr>
          <w:p>
            <w:pPr>
              <w:spacing w:after="0"/>
              <w:rPr>
                <w:sz w:val="20"/>
                <w:szCs w:val="20"/>
                <w:color w:val="auto"/>
              </w:rPr>
            </w:pPr>
            <w:r>
              <w:rPr>
                <w:rFonts w:ascii="Arial" w:cs="Arial" w:eastAsia="Arial" w:hAnsi="Arial"/>
                <w:sz w:val="18"/>
                <w:szCs w:val="18"/>
                <w:color w:val="auto"/>
              </w:rPr>
              <w:t>Thermal Products</w:t>
            </w:r>
          </w:p>
        </w:tc>
        <w:tc>
          <w:tcPr>
            <w:tcW w:w="480" w:type="dxa"/>
            <w:vAlign w:val="bottom"/>
            <w:gridSpan w:val="5"/>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(728)</w:t>
            </w:r>
          </w:p>
        </w:tc>
      </w:tr>
      <w:tr>
        <w:trPr>
          <w:trHeight w:val="459"/>
        </w:trPr>
        <w:tc>
          <w:tcPr>
            <w:tcW w:w="4100" w:type="dxa"/>
            <w:vAlign w:val="bottom"/>
          </w:tcPr>
          <w:p>
            <w:pPr>
              <w:spacing w:after="0"/>
              <w:rPr>
                <w:sz w:val="20"/>
                <w:szCs w:val="20"/>
                <w:color w:val="auto"/>
              </w:rPr>
            </w:pPr>
            <w:r>
              <w:rPr>
                <w:rFonts w:ascii="Arial" w:cs="Arial" w:eastAsia="Arial" w:hAnsi="Arial"/>
                <w:sz w:val="18"/>
                <w:szCs w:val="18"/>
                <w:color w:val="auto"/>
              </w:rPr>
              <w:t>Electrical Products</w:t>
            </w:r>
          </w:p>
        </w:tc>
        <w:tc>
          <w:tcPr>
            <w:tcW w:w="480" w:type="dxa"/>
            <w:vAlign w:val="bottom"/>
            <w:gridSpan w:val="5"/>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24"/>
                <w:szCs w:val="24"/>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(455)</w:t>
            </w:r>
          </w:p>
        </w:tc>
      </w:tr>
      <w:tr>
        <w:trPr>
          <w:trHeight w:val="421"/>
        </w:trPr>
        <w:tc>
          <w:tcPr>
            <w:tcW w:w="4100" w:type="dxa"/>
            <w:vAlign w:val="bottom"/>
          </w:tcPr>
          <w:p>
            <w:pPr>
              <w:spacing w:after="0"/>
              <w:rPr>
                <w:sz w:val="20"/>
                <w:szCs w:val="20"/>
                <w:color w:val="auto"/>
              </w:rPr>
            </w:pPr>
            <w:r>
              <w:rPr>
                <w:rFonts w:ascii="Arial" w:cs="Arial" w:eastAsia="Arial" w:hAnsi="Arial"/>
                <w:sz w:val="18"/>
                <w:szCs w:val="18"/>
                <w:color w:val="auto"/>
              </w:rPr>
              <w:t>Corporate</w:t>
            </w:r>
          </w:p>
        </w:tc>
        <w:tc>
          <w:tcPr>
            <w:tcW w:w="60" w:type="dxa"/>
            <w:vAlign w:val="bottom"/>
            <w:gridSpan w:val="2"/>
          </w:tcPr>
          <w:p>
            <w:pPr>
              <w:spacing w:after="0"/>
              <w:rPr>
                <w:sz w:val="24"/>
                <w:szCs w:val="24"/>
                <w:color w:val="auto"/>
              </w:rPr>
            </w:pPr>
          </w:p>
        </w:tc>
        <w:tc>
          <w:tcPr>
            <w:tcW w:w="640" w:type="dxa"/>
            <w:vAlign w:val="bottom"/>
            <w:gridSpan w:val="4"/>
          </w:tcPr>
          <w:p>
            <w:pPr>
              <w:jc w:val="right"/>
              <w:ind w:right="160"/>
              <w:spacing w:after="0"/>
              <w:rPr>
                <w:sz w:val="20"/>
                <w:szCs w:val="20"/>
                <w:color w:val="auto"/>
              </w:rPr>
            </w:pPr>
            <w:r>
              <w:rPr>
                <w:rFonts w:ascii="Arial" w:cs="Arial" w:eastAsia="Arial" w:hAnsi="Arial"/>
                <w:sz w:val="18"/>
                <w:szCs w:val="18"/>
                <w:color w:val="auto"/>
              </w:rPr>
              <w:t>(124)</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39"/>
        </w:trPr>
        <w:tc>
          <w:tcPr>
            <w:tcW w:w="4100" w:type="dxa"/>
            <w:vAlign w:val="bottom"/>
          </w:tcPr>
          <w:p>
            <w:pPr>
              <w:spacing w:after="0"/>
              <w:rPr>
                <w:sz w:val="24"/>
                <w:szCs w:val="24"/>
                <w:color w:val="auto"/>
              </w:rPr>
            </w:pPr>
          </w:p>
        </w:tc>
        <w:tc>
          <w:tcPr>
            <w:tcW w:w="48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1,115</w:t>
            </w:r>
          </w:p>
        </w:tc>
        <w:tc>
          <w:tcPr>
            <w:tcW w:w="220" w:type="dxa"/>
            <w:vAlign w:val="bottom"/>
          </w:tcPr>
          <w:p>
            <w:pPr>
              <w:spacing w:after="0"/>
              <w:rPr>
                <w:sz w:val="24"/>
                <w:szCs w:val="24"/>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(2,754)</w:t>
            </w:r>
          </w:p>
        </w:tc>
      </w:tr>
      <w:tr>
        <w:trPr>
          <w:trHeight w:val="20"/>
        </w:trPr>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2"/>
        </w:trPr>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5"/>
          </w:tcPr>
          <w:p>
            <w:pPr>
              <w:jc w:val="right"/>
              <w:spacing w:after="0"/>
              <w:rPr>
                <w:sz w:val="20"/>
                <w:szCs w:val="20"/>
                <w:color w:val="auto"/>
              </w:rPr>
            </w:pPr>
            <w:r>
              <w:rPr>
                <w:rFonts w:ascii="Arial" w:cs="Arial" w:eastAsia="Arial" w:hAnsi="Arial"/>
                <w:sz w:val="18"/>
                <w:szCs w:val="18"/>
                <w:color w:val="auto"/>
              </w:rPr>
              <w:t>- 16 -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5020" w:type="dxa"/>
            <w:vAlign w:val="bottom"/>
            <w:gridSpan w:val="12"/>
          </w:tcPr>
          <w:p>
            <w:pPr>
              <w:jc w:val="center"/>
              <w:ind w:left="336"/>
              <w:spacing w:after="0"/>
              <w:rPr>
                <w:sz w:val="20"/>
                <w:szCs w:val="20"/>
                <w:color w:val="auto"/>
              </w:rPr>
            </w:pPr>
            <w:r>
              <w:rPr>
                <w:rFonts w:ascii="Arial" w:cs="Arial" w:eastAsia="Arial" w:hAnsi="Arial"/>
                <w:sz w:val="18"/>
                <w:szCs w:val="18"/>
                <w:b w:val="1"/>
                <w:bCs w:val="1"/>
                <w:color w:val="auto"/>
                <w:w w:val="96"/>
              </w:rPr>
              <w:t>inTEST CORPORATION</w:t>
            </w:r>
          </w:p>
        </w:tc>
      </w:tr>
      <w:tr>
        <w:trPr>
          <w:trHeight w:val="222"/>
        </w:trPr>
        <w:tc>
          <w:tcPr>
            <w:tcW w:w="3000" w:type="dxa"/>
            <w:vAlign w:val="bottom"/>
          </w:tcPr>
          <w:p>
            <w:pPr>
              <w:spacing w:after="0"/>
              <w:rPr>
                <w:sz w:val="19"/>
                <w:szCs w:val="19"/>
                <w:color w:val="auto"/>
              </w:rPr>
            </w:pPr>
          </w:p>
        </w:tc>
        <w:tc>
          <w:tcPr>
            <w:tcW w:w="5020" w:type="dxa"/>
            <w:vAlign w:val="bottom"/>
            <w:gridSpan w:val="12"/>
          </w:tcPr>
          <w:p>
            <w:pPr>
              <w:jc w:val="center"/>
              <w:ind w:left="336"/>
              <w:spacing w:after="0"/>
              <w:rPr>
                <w:sz w:val="20"/>
                <w:szCs w:val="20"/>
                <w:color w:val="auto"/>
              </w:rPr>
            </w:pPr>
            <w:r>
              <w:rPr>
                <w:rFonts w:ascii="Arial" w:cs="Arial" w:eastAsia="Arial" w:hAnsi="Arial"/>
                <w:sz w:val="18"/>
                <w:szCs w:val="18"/>
                <w:b w:val="1"/>
                <w:bCs w:val="1"/>
                <w:color w:val="auto"/>
                <w:w w:val="97"/>
              </w:rPr>
              <w:t>NOTES TO CONSOLIDATED FINANCIAL STATEMENTS</w:t>
            </w:r>
          </w:p>
        </w:tc>
      </w:tr>
      <w:tr>
        <w:trPr>
          <w:trHeight w:val="222"/>
        </w:trPr>
        <w:tc>
          <w:tcPr>
            <w:tcW w:w="30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gridSpan w:val="10"/>
          </w:tcPr>
          <w:p>
            <w:pPr>
              <w:jc w:val="center"/>
              <w:ind w:right="1880"/>
              <w:spacing w:after="0"/>
              <w:rPr>
                <w:sz w:val="20"/>
                <w:szCs w:val="20"/>
                <w:color w:val="auto"/>
              </w:rPr>
            </w:pPr>
            <w:r>
              <w:rPr>
                <w:rFonts w:ascii="Arial" w:cs="Arial" w:eastAsia="Arial" w:hAnsi="Arial"/>
                <w:sz w:val="18"/>
                <w:szCs w:val="18"/>
                <w:color w:val="auto"/>
                <w:w w:val="89"/>
              </w:rPr>
              <w:t>(Unaudited)</w:t>
            </w:r>
          </w:p>
        </w:tc>
      </w:tr>
      <w:tr>
        <w:trPr>
          <w:trHeight w:val="608"/>
        </w:trPr>
        <w:tc>
          <w:tcPr>
            <w:tcW w:w="584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(12) SEGMENT INFORMATION </w:t>
            </w:r>
            <w:r>
              <w:rPr>
                <w:rFonts w:ascii="Arial" w:cs="Arial" w:eastAsia="Arial" w:hAnsi="Arial"/>
                <w:sz w:val="18"/>
                <w:szCs w:val="18"/>
                <w:color w:val="auto"/>
              </w:rPr>
              <w:t>(Continued)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29"/>
        </w:trPr>
        <w:tc>
          <w:tcPr>
            <w:tcW w:w="3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10"/>
          </w:tcPr>
          <w:p>
            <w:pPr>
              <w:jc w:val="center"/>
              <w:ind w:right="1720"/>
              <w:spacing w:after="0"/>
              <w:rPr>
                <w:sz w:val="20"/>
                <w:szCs w:val="20"/>
                <w:color w:val="auto"/>
              </w:rPr>
            </w:pPr>
            <w:r>
              <w:rPr>
                <w:rFonts w:ascii="Arial" w:cs="Arial" w:eastAsia="Arial" w:hAnsi="Arial"/>
                <w:sz w:val="14"/>
                <w:szCs w:val="14"/>
                <w:b w:val="1"/>
                <w:bCs w:val="1"/>
                <w:i w:val="1"/>
                <w:iCs w:val="1"/>
                <w:color w:val="auto"/>
                <w:w w:val="72"/>
              </w:rPr>
              <w:t>Three Months Ended</w:t>
            </w:r>
          </w:p>
        </w:tc>
      </w:tr>
      <w:tr>
        <w:trPr>
          <w:trHeight w:val="146"/>
        </w:trPr>
        <w:tc>
          <w:tcPr>
            <w:tcW w:w="30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bottom w:val="single" w:sz="8" w:color="auto"/>
            </w:tcBorders>
            <w:gridSpan w:val="7"/>
          </w:tcPr>
          <w:p>
            <w:pPr>
              <w:jc w:val="center"/>
              <w:ind w:right="200"/>
              <w:spacing w:after="0" w:line="146" w:lineRule="exact"/>
              <w:rPr>
                <w:sz w:val="20"/>
                <w:szCs w:val="20"/>
                <w:color w:val="auto"/>
              </w:rPr>
            </w:pPr>
            <w:r>
              <w:rPr>
                <w:rFonts w:ascii="Arial" w:cs="Arial" w:eastAsia="Arial" w:hAnsi="Arial"/>
                <w:sz w:val="14"/>
                <w:szCs w:val="14"/>
                <w:b w:val="1"/>
                <w:bCs w:val="1"/>
                <w:i w:val="1"/>
                <w:iCs w:val="1"/>
                <w:color w:val="auto"/>
                <w:w w:val="89"/>
              </w:rPr>
              <w:t>March 31,</w:t>
            </w:r>
          </w:p>
        </w:tc>
        <w:tc>
          <w:tcPr>
            <w:tcW w:w="1740" w:type="dxa"/>
            <w:vAlign w:val="bottom"/>
            <w:gridSpan w:val="3"/>
          </w:tcPr>
          <w:p>
            <w:pPr>
              <w:spacing w:after="0"/>
              <w:rPr>
                <w:sz w:val="12"/>
                <w:szCs w:val="12"/>
                <w:color w:val="auto"/>
              </w:rPr>
            </w:pPr>
          </w:p>
        </w:tc>
      </w:tr>
      <w:tr>
        <w:trPr>
          <w:trHeight w:val="156"/>
        </w:trPr>
        <w:tc>
          <w:tcPr>
            <w:tcW w:w="3000" w:type="dxa"/>
            <w:vAlign w:val="bottom"/>
          </w:tcPr>
          <w:p>
            <w:pPr>
              <w:spacing w:after="0"/>
              <w:rPr>
                <w:sz w:val="13"/>
                <w:szCs w:val="13"/>
                <w:color w:val="auto"/>
              </w:rPr>
            </w:pPr>
          </w:p>
        </w:tc>
        <w:tc>
          <w:tcPr>
            <w:tcW w:w="2640" w:type="dxa"/>
            <w:vAlign w:val="bottom"/>
            <w:gridSpan w:val="4"/>
          </w:tcPr>
          <w:p>
            <w:pPr>
              <w:ind w:left="2300"/>
              <w:spacing w:after="0" w:line="155" w:lineRule="exact"/>
              <w:rPr>
                <w:sz w:val="20"/>
                <w:szCs w:val="20"/>
                <w:color w:val="auto"/>
              </w:rPr>
            </w:pPr>
            <w:r>
              <w:rPr>
                <w:rFonts w:ascii="Arial" w:cs="Arial" w:eastAsia="Arial" w:hAnsi="Arial"/>
                <w:sz w:val="14"/>
                <w:szCs w:val="14"/>
                <w:b w:val="1"/>
                <w:bCs w:val="1"/>
                <w:i w:val="1"/>
                <w:iCs w:val="1"/>
                <w:color w:val="auto"/>
                <w:w w:val="96"/>
              </w:rPr>
              <w:t>2010</w:t>
            </w:r>
          </w:p>
        </w:tc>
        <w:tc>
          <w:tcPr>
            <w:tcW w:w="200" w:type="dxa"/>
            <w:vAlign w:val="bottom"/>
          </w:tcPr>
          <w:p>
            <w:pPr>
              <w:spacing w:after="0"/>
              <w:rPr>
                <w:sz w:val="13"/>
                <w:szCs w:val="13"/>
                <w:color w:val="auto"/>
              </w:rPr>
            </w:pPr>
          </w:p>
        </w:tc>
        <w:tc>
          <w:tcPr>
            <w:tcW w:w="580" w:type="dxa"/>
            <w:vAlign w:val="bottom"/>
            <w:gridSpan w:val="6"/>
          </w:tcPr>
          <w:p>
            <w:pPr>
              <w:jc w:val="right"/>
              <w:ind w:right="80"/>
              <w:spacing w:after="0" w:line="155" w:lineRule="exact"/>
              <w:rPr>
                <w:sz w:val="20"/>
                <w:szCs w:val="20"/>
                <w:color w:val="auto"/>
              </w:rPr>
            </w:pPr>
            <w:r>
              <w:rPr>
                <w:rFonts w:ascii="Arial" w:cs="Arial" w:eastAsia="Arial" w:hAnsi="Arial"/>
                <w:sz w:val="14"/>
                <w:szCs w:val="14"/>
                <w:b w:val="1"/>
                <w:bCs w:val="1"/>
                <w:i w:val="1"/>
                <w:iCs w:val="1"/>
                <w:color w:val="auto"/>
              </w:rPr>
              <w:t>2009</w:t>
            </w:r>
          </w:p>
        </w:tc>
        <w:tc>
          <w:tcPr>
            <w:tcW w:w="1600" w:type="dxa"/>
            <w:vAlign w:val="bottom"/>
          </w:tcPr>
          <w:p>
            <w:pPr>
              <w:spacing w:after="0"/>
              <w:rPr>
                <w:sz w:val="13"/>
                <w:szCs w:val="13"/>
                <w:color w:val="auto"/>
              </w:rPr>
            </w:pPr>
          </w:p>
        </w:tc>
      </w:tr>
      <w:tr>
        <w:trPr>
          <w:trHeight w:val="302"/>
        </w:trPr>
        <w:tc>
          <w:tcPr>
            <w:tcW w:w="3000" w:type="dxa"/>
            <w:vAlign w:val="bottom"/>
          </w:tcPr>
          <w:p>
            <w:pPr>
              <w:ind w:left="1100"/>
              <w:spacing w:after="0"/>
              <w:rPr>
                <w:sz w:val="20"/>
                <w:szCs w:val="20"/>
                <w:color w:val="auto"/>
              </w:rPr>
            </w:pPr>
            <w:r>
              <w:rPr>
                <w:rFonts w:ascii="Arial" w:cs="Arial" w:eastAsia="Arial" w:hAnsi="Arial"/>
                <w:sz w:val="18"/>
                <w:szCs w:val="18"/>
                <w:b w:val="1"/>
                <w:bCs w:val="1"/>
                <w:i w:val="1"/>
                <w:iCs w:val="1"/>
                <w:color w:val="auto"/>
              </w:rPr>
              <w:t>Net earnings (loss):</w:t>
            </w:r>
          </w:p>
        </w:tc>
        <w:tc>
          <w:tcPr>
            <w:tcW w:w="2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59"/>
        </w:trPr>
        <w:tc>
          <w:tcPr>
            <w:tcW w:w="3000" w:type="dxa"/>
            <w:vAlign w:val="bottom"/>
          </w:tcPr>
          <w:p>
            <w:pPr>
              <w:ind w:left="1100"/>
              <w:spacing w:after="0"/>
              <w:rPr>
                <w:sz w:val="20"/>
                <w:szCs w:val="20"/>
                <w:color w:val="auto"/>
              </w:rPr>
            </w:pPr>
            <w:r>
              <w:rPr>
                <w:rFonts w:ascii="Arial" w:cs="Arial" w:eastAsia="Arial" w:hAnsi="Arial"/>
                <w:sz w:val="18"/>
                <w:szCs w:val="18"/>
                <w:color w:val="auto"/>
              </w:rPr>
              <w:t>Mechanical Products</w:t>
            </w:r>
          </w:p>
        </w:tc>
        <w:tc>
          <w:tcPr>
            <w:tcW w:w="2640" w:type="dxa"/>
            <w:vAlign w:val="bottom"/>
            <w:gridSpan w:val="4"/>
          </w:tcPr>
          <w:p>
            <w:pPr>
              <w:jc w:val="right"/>
              <w:spacing w:after="0"/>
              <w:rPr>
                <w:sz w:val="20"/>
                <w:szCs w:val="20"/>
                <w:color w:val="auto"/>
              </w:rPr>
            </w:pPr>
            <w:r>
              <w:rPr>
                <w:rFonts w:ascii="Arial" w:cs="Arial" w:eastAsia="Arial" w:hAnsi="Arial"/>
                <w:sz w:val="18"/>
                <w:szCs w:val="18"/>
                <w:color w:val="auto"/>
              </w:rPr>
              <w:t>$1,047</w:t>
            </w:r>
          </w:p>
        </w:tc>
        <w:tc>
          <w:tcPr>
            <w:tcW w:w="200" w:type="dxa"/>
            <w:vAlign w:val="bottom"/>
          </w:tcPr>
          <w:p>
            <w:pPr>
              <w:spacing w:after="0"/>
              <w:rPr>
                <w:sz w:val="24"/>
                <w:szCs w:val="24"/>
                <w:color w:val="auto"/>
              </w:rPr>
            </w:pPr>
          </w:p>
        </w:tc>
        <w:tc>
          <w:tcPr>
            <w:tcW w:w="2180" w:type="dxa"/>
            <w:vAlign w:val="bottom"/>
            <w:gridSpan w:val="7"/>
          </w:tcPr>
          <w:p>
            <w:pPr>
              <w:jc w:val="right"/>
              <w:ind w:right="1540"/>
              <w:spacing w:after="0"/>
              <w:rPr>
                <w:sz w:val="20"/>
                <w:szCs w:val="20"/>
                <w:color w:val="auto"/>
              </w:rPr>
            </w:pPr>
            <w:r>
              <w:rPr>
                <w:rFonts w:ascii="Arial" w:cs="Arial" w:eastAsia="Arial" w:hAnsi="Arial"/>
                <w:sz w:val="18"/>
                <w:szCs w:val="18"/>
                <w:color w:val="auto"/>
                <w:w w:val="92"/>
              </w:rPr>
              <w:t>$(1,495)</w:t>
            </w:r>
          </w:p>
        </w:tc>
      </w:tr>
      <w:tr>
        <w:trPr>
          <w:trHeight w:val="459"/>
        </w:trPr>
        <w:tc>
          <w:tcPr>
            <w:tcW w:w="3000" w:type="dxa"/>
            <w:vAlign w:val="bottom"/>
          </w:tcPr>
          <w:p>
            <w:pPr>
              <w:ind w:left="1100"/>
              <w:spacing w:after="0"/>
              <w:rPr>
                <w:sz w:val="20"/>
                <w:szCs w:val="20"/>
                <w:color w:val="auto"/>
              </w:rPr>
            </w:pPr>
            <w:r>
              <w:rPr>
                <w:rFonts w:ascii="Arial" w:cs="Arial" w:eastAsia="Arial" w:hAnsi="Arial"/>
                <w:sz w:val="18"/>
                <w:szCs w:val="18"/>
                <w:color w:val="auto"/>
              </w:rPr>
              <w:t>Thermal Products</w:t>
            </w:r>
          </w:p>
        </w:tc>
        <w:tc>
          <w:tcPr>
            <w:tcW w:w="2640" w:type="dxa"/>
            <w:vAlign w:val="bottom"/>
            <w:gridSpan w:val="4"/>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2180" w:type="dxa"/>
            <w:vAlign w:val="bottom"/>
            <w:gridSpan w:val="7"/>
          </w:tcPr>
          <w:p>
            <w:pPr>
              <w:jc w:val="right"/>
              <w:ind w:right="1540"/>
              <w:spacing w:after="0"/>
              <w:rPr>
                <w:sz w:val="20"/>
                <w:szCs w:val="20"/>
                <w:color w:val="auto"/>
              </w:rPr>
            </w:pPr>
            <w:r>
              <w:rPr>
                <w:rFonts w:ascii="Arial" w:cs="Arial" w:eastAsia="Arial" w:hAnsi="Arial"/>
                <w:sz w:val="18"/>
                <w:szCs w:val="18"/>
                <w:color w:val="auto"/>
              </w:rPr>
              <w:t>(728)</w:t>
            </w:r>
          </w:p>
        </w:tc>
      </w:tr>
      <w:tr>
        <w:trPr>
          <w:trHeight w:val="459"/>
        </w:trPr>
        <w:tc>
          <w:tcPr>
            <w:tcW w:w="3000" w:type="dxa"/>
            <w:vAlign w:val="bottom"/>
          </w:tcPr>
          <w:p>
            <w:pPr>
              <w:ind w:left="1100"/>
              <w:spacing w:after="0"/>
              <w:rPr>
                <w:sz w:val="20"/>
                <w:szCs w:val="20"/>
                <w:color w:val="auto"/>
              </w:rPr>
            </w:pPr>
            <w:r>
              <w:rPr>
                <w:rFonts w:ascii="Arial" w:cs="Arial" w:eastAsia="Arial" w:hAnsi="Arial"/>
                <w:sz w:val="18"/>
                <w:szCs w:val="18"/>
                <w:color w:val="auto"/>
              </w:rPr>
              <w:t>Electrical Products</w:t>
            </w:r>
          </w:p>
        </w:tc>
        <w:tc>
          <w:tcPr>
            <w:tcW w:w="2640" w:type="dxa"/>
            <w:vAlign w:val="bottom"/>
            <w:gridSpan w:val="4"/>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24"/>
                <w:szCs w:val="24"/>
                <w:color w:val="auto"/>
              </w:rPr>
            </w:pPr>
          </w:p>
        </w:tc>
        <w:tc>
          <w:tcPr>
            <w:tcW w:w="2180" w:type="dxa"/>
            <w:vAlign w:val="bottom"/>
            <w:gridSpan w:val="7"/>
          </w:tcPr>
          <w:p>
            <w:pPr>
              <w:jc w:val="right"/>
              <w:ind w:right="1540"/>
              <w:spacing w:after="0"/>
              <w:rPr>
                <w:sz w:val="20"/>
                <w:szCs w:val="20"/>
                <w:color w:val="auto"/>
              </w:rPr>
            </w:pPr>
            <w:r>
              <w:rPr>
                <w:rFonts w:ascii="Arial" w:cs="Arial" w:eastAsia="Arial" w:hAnsi="Arial"/>
                <w:sz w:val="18"/>
                <w:szCs w:val="18"/>
                <w:color w:val="auto"/>
              </w:rPr>
              <w:t>(455)</w:t>
            </w:r>
          </w:p>
        </w:tc>
      </w:tr>
      <w:tr>
        <w:trPr>
          <w:trHeight w:val="421"/>
        </w:trPr>
        <w:tc>
          <w:tcPr>
            <w:tcW w:w="3000" w:type="dxa"/>
            <w:vAlign w:val="bottom"/>
          </w:tcPr>
          <w:p>
            <w:pPr>
              <w:ind w:left="1100"/>
              <w:spacing w:after="0"/>
              <w:rPr>
                <w:sz w:val="20"/>
                <w:szCs w:val="20"/>
                <w:color w:val="auto"/>
              </w:rPr>
            </w:pPr>
            <w:r>
              <w:rPr>
                <w:rFonts w:ascii="Arial" w:cs="Arial" w:eastAsia="Arial" w:hAnsi="Arial"/>
                <w:sz w:val="18"/>
                <w:szCs w:val="18"/>
                <w:color w:val="auto"/>
              </w:rPr>
              <w:t>Corporate</w:t>
            </w:r>
          </w:p>
        </w:tc>
        <w:tc>
          <w:tcPr>
            <w:tcW w:w="2300" w:type="dxa"/>
            <w:vAlign w:val="bottom"/>
            <w:gridSpan w:val="2"/>
          </w:tcPr>
          <w:p>
            <w:pPr>
              <w:spacing w:after="0"/>
              <w:rPr>
                <w:sz w:val="24"/>
                <w:szCs w:val="24"/>
                <w:color w:val="auto"/>
              </w:rPr>
            </w:pPr>
          </w:p>
        </w:tc>
        <w:tc>
          <w:tcPr>
            <w:tcW w:w="540" w:type="dxa"/>
            <w:vAlign w:val="bottom"/>
            <w:gridSpan w:val="3"/>
          </w:tcPr>
          <w:p>
            <w:pPr>
              <w:ind w:left="20"/>
              <w:spacing w:after="0"/>
              <w:rPr>
                <w:sz w:val="20"/>
                <w:szCs w:val="20"/>
                <w:color w:val="auto"/>
              </w:rPr>
            </w:pPr>
            <w:r>
              <w:rPr>
                <w:rFonts w:ascii="Arial" w:cs="Arial" w:eastAsia="Arial" w:hAnsi="Arial"/>
                <w:sz w:val="18"/>
                <w:szCs w:val="18"/>
                <w:color w:val="auto"/>
              </w:rPr>
              <w:t>(124)</w:t>
            </w:r>
          </w:p>
        </w:tc>
        <w:tc>
          <w:tcPr>
            <w:tcW w:w="2180" w:type="dxa"/>
            <w:vAlign w:val="bottom"/>
            <w:gridSpan w:val="7"/>
          </w:tcPr>
          <w:p>
            <w:pPr>
              <w:jc w:val="right"/>
              <w:ind w:right="1540"/>
              <w:spacing w:after="0"/>
              <w:rPr>
                <w:sz w:val="20"/>
                <w:szCs w:val="20"/>
                <w:color w:val="auto"/>
              </w:rPr>
            </w:pPr>
            <w:r>
              <w:rPr>
                <w:rFonts w:ascii="Arial" w:cs="Arial" w:eastAsia="Arial" w:hAnsi="Arial"/>
                <w:sz w:val="18"/>
                <w:szCs w:val="18"/>
                <w:color w:val="auto"/>
              </w:rPr>
              <w:t>(77)</w:t>
            </w:r>
          </w:p>
        </w:tc>
      </w:tr>
      <w:tr>
        <w:trPr>
          <w:trHeight w:val="20"/>
        </w:trPr>
        <w:tc>
          <w:tcPr>
            <w:tcW w:w="3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auto"/>
            </w:tcBorders>
            <w:gridSpan w:val="4"/>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39"/>
        </w:trPr>
        <w:tc>
          <w:tcPr>
            <w:tcW w:w="3000" w:type="dxa"/>
            <w:vAlign w:val="bottom"/>
          </w:tcPr>
          <w:p>
            <w:pPr>
              <w:spacing w:after="0"/>
              <w:rPr>
                <w:sz w:val="24"/>
                <w:szCs w:val="24"/>
                <w:color w:val="auto"/>
              </w:rPr>
            </w:pPr>
          </w:p>
        </w:tc>
        <w:tc>
          <w:tcPr>
            <w:tcW w:w="2300" w:type="dxa"/>
            <w:vAlign w:val="bottom"/>
            <w:gridSpan w:val="2"/>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4"/>
              </w:rPr>
              <w:t>$</w:t>
            </w:r>
            <w:r>
              <w:rPr>
                <w:rFonts w:ascii="Arial" w:cs="Arial" w:eastAsia="Arial" w:hAnsi="Arial"/>
                <w:sz w:val="15"/>
                <w:szCs w:val="15"/>
                <w:color w:val="auto"/>
                <w:w w:val="74"/>
              </w:rPr>
              <w:t>1,112</w:t>
            </w:r>
          </w:p>
        </w:tc>
        <w:tc>
          <w:tcPr>
            <w:tcW w:w="200" w:type="dxa"/>
            <w:vAlign w:val="bottom"/>
          </w:tcPr>
          <w:p>
            <w:pPr>
              <w:spacing w:after="0"/>
              <w:rPr>
                <w:sz w:val="24"/>
                <w:szCs w:val="24"/>
                <w:color w:val="auto"/>
              </w:rPr>
            </w:pPr>
          </w:p>
        </w:tc>
        <w:tc>
          <w:tcPr>
            <w:tcW w:w="2180" w:type="dxa"/>
            <w:vAlign w:val="bottom"/>
            <w:gridSpan w:val="7"/>
          </w:tcPr>
          <w:p>
            <w:pPr>
              <w:jc w:val="right"/>
              <w:ind w:right="15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(2,755)</w:t>
            </w:r>
          </w:p>
        </w:tc>
      </w:tr>
      <w:tr>
        <w:trPr>
          <w:trHeight w:val="20"/>
        </w:trPr>
        <w:tc>
          <w:tcPr>
            <w:tcW w:w="3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520" w:type="dxa"/>
            <w:vAlign w:val="bottom"/>
            <w:tcBorders>
              <w:right w:val="single" w:sz="8" w:color="auto"/>
            </w:tcBorders>
            <w:gridSpan w:val="5"/>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601"/>
        </w:trPr>
        <w:tc>
          <w:tcPr>
            <w:tcW w:w="3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gridSpan w:val="3"/>
          </w:tcPr>
          <w:p>
            <w:pPr>
              <w:jc w:val="center"/>
              <w:ind w:right="280"/>
              <w:spacing w:after="0"/>
              <w:rPr>
                <w:sz w:val="20"/>
                <w:szCs w:val="20"/>
                <w:color w:val="auto"/>
              </w:rPr>
            </w:pPr>
            <w:r>
              <w:rPr>
                <w:rFonts w:ascii="Arial" w:cs="Arial" w:eastAsia="Arial" w:hAnsi="Arial"/>
                <w:sz w:val="9"/>
                <w:szCs w:val="9"/>
                <w:b w:val="1"/>
                <w:bCs w:val="1"/>
                <w:i w:val="1"/>
                <w:iCs w:val="1"/>
                <w:color w:val="auto"/>
                <w:w w:val="77"/>
              </w:rPr>
              <w:t>Mar. 31,</w:t>
            </w:r>
          </w:p>
        </w:tc>
        <w:tc>
          <w:tcPr>
            <w:tcW w:w="60" w:type="dxa"/>
            <w:vAlign w:val="bottom"/>
          </w:tcPr>
          <w:p>
            <w:pPr>
              <w:spacing w:after="0"/>
              <w:rPr>
                <w:sz w:val="24"/>
                <w:szCs w:val="24"/>
                <w:color w:val="auto"/>
              </w:rPr>
            </w:pPr>
          </w:p>
        </w:tc>
        <w:tc>
          <w:tcPr>
            <w:tcW w:w="2120" w:type="dxa"/>
            <w:vAlign w:val="bottom"/>
            <w:gridSpan w:val="6"/>
          </w:tcPr>
          <w:p>
            <w:pPr>
              <w:jc w:val="center"/>
              <w:ind w:right="1680"/>
              <w:spacing w:after="0"/>
              <w:rPr>
                <w:sz w:val="20"/>
                <w:szCs w:val="20"/>
                <w:color w:val="auto"/>
              </w:rPr>
            </w:pPr>
            <w:r>
              <w:rPr>
                <w:rFonts w:ascii="Arial" w:cs="Arial" w:eastAsia="Arial" w:hAnsi="Arial"/>
                <w:sz w:val="14"/>
                <w:szCs w:val="14"/>
                <w:b w:val="1"/>
                <w:bCs w:val="1"/>
                <w:i w:val="1"/>
                <w:iCs w:val="1"/>
                <w:color w:val="auto"/>
                <w:w w:val="83"/>
              </w:rPr>
              <w:t>Dec. 31,</w:t>
            </w:r>
          </w:p>
        </w:tc>
      </w:tr>
      <w:tr>
        <w:trPr>
          <w:trHeight w:val="163"/>
        </w:trPr>
        <w:tc>
          <w:tcPr>
            <w:tcW w:w="3000" w:type="dxa"/>
            <w:vAlign w:val="bottom"/>
          </w:tcPr>
          <w:p>
            <w:pPr>
              <w:spacing w:after="0"/>
              <w:rPr>
                <w:sz w:val="14"/>
                <w:szCs w:val="14"/>
                <w:color w:val="auto"/>
              </w:rPr>
            </w:pPr>
          </w:p>
        </w:tc>
        <w:tc>
          <w:tcPr>
            <w:tcW w:w="2580" w:type="dxa"/>
            <w:vAlign w:val="bottom"/>
            <w:gridSpan w:val="3"/>
          </w:tcPr>
          <w:p>
            <w:pPr>
              <w:jc w:val="right"/>
              <w:ind w:right="46"/>
              <w:spacing w:after="0"/>
              <w:rPr>
                <w:sz w:val="20"/>
                <w:szCs w:val="20"/>
                <w:color w:val="auto"/>
              </w:rPr>
            </w:pPr>
            <w:r>
              <w:rPr>
                <w:rFonts w:ascii="Arial" w:cs="Arial" w:eastAsia="Arial" w:hAnsi="Arial"/>
                <w:sz w:val="14"/>
                <w:szCs w:val="14"/>
                <w:b w:val="1"/>
                <w:bCs w:val="1"/>
                <w:i w:val="1"/>
                <w:iCs w:val="1"/>
                <w:color w:val="auto"/>
              </w:rPr>
              <w:t>2010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4"/>
                <w:szCs w:val="14"/>
                <w:b w:val="1"/>
                <w:bCs w:val="1"/>
                <w:i w:val="1"/>
                <w:iCs w:val="1"/>
                <w:color w:val="auto"/>
              </w:rPr>
              <w:t>2009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62"/>
        </w:trPr>
        <w:tc>
          <w:tcPr>
            <w:tcW w:w="3000" w:type="dxa"/>
            <w:vAlign w:val="bottom"/>
          </w:tcPr>
          <w:p>
            <w:pPr>
              <w:ind w:left="1100"/>
              <w:spacing w:after="0"/>
              <w:rPr>
                <w:sz w:val="20"/>
                <w:szCs w:val="20"/>
                <w:color w:val="auto"/>
              </w:rPr>
            </w:pPr>
            <w:r>
              <w:rPr>
                <w:rFonts w:ascii="Arial" w:cs="Arial" w:eastAsia="Arial" w:hAnsi="Arial"/>
                <w:sz w:val="18"/>
                <w:szCs w:val="18"/>
                <w:b w:val="1"/>
                <w:bCs w:val="1"/>
                <w:i w:val="1"/>
                <w:iCs w:val="1"/>
                <w:color w:val="auto"/>
              </w:rPr>
              <w:t>Identifiable assets:</w:t>
            </w:r>
          </w:p>
        </w:tc>
        <w:tc>
          <w:tcPr>
            <w:tcW w:w="20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0" w:type="dxa"/>
            <w:vAlign w:val="bottom"/>
          </w:tcPr>
          <w:p>
            <w:pPr>
              <w:spacing w:after="0"/>
              <w:rPr>
                <w:sz w:val="22"/>
                <w:szCs w:val="22"/>
                <w:color w:val="auto"/>
              </w:rPr>
            </w:pPr>
          </w:p>
        </w:tc>
      </w:tr>
      <w:tr>
        <w:trPr>
          <w:trHeight w:val="459"/>
        </w:trPr>
        <w:tc>
          <w:tcPr>
            <w:tcW w:w="3000" w:type="dxa"/>
            <w:vAlign w:val="bottom"/>
          </w:tcPr>
          <w:p>
            <w:pPr>
              <w:ind w:left="1100"/>
              <w:spacing w:after="0"/>
              <w:rPr>
                <w:sz w:val="20"/>
                <w:szCs w:val="20"/>
                <w:color w:val="auto"/>
              </w:rPr>
            </w:pPr>
            <w:r>
              <w:rPr>
                <w:rFonts w:ascii="Arial" w:cs="Arial" w:eastAsia="Arial" w:hAnsi="Arial"/>
                <w:sz w:val="18"/>
                <w:szCs w:val="18"/>
                <w:color w:val="auto"/>
              </w:rPr>
              <w:t>Mechanical Products</w:t>
            </w:r>
          </w:p>
        </w:tc>
        <w:tc>
          <w:tcPr>
            <w:tcW w:w="2640" w:type="dxa"/>
            <w:vAlign w:val="bottom"/>
            <w:gridSpan w:val="4"/>
          </w:tcPr>
          <w:p>
            <w:pPr>
              <w:jc w:val="right"/>
              <w:spacing w:after="0"/>
              <w:rPr>
                <w:sz w:val="20"/>
                <w:szCs w:val="20"/>
                <w:color w:val="auto"/>
              </w:rPr>
            </w:pPr>
            <w:r>
              <w:rPr>
                <w:rFonts w:ascii="Arial" w:cs="Arial" w:eastAsia="Arial" w:hAnsi="Arial"/>
                <w:sz w:val="18"/>
                <w:szCs w:val="18"/>
                <w:color w:val="auto"/>
              </w:rPr>
              <w:t>$ 6,579</w:t>
            </w:r>
          </w:p>
        </w:tc>
        <w:tc>
          <w:tcPr>
            <w:tcW w:w="200" w:type="dxa"/>
            <w:vAlign w:val="bottom"/>
          </w:tcPr>
          <w:p>
            <w:pPr>
              <w:spacing w:after="0"/>
              <w:rPr>
                <w:sz w:val="24"/>
                <w:szCs w:val="24"/>
                <w:color w:val="auto"/>
              </w:rPr>
            </w:pPr>
          </w:p>
        </w:tc>
        <w:tc>
          <w:tcPr>
            <w:tcW w:w="2180" w:type="dxa"/>
            <w:vAlign w:val="bottom"/>
            <w:gridSpan w:val="7"/>
          </w:tcPr>
          <w:p>
            <w:pPr>
              <w:jc w:val="right"/>
              <w:ind w:right="1580"/>
              <w:spacing w:after="0"/>
              <w:rPr>
                <w:sz w:val="20"/>
                <w:szCs w:val="20"/>
                <w:color w:val="auto"/>
              </w:rPr>
            </w:pPr>
            <w:r>
              <w:rPr>
                <w:rFonts w:ascii="Arial" w:cs="Arial" w:eastAsia="Arial" w:hAnsi="Arial"/>
                <w:sz w:val="18"/>
                <w:szCs w:val="18"/>
                <w:color w:val="auto"/>
                <w:w w:val="96"/>
              </w:rPr>
              <w:t>$ 5,004</w:t>
            </w:r>
          </w:p>
        </w:tc>
      </w:tr>
      <w:tr>
        <w:trPr>
          <w:trHeight w:val="459"/>
        </w:trPr>
        <w:tc>
          <w:tcPr>
            <w:tcW w:w="3000" w:type="dxa"/>
            <w:vAlign w:val="bottom"/>
          </w:tcPr>
          <w:p>
            <w:pPr>
              <w:ind w:left="1100"/>
              <w:spacing w:after="0"/>
              <w:rPr>
                <w:sz w:val="20"/>
                <w:szCs w:val="20"/>
                <w:color w:val="auto"/>
              </w:rPr>
            </w:pPr>
            <w:r>
              <w:rPr>
                <w:rFonts w:ascii="Arial" w:cs="Arial" w:eastAsia="Arial" w:hAnsi="Arial"/>
                <w:sz w:val="18"/>
                <w:szCs w:val="18"/>
                <w:color w:val="auto"/>
              </w:rPr>
              <w:t>Thermal Products</w:t>
            </w:r>
          </w:p>
        </w:tc>
        <w:tc>
          <w:tcPr>
            <w:tcW w:w="2640" w:type="dxa"/>
            <w:vAlign w:val="bottom"/>
            <w:gridSpan w:val="4"/>
          </w:tcPr>
          <w:p>
            <w:pPr>
              <w:jc w:val="right"/>
              <w:spacing w:after="0"/>
              <w:rPr>
                <w:sz w:val="20"/>
                <w:szCs w:val="20"/>
                <w:color w:val="auto"/>
              </w:rPr>
            </w:pPr>
            <w:r>
              <w:rPr>
                <w:rFonts w:ascii="Arial" w:cs="Arial" w:eastAsia="Arial" w:hAnsi="Arial"/>
                <w:sz w:val="18"/>
                <w:szCs w:val="18"/>
                <w:color w:val="auto"/>
              </w:rPr>
              <w:t>8,833</w:t>
            </w:r>
          </w:p>
        </w:tc>
        <w:tc>
          <w:tcPr>
            <w:tcW w:w="200" w:type="dxa"/>
            <w:vAlign w:val="bottom"/>
          </w:tcPr>
          <w:p>
            <w:pPr>
              <w:spacing w:after="0"/>
              <w:rPr>
                <w:sz w:val="24"/>
                <w:szCs w:val="24"/>
                <w:color w:val="auto"/>
              </w:rPr>
            </w:pPr>
          </w:p>
        </w:tc>
        <w:tc>
          <w:tcPr>
            <w:tcW w:w="2180" w:type="dxa"/>
            <w:vAlign w:val="bottom"/>
            <w:gridSpan w:val="7"/>
          </w:tcPr>
          <w:p>
            <w:pPr>
              <w:jc w:val="right"/>
              <w:ind w:right="1580"/>
              <w:spacing w:after="0"/>
              <w:rPr>
                <w:sz w:val="20"/>
                <w:szCs w:val="20"/>
                <w:color w:val="auto"/>
              </w:rPr>
            </w:pPr>
            <w:r>
              <w:rPr>
                <w:rFonts w:ascii="Arial" w:cs="Arial" w:eastAsia="Arial" w:hAnsi="Arial"/>
                <w:sz w:val="18"/>
                <w:szCs w:val="18"/>
                <w:color w:val="auto"/>
              </w:rPr>
              <w:t>8,954</w:t>
            </w:r>
          </w:p>
        </w:tc>
      </w:tr>
      <w:tr>
        <w:trPr>
          <w:trHeight w:val="421"/>
        </w:trPr>
        <w:tc>
          <w:tcPr>
            <w:tcW w:w="3000" w:type="dxa"/>
            <w:vAlign w:val="bottom"/>
          </w:tcPr>
          <w:p>
            <w:pPr>
              <w:ind w:left="1100"/>
              <w:spacing w:after="0"/>
              <w:rPr>
                <w:sz w:val="20"/>
                <w:szCs w:val="20"/>
                <w:color w:val="auto"/>
              </w:rPr>
            </w:pPr>
            <w:r>
              <w:rPr>
                <w:rFonts w:ascii="Arial" w:cs="Arial" w:eastAsia="Arial" w:hAnsi="Arial"/>
                <w:sz w:val="18"/>
                <w:szCs w:val="18"/>
                <w:color w:val="auto"/>
              </w:rPr>
              <w:t>Electrical Products</w:t>
            </w:r>
          </w:p>
        </w:tc>
        <w:tc>
          <w:tcPr>
            <w:tcW w:w="2300" w:type="dxa"/>
            <w:vAlign w:val="bottom"/>
            <w:gridSpan w:val="2"/>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5"/>
              </w:rPr>
              <w:t>1,852</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1,186</w:t>
            </w:r>
          </w:p>
        </w:tc>
        <w:tc>
          <w:tcPr>
            <w:tcW w:w="1600" w:type="dxa"/>
            <w:vAlign w:val="bottom"/>
          </w:tcPr>
          <w:p>
            <w:pPr>
              <w:spacing w:after="0"/>
              <w:rPr>
                <w:sz w:val="24"/>
                <w:szCs w:val="24"/>
                <w:color w:val="auto"/>
              </w:rPr>
            </w:pPr>
          </w:p>
        </w:tc>
      </w:tr>
      <w:tr>
        <w:trPr>
          <w:trHeight w:val="439"/>
        </w:trPr>
        <w:tc>
          <w:tcPr>
            <w:tcW w:w="3000" w:type="dxa"/>
            <w:vAlign w:val="bottom"/>
          </w:tcPr>
          <w:p>
            <w:pPr>
              <w:spacing w:after="0"/>
              <w:rPr>
                <w:sz w:val="24"/>
                <w:szCs w:val="24"/>
                <w:color w:val="auto"/>
              </w:rPr>
            </w:pPr>
          </w:p>
        </w:tc>
        <w:tc>
          <w:tcPr>
            <w:tcW w:w="26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17,264</w:t>
            </w:r>
          </w:p>
        </w:tc>
        <w:tc>
          <w:tcPr>
            <w:tcW w:w="200" w:type="dxa"/>
            <w:vAlign w:val="bottom"/>
          </w:tcPr>
          <w:p>
            <w:pPr>
              <w:spacing w:after="0"/>
              <w:rPr>
                <w:sz w:val="24"/>
                <w:szCs w:val="24"/>
                <w:color w:val="auto"/>
              </w:rPr>
            </w:pPr>
          </w:p>
        </w:tc>
        <w:tc>
          <w:tcPr>
            <w:tcW w:w="2180" w:type="dxa"/>
            <w:vAlign w:val="bottom"/>
            <w:gridSpan w:val="7"/>
          </w:tcPr>
          <w:p>
            <w:pPr>
              <w:jc w:val="right"/>
              <w:ind w:right="15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15,144</w:t>
            </w:r>
          </w:p>
        </w:tc>
      </w:tr>
      <w:tr>
        <w:trPr>
          <w:trHeight w:val="20"/>
        </w:trPr>
        <w:tc>
          <w:tcPr>
            <w:tcW w:w="3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0" w:type="dxa"/>
            <w:vAlign w:val="bottom"/>
            <w:tcBorders>
              <w:left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158" w:right="1440" w:bottom="265" w:gutter="0" w:footer="0" w:header="0"/>
        </w:sectPr>
      </w:pPr>
    </w:p>
    <w:bookmarkStart w:id="14" w:name="page15"/>
    <w:bookmarkEnd w:id="14"/>
    <w:p>
      <w:pPr>
        <w:spacing w:after="0" w:line="99" w:lineRule="exact"/>
        <w:rPr>
          <w:sz w:val="20"/>
          <w:szCs w:val="20"/>
          <w:color w:val="auto"/>
        </w:rPr>
      </w:pPr>
    </w:p>
    <w:p>
      <w:pPr>
        <w:ind w:left="520" w:right="12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of the selling entity.</w:t>
      </w:r>
    </w:p>
    <w:p>
      <w:pPr>
        <w:spacing w:after="0" w:line="18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380" w:type="dxa"/>
            <w:vAlign w:val="bottom"/>
            <w:gridSpan w:val="16"/>
          </w:tcPr>
          <w:p>
            <w:pPr>
              <w:jc w:val="center"/>
              <w:ind w:right="60"/>
              <w:spacing w:after="0"/>
              <w:rPr>
                <w:sz w:val="20"/>
                <w:szCs w:val="20"/>
                <w:color w:val="auto"/>
              </w:rPr>
            </w:pPr>
            <w:r>
              <w:rPr>
                <w:rFonts w:ascii="Arial" w:cs="Arial" w:eastAsia="Arial" w:hAnsi="Arial"/>
                <w:sz w:val="14"/>
                <w:szCs w:val="14"/>
                <w:b w:val="1"/>
                <w:bCs w:val="1"/>
                <w:i w:val="1"/>
                <w:iCs w:val="1"/>
                <w:color w:val="auto"/>
                <w:w w:val="86"/>
              </w:rPr>
              <w:t>Three Months Ended</w:t>
            </w:r>
          </w:p>
        </w:tc>
      </w:tr>
      <w:tr>
        <w:trPr>
          <w:trHeight w:val="146"/>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8"/>
          </w:tcPr>
          <w:p>
            <w:pPr>
              <w:jc w:val="center"/>
              <w:ind w:right="152"/>
              <w:spacing w:after="0" w:line="146" w:lineRule="exact"/>
              <w:rPr>
                <w:sz w:val="20"/>
                <w:szCs w:val="20"/>
                <w:color w:val="auto"/>
              </w:rPr>
            </w:pPr>
            <w:r>
              <w:rPr>
                <w:rFonts w:ascii="Arial" w:cs="Arial" w:eastAsia="Arial" w:hAnsi="Arial"/>
                <w:sz w:val="14"/>
                <w:szCs w:val="14"/>
                <w:b w:val="1"/>
                <w:bCs w:val="1"/>
                <w:i w:val="1"/>
                <w:iCs w:val="1"/>
                <w:color w:val="auto"/>
                <w:w w:val="89"/>
              </w:rPr>
              <w:t>March 31,</w:t>
            </w:r>
          </w:p>
        </w:tc>
        <w:tc>
          <w:tcPr>
            <w:tcW w:w="140" w:type="dxa"/>
            <w:vAlign w:val="bottom"/>
            <w:gridSpan w:val="3"/>
          </w:tcPr>
          <w:p>
            <w:pPr>
              <w:spacing w:after="0"/>
              <w:rPr>
                <w:sz w:val="12"/>
                <w:szCs w:val="12"/>
                <w:color w:val="auto"/>
              </w:rPr>
            </w:pPr>
          </w:p>
        </w:tc>
      </w:tr>
      <w:tr>
        <w:trPr>
          <w:trHeight w:val="156"/>
        </w:trPr>
        <w:tc>
          <w:tcPr>
            <w:tcW w:w="3980" w:type="dxa"/>
            <w:vAlign w:val="bottom"/>
          </w:tcPr>
          <w:p>
            <w:pPr>
              <w:spacing w:after="0"/>
              <w:rPr>
                <w:sz w:val="13"/>
                <w:szCs w:val="13"/>
                <w:color w:val="auto"/>
              </w:rPr>
            </w:pPr>
          </w:p>
        </w:tc>
        <w:tc>
          <w:tcPr>
            <w:tcW w:w="520" w:type="dxa"/>
            <w:vAlign w:val="bottom"/>
            <w:gridSpan w:val="6"/>
          </w:tcPr>
          <w:p>
            <w:pPr>
              <w:jc w:val="right"/>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6"/>
          </w:tcPr>
          <w:p>
            <w:pPr>
              <w:jc w:val="right"/>
              <w:spacing w:after="0" w:line="155" w:lineRule="exact"/>
              <w:rPr>
                <w:sz w:val="20"/>
                <w:szCs w:val="20"/>
                <w:color w:val="auto"/>
              </w:rPr>
            </w:pPr>
            <w:r>
              <w:rPr>
                <w:rFonts w:ascii="Arial" w:cs="Arial" w:eastAsia="Arial" w:hAnsi="Arial"/>
                <w:sz w:val="14"/>
                <w:szCs w:val="14"/>
                <w:b w:val="1"/>
                <w:bCs w:val="1"/>
                <w:i w:val="1"/>
                <w:iCs w:val="1"/>
                <w:color w:val="auto"/>
              </w:rPr>
              <w:t>2009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451"/>
        </w:trPr>
        <w:tc>
          <w:tcPr>
            <w:tcW w:w="398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3980" w:type="dxa"/>
            <w:vAlign w:val="bottom"/>
          </w:tcPr>
          <w:p>
            <w:pPr>
              <w:spacing w:after="0"/>
              <w:rPr>
                <w:sz w:val="20"/>
                <w:szCs w:val="20"/>
                <w:color w:val="auto"/>
              </w:rPr>
            </w:pPr>
            <w:r>
              <w:rPr>
                <w:rFonts w:ascii="Arial" w:cs="Arial" w:eastAsia="Arial" w:hAnsi="Arial"/>
                <w:sz w:val="18"/>
                <w:szCs w:val="18"/>
                <w:color w:val="auto"/>
              </w:rPr>
              <w:t>U.S.</w:t>
            </w:r>
          </w:p>
        </w:tc>
        <w:tc>
          <w:tcPr>
            <w:tcW w:w="620" w:type="dxa"/>
            <w:vAlign w:val="bottom"/>
            <w:gridSpan w:val="8"/>
          </w:tcPr>
          <w:p>
            <w:pPr>
              <w:jc w:val="right"/>
              <w:spacing w:after="0"/>
              <w:rPr>
                <w:sz w:val="20"/>
                <w:szCs w:val="20"/>
                <w:color w:val="auto"/>
              </w:rPr>
            </w:pPr>
            <w:r>
              <w:rPr>
                <w:rFonts w:ascii="Arial" w:cs="Arial" w:eastAsia="Arial" w:hAnsi="Arial"/>
                <w:sz w:val="18"/>
                <w:szCs w:val="18"/>
                <w:color w:val="auto"/>
              </w:rPr>
              <w:t>$8,820</w:t>
            </w: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$3,371</w:t>
            </w:r>
          </w:p>
        </w:tc>
      </w:tr>
      <w:tr>
        <w:trPr>
          <w:trHeight w:val="459"/>
        </w:trPr>
        <w:tc>
          <w:tcPr>
            <w:tcW w:w="3980" w:type="dxa"/>
            <w:vAlign w:val="bottom"/>
          </w:tcPr>
          <w:p>
            <w:pPr>
              <w:spacing w:after="0"/>
              <w:rPr>
                <w:sz w:val="20"/>
                <w:szCs w:val="20"/>
                <w:color w:val="auto"/>
              </w:rPr>
            </w:pPr>
            <w:r>
              <w:rPr>
                <w:rFonts w:ascii="Arial" w:cs="Arial" w:eastAsia="Arial" w:hAnsi="Arial"/>
                <w:sz w:val="18"/>
                <w:szCs w:val="18"/>
                <w:color w:val="auto"/>
              </w:rPr>
              <w:t>Europe</w:t>
            </w:r>
          </w:p>
        </w:tc>
        <w:tc>
          <w:tcPr>
            <w:tcW w:w="620" w:type="dxa"/>
            <w:vAlign w:val="bottom"/>
            <w:gridSpan w:val="8"/>
          </w:tcPr>
          <w:p>
            <w:pPr>
              <w:jc w:val="right"/>
              <w:spacing w:after="0"/>
              <w:rPr>
                <w:sz w:val="20"/>
                <w:szCs w:val="20"/>
                <w:color w:val="auto"/>
              </w:rPr>
            </w:pPr>
            <w:r>
              <w:rPr>
                <w:rFonts w:ascii="Arial" w:cs="Arial" w:eastAsia="Arial" w:hAnsi="Arial"/>
                <w:sz w:val="18"/>
                <w:szCs w:val="18"/>
                <w:color w:val="auto"/>
              </w:rPr>
              <w:t>317</w:t>
            </w: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428</w:t>
            </w:r>
          </w:p>
        </w:tc>
      </w:tr>
      <w:tr>
        <w:trPr>
          <w:trHeight w:val="421"/>
        </w:trPr>
        <w:tc>
          <w:tcPr>
            <w:tcW w:w="3980" w:type="dxa"/>
            <w:vAlign w:val="bottom"/>
          </w:tcPr>
          <w:p>
            <w:pPr>
              <w:spacing w:after="0"/>
              <w:rPr>
                <w:sz w:val="20"/>
                <w:szCs w:val="20"/>
                <w:color w:val="auto"/>
              </w:rPr>
            </w:pPr>
            <w:r>
              <w:rPr>
                <w:rFonts w:ascii="Arial" w:cs="Arial" w:eastAsia="Arial" w:hAnsi="Arial"/>
                <w:sz w:val="18"/>
                <w:szCs w:val="18"/>
                <w:color w:val="auto"/>
              </w:rPr>
              <w:t>Asia-Pacific</w:t>
            </w:r>
          </w:p>
        </w:tc>
        <w:tc>
          <w:tcPr>
            <w:tcW w:w="220" w:type="dxa"/>
            <w:vAlign w:val="bottom"/>
            <w:gridSpan w:val="3"/>
          </w:tcPr>
          <w:p>
            <w:pPr>
              <w:spacing w:after="0"/>
              <w:rPr>
                <w:sz w:val="24"/>
                <w:szCs w:val="24"/>
                <w:color w:val="auto"/>
              </w:rPr>
            </w:pPr>
          </w:p>
        </w:tc>
        <w:tc>
          <w:tcPr>
            <w:tcW w:w="4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392</w:t>
            </w:r>
          </w:p>
        </w:tc>
        <w:tc>
          <w:tcPr>
            <w:tcW w:w="360" w:type="dxa"/>
            <w:vAlign w:val="bottom"/>
            <w:gridSpan w:val="3"/>
          </w:tcPr>
          <w:p>
            <w:pPr>
              <w:spacing w:after="0"/>
              <w:rPr>
                <w:sz w:val="24"/>
                <w:szCs w:val="24"/>
                <w:color w:val="auto"/>
              </w:rPr>
            </w:pPr>
          </w:p>
        </w:tc>
        <w:tc>
          <w:tcPr>
            <w:tcW w:w="4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596</w:t>
            </w:r>
          </w:p>
        </w:tc>
      </w:tr>
      <w:tr>
        <w:trPr>
          <w:trHeight w:val="439"/>
        </w:trPr>
        <w:tc>
          <w:tcPr>
            <w:tcW w:w="398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500" w:type="dxa"/>
            <w:vAlign w:val="bottom"/>
            <w:gridSpan w:val="6"/>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9,529</w:t>
            </w:r>
          </w:p>
        </w:tc>
        <w:tc>
          <w:tcPr>
            <w:tcW w:w="760" w:type="dxa"/>
            <w:vAlign w:val="bottom"/>
            <w:gridSpan w:val="8"/>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4,395</w:t>
            </w:r>
          </w:p>
        </w:tc>
      </w:tr>
      <w:tr>
        <w:trPr>
          <w:trHeight w:val="20"/>
        </w:trPr>
        <w:tc>
          <w:tcPr>
            <w:tcW w:w="39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Borders>
              <w:right w:val="single" w:sz="8" w:color="auto"/>
            </w:tcBorders>
            <w:gridSpan w:val="3"/>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601"/>
        </w:trPr>
        <w:tc>
          <w:tcPr>
            <w:tcW w:w="3980" w:type="dxa"/>
            <w:vAlign w:val="bottom"/>
          </w:tcPr>
          <w:p>
            <w:pPr>
              <w:spacing w:after="0"/>
              <w:rPr>
                <w:sz w:val="24"/>
                <w:szCs w:val="24"/>
                <w:color w:val="auto"/>
              </w:rPr>
            </w:pPr>
          </w:p>
        </w:tc>
        <w:tc>
          <w:tcPr>
            <w:tcW w:w="620" w:type="dxa"/>
            <w:vAlign w:val="bottom"/>
            <w:gridSpan w:val="8"/>
          </w:tcPr>
          <w:p>
            <w:pPr>
              <w:jc w:val="center"/>
              <w:ind w:right="60"/>
              <w:spacing w:after="0"/>
              <w:rPr>
                <w:sz w:val="20"/>
                <w:szCs w:val="20"/>
                <w:color w:val="auto"/>
              </w:rPr>
            </w:pPr>
            <w:r>
              <w:rPr>
                <w:rFonts w:ascii="Arial" w:cs="Arial" w:eastAsia="Arial" w:hAnsi="Arial"/>
                <w:sz w:val="14"/>
                <w:szCs w:val="14"/>
                <w:b w:val="1"/>
                <w:bCs w:val="1"/>
                <w:i w:val="1"/>
                <w:iCs w:val="1"/>
                <w:color w:val="auto"/>
                <w:w w:val="91"/>
              </w:rPr>
              <w:t>Mar. 31,</w:t>
            </w:r>
          </w:p>
        </w:tc>
        <w:tc>
          <w:tcPr>
            <w:tcW w:w="160" w:type="dxa"/>
            <w:vAlign w:val="bottom"/>
          </w:tcPr>
          <w:p>
            <w:pPr>
              <w:spacing w:after="0"/>
              <w:rPr>
                <w:sz w:val="24"/>
                <w:szCs w:val="24"/>
                <w:color w:val="auto"/>
              </w:rPr>
            </w:pPr>
          </w:p>
        </w:tc>
        <w:tc>
          <w:tcPr>
            <w:tcW w:w="600" w:type="dxa"/>
            <w:vAlign w:val="bottom"/>
            <w:gridSpan w:val="7"/>
          </w:tcPr>
          <w:p>
            <w:pPr>
              <w:jc w:val="right"/>
              <w:ind w:right="100"/>
              <w:spacing w:after="0"/>
              <w:rPr>
                <w:sz w:val="20"/>
                <w:szCs w:val="20"/>
                <w:color w:val="auto"/>
              </w:rPr>
            </w:pPr>
            <w:r>
              <w:rPr>
                <w:rFonts w:ascii="Arial" w:cs="Arial" w:eastAsia="Arial" w:hAnsi="Arial"/>
                <w:sz w:val="14"/>
                <w:szCs w:val="14"/>
                <w:b w:val="1"/>
                <w:bCs w:val="1"/>
                <w:i w:val="1"/>
                <w:iCs w:val="1"/>
                <w:color w:val="auto"/>
                <w:w w:val="90"/>
              </w:rPr>
              <w:t>Dec. 31,</w:t>
            </w:r>
          </w:p>
        </w:tc>
      </w:tr>
      <w:tr>
        <w:trPr>
          <w:trHeight w:val="163"/>
        </w:trPr>
        <w:tc>
          <w:tcPr>
            <w:tcW w:w="3980" w:type="dxa"/>
            <w:vAlign w:val="bottom"/>
          </w:tcPr>
          <w:p>
            <w:pPr>
              <w:spacing w:after="0"/>
              <w:rPr>
                <w:sz w:val="14"/>
                <w:szCs w:val="14"/>
                <w:color w:val="auto"/>
              </w:rPr>
            </w:pPr>
          </w:p>
        </w:tc>
        <w:tc>
          <w:tcPr>
            <w:tcW w:w="520" w:type="dxa"/>
            <w:vAlign w:val="bottom"/>
            <w:gridSpan w:val="6"/>
          </w:tcPr>
          <w:p>
            <w:pPr>
              <w:jc w:val="right"/>
              <w:ind w:right="22"/>
              <w:spacing w:after="0"/>
              <w:rPr>
                <w:sz w:val="20"/>
                <w:szCs w:val="20"/>
                <w:color w:val="auto"/>
              </w:rPr>
            </w:pPr>
            <w:r>
              <w:rPr>
                <w:rFonts w:ascii="Arial" w:cs="Arial" w:eastAsia="Arial" w:hAnsi="Arial"/>
                <w:sz w:val="14"/>
                <w:szCs w:val="14"/>
                <w:b w:val="1"/>
                <w:bCs w:val="1"/>
                <w:i w:val="1"/>
                <w:iCs w:val="1"/>
                <w:color w:val="auto"/>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5"/>
          </w:tcPr>
          <w:p>
            <w:pPr>
              <w:jc w:val="right"/>
              <w:spacing w:after="0"/>
              <w:rPr>
                <w:sz w:val="20"/>
                <w:szCs w:val="20"/>
                <w:color w:val="auto"/>
              </w:rPr>
            </w:pPr>
            <w:r>
              <w:rPr>
                <w:rFonts w:ascii="Arial" w:cs="Arial" w:eastAsia="Arial" w:hAnsi="Arial"/>
                <w:sz w:val="14"/>
                <w:szCs w:val="14"/>
                <w:b w:val="1"/>
                <w:bCs w:val="1"/>
                <w:i w:val="1"/>
                <w:iCs w:val="1"/>
                <w:color w:val="auto"/>
              </w:rPr>
              <w:t>2009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62"/>
        </w:trPr>
        <w:tc>
          <w:tcPr>
            <w:tcW w:w="3980" w:type="dxa"/>
            <w:vAlign w:val="bottom"/>
          </w:tcPr>
          <w:p>
            <w:pPr>
              <w:spacing w:after="0"/>
              <w:rPr>
                <w:sz w:val="20"/>
                <w:szCs w:val="20"/>
                <w:color w:val="auto"/>
              </w:rPr>
            </w:pPr>
            <w:r>
              <w:rPr>
                <w:rFonts w:ascii="Arial" w:cs="Arial" w:eastAsia="Arial" w:hAnsi="Arial"/>
                <w:sz w:val="18"/>
                <w:szCs w:val="18"/>
                <w:b w:val="1"/>
                <w:bCs w:val="1"/>
                <w:i w:val="1"/>
                <w:iCs w:val="1"/>
                <w:color w:val="auto"/>
              </w:rPr>
              <w:t>Long-lived assets:</w:t>
            </w: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459"/>
        </w:trPr>
        <w:tc>
          <w:tcPr>
            <w:tcW w:w="3980" w:type="dxa"/>
            <w:vAlign w:val="bottom"/>
          </w:tcPr>
          <w:p>
            <w:pPr>
              <w:spacing w:after="0"/>
              <w:rPr>
                <w:sz w:val="20"/>
                <w:szCs w:val="20"/>
                <w:color w:val="auto"/>
              </w:rPr>
            </w:pPr>
            <w:r>
              <w:rPr>
                <w:rFonts w:ascii="Arial" w:cs="Arial" w:eastAsia="Arial" w:hAnsi="Arial"/>
                <w:sz w:val="18"/>
                <w:szCs w:val="18"/>
                <w:color w:val="auto"/>
              </w:rPr>
              <w:t>U.S.</w:t>
            </w:r>
          </w:p>
        </w:tc>
        <w:tc>
          <w:tcPr>
            <w:tcW w:w="620" w:type="dxa"/>
            <w:vAlign w:val="bottom"/>
            <w:gridSpan w:val="8"/>
          </w:tcPr>
          <w:p>
            <w:pPr>
              <w:jc w:val="right"/>
              <w:spacing w:after="0"/>
              <w:rPr>
                <w:sz w:val="20"/>
                <w:szCs w:val="20"/>
                <w:color w:val="auto"/>
              </w:rPr>
            </w:pPr>
            <w:r>
              <w:rPr>
                <w:rFonts w:ascii="Arial" w:cs="Arial" w:eastAsia="Arial" w:hAnsi="Arial"/>
                <w:sz w:val="18"/>
                <w:szCs w:val="18"/>
                <w:color w:val="auto"/>
              </w:rPr>
              <w:t>$171</w:t>
            </w: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$200</w:t>
            </w:r>
          </w:p>
        </w:tc>
      </w:tr>
      <w:tr>
        <w:trPr>
          <w:trHeight w:val="459"/>
        </w:trPr>
        <w:tc>
          <w:tcPr>
            <w:tcW w:w="3980" w:type="dxa"/>
            <w:vAlign w:val="bottom"/>
          </w:tcPr>
          <w:p>
            <w:pPr>
              <w:spacing w:after="0"/>
              <w:rPr>
                <w:sz w:val="20"/>
                <w:szCs w:val="20"/>
                <w:color w:val="auto"/>
              </w:rPr>
            </w:pPr>
            <w:r>
              <w:rPr>
                <w:rFonts w:ascii="Arial" w:cs="Arial" w:eastAsia="Arial" w:hAnsi="Arial"/>
                <w:sz w:val="18"/>
                <w:szCs w:val="18"/>
                <w:color w:val="auto"/>
              </w:rPr>
              <w:t>Europe</w:t>
            </w:r>
          </w:p>
        </w:tc>
        <w:tc>
          <w:tcPr>
            <w:tcW w:w="620" w:type="dxa"/>
            <w:vAlign w:val="bottom"/>
            <w:gridSpan w:val="8"/>
          </w:tcPr>
          <w:p>
            <w:pPr>
              <w:jc w:val="right"/>
              <w:spacing w:after="0"/>
              <w:rPr>
                <w:sz w:val="20"/>
                <w:szCs w:val="20"/>
                <w:color w:val="auto"/>
              </w:rPr>
            </w:pPr>
            <w:r>
              <w:rPr>
                <w:rFonts w:ascii="Arial" w:cs="Arial" w:eastAsia="Arial" w:hAnsi="Arial"/>
                <w:sz w:val="18"/>
                <w:szCs w:val="18"/>
                <w:color w:val="auto"/>
              </w:rPr>
              <w:t>74</w:t>
            </w: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91</w:t>
            </w:r>
          </w:p>
        </w:tc>
      </w:tr>
      <w:tr>
        <w:trPr>
          <w:trHeight w:val="421"/>
        </w:trPr>
        <w:tc>
          <w:tcPr>
            <w:tcW w:w="3980" w:type="dxa"/>
            <w:vAlign w:val="bottom"/>
          </w:tcPr>
          <w:p>
            <w:pPr>
              <w:spacing w:after="0"/>
              <w:rPr>
                <w:sz w:val="20"/>
                <w:szCs w:val="20"/>
                <w:color w:val="auto"/>
              </w:rPr>
            </w:pPr>
            <w:r>
              <w:rPr>
                <w:rFonts w:ascii="Arial" w:cs="Arial" w:eastAsia="Arial" w:hAnsi="Arial"/>
                <w:sz w:val="18"/>
                <w:szCs w:val="18"/>
                <w:color w:val="auto"/>
              </w:rPr>
              <w:t>Asia-Pacific</w:t>
            </w:r>
          </w:p>
        </w:tc>
        <w:tc>
          <w:tcPr>
            <w:tcW w:w="300" w:type="dxa"/>
            <w:vAlign w:val="bottom"/>
            <w:gridSpan w:val="5"/>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39</w:t>
            </w:r>
          </w:p>
        </w:tc>
        <w:tc>
          <w:tcPr>
            <w:tcW w:w="460" w:type="dxa"/>
            <w:vAlign w:val="bottom"/>
            <w:gridSpan w:val="4"/>
          </w:tcPr>
          <w:p>
            <w:pPr>
              <w:spacing w:after="0"/>
              <w:rPr>
                <w:sz w:val="24"/>
                <w:szCs w:val="24"/>
                <w:color w:val="auto"/>
              </w:rPr>
            </w:pPr>
          </w:p>
        </w:tc>
        <w:tc>
          <w:tcPr>
            <w:tcW w:w="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w:t>
            </w:r>
          </w:p>
        </w:tc>
      </w:tr>
      <w:tr>
        <w:trPr>
          <w:trHeight w:val="439"/>
        </w:trPr>
        <w:tc>
          <w:tcPr>
            <w:tcW w:w="3980" w:type="dxa"/>
            <w:vAlign w:val="bottom"/>
          </w:tcPr>
          <w:p>
            <w:pPr>
              <w:spacing w:after="0"/>
              <w:rPr>
                <w:sz w:val="24"/>
                <w:szCs w:val="24"/>
                <w:color w:val="auto"/>
              </w:rPr>
            </w:pPr>
          </w:p>
        </w:tc>
        <w:tc>
          <w:tcPr>
            <w:tcW w:w="620" w:type="dxa"/>
            <w:vAlign w:val="bottom"/>
            <w:gridSpan w:val="8"/>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284</w:t>
            </w:r>
          </w:p>
        </w:tc>
        <w:tc>
          <w:tcPr>
            <w:tcW w:w="760" w:type="dxa"/>
            <w:vAlign w:val="bottom"/>
            <w:gridSpan w:val="8"/>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297</w:t>
            </w:r>
          </w:p>
        </w:tc>
      </w:tr>
      <w:tr>
        <w:trPr>
          <w:trHeight w:val="20"/>
        </w:trPr>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741680</wp:posOffset>
            </wp:positionV>
            <wp:extent cx="620014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ind w:left="520" w:right="1720" w:hanging="539"/>
        <w:spacing w:after="0" w:line="478"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u w:val="single" w:color="auto"/>
          <w:color w:val="auto"/>
        </w:rPr>
        <w:t>Risk Factors and Forward-Looking Statements</w:t>
      </w:r>
    </w:p>
    <w:p>
      <w:pPr>
        <w:spacing w:after="0" w:line="5" w:lineRule="exact"/>
        <w:rPr>
          <w:sz w:val="20"/>
          <w:szCs w:val="20"/>
          <w:color w:val="auto"/>
        </w:rPr>
      </w:pPr>
    </w:p>
    <w:p>
      <w:pPr>
        <w:ind w:left="520" w:right="60"/>
        <w:spacing w:after="0" w:line="254" w:lineRule="auto"/>
        <w:rPr>
          <w:sz w:val="20"/>
          <w:szCs w:val="20"/>
          <w:color w:val="auto"/>
        </w:rPr>
      </w:pPr>
      <w:r>
        <w:rPr>
          <w:rFonts w:ascii="Arial" w:cs="Arial" w:eastAsia="Arial" w:hAnsi="Arial"/>
          <w:sz w:val="18"/>
          <w:szCs w:val="18"/>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w:t>
      </w:r>
    </w:p>
    <w:p>
      <w:pPr>
        <w:spacing w:after="0" w:line="198" w:lineRule="exact"/>
        <w:rPr>
          <w:sz w:val="20"/>
          <w:szCs w:val="20"/>
          <w:color w:val="auto"/>
        </w:rPr>
      </w:pPr>
    </w:p>
    <w:p>
      <w:pPr>
        <w:ind w:left="520"/>
        <w:spacing w:after="0" w:line="298" w:lineRule="auto"/>
        <w:rPr>
          <w:sz w:val="20"/>
          <w:szCs w:val="20"/>
          <w:color w:val="auto"/>
        </w:rPr>
      </w:pPr>
      <w:r>
        <w:rPr>
          <w:rFonts w:ascii="Arial" w:cs="Arial" w:eastAsia="Arial" w:hAnsi="Arial"/>
          <w:sz w:val="16"/>
          <w:szCs w:val="16"/>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of our 2009 Form 10-K. Material changes to such risk factors may be reported in subsequent Quarterly Reports on Form 10-Q in Part II, Item 1A. There have been no such changes from the risk factors set forth in our 2009 Form 10-K.</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20" w:right="280"/>
        <w:spacing w:after="0" w:line="268" w:lineRule="auto"/>
        <w:rPr>
          <w:sz w:val="20"/>
          <w:szCs w:val="20"/>
          <w:color w:val="auto"/>
        </w:rPr>
      </w:pPr>
      <w:r>
        <w:rPr>
          <w:rFonts w:ascii="Arial" w:cs="Arial" w:eastAsia="Arial" w:hAnsi="Arial"/>
          <w:sz w:val="18"/>
          <w:szCs w:val="18"/>
          <w:color w:val="auto"/>
        </w:rPr>
        <w:t>This MD&amp;A should be read in conjunction with the accompanying consolidated financial statements. See, also, Part I, Item 1A - "Risk Factors" of our 2009 Form 10-K.</w:t>
      </w:r>
    </w:p>
    <w:p>
      <w:pPr>
        <w:spacing w:after="0" w:line="186" w:lineRule="exact"/>
        <w:rPr>
          <w:sz w:val="20"/>
          <w:szCs w:val="20"/>
          <w:color w:val="auto"/>
        </w:rPr>
      </w:pPr>
    </w:p>
    <w:p>
      <w:pPr>
        <w:ind w:left="520" w:right="20"/>
        <w:spacing w:after="0" w:line="286"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These industry cycles are difficult to predict and in recent years have become more volatile and, in most cases, shorter in duration. Because the industry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w:t>
      </w:r>
    </w:p>
    <w:p>
      <w:pPr>
        <w:sectPr>
          <w:pgSz w:w="11900" w:h="16937" w:orient="portrait"/>
          <w:cols w:equalWidth="0" w:num="1">
            <w:col w:w="11380"/>
          </w:cols>
          <w:pgMar w:left="260" w:top="131" w:right="259" w:bottom="0" w:gutter="0" w:footer="0" w:header="0"/>
        </w:sectPr>
      </w:pPr>
    </w:p>
    <w:bookmarkStart w:id="15" w:name="page16"/>
    <w:bookmarkEnd w:id="15"/>
    <w:p>
      <w:pPr>
        <w:ind w:left="540"/>
        <w:spacing w:after="0"/>
        <w:rPr>
          <w:sz w:val="20"/>
          <w:szCs w:val="20"/>
          <w:color w:val="auto"/>
        </w:rPr>
      </w:pPr>
      <w:r>
        <w:rPr>
          <w:rFonts w:ascii="Arial" w:cs="Arial" w:eastAsia="Arial" w:hAnsi="Arial"/>
          <w:sz w:val="18"/>
          <w:szCs w:val="18"/>
          <w:color w:val="auto"/>
        </w:rPr>
        <w:t>forecasts and general business conditions fluctuate during a quarter.</w:t>
      </w:r>
    </w:p>
    <w:p>
      <w:pPr>
        <w:spacing w:after="0" w:line="225" w:lineRule="exact"/>
        <w:rPr>
          <w:sz w:val="20"/>
          <w:szCs w:val="20"/>
          <w:color w:val="auto"/>
        </w:rPr>
      </w:pPr>
    </w:p>
    <w:p>
      <w:pPr>
        <w:ind w:left="540"/>
        <w:spacing w:after="0" w:line="310" w:lineRule="auto"/>
        <w:rPr>
          <w:sz w:val="20"/>
          <w:szCs w:val="20"/>
          <w:color w:val="auto"/>
        </w:rPr>
      </w:pPr>
      <w:r>
        <w:rPr>
          <w:rFonts w:ascii="Arial" w:cs="Arial" w:eastAsia="Arial" w:hAnsi="Arial"/>
          <w:sz w:val="15"/>
          <w:szCs w:val="15"/>
          <w:color w:val="auto"/>
        </w:rPr>
        <w:t>We believe that purchases of most of our products are typically made from semiconductor manufacturers' capital expenditure budgets. Certain portions of our business, however, are generally less dependent upon the capital expenditure budgets of the end users. For example, purchases of certain related ATE interface products, such as sockets and interface boards, which must be replaced periodically, are typically made from the end users' operating budgets. In addition, purchases of certain of our products, such as docking hardware, for the purpose of upgrading or improving the utilization, performance and efficiency of existing ATE, tend to be counter cyclical to sales of new ATE. Moreover, we believe a portion of our sales of thermal products results from the increasing need for temperature testing of circuit boards and specialized components that do not have the design or quantity to be tested in an electronic device handler. In addition, we market our Thermostream temperature management systems in industries outside semiconductor test, such as the automotive, aerospace, medical and telecommunications industries. We believe that these industries usually are less cyclical than the ATE industry.</w:t>
      </w:r>
    </w:p>
    <w:p>
      <w:pPr>
        <w:spacing w:after="0" w:line="162" w:lineRule="exact"/>
        <w:rPr>
          <w:sz w:val="20"/>
          <w:szCs w:val="20"/>
          <w:color w:val="auto"/>
        </w:rPr>
      </w:pPr>
    </w:p>
    <w:p>
      <w:pPr>
        <w:ind w:left="540" w:right="120"/>
        <w:spacing w:after="0" w:line="255" w:lineRule="auto"/>
        <w:rPr>
          <w:sz w:val="20"/>
          <w:szCs w:val="20"/>
          <w:color w:val="auto"/>
        </w:rPr>
      </w:pPr>
      <w:r>
        <w:rPr>
          <w:rFonts w:ascii="Arial" w:cs="Arial" w:eastAsia="Arial" w:hAnsi="Arial"/>
          <w:sz w:val="18"/>
          <w:szCs w:val="18"/>
          <w:color w:val="auto"/>
        </w:rPr>
        <w:t>While the majority of our orders and net revenues are derived from the ATE market, our operating results do not always follow the overall trend in the ATE market in any given period. We believe that these anomalies may be driven by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industry, and our operating margins in these product segments have been</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- 18 -</w:t>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306" w:lineRule="auto"/>
        <w:rPr>
          <w:sz w:val="20"/>
          <w:szCs w:val="20"/>
          <w:color w:val="auto"/>
        </w:rPr>
      </w:pPr>
      <w:r>
        <w:rPr>
          <w:rFonts w:ascii="Arial" w:cs="Arial" w:eastAsia="Arial" w:hAnsi="Arial"/>
          <w:sz w:val="15"/>
          <w:szCs w:val="15"/>
          <w:color w:val="auto"/>
        </w:rPr>
        <w:t>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increasing practice of OEM manufacturers to specify other suppliers as primary vendors, with less frequent opportunities to compete for such designations, (iii) the increased role of third-party test and assembly houses in the ATE market and their requirement of products with a greater range of use at the lowest cost, and (iv) customer supply line management groups demanding lower prices and spreading purchases across multiple vendors. In addition, due to the current global recession several semiconductor manufacturers have failed, which has resulted in a significant amount of used ATE equipment coming onto the market, whic h has reduced demand for certain types of new ATE equipment. While the supply of used equipment on the market has negatively impacted demand in all our product segments, we believe our Thermal Products segment has experienced a higher level of loss of current sales due to this issue. We currently expect the increased demand for ATE equipment will consume the supply of used equipment within several quarters, but we cannot determine with any degree of certainty when this issue of oversupply of used equipment will cease. These shifts in market practices have had, and may continue to have, varying levels of impact on our operating results, which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 and Orders</w:t>
      </w:r>
    </w:p>
    <w:p>
      <w:pPr>
        <w:spacing w:after="0" w:line="225" w:lineRule="exact"/>
        <w:rPr>
          <w:sz w:val="20"/>
          <w:szCs w:val="20"/>
          <w:color w:val="auto"/>
        </w:rPr>
      </w:pPr>
    </w:p>
    <w:p>
      <w:pPr>
        <w:ind w:left="540" w:right="500"/>
        <w:spacing w:after="0" w:line="268" w:lineRule="auto"/>
        <w:rPr>
          <w:sz w:val="20"/>
          <w:szCs w:val="20"/>
          <w:color w:val="auto"/>
        </w:rPr>
      </w:pPr>
      <w:r>
        <w:rPr>
          <w:rFonts w:ascii="Arial" w:cs="Arial" w:eastAsia="Arial" w:hAnsi="Arial"/>
          <w:sz w:val="18"/>
          <w:szCs w:val="18"/>
          <w:color w:val="auto"/>
        </w:rPr>
        <w:t>The following table sets forth, for the periods indicated, a breakdown of the net revenues from unaffiliated customers both by product segment and geographic area (based on the location of the selling entity).</w:t>
      </w:r>
    </w:p>
    <w:p>
      <w:pPr>
        <w:spacing w:after="0" w:line="141"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14"/>
          </w:tcPr>
          <w:p>
            <w:pPr>
              <w:ind w:left="20"/>
              <w:spacing w:after="0"/>
              <w:rPr>
                <w:sz w:val="20"/>
                <w:szCs w:val="20"/>
                <w:color w:val="auto"/>
              </w:rPr>
            </w:pPr>
            <w:r>
              <w:rPr>
                <w:rFonts w:ascii="Arial" w:cs="Arial" w:eastAsia="Arial" w:hAnsi="Arial"/>
                <w:sz w:val="14"/>
                <w:szCs w:val="14"/>
                <w:b w:val="1"/>
                <w:bCs w:val="1"/>
                <w:i w:val="1"/>
                <w:iCs w:val="1"/>
                <w:color w:val="auto"/>
                <w:w w:val="95"/>
              </w:rPr>
              <w:t>Three Months Ended</w:t>
            </w:r>
          </w:p>
        </w:tc>
        <w:tc>
          <w:tcPr>
            <w:tcW w:w="38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i w:val="1"/>
                <w:iCs w:val="1"/>
                <w:color w:val="auto"/>
              </w:rPr>
              <w:t>Mar.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i w:val="1"/>
                <w:iCs w:val="1"/>
                <w:color w:val="auto"/>
                <w:w w:val="86"/>
              </w:rPr>
              <w:t>Dec. 31,</w:t>
            </w:r>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8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26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i w:val="1"/>
                <w:iCs w:val="1"/>
                <w:color w:val="auto"/>
                <w:w w:val="76"/>
              </w:rPr>
              <w:t>2010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6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i w:val="1"/>
                <w:iCs w:val="1"/>
                <w:color w:val="auto"/>
                <w:w w:val="76"/>
              </w:rPr>
              <w:t>2009</w:t>
            </w:r>
          </w:p>
        </w:tc>
        <w:tc>
          <w:tcPr>
            <w:tcW w:w="1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8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i w:val="1"/>
                <w:iCs w:val="1"/>
                <w:color w:val="auto"/>
                <w:w w:val="76"/>
              </w:rPr>
              <w:t>2009</w:t>
            </w:r>
          </w:p>
        </w:tc>
        <w:tc>
          <w:tcPr>
            <w:tcW w:w="8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4820" w:type="dxa"/>
            <w:vAlign w:val="bottom"/>
            <w:vMerge w:val="continue"/>
          </w:tcPr>
          <w:p>
            <w:pPr>
              <w:spacing w:after="0"/>
              <w:rPr>
                <w:sz w:val="5"/>
                <w:szCs w:val="5"/>
                <w:color w:val="auto"/>
              </w:rPr>
            </w:pPr>
          </w:p>
        </w:tc>
        <w:tc>
          <w:tcPr>
            <w:tcW w:w="160" w:type="dxa"/>
            <w:vAlign w:val="bottom"/>
            <w:gridSpan w:val="3"/>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gridSpan w:val="3"/>
          </w:tcPr>
          <w:p>
            <w:pPr>
              <w:spacing w:after="0"/>
              <w:rPr>
                <w:sz w:val="5"/>
                <w:szCs w:val="5"/>
                <w:color w:val="auto"/>
              </w:rPr>
            </w:pPr>
          </w:p>
        </w:tc>
        <w:tc>
          <w:tcPr>
            <w:tcW w:w="1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4820" w:type="dxa"/>
            <w:vAlign w:val="bottom"/>
          </w:tcPr>
          <w:p>
            <w:pPr>
              <w:spacing w:after="0"/>
              <w:rPr>
                <w:sz w:val="20"/>
                <w:szCs w:val="20"/>
                <w:color w:val="auto"/>
              </w:rPr>
            </w:pPr>
            <w:r>
              <w:rPr>
                <w:rFonts w:ascii="Arial" w:cs="Arial" w:eastAsia="Arial" w:hAnsi="Arial"/>
                <w:sz w:val="18"/>
                <w:szCs w:val="18"/>
                <w:color w:val="auto"/>
              </w:rPr>
              <w:t>Mechanical Products</w:t>
            </w:r>
          </w:p>
        </w:tc>
        <w:tc>
          <w:tcPr>
            <w:tcW w:w="460" w:type="dxa"/>
            <w:vAlign w:val="bottom"/>
            <w:gridSpan w:val="7"/>
          </w:tcPr>
          <w:p>
            <w:pPr>
              <w:jc w:val="right"/>
              <w:spacing w:after="0"/>
              <w:rPr>
                <w:sz w:val="20"/>
                <w:szCs w:val="20"/>
                <w:color w:val="auto"/>
              </w:rPr>
            </w:pPr>
            <w:r>
              <w:rPr>
                <w:rFonts w:ascii="Arial" w:cs="Arial" w:eastAsia="Arial" w:hAnsi="Arial"/>
                <w:sz w:val="18"/>
                <w:szCs w:val="18"/>
                <w:color w:val="auto"/>
                <w:w w:val="79"/>
              </w:rPr>
              <w:t>$4,756</w:t>
            </w:r>
          </w:p>
        </w:tc>
        <w:tc>
          <w:tcPr>
            <w:tcW w:w="2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553</w:t>
            </w:r>
          </w:p>
        </w:tc>
        <w:tc>
          <w:tcPr>
            <w:tcW w:w="200" w:type="dxa"/>
            <w:vAlign w:val="bottom"/>
          </w:tcPr>
          <w:p>
            <w:pPr>
              <w:spacing w:after="0"/>
              <w:rPr>
                <w:sz w:val="24"/>
                <w:szCs w:val="24"/>
                <w:color w:val="auto"/>
              </w:rPr>
            </w:pPr>
          </w:p>
        </w:tc>
        <w:tc>
          <w:tcPr>
            <w:tcW w:w="600" w:type="dxa"/>
            <w:vAlign w:val="bottom"/>
            <w:gridSpan w:val="10"/>
          </w:tcPr>
          <w:p>
            <w:pPr>
              <w:jc w:val="right"/>
              <w:ind w:right="40"/>
              <w:spacing w:after="0"/>
              <w:rPr>
                <w:sz w:val="20"/>
                <w:szCs w:val="20"/>
                <w:color w:val="auto"/>
              </w:rPr>
            </w:pPr>
            <w:r>
              <w:rPr>
                <w:rFonts w:ascii="Arial" w:cs="Arial" w:eastAsia="Arial" w:hAnsi="Arial"/>
                <w:sz w:val="18"/>
                <w:szCs w:val="18"/>
                <w:color w:val="auto"/>
                <w:w w:val="98"/>
              </w:rPr>
              <w:t>$4,257</w:t>
            </w:r>
          </w:p>
        </w:tc>
        <w:tc>
          <w:tcPr>
            <w:tcW w:w="0" w:type="dxa"/>
            <w:vAlign w:val="bottom"/>
          </w:tcPr>
          <w:p>
            <w:pPr>
              <w:spacing w:after="0"/>
              <w:rPr>
                <w:sz w:val="1"/>
                <w:szCs w:val="1"/>
                <w:color w:val="auto"/>
              </w:rPr>
            </w:pPr>
          </w:p>
        </w:tc>
      </w:tr>
      <w:tr>
        <w:trPr>
          <w:trHeight w:val="459"/>
        </w:trPr>
        <w:tc>
          <w:tcPr>
            <w:tcW w:w="4820" w:type="dxa"/>
            <w:vAlign w:val="bottom"/>
          </w:tcPr>
          <w:p>
            <w:pPr>
              <w:spacing w:after="0"/>
              <w:rPr>
                <w:sz w:val="20"/>
                <w:szCs w:val="20"/>
                <w:color w:val="auto"/>
              </w:rPr>
            </w:pPr>
            <w:r>
              <w:rPr>
                <w:rFonts w:ascii="Arial" w:cs="Arial" w:eastAsia="Arial" w:hAnsi="Arial"/>
                <w:sz w:val="18"/>
                <w:szCs w:val="18"/>
                <w:color w:val="auto"/>
              </w:rPr>
              <w:t>Thermal Products</w:t>
            </w:r>
          </w:p>
        </w:tc>
        <w:tc>
          <w:tcPr>
            <w:tcW w:w="460" w:type="dxa"/>
            <w:vAlign w:val="bottom"/>
            <w:gridSpan w:val="7"/>
          </w:tcPr>
          <w:p>
            <w:pPr>
              <w:jc w:val="right"/>
              <w:spacing w:after="0"/>
              <w:rPr>
                <w:sz w:val="20"/>
                <w:szCs w:val="20"/>
                <w:color w:val="auto"/>
              </w:rPr>
            </w:pPr>
            <w:r>
              <w:rPr>
                <w:rFonts w:ascii="Arial" w:cs="Arial" w:eastAsia="Arial" w:hAnsi="Arial"/>
                <w:sz w:val="18"/>
                <w:szCs w:val="18"/>
                <w:color w:val="auto"/>
                <w:w w:val="97"/>
              </w:rPr>
              <w:t>3,512</w:t>
            </w:r>
          </w:p>
        </w:tc>
        <w:tc>
          <w:tcPr>
            <w:tcW w:w="280" w:type="dxa"/>
            <w:vAlign w:val="bottom"/>
          </w:tcPr>
          <w:p>
            <w:pPr>
              <w:spacing w:after="0"/>
              <w:rPr>
                <w:sz w:val="24"/>
                <w:szCs w:val="24"/>
                <w:color w:val="auto"/>
              </w:rPr>
            </w:pPr>
          </w:p>
        </w:tc>
        <w:tc>
          <w:tcPr>
            <w:tcW w:w="480" w:type="dxa"/>
            <w:vAlign w:val="bottom"/>
            <w:gridSpan w:val="7"/>
          </w:tcPr>
          <w:p>
            <w:pPr>
              <w:jc w:val="right"/>
              <w:spacing w:after="0"/>
              <w:rPr>
                <w:sz w:val="20"/>
                <w:szCs w:val="20"/>
                <w:color w:val="auto"/>
              </w:rPr>
            </w:pPr>
            <w:r>
              <w:rPr>
                <w:rFonts w:ascii="Arial" w:cs="Arial" w:eastAsia="Arial" w:hAnsi="Arial"/>
                <w:sz w:val="18"/>
                <w:szCs w:val="18"/>
                <w:color w:val="auto"/>
              </w:rPr>
              <w:t>3,711</w:t>
            </w:r>
          </w:p>
        </w:tc>
        <w:tc>
          <w:tcPr>
            <w:tcW w:w="200" w:type="dxa"/>
            <w:vAlign w:val="bottom"/>
          </w:tcPr>
          <w:p>
            <w:pPr>
              <w:spacing w:after="0"/>
              <w:rPr>
                <w:sz w:val="24"/>
                <w:szCs w:val="24"/>
                <w:color w:val="auto"/>
              </w:rPr>
            </w:pPr>
          </w:p>
        </w:tc>
        <w:tc>
          <w:tcPr>
            <w:tcW w:w="600" w:type="dxa"/>
            <w:vAlign w:val="bottom"/>
            <w:gridSpan w:val="10"/>
          </w:tcPr>
          <w:p>
            <w:pPr>
              <w:jc w:val="right"/>
              <w:ind w:right="40"/>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459"/>
        </w:trPr>
        <w:tc>
          <w:tcPr>
            <w:tcW w:w="4820" w:type="dxa"/>
            <w:vAlign w:val="bottom"/>
          </w:tcPr>
          <w:p>
            <w:pPr>
              <w:spacing w:after="0"/>
              <w:rPr>
                <w:sz w:val="20"/>
                <w:szCs w:val="20"/>
                <w:color w:val="auto"/>
              </w:rPr>
            </w:pPr>
            <w:r>
              <w:rPr>
                <w:rFonts w:ascii="Arial" w:cs="Arial" w:eastAsia="Arial" w:hAnsi="Arial"/>
                <w:sz w:val="18"/>
                <w:szCs w:val="18"/>
                <w:color w:val="auto"/>
              </w:rPr>
              <w:t>Electrical Products</w:t>
            </w:r>
          </w:p>
        </w:tc>
        <w:tc>
          <w:tcPr>
            <w:tcW w:w="460" w:type="dxa"/>
            <w:vAlign w:val="bottom"/>
            <w:gridSpan w:val="7"/>
          </w:tcPr>
          <w:p>
            <w:pPr>
              <w:jc w:val="right"/>
              <w:spacing w:after="0"/>
              <w:rPr>
                <w:sz w:val="20"/>
                <w:szCs w:val="20"/>
                <w:color w:val="auto"/>
              </w:rPr>
            </w:pPr>
            <w:r>
              <w:rPr>
                <w:rFonts w:ascii="Arial" w:cs="Arial" w:eastAsia="Arial" w:hAnsi="Arial"/>
                <w:sz w:val="18"/>
                <w:szCs w:val="18"/>
                <w:color w:val="auto"/>
                <w:w w:val="97"/>
              </w:rPr>
              <w:t>1,262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501</w:t>
            </w:r>
          </w:p>
        </w:tc>
        <w:tc>
          <w:tcPr>
            <w:tcW w:w="200" w:type="dxa"/>
            <w:vAlign w:val="bottom"/>
          </w:tcPr>
          <w:p>
            <w:pPr>
              <w:spacing w:after="0"/>
              <w:rPr>
                <w:sz w:val="24"/>
                <w:szCs w:val="24"/>
                <w:color w:val="auto"/>
              </w:rPr>
            </w:pPr>
          </w:p>
        </w:tc>
        <w:tc>
          <w:tcPr>
            <w:tcW w:w="600" w:type="dxa"/>
            <w:vAlign w:val="bottom"/>
            <w:gridSpan w:val="10"/>
          </w:tcPr>
          <w:p>
            <w:pPr>
              <w:jc w:val="right"/>
              <w:ind w:right="4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421"/>
        </w:trPr>
        <w:tc>
          <w:tcPr>
            <w:tcW w:w="4820" w:type="dxa"/>
            <w:vAlign w:val="bottom"/>
          </w:tcPr>
          <w:p>
            <w:pPr>
              <w:spacing w:after="0"/>
              <w:rPr>
                <w:sz w:val="20"/>
                <w:szCs w:val="20"/>
                <w:color w:val="auto"/>
              </w:rPr>
            </w:pPr>
            <w:r>
              <w:rPr>
                <w:rFonts w:ascii="Arial" w:cs="Arial" w:eastAsia="Arial" w:hAnsi="Arial"/>
                <w:sz w:val="18"/>
                <w:szCs w:val="18"/>
                <w:color w:val="auto"/>
              </w:rPr>
              <w:t>Intersegment sales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(1)</w:t>
            </w:r>
          </w:p>
        </w:tc>
        <w:tc>
          <w:tcPr>
            <w:tcW w:w="680" w:type="dxa"/>
            <w:vAlign w:val="bottom"/>
            <w:gridSpan w:val="8"/>
          </w:tcPr>
          <w:p>
            <w:pPr>
              <w:jc w:val="right"/>
              <w:ind w:right="160"/>
              <w:spacing w:after="0"/>
              <w:rPr>
                <w:sz w:val="20"/>
                <w:szCs w:val="20"/>
                <w:color w:val="auto"/>
              </w:rPr>
            </w:pPr>
            <w:r>
              <w:rPr>
                <w:rFonts w:ascii="Arial" w:cs="Arial" w:eastAsia="Arial" w:hAnsi="Arial"/>
                <w:sz w:val="18"/>
                <w:szCs w:val="18"/>
                <w:color w:val="auto"/>
              </w:rPr>
              <w:t>(370)</w:t>
            </w:r>
          </w:p>
        </w:tc>
        <w:tc>
          <w:tcPr>
            <w:tcW w:w="600" w:type="dxa"/>
            <w:vAlign w:val="bottom"/>
            <w:gridSpan w:val="10"/>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4820" w:type="dxa"/>
            <w:vAlign w:val="bottom"/>
            <w:tcBorders>
              <w:right w:val="single" w:sz="8" w:color="auto"/>
            </w:tcBorders>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4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20" w:type="dxa"/>
            <w:vAlign w:val="bottom"/>
          </w:tcPr>
          <w:p>
            <w:pPr>
              <w:spacing w:after="0"/>
              <w:rPr>
                <w:sz w:val="24"/>
                <w:szCs w:val="24"/>
                <w:color w:val="auto"/>
              </w:rPr>
            </w:pPr>
          </w:p>
        </w:tc>
        <w:tc>
          <w:tcPr>
            <w:tcW w:w="460" w:type="dxa"/>
            <w:vAlign w:val="bottom"/>
            <w:gridSpan w:val="7"/>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9,529</w:t>
            </w:r>
          </w:p>
        </w:tc>
        <w:tc>
          <w:tcPr>
            <w:tcW w:w="280" w:type="dxa"/>
            <w:vAlign w:val="bottom"/>
          </w:tcPr>
          <w:p>
            <w:pPr>
              <w:spacing w:after="0"/>
              <w:rPr>
                <w:sz w:val="24"/>
                <w:szCs w:val="24"/>
                <w:color w:val="auto"/>
              </w:rPr>
            </w:pPr>
          </w:p>
        </w:tc>
        <w:tc>
          <w:tcPr>
            <w:tcW w:w="480" w:type="dxa"/>
            <w:vAlign w:val="bottom"/>
            <w:gridSpan w:val="7"/>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4,395</w:t>
            </w:r>
          </w:p>
        </w:tc>
        <w:tc>
          <w:tcPr>
            <w:tcW w:w="200" w:type="dxa"/>
            <w:vAlign w:val="bottom"/>
          </w:tcPr>
          <w:p>
            <w:pPr>
              <w:spacing w:after="0"/>
              <w:rPr>
                <w:sz w:val="24"/>
                <w:szCs w:val="24"/>
                <w:color w:val="auto"/>
              </w:rPr>
            </w:pPr>
          </w:p>
        </w:tc>
        <w:tc>
          <w:tcPr>
            <w:tcW w:w="600" w:type="dxa"/>
            <w:vAlign w:val="bottom"/>
            <w:gridSpan w:val="10"/>
          </w:tcPr>
          <w:p>
            <w:pPr>
              <w:jc w:val="right"/>
              <w:ind w:right="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8,423</w:t>
            </w:r>
          </w:p>
        </w:tc>
        <w:tc>
          <w:tcPr>
            <w:tcW w:w="0" w:type="dxa"/>
            <w:vAlign w:val="bottom"/>
          </w:tcPr>
          <w:p>
            <w:pPr>
              <w:spacing w:after="0"/>
              <w:rPr>
                <w:sz w:val="1"/>
                <w:szCs w:val="1"/>
                <w:color w:val="auto"/>
              </w:rPr>
            </w:pPr>
          </w:p>
        </w:tc>
      </w:tr>
      <w:tr>
        <w:trPr>
          <w:trHeight w:val="410"/>
        </w:trPr>
        <w:tc>
          <w:tcPr>
            <w:tcW w:w="482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820" w:type="dxa"/>
            <w:vAlign w:val="bottom"/>
          </w:tcPr>
          <w:p>
            <w:pPr>
              <w:spacing w:after="0"/>
              <w:rPr>
                <w:sz w:val="20"/>
                <w:szCs w:val="20"/>
                <w:color w:val="auto"/>
              </w:rPr>
            </w:pPr>
            <w:r>
              <w:rPr>
                <w:rFonts w:ascii="Arial" w:cs="Arial" w:eastAsia="Arial" w:hAnsi="Arial"/>
                <w:sz w:val="18"/>
                <w:szCs w:val="18"/>
                <w:color w:val="auto"/>
              </w:rPr>
              <w:t>Mechanical Products</w:t>
            </w:r>
          </w:p>
        </w:tc>
        <w:tc>
          <w:tcPr>
            <w:tcW w:w="280" w:type="dxa"/>
            <w:vAlign w:val="bottom"/>
            <w:gridSpan w:val="6"/>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00" w:type="dxa"/>
            <w:vAlign w:val="bottom"/>
            <w:gridSpan w:val="10"/>
          </w:tcPr>
          <w:p>
            <w:pPr>
              <w:jc w:val="right"/>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59"/>
        </w:trPr>
        <w:tc>
          <w:tcPr>
            <w:tcW w:w="4820" w:type="dxa"/>
            <w:vAlign w:val="bottom"/>
          </w:tcPr>
          <w:p>
            <w:pPr>
              <w:spacing w:after="0"/>
              <w:rPr>
                <w:sz w:val="20"/>
                <w:szCs w:val="20"/>
                <w:color w:val="auto"/>
              </w:rPr>
            </w:pPr>
            <w:r>
              <w:rPr>
                <w:rFonts w:ascii="Arial" w:cs="Arial" w:eastAsia="Arial" w:hAnsi="Arial"/>
                <w:sz w:val="18"/>
                <w:szCs w:val="18"/>
                <w:color w:val="auto"/>
              </w:rPr>
              <w:t>Thermal Products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268</w:t>
            </w:r>
          </w:p>
        </w:tc>
        <w:tc>
          <w:tcPr>
            <w:tcW w:w="200" w:type="dxa"/>
            <w:vAlign w:val="bottom"/>
          </w:tcPr>
          <w:p>
            <w:pPr>
              <w:spacing w:after="0"/>
              <w:rPr>
                <w:sz w:val="24"/>
                <w:szCs w:val="24"/>
                <w:color w:val="auto"/>
              </w:rPr>
            </w:pPr>
          </w:p>
        </w:tc>
        <w:tc>
          <w:tcPr>
            <w:tcW w:w="600" w:type="dxa"/>
            <w:vAlign w:val="bottom"/>
            <w:gridSpan w:val="10"/>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421"/>
        </w:trPr>
        <w:tc>
          <w:tcPr>
            <w:tcW w:w="4820" w:type="dxa"/>
            <w:vAlign w:val="bottom"/>
          </w:tcPr>
          <w:p>
            <w:pPr>
              <w:spacing w:after="0"/>
              <w:rPr>
                <w:sz w:val="20"/>
                <w:szCs w:val="20"/>
                <w:color w:val="auto"/>
              </w:rPr>
            </w:pPr>
            <w:r>
              <w:rPr>
                <w:rFonts w:ascii="Arial" w:cs="Arial" w:eastAsia="Arial" w:hAnsi="Arial"/>
                <w:sz w:val="18"/>
                <w:szCs w:val="18"/>
                <w:color w:val="auto"/>
              </w:rPr>
              <w:t>Electrical Products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102</w:t>
            </w:r>
          </w:p>
        </w:tc>
        <w:tc>
          <w:tcPr>
            <w:tcW w:w="200" w:type="dxa"/>
            <w:vAlign w:val="bottom"/>
          </w:tcPr>
          <w:p>
            <w:pPr>
              <w:spacing w:after="0"/>
              <w:rPr>
                <w:sz w:val="24"/>
                <w:szCs w:val="24"/>
                <w:color w:val="auto"/>
              </w:rPr>
            </w:pPr>
          </w:p>
        </w:tc>
        <w:tc>
          <w:tcPr>
            <w:tcW w:w="360" w:type="dxa"/>
            <w:vAlign w:val="bottom"/>
            <w:gridSpan w:val="5"/>
          </w:tcPr>
          <w:p>
            <w:pPr>
              <w:spacing w:after="0"/>
              <w:rPr>
                <w:sz w:val="24"/>
                <w:szCs w:val="24"/>
                <w:color w:val="auto"/>
              </w:rPr>
            </w:pPr>
          </w:p>
        </w:tc>
        <w:tc>
          <w:tcPr>
            <w:tcW w:w="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820" w:type="dxa"/>
            <w:vAlign w:val="bottom"/>
          </w:tcPr>
          <w:p>
            <w:pPr>
              <w:spacing w:after="0"/>
              <w:rPr>
                <w:sz w:val="24"/>
                <w:szCs w:val="24"/>
                <w:color w:val="auto"/>
              </w:rPr>
            </w:pP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48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370</w:t>
            </w:r>
          </w:p>
        </w:tc>
        <w:tc>
          <w:tcPr>
            <w:tcW w:w="200" w:type="dxa"/>
            <w:vAlign w:val="bottom"/>
          </w:tcPr>
          <w:p>
            <w:pPr>
              <w:spacing w:after="0"/>
              <w:rPr>
                <w:sz w:val="24"/>
                <w:szCs w:val="24"/>
                <w:color w:val="auto"/>
              </w:rPr>
            </w:pPr>
          </w:p>
        </w:tc>
        <w:tc>
          <w:tcPr>
            <w:tcW w:w="600" w:type="dxa"/>
            <w:vAlign w:val="bottom"/>
            <w:gridSpan w:val="10"/>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471"/>
        </w:trPr>
        <w:tc>
          <w:tcPr>
            <w:tcW w:w="4820" w:type="dxa"/>
            <w:vAlign w:val="bottom"/>
          </w:tcPr>
          <w:p>
            <w:pPr>
              <w:spacing w:after="0"/>
              <w:rPr>
                <w:sz w:val="20"/>
                <w:szCs w:val="20"/>
                <w:color w:val="auto"/>
              </w:rPr>
            </w:pPr>
            <w:r>
              <w:rPr>
                <w:rFonts w:ascii="Arial" w:cs="Arial" w:eastAsia="Arial" w:hAnsi="Arial"/>
                <w:sz w:val="18"/>
                <w:szCs w:val="18"/>
                <w:b w:val="1"/>
                <w:bCs w:val="1"/>
                <w:i w:val="1"/>
                <w:iCs w:val="1"/>
                <w:color w:val="auto"/>
                <w:w w:val="89"/>
              </w:rPr>
              <w:t>Net revenues from unaffiliated customers (net of intersegment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8"/>
                <w:szCs w:val="18"/>
                <w:b w:val="1"/>
                <w:bCs w:val="1"/>
                <w:i w:val="1"/>
                <w:iCs w:val="1"/>
                <w:color w:val="auto"/>
              </w:rPr>
              <w:t>sales)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820" w:type="dxa"/>
            <w:vAlign w:val="bottom"/>
          </w:tcPr>
          <w:p>
            <w:pPr>
              <w:spacing w:after="0"/>
              <w:rPr>
                <w:sz w:val="20"/>
                <w:szCs w:val="20"/>
                <w:color w:val="auto"/>
              </w:rPr>
            </w:pPr>
            <w:r>
              <w:rPr>
                <w:rFonts w:ascii="Arial" w:cs="Arial" w:eastAsia="Arial" w:hAnsi="Arial"/>
                <w:sz w:val="18"/>
                <w:szCs w:val="18"/>
                <w:color w:val="auto"/>
              </w:rPr>
              <w:t>Mechanical Products</w:t>
            </w:r>
          </w:p>
        </w:tc>
        <w:tc>
          <w:tcPr>
            <w:tcW w:w="460" w:type="dxa"/>
            <w:vAlign w:val="bottom"/>
            <w:gridSpan w:val="7"/>
          </w:tcPr>
          <w:p>
            <w:pPr>
              <w:jc w:val="right"/>
              <w:spacing w:after="0"/>
              <w:rPr>
                <w:sz w:val="20"/>
                <w:szCs w:val="20"/>
                <w:color w:val="auto"/>
              </w:rPr>
            </w:pPr>
            <w:r>
              <w:rPr>
                <w:rFonts w:ascii="Arial" w:cs="Arial" w:eastAsia="Arial" w:hAnsi="Arial"/>
                <w:sz w:val="18"/>
                <w:szCs w:val="18"/>
                <w:color w:val="auto"/>
                <w:w w:val="79"/>
              </w:rPr>
              <w:t>$4,756</w:t>
            </w:r>
          </w:p>
        </w:tc>
        <w:tc>
          <w:tcPr>
            <w:tcW w:w="2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553</w:t>
            </w:r>
          </w:p>
        </w:tc>
        <w:tc>
          <w:tcPr>
            <w:tcW w:w="200" w:type="dxa"/>
            <w:vAlign w:val="bottom"/>
          </w:tcPr>
          <w:p>
            <w:pPr>
              <w:spacing w:after="0"/>
              <w:rPr>
                <w:sz w:val="24"/>
                <w:szCs w:val="24"/>
                <w:color w:val="auto"/>
              </w:rPr>
            </w:pPr>
          </w:p>
        </w:tc>
        <w:tc>
          <w:tcPr>
            <w:tcW w:w="600" w:type="dxa"/>
            <w:vAlign w:val="bottom"/>
            <w:gridSpan w:val="10"/>
          </w:tcPr>
          <w:p>
            <w:pPr>
              <w:jc w:val="right"/>
              <w:ind w:right="40"/>
              <w:spacing w:after="0"/>
              <w:rPr>
                <w:sz w:val="20"/>
                <w:szCs w:val="20"/>
                <w:color w:val="auto"/>
              </w:rPr>
            </w:pPr>
            <w:r>
              <w:rPr>
                <w:rFonts w:ascii="Arial" w:cs="Arial" w:eastAsia="Arial" w:hAnsi="Arial"/>
                <w:sz w:val="18"/>
                <w:szCs w:val="18"/>
                <w:color w:val="auto"/>
                <w:w w:val="98"/>
              </w:rPr>
              <w:t>$4,257</w:t>
            </w:r>
          </w:p>
        </w:tc>
        <w:tc>
          <w:tcPr>
            <w:tcW w:w="0" w:type="dxa"/>
            <w:vAlign w:val="bottom"/>
          </w:tcPr>
          <w:p>
            <w:pPr>
              <w:spacing w:after="0"/>
              <w:rPr>
                <w:sz w:val="1"/>
                <w:szCs w:val="1"/>
                <w:color w:val="auto"/>
              </w:rPr>
            </w:pPr>
          </w:p>
        </w:tc>
      </w:tr>
      <w:tr>
        <w:trPr>
          <w:trHeight w:val="459"/>
        </w:trPr>
        <w:tc>
          <w:tcPr>
            <w:tcW w:w="4820" w:type="dxa"/>
            <w:vAlign w:val="bottom"/>
          </w:tcPr>
          <w:p>
            <w:pPr>
              <w:spacing w:after="0"/>
              <w:rPr>
                <w:sz w:val="20"/>
                <w:szCs w:val="20"/>
                <w:color w:val="auto"/>
              </w:rPr>
            </w:pPr>
            <w:r>
              <w:rPr>
                <w:rFonts w:ascii="Arial" w:cs="Arial" w:eastAsia="Arial" w:hAnsi="Arial"/>
                <w:sz w:val="18"/>
                <w:szCs w:val="18"/>
                <w:color w:val="auto"/>
              </w:rPr>
              <w:t>Thermal Products</w:t>
            </w:r>
          </w:p>
        </w:tc>
        <w:tc>
          <w:tcPr>
            <w:tcW w:w="460" w:type="dxa"/>
            <w:vAlign w:val="bottom"/>
            <w:gridSpan w:val="7"/>
          </w:tcPr>
          <w:p>
            <w:pPr>
              <w:jc w:val="right"/>
              <w:spacing w:after="0"/>
              <w:rPr>
                <w:sz w:val="20"/>
                <w:szCs w:val="20"/>
                <w:color w:val="auto"/>
              </w:rPr>
            </w:pPr>
            <w:r>
              <w:rPr>
                <w:rFonts w:ascii="Arial" w:cs="Arial" w:eastAsia="Arial" w:hAnsi="Arial"/>
                <w:sz w:val="18"/>
                <w:szCs w:val="18"/>
                <w:color w:val="auto"/>
                <w:w w:val="97"/>
              </w:rPr>
              <w:t>3,512</w:t>
            </w:r>
          </w:p>
        </w:tc>
        <w:tc>
          <w:tcPr>
            <w:tcW w:w="280" w:type="dxa"/>
            <w:vAlign w:val="bottom"/>
          </w:tcPr>
          <w:p>
            <w:pPr>
              <w:spacing w:after="0"/>
              <w:rPr>
                <w:sz w:val="24"/>
                <w:szCs w:val="24"/>
                <w:color w:val="auto"/>
              </w:rPr>
            </w:pPr>
          </w:p>
        </w:tc>
        <w:tc>
          <w:tcPr>
            <w:tcW w:w="480" w:type="dxa"/>
            <w:vAlign w:val="bottom"/>
            <w:gridSpan w:val="7"/>
          </w:tcPr>
          <w:p>
            <w:pPr>
              <w:jc w:val="right"/>
              <w:spacing w:after="0"/>
              <w:rPr>
                <w:sz w:val="20"/>
                <w:szCs w:val="20"/>
                <w:color w:val="auto"/>
              </w:rPr>
            </w:pPr>
            <w:r>
              <w:rPr>
                <w:rFonts w:ascii="Arial" w:cs="Arial" w:eastAsia="Arial" w:hAnsi="Arial"/>
                <w:sz w:val="18"/>
                <w:szCs w:val="18"/>
                <w:color w:val="auto"/>
              </w:rPr>
              <w:t>3,443</w:t>
            </w:r>
          </w:p>
        </w:tc>
        <w:tc>
          <w:tcPr>
            <w:tcW w:w="200" w:type="dxa"/>
            <w:vAlign w:val="bottom"/>
          </w:tcPr>
          <w:p>
            <w:pPr>
              <w:spacing w:after="0"/>
              <w:rPr>
                <w:sz w:val="24"/>
                <w:szCs w:val="24"/>
                <w:color w:val="auto"/>
              </w:rPr>
            </w:pPr>
          </w:p>
        </w:tc>
        <w:tc>
          <w:tcPr>
            <w:tcW w:w="600" w:type="dxa"/>
            <w:vAlign w:val="bottom"/>
            <w:gridSpan w:val="10"/>
          </w:tcPr>
          <w:p>
            <w:pPr>
              <w:jc w:val="right"/>
              <w:ind w:right="40"/>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bl>
    <w:p>
      <w:pPr>
        <w:sectPr>
          <w:pgSz w:w="11900" w:h="16838" w:orient="portrait"/>
          <w:cols w:equalWidth="0" w:num="1">
            <w:col w:w="11360"/>
          </w:cols>
          <w:pgMar w:left="240" w:top="131" w:right="299" w:bottom="0" w:gutter="0" w:footer="0" w:header="0"/>
        </w:sectPr>
      </w:pPr>
    </w:p>
    <w:bookmarkStart w:id="16" w:name="page17"/>
    <w:bookmarkEnd w:id="16"/>
    <w:p>
      <w:pPr>
        <w:spacing w:after="0" w:line="1" w:lineRule="exact"/>
        <w:rPr>
          <w:sz w:val="20"/>
          <w:szCs w:val="20"/>
          <w:color w:val="auto"/>
        </w:rPr>
      </w:pPr>
    </w:p>
    <w:tbl>
      <w:tblPr>
        <w:tblLayout w:type="fixed"/>
        <w:tblInd w:w="1640" w:type="dxa"/>
        <w:tblCellMar>
          <w:top w:w="0" w:type="dxa"/>
          <w:left w:w="0" w:type="dxa"/>
          <w:bottom w:w="0" w:type="dxa"/>
          <w:right w:w="0" w:type="dxa"/>
        </w:tblCellMar>
      </w:tblPr>
      <w:tr>
        <w:trPr>
          <w:trHeight w:val="227"/>
        </w:trPr>
        <w:tc>
          <w:tcPr>
            <w:tcW w:w="3440" w:type="dxa"/>
            <w:vAlign w:val="bottom"/>
          </w:tcPr>
          <w:p>
            <w:pPr>
              <w:spacing w:after="0"/>
              <w:rPr>
                <w:sz w:val="20"/>
                <w:szCs w:val="20"/>
                <w:color w:val="auto"/>
              </w:rPr>
            </w:pPr>
            <w:r>
              <w:rPr>
                <w:rFonts w:ascii="Arial" w:cs="Arial" w:eastAsia="Arial" w:hAnsi="Arial"/>
                <w:sz w:val="18"/>
                <w:szCs w:val="18"/>
                <w:color w:val="auto"/>
              </w:rPr>
              <w:t>Electrical Products</w:t>
            </w:r>
          </w:p>
        </w:tc>
        <w:tc>
          <w:tcPr>
            <w:tcW w:w="1400" w:type="dxa"/>
            <w:vAlign w:val="bottom"/>
            <w:gridSpan w:val="2"/>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1,261</w:t>
            </w:r>
          </w:p>
        </w:tc>
        <w:tc>
          <w:tcPr>
            <w:tcW w:w="360" w:type="dxa"/>
            <w:vAlign w:val="bottom"/>
            <w:gridSpan w:val="2"/>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360" w:type="dxa"/>
            <w:vAlign w:val="bottom"/>
            <w:gridSpan w:val="2"/>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r>
      <w:tr>
        <w:trPr>
          <w:trHeight w:val="453"/>
        </w:trPr>
        <w:tc>
          <w:tcPr>
            <w:tcW w:w="3440" w:type="dxa"/>
            <w:vAlign w:val="bottom"/>
          </w:tcPr>
          <w:p>
            <w:pPr>
              <w:spacing w:after="0"/>
              <w:rPr>
                <w:sz w:val="24"/>
                <w:szCs w:val="24"/>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9,529</w:t>
            </w: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4,395</w:t>
            </w: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8,423</w:t>
            </w:r>
          </w:p>
        </w:tc>
      </w:tr>
      <w:tr>
        <w:trPr>
          <w:trHeight w:val="410"/>
        </w:trPr>
        <w:tc>
          <w:tcPr>
            <w:tcW w:w="3440" w:type="dxa"/>
            <w:vAlign w:val="bottom"/>
          </w:tcPr>
          <w:p>
            <w:pPr>
              <w:spacing w:after="0"/>
              <w:rPr>
                <w:sz w:val="20"/>
                <w:szCs w:val="20"/>
                <w:color w:val="auto"/>
              </w:rPr>
            </w:pPr>
            <w:r>
              <w:rPr>
                <w:rFonts w:ascii="Arial" w:cs="Arial" w:eastAsia="Arial" w:hAnsi="Arial"/>
                <w:sz w:val="18"/>
                <w:szCs w:val="18"/>
                <w:b w:val="1"/>
                <w:bCs w:val="1"/>
                <w:i w:val="1"/>
                <w:iCs w:val="1"/>
                <w:color w:val="auto"/>
                <w:w w:val="96"/>
              </w:rPr>
              <w:t>Net revenues from unaffiliated customers</w:t>
            </w:r>
          </w:p>
        </w:tc>
        <w:tc>
          <w:tcPr>
            <w:tcW w:w="13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r>
      <w:tr>
        <w:trPr>
          <w:trHeight w:val="459"/>
        </w:trPr>
        <w:tc>
          <w:tcPr>
            <w:tcW w:w="3440" w:type="dxa"/>
            <w:vAlign w:val="bottom"/>
          </w:tcPr>
          <w:p>
            <w:pPr>
              <w:spacing w:after="0"/>
              <w:rPr>
                <w:sz w:val="20"/>
                <w:szCs w:val="20"/>
                <w:color w:val="auto"/>
              </w:rPr>
            </w:pPr>
            <w:r>
              <w:rPr>
                <w:rFonts w:ascii="Arial" w:cs="Arial" w:eastAsia="Arial" w:hAnsi="Arial"/>
                <w:sz w:val="18"/>
                <w:szCs w:val="18"/>
                <w:color w:val="auto"/>
              </w:rPr>
              <w:t>U.S.</w:t>
            </w:r>
          </w:p>
        </w:tc>
        <w:tc>
          <w:tcPr>
            <w:tcW w:w="1840" w:type="dxa"/>
            <w:vAlign w:val="bottom"/>
            <w:gridSpan w:val="4"/>
          </w:tcPr>
          <w:p>
            <w:pPr>
              <w:jc w:val="right"/>
              <w:spacing w:after="0"/>
              <w:rPr>
                <w:sz w:val="20"/>
                <w:szCs w:val="20"/>
                <w:color w:val="auto"/>
              </w:rPr>
            </w:pPr>
            <w:r>
              <w:rPr>
                <w:rFonts w:ascii="Arial" w:cs="Arial" w:eastAsia="Arial" w:hAnsi="Arial"/>
                <w:sz w:val="18"/>
                <w:szCs w:val="18"/>
                <w:color w:val="auto"/>
              </w:rPr>
              <w:t>$8,820</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$3,371</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$7,752</w:t>
            </w:r>
          </w:p>
        </w:tc>
      </w:tr>
      <w:tr>
        <w:trPr>
          <w:trHeight w:val="459"/>
        </w:trPr>
        <w:tc>
          <w:tcPr>
            <w:tcW w:w="3440" w:type="dxa"/>
            <w:vAlign w:val="bottom"/>
          </w:tcPr>
          <w:p>
            <w:pPr>
              <w:spacing w:after="0"/>
              <w:rPr>
                <w:sz w:val="20"/>
                <w:szCs w:val="20"/>
                <w:color w:val="auto"/>
              </w:rPr>
            </w:pPr>
            <w:r>
              <w:rPr>
                <w:rFonts w:ascii="Arial" w:cs="Arial" w:eastAsia="Arial" w:hAnsi="Arial"/>
                <w:sz w:val="18"/>
                <w:szCs w:val="18"/>
                <w:color w:val="auto"/>
              </w:rPr>
              <w:t>Europe</w:t>
            </w:r>
          </w:p>
        </w:tc>
        <w:tc>
          <w:tcPr>
            <w:tcW w:w="1840" w:type="dxa"/>
            <w:vAlign w:val="bottom"/>
            <w:gridSpan w:val="4"/>
          </w:tcPr>
          <w:p>
            <w:pPr>
              <w:jc w:val="right"/>
              <w:spacing w:after="0"/>
              <w:rPr>
                <w:sz w:val="20"/>
                <w:szCs w:val="20"/>
                <w:color w:val="auto"/>
              </w:rPr>
            </w:pPr>
            <w:r>
              <w:rPr>
                <w:rFonts w:ascii="Arial" w:cs="Arial" w:eastAsia="Arial" w:hAnsi="Arial"/>
                <w:sz w:val="18"/>
                <w:szCs w:val="18"/>
                <w:color w:val="auto"/>
              </w:rPr>
              <w:t>317</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428</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442</w:t>
            </w:r>
          </w:p>
        </w:tc>
      </w:tr>
      <w:tr>
        <w:trPr>
          <w:trHeight w:val="421"/>
        </w:trPr>
        <w:tc>
          <w:tcPr>
            <w:tcW w:w="3440" w:type="dxa"/>
            <w:vAlign w:val="bottom"/>
          </w:tcPr>
          <w:p>
            <w:pPr>
              <w:spacing w:after="0"/>
              <w:rPr>
                <w:sz w:val="20"/>
                <w:szCs w:val="20"/>
                <w:color w:val="auto"/>
              </w:rPr>
            </w:pPr>
            <w:r>
              <w:rPr>
                <w:rFonts w:ascii="Arial" w:cs="Arial" w:eastAsia="Arial" w:hAnsi="Arial"/>
                <w:sz w:val="18"/>
                <w:szCs w:val="18"/>
                <w:color w:val="auto"/>
              </w:rPr>
              <w:t>Asia-Pacific</w:t>
            </w:r>
          </w:p>
        </w:tc>
        <w:tc>
          <w:tcPr>
            <w:tcW w:w="1440" w:type="dxa"/>
            <w:vAlign w:val="bottom"/>
            <w:gridSpan w:val="3"/>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360" w:type="dxa"/>
            <w:vAlign w:val="bottom"/>
            <w:gridSpan w:val="2"/>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360" w:type="dxa"/>
            <w:vAlign w:val="bottom"/>
            <w:gridSpan w:val="2"/>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439"/>
        </w:trPr>
        <w:tc>
          <w:tcPr>
            <w:tcW w:w="3440" w:type="dxa"/>
            <w:vAlign w:val="bottom"/>
          </w:tcPr>
          <w:p>
            <w:pPr>
              <w:spacing w:after="0"/>
              <w:rPr>
                <w:sz w:val="24"/>
                <w:szCs w:val="24"/>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9,529</w:t>
            </w: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4,395</w:t>
            </w: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8,423</w:t>
            </w:r>
          </w:p>
        </w:tc>
      </w:tr>
      <w:tr>
        <w:trPr>
          <w:trHeight w:val="964"/>
        </w:trPr>
        <w:tc>
          <w:tcPr>
            <w:tcW w:w="3440" w:type="dxa"/>
            <w:vAlign w:val="bottom"/>
          </w:tcPr>
          <w:p>
            <w:pPr>
              <w:spacing w:after="0"/>
              <w:rPr>
                <w:sz w:val="24"/>
                <w:szCs w:val="24"/>
                <w:color w:val="auto"/>
              </w:rPr>
            </w:pPr>
          </w:p>
        </w:tc>
        <w:tc>
          <w:tcPr>
            <w:tcW w:w="1360" w:type="dxa"/>
            <w:vAlign w:val="bottom"/>
          </w:tcPr>
          <w:p>
            <w:pPr>
              <w:jc w:val="right"/>
              <w:ind w:right="452"/>
              <w:spacing w:after="0"/>
              <w:rPr>
                <w:sz w:val="20"/>
                <w:szCs w:val="20"/>
                <w:color w:val="auto"/>
              </w:rPr>
            </w:pPr>
            <w:r>
              <w:rPr>
                <w:rFonts w:ascii="Arial" w:cs="Arial" w:eastAsia="Arial" w:hAnsi="Arial"/>
                <w:sz w:val="18"/>
                <w:szCs w:val="18"/>
                <w:color w:val="auto"/>
              </w:rPr>
              <w:t>- 19 -</w:t>
            </w: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40"/>
        <w:spacing w:after="0" w:line="310" w:lineRule="auto"/>
        <w:rPr>
          <w:sz w:val="20"/>
          <w:szCs w:val="20"/>
          <w:color w:val="auto"/>
        </w:rPr>
      </w:pPr>
      <w:r>
        <w:rPr>
          <w:rFonts w:ascii="Arial" w:cs="Arial" w:eastAsia="Arial" w:hAnsi="Arial"/>
          <w:sz w:val="15"/>
          <w:szCs w:val="15"/>
          <w:color w:val="auto"/>
        </w:rPr>
        <w:t>Our consolidated net revenues for the quarter ended March 31, 2010 increased $5.1 million or 117% as compared to the same period in 2009. During 2009, we continued to experience a significant decline in demand in all of our product segments. This decline in demand began in the second half of 2008 and worsened significantly as the global economic recession that began in late 2008 continued in 2009. The most significant declines we experienced in our consolidated net revenues occurred in the first half of 2009. For the first and second quarters of 2009, our quarterly consolidated net revenues totaled $4.4 million and $4.7 million, respectively. However, as 2009 progressed, the semiconductor industry began to experience increased levels of demand which resulted in increased levels of orders for our products. As a result of the improvement in demand in the semiconductor industry, we experienced sequential quarterly growth in the level of both our orders and net revenues throughout 2009. This sequential quarte rly growth continued in the first quarter of 2010. Our consolidated net revenues increased $1.1 million or 13% during the first quarter of 2010 as compared to the fourth quarter of 2009.</w:t>
      </w:r>
    </w:p>
    <w:p>
      <w:pPr>
        <w:spacing w:after="0" w:line="162"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color w:val="auto"/>
        </w:rPr>
        <w:t>Total orders for the quarter ended March 31, 2010 were $14.0 million compared to $9.4 million for the quarter ended December 31, 2009 and $3.8 million for the quarter ended March 31, 2009. We cannot be certain what the level of our orders or net revenues will be in any future period.</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Backlog</w:t>
      </w:r>
    </w:p>
    <w:p>
      <w:pPr>
        <w:spacing w:after="0" w:line="225" w:lineRule="exact"/>
        <w:rPr>
          <w:sz w:val="20"/>
          <w:szCs w:val="20"/>
          <w:color w:val="auto"/>
        </w:rPr>
      </w:pPr>
    </w:p>
    <w:p>
      <w:pPr>
        <w:ind w:left="540" w:right="320"/>
        <w:spacing w:after="0" w:line="291" w:lineRule="auto"/>
        <w:rPr>
          <w:sz w:val="20"/>
          <w:szCs w:val="20"/>
          <w:color w:val="auto"/>
        </w:rPr>
      </w:pPr>
      <w:r>
        <w:rPr>
          <w:rFonts w:ascii="Arial" w:cs="Arial" w:eastAsia="Arial" w:hAnsi="Arial"/>
          <w:sz w:val="16"/>
          <w:szCs w:val="16"/>
          <w:color w:val="auto"/>
        </w:rPr>
        <w:t>At March 31, 2010, our backlog of unfilled orders for all products was approximately $9.1 million compared with approximately $4.6 million at December 31, 2009 and $1.8 million at March 31, 2009. Our backlog includes customer orders which we have accepted, substantially all of which we expect to deliver in 2010.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Business Restructuring Initiatives</w:t>
      </w:r>
    </w:p>
    <w:p>
      <w:pPr>
        <w:spacing w:after="0" w:line="225" w:lineRule="exact"/>
        <w:rPr>
          <w:sz w:val="20"/>
          <w:szCs w:val="20"/>
          <w:color w:val="auto"/>
        </w:rPr>
      </w:pPr>
    </w:p>
    <w:p>
      <w:pPr>
        <w:ind w:left="540" w:right="220"/>
        <w:spacing w:after="0" w:line="298" w:lineRule="auto"/>
        <w:rPr>
          <w:sz w:val="20"/>
          <w:szCs w:val="20"/>
          <w:color w:val="auto"/>
        </w:rPr>
      </w:pPr>
      <w:r>
        <w:rPr>
          <w:rFonts w:ascii="Arial" w:cs="Arial" w:eastAsia="Arial" w:hAnsi="Arial"/>
          <w:sz w:val="16"/>
          <w:szCs w:val="16"/>
          <w:color w:val="auto"/>
        </w:rPr>
        <w:t>In response to the significant decline in our orders and net revenues during 2008 and 2009, we took actions to reduce our cost structure. The actions we took are discussed in Note 4 to the accompanying consolidated financial statements and in Note 5 to the consolidated financial statements in our 2009 Form 10-K. The review of our operations is on-going. We continue to explore methods to further reduce our costs and we will likely incur additional restructuring charges in future periods; however, we cannot predict the amount of such charges at this time.</w:t>
      </w:r>
    </w:p>
    <w:p>
      <w:pPr>
        <w:spacing w:after="0" w:line="167"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We consider some of the actions we took to be temporary in nature, such as certain salary and benefits reductions for current employees. At the time we take these temporary actions, it is generally our intent to restore all or a portion of the reduced salary and benefits in future periods when our results of operations and our cash flows improve sufficiently so as to allow us to do so. Any such restoration would impact the ultimate level of savings which will result from our restructuring actions. Effective January 1, 2010, we restored all of the temporary salary reductions we implemented in 2008 and 2009 for our domestic employees, with the exception of the salary of our Executive Chairman, which was restored to approximately 65% of its full reinstated level, reflecting a voluntary continued 35% reduction in his salary. Effective April 1, 2010, we restored the 401(k) Plan discretionary matching contribution for all domestic employees which had been eliminated for most of these employees at the beginning of 2009.</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Our three product segments each have multiple products that we design, manufacture and sell to our customers. The gross margin on each product we offer is impacted by a number of factors including the amount of intellectual property (such as patents) utilized in the product, the number of units ordered by the customer at one time, or the amount of inTEST designed and fabricated material included in our product compared with the amount of third-party designed and fabricated material included in our product. The weight of each of these factors, as well as the current market conditions, determines the ultimate sales price we can obtain for our products and the resulting gross margin.</w:t>
      </w:r>
    </w:p>
    <w:p>
      <w:pPr>
        <w:spacing w:after="0" w:line="170"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00"/>
          </w:cols>
          <w:pgMar w:left="240" w:top="75" w:right="259" w:bottom="0" w:gutter="0" w:footer="0" w:header="0"/>
        </w:sectPr>
      </w:pPr>
    </w:p>
    <w:bookmarkStart w:id="17" w:name="page18"/>
    <w:bookmarkEnd w:id="17"/>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semiconductor manufacturers. Our Thermal Products segment also sells into a variety of other industries including the aerospace, automotive, communications, consumer electronics, defense, and medical industries. The mix of customers during any given period will affect our gross margin due to differing sales discounts and commissions. For the quarters ended March 31, 2010 and 2009, our OEM sales as a percentage of net revenues were 25% and 6%, respectively.</w:t>
      </w:r>
    </w:p>
    <w:p>
      <w:pPr>
        <w:spacing w:after="0" w:line="170"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line managers to reduce our sales prices to them. If we cannot further reduce our manufacturing and operating costs, these pricing pressures will continue to reduce our gross and operating margins.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All of our products are used by semiconductor manufacturers in conjunction with ATE in the testing of ICs. Consequently, the results of operations for each product segment are generally affected by the same factors. Separate discussions and analyses for each product segment would be repetitive and obscure any unique factors that affected the results of operations of our different product segments. The discussion and analysis that follows, therefore, is presented on a consolidated basis and includes discussion of factors unique to each product segment where significant to an understanding of that segment.</w:t>
      </w:r>
    </w:p>
    <w:p>
      <w:pPr>
        <w:spacing w:after="0" w:line="197"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following table sets forth, for the periods indicated, the principal items included in the Consolidated Statements of Operations as a percentage of total net revenues.</w:t>
      </w:r>
    </w:p>
    <w:p>
      <w:pPr>
        <w:spacing w:after="0" w:line="156" w:lineRule="exact"/>
        <w:rPr>
          <w:sz w:val="20"/>
          <w:szCs w:val="20"/>
          <w:color w:val="auto"/>
        </w:rPr>
      </w:pPr>
    </w:p>
    <w:p>
      <w:pPr>
        <w:ind w:left="4960"/>
        <w:spacing w:after="0"/>
        <w:rPr>
          <w:sz w:val="20"/>
          <w:szCs w:val="20"/>
          <w:color w:val="auto"/>
        </w:rPr>
      </w:pPr>
      <w:r>
        <w:rPr>
          <w:rFonts w:ascii="Arial" w:cs="Arial" w:eastAsia="Arial" w:hAnsi="Arial"/>
          <w:sz w:val="14"/>
          <w:szCs w:val="14"/>
          <w:b w:val="1"/>
          <w:bCs w:val="1"/>
          <w:i w:val="1"/>
          <w:iCs w:val="1"/>
          <w:u w:val="single" w:color="auto"/>
          <w:color w:val="auto"/>
        </w:rPr>
        <w:t>Percentage of Net Revenues</w:t>
      </w:r>
    </w:p>
    <w:p>
      <w:pPr>
        <w:ind w:left="5000"/>
        <w:spacing w:after="0"/>
        <w:rPr>
          <w:sz w:val="20"/>
          <w:szCs w:val="20"/>
          <w:color w:val="auto"/>
        </w:rPr>
      </w:pPr>
      <w:r>
        <w:rPr>
          <w:rFonts w:ascii="Arial" w:cs="Arial" w:eastAsia="Arial" w:hAnsi="Arial"/>
          <w:sz w:val="14"/>
          <w:szCs w:val="14"/>
          <w:b w:val="1"/>
          <w:bCs w:val="1"/>
          <w:i w:val="1"/>
          <w:iCs w:val="1"/>
          <w:u w:val="single" w:color="auto"/>
          <w:color w:val="auto"/>
        </w:rPr>
        <w:t>Quarters Ended March 31,</w:t>
      </w:r>
    </w:p>
    <w:tbl>
      <w:tblPr>
        <w:tblLayout w:type="fixed"/>
        <w:tblInd w:w="560" w:type="dxa"/>
        <w:tblCellMar>
          <w:top w:w="0" w:type="dxa"/>
          <w:left w:w="0" w:type="dxa"/>
          <w:bottom w:w="0" w:type="dxa"/>
          <w:right w:w="0" w:type="dxa"/>
        </w:tblCellMar>
      </w:tblPr>
      <w:tr>
        <w:trPr>
          <w:trHeight w:val="148"/>
        </w:trPr>
        <w:tc>
          <w:tcPr>
            <w:tcW w:w="394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2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i w:val="1"/>
                <w:iCs w:val="1"/>
                <w:color w:val="auto"/>
                <w:w w:val="83"/>
              </w:rPr>
              <w:t>2010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i w:val="1"/>
                <w:iCs w:val="1"/>
                <w:color w:val="auto"/>
                <w:w w:val="70"/>
              </w:rPr>
              <w:t>2009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451"/>
        </w:trPr>
        <w:tc>
          <w:tcPr>
            <w:tcW w:w="3940" w:type="dxa"/>
            <w:vAlign w:val="bottom"/>
          </w:tcPr>
          <w:p>
            <w:pPr>
              <w:spacing w:after="0"/>
              <w:rPr>
                <w:sz w:val="20"/>
                <w:szCs w:val="20"/>
                <w:color w:val="auto"/>
              </w:rPr>
            </w:pPr>
            <w:r>
              <w:rPr>
                <w:rFonts w:ascii="Arial" w:cs="Arial" w:eastAsia="Arial" w:hAnsi="Arial"/>
                <w:sz w:val="18"/>
                <w:szCs w:val="18"/>
                <w:color w:val="auto"/>
              </w:rPr>
              <w:t>Net revenues</w:t>
            </w:r>
          </w:p>
        </w:tc>
        <w:tc>
          <w:tcPr>
            <w:tcW w:w="1360" w:type="dxa"/>
            <w:vAlign w:val="bottom"/>
            <w:gridSpan w:val="8"/>
          </w:tcPr>
          <w:p>
            <w:pPr>
              <w:jc w:val="right"/>
              <w:ind w:right="160"/>
              <w:spacing w:after="0"/>
              <w:rPr>
                <w:sz w:val="20"/>
                <w:szCs w:val="20"/>
                <w:color w:val="auto"/>
              </w:rPr>
            </w:pPr>
            <w:r>
              <w:rPr>
                <w:rFonts w:ascii="Arial" w:cs="Arial" w:eastAsia="Arial" w:hAnsi="Arial"/>
                <w:sz w:val="18"/>
                <w:szCs w:val="18"/>
                <w:color w:val="auto"/>
              </w:rPr>
              <w:t>100.0%</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100.0%</w:t>
            </w:r>
          </w:p>
        </w:tc>
      </w:tr>
      <w:tr>
        <w:trPr>
          <w:trHeight w:val="421"/>
        </w:trPr>
        <w:tc>
          <w:tcPr>
            <w:tcW w:w="3940" w:type="dxa"/>
            <w:vAlign w:val="bottom"/>
          </w:tcPr>
          <w:p>
            <w:pPr>
              <w:spacing w:after="0"/>
              <w:rPr>
                <w:sz w:val="20"/>
                <w:szCs w:val="20"/>
                <w:color w:val="auto"/>
              </w:rPr>
            </w:pPr>
            <w:r>
              <w:rPr>
                <w:rFonts w:ascii="Arial" w:cs="Arial" w:eastAsia="Arial" w:hAnsi="Arial"/>
                <w:sz w:val="18"/>
                <w:szCs w:val="18"/>
                <w:color w:val="auto"/>
              </w:rPr>
              <w:t>Cost of revenues</w:t>
            </w:r>
          </w:p>
        </w:tc>
        <w:tc>
          <w:tcPr>
            <w:tcW w:w="660" w:type="dxa"/>
            <w:vAlign w:val="bottom"/>
          </w:tcPr>
          <w:p>
            <w:pPr>
              <w:spacing w:after="0"/>
              <w:rPr>
                <w:sz w:val="24"/>
                <w:szCs w:val="24"/>
                <w:color w:val="auto"/>
              </w:rPr>
            </w:pPr>
          </w:p>
        </w:tc>
        <w:tc>
          <w:tcPr>
            <w:tcW w:w="4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52.</w:t>
            </w:r>
            <w:r>
              <w:rPr>
                <w:rFonts w:ascii="Arial" w:cs="Arial" w:eastAsia="Arial" w:hAnsi="Arial"/>
                <w:sz w:val="18"/>
                <w:szCs w:val="18"/>
                <w:u w:val="single" w:color="auto"/>
                <w:color w:val="auto"/>
              </w:rPr>
              <w:t>4</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81.7</w:t>
            </w:r>
          </w:p>
        </w:tc>
        <w:tc>
          <w:tcPr>
            <w:tcW w:w="200" w:type="dxa"/>
            <w:vAlign w:val="bottom"/>
          </w:tcPr>
          <w:p>
            <w:pPr>
              <w:spacing w:after="0"/>
              <w:rPr>
                <w:sz w:val="24"/>
                <w:szCs w:val="24"/>
                <w:color w:val="auto"/>
              </w:rPr>
            </w:pPr>
          </w:p>
        </w:tc>
      </w:tr>
      <w:tr>
        <w:trPr>
          <w:trHeight w:val="439"/>
        </w:trPr>
        <w:tc>
          <w:tcPr>
            <w:tcW w:w="3940" w:type="dxa"/>
            <w:vAlign w:val="bottom"/>
          </w:tcPr>
          <w:p>
            <w:pPr>
              <w:spacing w:after="0"/>
              <w:rPr>
                <w:sz w:val="20"/>
                <w:szCs w:val="20"/>
                <w:color w:val="auto"/>
              </w:rPr>
            </w:pPr>
            <w:r>
              <w:rPr>
                <w:rFonts w:ascii="Arial" w:cs="Arial" w:eastAsia="Arial" w:hAnsi="Arial"/>
                <w:sz w:val="18"/>
                <w:szCs w:val="18"/>
                <w:color w:val="auto"/>
              </w:rPr>
              <w:t>Gross margin</w:t>
            </w:r>
          </w:p>
        </w:tc>
        <w:tc>
          <w:tcPr>
            <w:tcW w:w="660" w:type="dxa"/>
            <w:vAlign w:val="bottom"/>
          </w:tcPr>
          <w:p>
            <w:pPr>
              <w:spacing w:after="0"/>
              <w:rPr>
                <w:sz w:val="24"/>
                <w:szCs w:val="24"/>
                <w:color w:val="auto"/>
              </w:rPr>
            </w:pPr>
          </w:p>
        </w:tc>
        <w:tc>
          <w:tcPr>
            <w:tcW w:w="4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47.</w:t>
            </w:r>
            <w:r>
              <w:rPr>
                <w:rFonts w:ascii="Arial" w:cs="Arial" w:eastAsia="Arial" w:hAnsi="Arial"/>
                <w:sz w:val="18"/>
                <w:szCs w:val="18"/>
                <w:u w:val="single" w:color="auto"/>
                <w:color w:val="auto"/>
              </w:rPr>
              <w:t>6</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18.3</w:t>
            </w:r>
          </w:p>
        </w:tc>
        <w:tc>
          <w:tcPr>
            <w:tcW w:w="200" w:type="dxa"/>
            <w:vAlign w:val="bottom"/>
          </w:tcPr>
          <w:p>
            <w:pPr>
              <w:spacing w:after="0"/>
              <w:rPr>
                <w:sz w:val="24"/>
                <w:szCs w:val="24"/>
                <w:color w:val="auto"/>
              </w:rPr>
            </w:pPr>
          </w:p>
        </w:tc>
      </w:tr>
      <w:tr>
        <w:trPr>
          <w:trHeight w:val="478"/>
        </w:trPr>
        <w:tc>
          <w:tcPr>
            <w:tcW w:w="3940" w:type="dxa"/>
            <w:vAlign w:val="bottom"/>
          </w:tcPr>
          <w:p>
            <w:pPr>
              <w:spacing w:after="0"/>
              <w:rPr>
                <w:sz w:val="20"/>
                <w:szCs w:val="20"/>
                <w:color w:val="auto"/>
              </w:rPr>
            </w:pPr>
            <w:r>
              <w:rPr>
                <w:rFonts w:ascii="Arial" w:cs="Arial" w:eastAsia="Arial" w:hAnsi="Arial"/>
                <w:sz w:val="18"/>
                <w:szCs w:val="18"/>
                <w:color w:val="auto"/>
              </w:rPr>
              <w:t>Selling expense</w:t>
            </w:r>
          </w:p>
        </w:tc>
        <w:tc>
          <w:tcPr>
            <w:tcW w:w="1060" w:type="dxa"/>
            <w:vAlign w:val="bottom"/>
            <w:gridSpan w:val="7"/>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24"/>
                <w:szCs w:val="24"/>
                <w:color w:val="auto"/>
              </w:rPr>
            </w:pPr>
          </w:p>
        </w:tc>
      </w:tr>
      <w:tr>
        <w:trPr>
          <w:trHeight w:val="459"/>
        </w:trPr>
        <w:tc>
          <w:tcPr>
            <w:tcW w:w="3940" w:type="dxa"/>
            <w:vAlign w:val="bottom"/>
          </w:tcPr>
          <w:p>
            <w:pPr>
              <w:spacing w:after="0"/>
              <w:rPr>
                <w:sz w:val="20"/>
                <w:szCs w:val="20"/>
                <w:color w:val="auto"/>
              </w:rPr>
            </w:pPr>
            <w:r>
              <w:rPr>
                <w:rFonts w:ascii="Arial" w:cs="Arial" w:eastAsia="Arial" w:hAnsi="Arial"/>
                <w:sz w:val="18"/>
                <w:szCs w:val="18"/>
                <w:color w:val="auto"/>
              </w:rPr>
              <w:t>Engineering and product development expense</w:t>
            </w:r>
          </w:p>
        </w:tc>
        <w:tc>
          <w:tcPr>
            <w:tcW w:w="1060" w:type="dxa"/>
            <w:vAlign w:val="bottom"/>
            <w:gridSpan w:val="7"/>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24"/>
                <w:szCs w:val="24"/>
                <w:color w:val="auto"/>
              </w:rPr>
            </w:pPr>
          </w:p>
        </w:tc>
      </w:tr>
      <w:tr>
        <w:trPr>
          <w:trHeight w:val="459"/>
        </w:trPr>
        <w:tc>
          <w:tcPr>
            <w:tcW w:w="39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060" w:type="dxa"/>
            <w:vAlign w:val="bottom"/>
            <w:gridSpan w:val="7"/>
          </w:tcPr>
          <w:p>
            <w:pPr>
              <w:jc w:val="right"/>
              <w:spacing w:after="0"/>
              <w:rPr>
                <w:sz w:val="20"/>
                <w:szCs w:val="20"/>
                <w:color w:val="auto"/>
              </w:rPr>
            </w:pPr>
            <w:r>
              <w:rPr>
                <w:rFonts w:ascii="Arial" w:cs="Arial" w:eastAsia="Arial" w:hAnsi="Arial"/>
                <w:sz w:val="18"/>
                <w:szCs w:val="18"/>
                <w:color w:val="auto"/>
              </w:rPr>
              <w:t>15.5</w:t>
            </w:r>
          </w:p>
        </w:tc>
        <w:tc>
          <w:tcPr>
            <w:tcW w:w="30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38.3</w:t>
            </w:r>
          </w:p>
        </w:tc>
        <w:tc>
          <w:tcPr>
            <w:tcW w:w="200" w:type="dxa"/>
            <w:vAlign w:val="bottom"/>
          </w:tcPr>
          <w:p>
            <w:pPr>
              <w:spacing w:after="0"/>
              <w:rPr>
                <w:sz w:val="24"/>
                <w:szCs w:val="24"/>
                <w:color w:val="auto"/>
              </w:rPr>
            </w:pPr>
          </w:p>
        </w:tc>
      </w:tr>
      <w:tr>
        <w:trPr>
          <w:trHeight w:val="421"/>
        </w:trPr>
        <w:tc>
          <w:tcPr>
            <w:tcW w:w="394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700" w:type="dxa"/>
            <w:vAlign w:val="bottom"/>
            <w:gridSpan w:val="3"/>
          </w:tcPr>
          <w:p>
            <w:pPr>
              <w:spacing w:after="0"/>
              <w:rPr>
                <w:sz w:val="24"/>
                <w:szCs w:val="24"/>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r>
      <w:tr>
        <w:trPr>
          <w:trHeight w:val="478"/>
        </w:trPr>
        <w:tc>
          <w:tcPr>
            <w:tcW w:w="39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360" w:type="dxa"/>
            <w:vAlign w:val="bottom"/>
            <w:gridSpan w:val="8"/>
          </w:tcPr>
          <w:p>
            <w:pPr>
              <w:jc w:val="right"/>
              <w:ind w:right="300"/>
              <w:spacing w:after="0"/>
              <w:rPr>
                <w:sz w:val="20"/>
                <w:szCs w:val="20"/>
                <w:color w:val="auto"/>
              </w:rPr>
            </w:pPr>
            <w:r>
              <w:rPr>
                <w:rFonts w:ascii="Arial" w:cs="Arial" w:eastAsia="Arial" w:hAnsi="Arial"/>
                <w:sz w:val="18"/>
                <w:szCs w:val="18"/>
                <w:color w:val="auto"/>
              </w:rPr>
              <w:t>11.8</w:t>
            </w:r>
          </w:p>
        </w:tc>
        <w:tc>
          <w:tcPr>
            <w:tcW w:w="740" w:type="dxa"/>
            <w:vAlign w:val="bottom"/>
            <w:gridSpan w:val="4"/>
          </w:tcPr>
          <w:p>
            <w:pPr>
              <w:jc w:val="right"/>
              <w:ind w:right="140"/>
              <w:spacing w:after="0"/>
              <w:rPr>
                <w:sz w:val="20"/>
                <w:szCs w:val="20"/>
                <w:color w:val="auto"/>
              </w:rPr>
            </w:pPr>
            <w:r>
              <w:rPr>
                <w:rFonts w:ascii="Arial" w:cs="Arial" w:eastAsia="Arial" w:hAnsi="Arial"/>
                <w:sz w:val="18"/>
                <w:szCs w:val="18"/>
                <w:color w:val="auto"/>
              </w:rPr>
              <w:t>(64.5)</w:t>
            </w:r>
          </w:p>
        </w:tc>
      </w:tr>
      <w:tr>
        <w:trPr>
          <w:trHeight w:val="421"/>
        </w:trPr>
        <w:tc>
          <w:tcPr>
            <w:tcW w:w="3940" w:type="dxa"/>
            <w:vAlign w:val="bottom"/>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gridSpan w:val="2"/>
          </w:tcPr>
          <w:p>
            <w:pPr>
              <w:spacing w:after="0"/>
              <w:rPr>
                <w:sz w:val="24"/>
                <w:szCs w:val="24"/>
                <w:color w:val="auto"/>
              </w:rPr>
            </w:pPr>
          </w:p>
        </w:tc>
        <w:tc>
          <w:tcPr>
            <w:tcW w:w="680" w:type="dxa"/>
            <w:vAlign w:val="bottom"/>
            <w:gridSpan w:val="6"/>
          </w:tcPr>
          <w:p>
            <w:pPr>
              <w:jc w:val="right"/>
              <w:ind w:right="260"/>
              <w:spacing w:after="0"/>
              <w:rPr>
                <w:sz w:val="20"/>
                <w:szCs w:val="20"/>
                <w:color w:val="auto"/>
              </w:rPr>
            </w:pPr>
            <w:r>
              <w:rPr>
                <w:rFonts w:ascii="Arial" w:cs="Arial" w:eastAsia="Arial" w:hAnsi="Arial"/>
                <w:sz w:val="18"/>
                <w:szCs w:val="18"/>
                <w:color w:val="auto"/>
              </w:rPr>
              <w:t>(0.1)</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4"/>
                <w:szCs w:val="24"/>
                <w:color w:val="auto"/>
              </w:rPr>
            </w:pPr>
          </w:p>
        </w:tc>
      </w:tr>
      <w:tr>
        <w:trPr>
          <w:trHeight w:val="20"/>
        </w:trPr>
        <w:tc>
          <w:tcPr>
            <w:tcW w:w="39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r>
      <w:tr>
        <w:trPr>
          <w:trHeight w:val="478"/>
        </w:trPr>
        <w:tc>
          <w:tcPr>
            <w:tcW w:w="3940" w:type="dxa"/>
            <w:vAlign w:val="bottom"/>
          </w:tcPr>
          <w:p>
            <w:pPr>
              <w:spacing w:after="0"/>
              <w:rPr>
                <w:sz w:val="20"/>
                <w:szCs w:val="20"/>
                <w:color w:val="auto"/>
              </w:rPr>
            </w:pPr>
            <w:r>
              <w:rPr>
                <w:rFonts w:ascii="Arial" w:cs="Arial" w:eastAsia="Arial" w:hAnsi="Arial"/>
                <w:sz w:val="18"/>
                <w:szCs w:val="18"/>
                <w:color w:val="auto"/>
              </w:rPr>
              <w:t>Earnings (loss) before income tax expense</w:t>
            </w:r>
          </w:p>
        </w:tc>
        <w:tc>
          <w:tcPr>
            <w:tcW w:w="680" w:type="dxa"/>
            <w:vAlign w:val="bottom"/>
            <w:gridSpan w:val="2"/>
          </w:tcPr>
          <w:p>
            <w:pPr>
              <w:spacing w:after="0"/>
              <w:rPr>
                <w:sz w:val="24"/>
                <w:szCs w:val="24"/>
                <w:color w:val="auto"/>
              </w:rPr>
            </w:pPr>
          </w:p>
        </w:tc>
        <w:tc>
          <w:tcPr>
            <w:tcW w:w="680" w:type="dxa"/>
            <w:vAlign w:val="bottom"/>
            <w:gridSpan w:val="6"/>
          </w:tcPr>
          <w:p>
            <w:pPr>
              <w:jc w:val="right"/>
              <w:ind w:right="300"/>
              <w:spacing w:after="0"/>
              <w:rPr>
                <w:sz w:val="20"/>
                <w:szCs w:val="20"/>
                <w:color w:val="auto"/>
              </w:rPr>
            </w:pPr>
            <w:r>
              <w:rPr>
                <w:rFonts w:ascii="Arial" w:cs="Arial" w:eastAsia="Arial" w:hAnsi="Arial"/>
                <w:sz w:val="18"/>
                <w:szCs w:val="18"/>
                <w:color w:val="auto"/>
              </w:rPr>
              <w:t>11.7</w:t>
            </w:r>
          </w:p>
        </w:tc>
        <w:tc>
          <w:tcPr>
            <w:tcW w:w="740" w:type="dxa"/>
            <w:vAlign w:val="bottom"/>
            <w:gridSpan w:val="4"/>
          </w:tcPr>
          <w:p>
            <w:pPr>
              <w:jc w:val="right"/>
              <w:ind w:right="140"/>
              <w:spacing w:after="0"/>
              <w:rPr>
                <w:sz w:val="20"/>
                <w:szCs w:val="20"/>
                <w:color w:val="auto"/>
              </w:rPr>
            </w:pPr>
            <w:r>
              <w:rPr>
                <w:rFonts w:ascii="Arial" w:cs="Arial" w:eastAsia="Arial" w:hAnsi="Arial"/>
                <w:sz w:val="18"/>
                <w:szCs w:val="18"/>
                <w:color w:val="auto"/>
              </w:rPr>
              <w:t>(62.7)</w:t>
            </w:r>
          </w:p>
        </w:tc>
      </w:tr>
      <w:tr>
        <w:trPr>
          <w:trHeight w:val="421"/>
        </w:trPr>
        <w:tc>
          <w:tcPr>
            <w:tcW w:w="3940" w:type="dxa"/>
            <w:vAlign w:val="bottom"/>
          </w:tcPr>
          <w:p>
            <w:pPr>
              <w:spacing w:after="0"/>
              <w:rPr>
                <w:sz w:val="20"/>
                <w:szCs w:val="20"/>
                <w:color w:val="auto"/>
              </w:rPr>
            </w:pPr>
            <w:r>
              <w:rPr>
                <w:rFonts w:ascii="Arial" w:cs="Arial" w:eastAsia="Arial" w:hAnsi="Arial"/>
                <w:sz w:val="18"/>
                <w:szCs w:val="18"/>
                <w:color w:val="auto"/>
              </w:rPr>
              <w:t>Income tax expense</w:t>
            </w:r>
          </w:p>
        </w:tc>
        <w:tc>
          <w:tcPr>
            <w:tcW w:w="700" w:type="dxa"/>
            <w:vAlign w:val="bottom"/>
            <w:gridSpan w:val="3"/>
          </w:tcPr>
          <w:p>
            <w:pPr>
              <w:spacing w:after="0"/>
              <w:rPr>
                <w:sz w:val="24"/>
                <w:szCs w:val="24"/>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24"/>
                <w:szCs w:val="24"/>
                <w:color w:val="auto"/>
              </w:rPr>
            </w:pPr>
          </w:p>
        </w:tc>
      </w:tr>
      <w:tr>
        <w:trPr>
          <w:trHeight w:val="439"/>
        </w:trPr>
        <w:tc>
          <w:tcPr>
            <w:tcW w:w="3940" w:type="dxa"/>
            <w:vAlign w:val="bottom"/>
          </w:tcPr>
          <w:p>
            <w:pPr>
              <w:spacing w:after="0"/>
              <w:rPr>
                <w:sz w:val="20"/>
                <w:szCs w:val="20"/>
                <w:color w:val="auto"/>
              </w:rPr>
            </w:pPr>
            <w:r>
              <w:rPr>
                <w:rFonts w:ascii="Arial" w:cs="Arial" w:eastAsia="Arial" w:hAnsi="Arial"/>
                <w:sz w:val="18"/>
                <w:szCs w:val="18"/>
                <w:color w:val="auto"/>
              </w:rPr>
              <w:t>Net earnings (loss)</w:t>
            </w:r>
          </w:p>
        </w:tc>
        <w:tc>
          <w:tcPr>
            <w:tcW w:w="740" w:type="dxa"/>
            <w:vAlign w:val="bottom"/>
            <w:gridSpan w:val="4"/>
          </w:tcPr>
          <w:p>
            <w:pPr>
              <w:spacing w:after="0"/>
              <w:rPr>
                <w:sz w:val="24"/>
                <w:szCs w:val="24"/>
                <w:color w:val="auto"/>
              </w:rPr>
            </w:pPr>
          </w:p>
        </w:tc>
        <w:tc>
          <w:tcPr>
            <w:tcW w:w="620" w:type="dxa"/>
            <w:vAlign w:val="bottom"/>
            <w:gridSpan w:val="4"/>
          </w:tcPr>
          <w:p>
            <w:pPr>
              <w:jc w:val="right"/>
              <w:ind w:right="160"/>
              <w:spacing w:after="0"/>
              <w:rPr>
                <w:sz w:val="20"/>
                <w:szCs w:val="20"/>
                <w:color w:val="auto"/>
              </w:rPr>
            </w:pPr>
            <w:r>
              <w:rPr>
                <w:rFonts w:ascii="Arial" w:cs="Arial" w:eastAsia="Arial" w:hAnsi="Arial"/>
                <w:sz w:val="18"/>
                <w:szCs w:val="18"/>
                <w:color w:val="auto"/>
                <w:w w:val="86"/>
              </w:rPr>
              <w:t>11.7%</w:t>
            </w:r>
          </w:p>
        </w:tc>
        <w:tc>
          <w:tcPr>
            <w:tcW w:w="740" w:type="dxa"/>
            <w:vAlign w:val="bottom"/>
            <w:gridSpan w:val="4"/>
          </w:tcPr>
          <w:p>
            <w:pPr>
              <w:ind w:left="160"/>
              <w:spacing w:after="0"/>
              <w:rPr>
                <w:sz w:val="20"/>
                <w:szCs w:val="20"/>
                <w:color w:val="auto"/>
              </w:rPr>
            </w:pPr>
            <w:r>
              <w:rPr>
                <w:rFonts w:ascii="Arial" w:cs="Arial" w:eastAsia="Arial" w:hAnsi="Arial"/>
                <w:sz w:val="18"/>
                <w:szCs w:val="18"/>
                <w:color w:val="auto"/>
                <w:w w:val="88"/>
              </w:rPr>
              <w:t>(62.7)%</w:t>
            </w:r>
          </w:p>
        </w:tc>
      </w:tr>
      <w:tr>
        <w:trPr>
          <w:trHeight w:val="20"/>
        </w:trPr>
        <w:tc>
          <w:tcPr>
            <w:tcW w:w="3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Quarter Ended March 31, 2010 Compared to Quarter Ended March 31, 2009</w:t>
      </w:r>
    </w:p>
    <w:p>
      <w:pPr>
        <w:spacing w:after="0" w:line="225" w:lineRule="exact"/>
        <w:rPr>
          <w:sz w:val="20"/>
          <w:szCs w:val="20"/>
          <w:color w:val="auto"/>
        </w:rPr>
      </w:pPr>
    </w:p>
    <w:p>
      <w:pPr>
        <w:ind w:left="540" w:right="40"/>
        <w:spacing w:after="0" w:line="306"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$9.5 million for the quarter ended March 31, 2010 compared to $4.4 million for the same period in 2009,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$5.1 million or 117%. We believe the significant increase in our net revenues during the first quarter of 2010 primarily reflects the increased level of demand in the ATE industry in the first quarter of 2010 as compared to the same period in 2009, as previously discussed in the Overview.</w:t>
      </w: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- 21 -</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ectPr>
          <w:pgSz w:w="11900" w:h="16838" w:orient="portrait"/>
          <w:cols w:equalWidth="0" w:num="1">
            <w:col w:w="11360"/>
          </w:cols>
          <w:pgMar w:left="240" w:top="517" w:right="299" w:bottom="100" w:gutter="0" w:footer="0" w:header="0"/>
        </w:sectPr>
      </w:pPr>
    </w:p>
    <w:bookmarkStart w:id="18" w:name="page19"/>
    <w:bookmarkEnd w:id="18"/>
    <w:p>
      <w:pPr>
        <w:ind w:left="540" w:right="20"/>
        <w:spacing w:after="0" w:line="288" w:lineRule="auto"/>
        <w:rPr>
          <w:sz w:val="20"/>
          <w:szCs w:val="20"/>
          <w:color w:val="auto"/>
        </w:rPr>
      </w:pPr>
      <w:r>
        <w:rPr>
          <w:rFonts w:ascii="Arial" w:cs="Arial" w:eastAsia="Arial" w:hAnsi="Arial"/>
          <w:sz w:val="16"/>
          <w:szCs w:val="16"/>
          <w:color w:val="auto"/>
        </w:rPr>
        <w:t>During the first quarter of 2010, our net revenues from customers in the U.S. increased 162% while our net revenues from customers in Europe and Asia decreased 26% and 34%, respectively, compared to the same period in 2009. Adjusted to eliminate the impact of changes in foreign currency exchange rates, the decrease in net revenues from customers in Europe and Asia would have been 30% and 34%, respectively. The decrease for our customers in Europe primarily reflects the lower levels of demand we experienced in the first quarter of 2010 compared to the comparable prior period in our European operation. We attribute this to the fact that a significant portion of this operation's revenues are from markets outside of the ATE industry, many of which are still impacted by the effects of the global economic recession. The decrease from our customers in Asia primarily reflects our decision to cease manufacturing our Mechanical Products in Singapore, which we announced during the second quarter of 2009. In addition , we announced our decision to close our operation in Japan during the second quarter of 2009. Sales of Mechanical Products that would have been made by these operations are now handled by our operation in Cherry Hill, New Jersey and are included in our net revenues from U.S. customers in 2010.</w:t>
      </w:r>
    </w:p>
    <w:p>
      <w:pPr>
        <w:spacing w:after="0" w:line="174"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48% for the first quarter of 2010 compared to 18% for the same period in 2009. The improvement in gross margin is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the result of a decrease in our fixed operating costs as a percentage of net revenues. Our fixed operating costs represented 15% of net revenues in the first quarter of 2010 compared to 38% of net revenues in the first quarter of 2009. The significant decrease as a percentage of net revenues reflects that these costs were more fully absorbed by the much higher net revenue levels in the first quarter of 2010. To a lesser extent, there was also a decrease in our charges for obsolete and excess inventory and our direct labor costs during the first quarter of 2010 as compared to the same period in 2009. Our charges for obsolete and excess inventory decreased $208,000 in absolute dollar terms. As a percentage of net revenues, these charges declined to 2% for the first quarter of 2010 as compared to 8% for the same period in 2009. The $208,000 decrease in th ese charges primarily reflects that fewer items are falling into our standard objective criteria as a result of the recent increase in demand for our products. Our direct labor costs declined $39,000 in absolute dollar terms or from 6% of net revenues for the first quarter of 2009 to 3% of net revenues for the same period in 2010. The reduction in the absolute dollar value of direct labor primarily reflects reduced headcount. These decreases were partially offset by an increase in our component material costs as a percentage of net revenues, reflecting changes in product and customer mix.</w:t>
      </w:r>
    </w:p>
    <w:p>
      <w:pPr>
        <w:spacing w:after="0" w:line="181"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$1.2 million for the first quarter of 2010 compared to $1.1 million for the same period in 2009,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$92,000 or 8%. The increase in selling expense primarily reflects higher levels of commissions as a result of the significant increase in net revenues experienced in the first quarter of 2010 as compared to the first quarter of 2009. The increase in commissions was partially offset by a reduction in salary and benefits expense, primarily reflecting lower headcount in the first quarter of 2010 as compared to the first quarter of 2009.</w:t>
      </w:r>
    </w:p>
    <w:p>
      <w:pPr>
        <w:spacing w:after="0" w:line="167" w:lineRule="exact"/>
        <w:rPr>
          <w:sz w:val="20"/>
          <w:szCs w:val="20"/>
          <w:color w:val="auto"/>
        </w:rPr>
      </w:pPr>
    </w:p>
    <w:p>
      <w:pPr>
        <w:ind w:left="540" w:right="200"/>
        <w:spacing w:after="0" w:line="259"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$701,000 for the first quarter of 2010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$757,000 for the same period in 2009, a decrease of $56,000 or 7%.The decrease in engineering and product development expense primarily reflects lower salaries and benefits expense as a result of lower headcount.</w:t>
      </w:r>
    </w:p>
    <w:p>
      <w:pPr>
        <w:spacing w:after="0" w:line="194" w:lineRule="exact"/>
        <w:rPr>
          <w:sz w:val="20"/>
          <w:szCs w:val="20"/>
          <w:color w:val="auto"/>
        </w:rPr>
      </w:pPr>
    </w:p>
    <w:p>
      <w:pPr>
        <w:ind w:left="540" w:right="20"/>
        <w:spacing w:after="0" w:line="306"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$1.5 million for the first quarter of 2010 compared to $1.7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2009, a decrease of $203,000 or 12%. This decrease was primarily a result of lower levels of salaries and benefits expense reflecting lower headcount. This decrease was partially offset by the accrual of profit-based bonuses on our results for the quarter.</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 xml:space="preserve">Restructuring and Other Charges. </w:t>
      </w:r>
      <w:r>
        <w:rPr>
          <w:rFonts w:ascii="Arial" w:cs="Arial" w:eastAsia="Arial" w:hAnsi="Arial"/>
          <w:sz w:val="16"/>
          <w:szCs w:val="16"/>
          <w:color w:val="auto"/>
        </w:rPr>
        <w:t>There were no restructuring and other charges for the first quarter of 2010. Restructuring and other charges were</w:t>
      </w:r>
    </w:p>
    <w:p>
      <w:pPr>
        <w:spacing w:after="0" w:line="38" w:lineRule="exact"/>
        <w:rPr>
          <w:sz w:val="20"/>
          <w:szCs w:val="20"/>
          <w:color w:val="auto"/>
        </w:rPr>
      </w:pPr>
    </w:p>
    <w:p>
      <w:pPr>
        <w:ind w:left="540" w:right="140"/>
        <w:spacing w:after="0" w:line="261" w:lineRule="auto"/>
        <w:rPr>
          <w:sz w:val="20"/>
          <w:szCs w:val="20"/>
          <w:color w:val="auto"/>
        </w:rPr>
      </w:pPr>
      <w:r>
        <w:rPr>
          <w:rFonts w:ascii="Arial" w:cs="Arial" w:eastAsia="Arial" w:hAnsi="Arial"/>
          <w:sz w:val="18"/>
          <w:szCs w:val="18"/>
          <w:color w:val="auto"/>
        </w:rPr>
        <w:t>$60,000 for the first quarter of 2009. The charges incurred during the first quarter of 2009 represent one-time termination benefits related to a workforce reduction in our Thermal Products segment.</w:t>
      </w:r>
    </w:p>
    <w:p>
      <w:pPr>
        <w:spacing w:after="0" w:line="192" w:lineRule="exact"/>
        <w:rPr>
          <w:sz w:val="20"/>
          <w:szCs w:val="20"/>
          <w:color w:val="auto"/>
        </w:rPr>
      </w:pPr>
    </w:p>
    <w:p>
      <w:pPr>
        <w:ind w:left="540" w:right="340"/>
        <w:spacing w:after="0" w:line="332"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Other expense was $11,000 for the first quarter of 2010 compared to other income of $81,000 for the first quarter of 2009,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income of $92,000. The decrease primarily represents a decrease in foreign currency gains and lower levels of interest income.</w:t>
      </w:r>
    </w:p>
    <w:p>
      <w:pPr>
        <w:spacing w:after="0" w:line="139"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quarter ended March 31, 2010, we recorded income tax expense of $3,000 compared to income tax expense of $1,000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2009. On a quarterly basis, we record income tax expense or benefit based on the expected annualized effective tax rate for the various taxing jurisdictions in which we operate our businesses. Due to our history of operating losses in both our domestic and certain of our foreign operations, we have recorded a full valuation allowance against the deferred tax assets of these operations, including net operating loss carryforwards, where we believe it is more likely than not that we will not have sufficient taxable income to utilize these assets before they expire.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right="20"/>
        <w:spacing w:after="0" w:line="287" w:lineRule="auto"/>
        <w:rPr>
          <w:sz w:val="20"/>
          <w:szCs w:val="20"/>
          <w:color w:val="auto"/>
        </w:rPr>
      </w:pPr>
      <w:r>
        <w:rPr>
          <w:rFonts w:ascii="Arial" w:cs="Arial" w:eastAsia="Arial" w:hAnsi="Arial"/>
          <w:sz w:val="16"/>
          <w:szCs w:val="16"/>
          <w:color w:val="auto"/>
        </w:rPr>
        <w:t>Net cash provided by operations for the three months ended March 31, 2010 was $299,000 compared to net cash used in operations of $1.7 million for the same period in 2009. The shift from net cash used in operations to net cash provided by operations primarily reflects our net earnings of $1.1 million for the first quarter of 2010 as compared to our net loss of $2.8 million for the first quarter of 2009. During the first quarter of 2010, trade accounts receivable increased $1.2 million, inventories increased $563,000 and accounts payable increased $479,000, all of which reflect the significant increase in the level of business during the first quarter of 2010. Restricted certificates of deposit increased $250,000 reflecting the purchase of a certificate of deposit which is pledged to support a letter of credit that was issued effective April 1, 2010 in the face amount of $250,000. This letter of credit serves as the security deposit for a lease we have entered into for a facility in Mount Laurel, New Jersey. Our Mechanical Products segment operation and corporate headquarters which is currently located in Cherry Hill, New Jersey will relocate to this smaller facility in the fourth quarter of 2010. Accrued wages and benefits increased $422,000 primarily reflecting the restoration of certain salaries and benefits that had been reduced in 2008 and 2009 as a part of our restructuring initiatives. This restoration was effective January 1, 2010.</w:t>
      </w:r>
    </w:p>
    <w:p>
      <w:pPr>
        <w:spacing w:after="0" w:line="177"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Purchases of property and equipment were $54,000 for the three months ended March 31, 2010. We have no significant commitments for capital expenditures for the balance of 2010, however, depending upon changes in market demand, we may make such purchases as we deem necessary and appropriate. As previously mentioned, we will be relocating the Mechanical Product segment operations and corporate staff currently occupying our Cherry Hill, New Jersey facility into a smaller facility located in Mount Laurel, New Jersey during the fourth quarter of 2010. We are currently in the process of obtaining proposals for the various costs associated with this move and do not yet have a complete estimate of the total capital expenditures that we will incur to complete this move. The landlord for the new Mount Laurel facility will be providing the majority of the tenant improvement dollars for this facility, which we will amortize over the life of the lease as deferred rental expense.</w:t>
      </w:r>
    </w:p>
    <w:p>
      <w:pPr>
        <w:sectPr>
          <w:pgSz w:w="11900" w:h="16838" w:orient="portrait"/>
          <w:cols w:equalWidth="0" w:num="1">
            <w:col w:w="11400"/>
          </w:cols>
          <w:pgMar w:left="240" w:top="131" w:right="259" w:bottom="0" w:gutter="0" w:footer="0" w:header="0"/>
        </w:sectPr>
      </w:pPr>
    </w:p>
    <w:bookmarkStart w:id="19" w:name="page20"/>
    <w:bookmarkEnd w:id="19"/>
    <w:p>
      <w:pPr>
        <w:jc w:val="both"/>
        <w:ind w:left="540"/>
        <w:spacing w:after="0" w:line="306" w:lineRule="auto"/>
        <w:rPr>
          <w:sz w:val="20"/>
          <w:szCs w:val="20"/>
          <w:color w:val="auto"/>
        </w:rPr>
      </w:pPr>
      <w:r>
        <w:rPr>
          <w:rFonts w:ascii="Arial" w:cs="Arial" w:eastAsia="Arial" w:hAnsi="Arial"/>
          <w:sz w:val="16"/>
          <w:szCs w:val="16"/>
          <w:color w:val="auto"/>
        </w:rPr>
        <w:t>We have a secured credit facility that provides for maximum borrowings of $250,000. We have not used this credit facility to borrow any funds. Our usage consists of the issuance of letters of credit in the face amount of $250,000. This facility is secured by pledged certificates of deposit totaling $250,000. We pay a quarterly fee of 1.5% per annum on the total amount of the outstanding letters of credit.</w:t>
      </w:r>
    </w:p>
    <w:p>
      <w:pPr>
        <w:spacing w:after="0" w:line="161" w:lineRule="exact"/>
        <w:rPr>
          <w:sz w:val="20"/>
          <w:szCs w:val="20"/>
          <w:color w:val="auto"/>
        </w:rPr>
      </w:pPr>
    </w:p>
    <w:p>
      <w:pPr>
        <w:ind w:left="540" w:right="40"/>
        <w:spacing w:after="0" w:line="286" w:lineRule="auto"/>
        <w:rPr>
          <w:sz w:val="20"/>
          <w:szCs w:val="20"/>
          <w:color w:val="auto"/>
        </w:rPr>
      </w:pPr>
      <w:r>
        <w:rPr>
          <w:rFonts w:ascii="Arial" w:cs="Arial" w:eastAsia="Arial" w:hAnsi="Arial"/>
          <w:sz w:val="16"/>
          <w:szCs w:val="16"/>
          <w:color w:val="auto"/>
        </w:rPr>
        <w:t>As of March 31, 2010, we had cash and cash equivalents of $2.9 million. In light of deteriorating conditions in the semiconductor industry and the global economic recession, we initiated a series of restructuring and cost reduction programs during the fourth quarter of 2008, which continued throughout 2009. These actions are discussed in more detail in Note 4 to the accompanying consolidated financial statements and in Note 5 to our consolidated financial statements in our 2009 Form 10-K. The goal of these actions was to conserve cash and reduce costs. In April 2009, we retained the services of a financial advisor to assist us in assessing our strategic alternatives to enhance operating performance and stockholder value. We determined that under the then current market conditions and with our then current resources, our goals were to continue conserving cash, reducing costs and generating sales of our products. Since that time, we have implemented strategies consistent with those goals and remain committed t o those objectives. We also continue to consider other alternatives as we may deem appropriate. While these strategies appear to have been effective in allowing us to reach our goals, and while we currently expect our cash and cash equivalents and projected future cash flow to be sufficient to support our short term working capital requirements, in light of the increased demand for our products and the restoration of salaries and benefits for our domestic employees in early 2010, we may need additional working capital in 2010. We do not currently have any available credit facilities under which we can borrow to help fund our working capital requirements. We cannot be certain that, if needed, we would be able to obtain any credit facilities or under what terms such credit facilities would be available.</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See the Notes to the consolidated financial statements for information concerning the implementation and impact of new or recently adopted accounting standards.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deferred income tax valuation allowances and product warranty reserves.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March 31, 2010, there have been no significant changes to the accounting policies that we have deemed critical. These policies are more fully described in our 2009 Form 10-K.</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191" w:lineRule="exact"/>
        <w:rPr>
          <w:sz w:val="20"/>
          <w:szCs w:val="20"/>
          <w:color w:val="auto"/>
        </w:rPr>
      </w:pPr>
    </w:p>
    <w:p>
      <w:pPr>
        <w:jc w:val="both"/>
        <w:ind w:left="540" w:right="460"/>
        <w:spacing w:after="0" w:line="259" w:lineRule="auto"/>
        <w:rPr>
          <w:sz w:val="20"/>
          <w:szCs w:val="20"/>
          <w:color w:val="auto"/>
        </w:rPr>
      </w:pPr>
      <w:r>
        <w:rPr>
          <w:rFonts w:ascii="Arial" w:cs="Arial" w:eastAsia="Arial" w:hAnsi="Arial"/>
          <w:sz w:val="18"/>
          <w:szCs w:val="18"/>
          <w:color w:val="auto"/>
        </w:rPr>
        <w:t>There were no off-balance sheet arrangements during the three months ended March 31, 2010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4T. CONTROLS AND PROCEDURES</w:t>
      </w:r>
    </w:p>
    <w:p>
      <w:pPr>
        <w:spacing w:after="0" w:line="185" w:lineRule="exact"/>
        <w:rPr>
          <w:sz w:val="20"/>
          <w:szCs w:val="20"/>
          <w:color w:val="auto"/>
        </w:rPr>
      </w:pPr>
    </w:p>
    <w:p>
      <w:pPr>
        <w:ind w:left="540" w:right="60"/>
        <w:spacing w:after="0" w:line="258" w:lineRule="auto"/>
        <w:rPr>
          <w:sz w:val="20"/>
          <w:szCs w:val="20"/>
          <w:color w:val="auto"/>
        </w:rPr>
      </w:pPr>
      <w:r>
        <w:rPr>
          <w:rFonts w:ascii="Arial" w:cs="Arial" w:eastAsia="Arial" w:hAnsi="Arial"/>
          <w:sz w:val="18"/>
          <w:szCs w:val="18"/>
          <w:b w:val="1"/>
          <w:bCs w:val="1"/>
          <w:color w:val="auto"/>
        </w:rPr>
        <w:t>CEO and CFO Certifications</w:t>
      </w:r>
      <w:r>
        <w:rPr>
          <w:rFonts w:ascii="Arial" w:cs="Arial" w:eastAsia="Arial" w:hAnsi="Arial"/>
          <w:sz w:val="18"/>
          <w:szCs w:val="18"/>
          <w:color w:val="auto"/>
        </w:rPr>
        <w:t>. Included with this Quarterly Report as Exhibits 31.1 and 31.2 are two certifications, one by each of our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our Chief Financial Officer (the "Section 302 Certifications"). This Item 4T contains information concerning the evaluations of our disclosure controls and procedures that are referred to in the Section 302 Certifications. This information should be read in conjunction with the Section 302 Certifications for a more complete understanding of the topics addressed therein.</w:t>
      </w:r>
    </w:p>
    <w:p>
      <w:pPr>
        <w:spacing w:after="0" w:line="190" w:lineRule="exact"/>
        <w:rPr>
          <w:sz w:val="20"/>
          <w:szCs w:val="20"/>
          <w:color w:val="auto"/>
        </w:rPr>
      </w:pPr>
    </w:p>
    <w:p>
      <w:pPr>
        <w:ind w:left="540" w:right="180"/>
        <w:spacing w:after="0" w:line="262" w:lineRule="auto"/>
        <w:rPr>
          <w:sz w:val="20"/>
          <w:szCs w:val="20"/>
          <w:color w:val="auto"/>
        </w:rPr>
      </w:pPr>
      <w:r>
        <w:rPr>
          <w:rFonts w:ascii="Arial" w:cs="Arial" w:eastAsia="Arial" w:hAnsi="Arial"/>
          <w:sz w:val="18"/>
          <w:szCs w:val="18"/>
          <w:b w:val="1"/>
          <w:bCs w:val="1"/>
          <w:color w:val="auto"/>
        </w:rPr>
        <w:t>Evaluation of Our Disclosure Controls and Procedures</w:t>
      </w:r>
      <w:r>
        <w:rPr>
          <w:rFonts w:ascii="Arial" w:cs="Arial" w:eastAsia="Arial" w:hAnsi="Arial"/>
          <w:sz w:val="18"/>
          <w:szCs w:val="18"/>
          <w:color w:val="auto"/>
        </w:rPr>
        <w:t>. The SEC requires that as of the end of the quarter covered by this Report, our CEO and CFO</w:t>
      </w:r>
      <w:r>
        <w:rPr>
          <w:rFonts w:ascii="Arial" w:cs="Arial" w:eastAsia="Arial" w:hAnsi="Arial"/>
          <w:sz w:val="18"/>
          <w:szCs w:val="18"/>
          <w:b w:val="1"/>
          <w:bCs w:val="1"/>
          <w:color w:val="auto"/>
        </w:rPr>
        <w:t xml:space="preserve"> </w:t>
      </w:r>
      <w:r>
        <w:rPr>
          <w:rFonts w:ascii="Arial" w:cs="Arial" w:eastAsia="Arial" w:hAnsi="Arial"/>
          <w:sz w:val="18"/>
          <w:szCs w:val="18"/>
          <w:color w:val="auto"/>
        </w:rPr>
        <w:t>must evaluate the effectiveness of the design and operation of our disclosure controls and procedures and report on the effectiveness of the design and operation of our disclosure controls and procedures.</w:t>
      </w:r>
    </w:p>
    <w:p>
      <w:pPr>
        <w:spacing w:after="0" w:line="152"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"Disclosure controls and procedures" mean the controls and other procedures that are designed with the objective of ensuring that information required to be disclosed in our reports filed under the Securities Exchange Act of 1934 (the "Exchange Act"), such as this Report, is recorded, processed, summarized and reported within the time periods specified in the rules and forms promulgated by the SEC. Disclosure controls and procedures are also designed with the objective of ensuring that such information is accumulated and communicated to our management, including the CEO and CFO, as appropriate, to allow timely decisions regarding required disclosure.</w:t>
      </w:r>
    </w:p>
    <w:p>
      <w:pPr>
        <w:spacing w:after="0" w:line="191" w:lineRule="exact"/>
        <w:rPr>
          <w:sz w:val="20"/>
          <w:szCs w:val="20"/>
          <w:color w:val="auto"/>
        </w:rPr>
      </w:pPr>
    </w:p>
    <w:p>
      <w:pPr>
        <w:ind w:left="540" w:right="600"/>
        <w:spacing w:after="0" w:line="339" w:lineRule="auto"/>
        <w:rPr>
          <w:sz w:val="20"/>
          <w:szCs w:val="20"/>
          <w:color w:val="auto"/>
        </w:rPr>
      </w:pPr>
      <w:r>
        <w:rPr>
          <w:rFonts w:ascii="Arial" w:cs="Arial" w:eastAsia="Arial" w:hAnsi="Arial"/>
          <w:sz w:val="16"/>
          <w:szCs w:val="16"/>
          <w:b w:val="1"/>
          <w:bCs w:val="1"/>
          <w:color w:val="auto"/>
        </w:rPr>
        <w:t>Limitations on the Effectiveness of Controls</w:t>
      </w:r>
      <w:r>
        <w:rPr>
          <w:rFonts w:ascii="Arial" w:cs="Arial" w:eastAsia="Arial" w:hAnsi="Arial"/>
          <w:sz w:val="16"/>
          <w:szCs w:val="16"/>
          <w:color w:val="auto"/>
        </w:rPr>
        <w:t>. Our management, including the CEO and CFO, does not expect that our disclosure controls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procedures or our internal control over financial reporting will prevent all error and all fraud. A control system, no matter how well conceived and</w:t>
      </w:r>
    </w:p>
    <w:p>
      <w:pPr>
        <w:sectPr>
          <w:pgSz w:w="11900" w:h="16838" w:orient="portrait"/>
          <w:cols w:equalWidth="0" w:num="1">
            <w:col w:w="11420"/>
          </w:cols>
          <w:pgMar w:left="240" w:top="347" w:right="239" w:bottom="0" w:gutter="0" w:footer="0" w:header="0"/>
        </w:sectPr>
      </w:pPr>
    </w:p>
    <w:bookmarkStart w:id="20" w:name="page21"/>
    <w:bookmarkEnd w:id="20"/>
    <w:p>
      <w:pPr>
        <w:ind w:left="540" w:right="100"/>
        <w:spacing w:after="0" w:line="335" w:lineRule="auto"/>
        <w:rPr>
          <w:sz w:val="20"/>
          <w:szCs w:val="20"/>
          <w:color w:val="auto"/>
        </w:rPr>
      </w:pPr>
      <w:r>
        <w:rPr>
          <w:rFonts w:ascii="Arial" w:cs="Arial" w:eastAsia="Arial" w:hAnsi="Arial"/>
          <w:sz w:val="15"/>
          <w:szCs w:val="15"/>
          <w:color w:val="auto"/>
        </w:rPr>
        <w:t>operated, can provide only reasonable, as opposed to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4T. CONTROLS AND PROCEDURES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within an entity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a system of controls may become inadequate because of changes in conditions, or the degree of compliance with the policies or procedures may deteriorate. Because of the inherent limitations in a cost-effective control system, misstatements due to error or fraud may occur and not be detected. Accordingly, our management has designed the disclosure controls and procedures to provide reasonable a ssurance that the objectives of the control system were met.</w:t>
      </w:r>
    </w:p>
    <w:p>
      <w:pPr>
        <w:spacing w:after="0" w:line="166" w:lineRule="exact"/>
        <w:rPr>
          <w:sz w:val="20"/>
          <w:szCs w:val="20"/>
          <w:color w:val="auto"/>
        </w:rPr>
      </w:pPr>
    </w:p>
    <w:p>
      <w:pPr>
        <w:jc w:val="both"/>
        <w:ind w:left="540" w:right="26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620014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1" w:lineRule="exact"/>
        <w:rPr>
          <w:sz w:val="20"/>
          <w:szCs w:val="20"/>
          <w:color w:val="auto"/>
        </w:rPr>
      </w:pPr>
    </w:p>
    <w:p>
      <w:pPr>
        <w:jc w:val="both"/>
        <w:ind w:left="540" w:right="2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jc w:val="both"/>
        <w:ind w:left="540" w:right="20"/>
        <w:spacing w:after="0" w:line="259"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Annual Report on Form 10-K for the year ended December 31, 2009.</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p>
      <w:pPr>
        <w:ind w:left="540" w:right="58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following the signature page, which Index to Exhibits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1064260</wp:posOffset>
            </wp:positionH>
            <wp:positionV relativeFrom="paragraph">
              <wp:posOffset>110490</wp:posOffset>
            </wp:positionV>
            <wp:extent cx="620014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9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inTEST Corporation</w:t>
            </w:r>
          </w:p>
        </w:tc>
      </w:tr>
      <w:tr>
        <w:trPr>
          <w:trHeight w:val="637"/>
        </w:trPr>
        <w:tc>
          <w:tcPr>
            <w:tcW w:w="1600" w:type="dxa"/>
            <w:vAlign w:val="bottom"/>
            <w:gridSpan w:val="2"/>
          </w:tcPr>
          <w:p>
            <w:pPr>
              <w:spacing w:after="0"/>
              <w:rPr>
                <w:sz w:val="20"/>
                <w:szCs w:val="20"/>
                <w:color w:val="auto"/>
              </w:rPr>
            </w:pPr>
            <w:r>
              <w:rPr>
                <w:rFonts w:ascii="Arial" w:cs="Arial" w:eastAsia="Arial" w:hAnsi="Arial"/>
                <w:sz w:val="18"/>
                <w:szCs w:val="18"/>
                <w:color w:val="auto"/>
                <w:w w:val="94"/>
              </w:rPr>
              <w:t>Date:   May 14, 2010</w:t>
            </w:r>
          </w:p>
        </w:tc>
        <w:tc>
          <w:tcPr>
            <w:tcW w:w="88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/s/ Robert E. Matthiessen</w:t>
            </w:r>
          </w:p>
        </w:tc>
      </w:tr>
      <w:tr>
        <w:trPr>
          <w:trHeight w:val="228"/>
        </w:trPr>
        <w:tc>
          <w:tcPr>
            <w:tcW w:w="6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Robert E. Matthiessen</w:t>
            </w:r>
          </w:p>
        </w:tc>
        <w:tc>
          <w:tcPr>
            <w:tcW w:w="880" w:type="dxa"/>
            <w:vAlign w:val="bottom"/>
          </w:tcPr>
          <w:p>
            <w:pPr>
              <w:spacing w:after="0"/>
              <w:rPr>
                <w:sz w:val="19"/>
                <w:szCs w:val="19"/>
                <w:color w:val="auto"/>
              </w:rPr>
            </w:pPr>
          </w:p>
        </w:tc>
      </w:tr>
      <w:tr>
        <w:trPr>
          <w:trHeight w:val="222"/>
        </w:trPr>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Arial" w:cs="Arial" w:eastAsia="Arial" w:hAnsi="Arial"/>
                <w:sz w:val="18"/>
                <w:szCs w:val="18"/>
                <w:i w:val="1"/>
                <w:iCs w:val="1"/>
                <w:color w:val="auto"/>
                <w:w w:val="88"/>
              </w:rPr>
              <w:t>President and Chief Executive Officer</w:t>
            </w:r>
          </w:p>
        </w:tc>
      </w:tr>
    </w:tbl>
    <w:p>
      <w:pPr>
        <w:spacing w:after="0" w:line="200" w:lineRule="exact"/>
        <w:rPr>
          <w:sz w:val="20"/>
          <w:szCs w:val="20"/>
          <w:color w:val="auto"/>
        </w:rPr>
      </w:pPr>
    </w:p>
    <w:p>
      <w:pPr>
        <w:sectPr>
          <w:pgSz w:w="11900" w:h="16838" w:orient="portrait"/>
          <w:cols w:equalWidth="0" w:num="1">
            <w:col w:w="11420"/>
          </w:cols>
          <w:pgMar w:left="240" w:top="131" w:right="239" w:bottom="0" w:gutter="0" w:footer="0" w:header="0"/>
        </w:sectPr>
      </w:pPr>
    </w:p>
    <w:p>
      <w:pPr>
        <w:spacing w:after="0" w:line="253" w:lineRule="exact"/>
        <w:rPr>
          <w:sz w:val="20"/>
          <w:szCs w:val="20"/>
          <w:color w:val="auto"/>
        </w:rPr>
      </w:pPr>
    </w:p>
    <w:p>
      <w:pPr>
        <w:ind w:left="220"/>
        <w:spacing w:after="0"/>
        <w:tabs>
          <w:tab w:leader="none" w:pos="820" w:val="left"/>
          <w:tab w:leader="none" w:pos="2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May 14, 2010</w:t>
      </w:r>
      <w:r>
        <w:rPr>
          <w:sz w:val="20"/>
          <w:szCs w:val="20"/>
          <w:color w:val="auto"/>
        </w:rPr>
        <w:tab/>
      </w:r>
      <w:r>
        <w:rPr>
          <w:rFonts w:ascii="Arial" w:cs="Arial" w:eastAsia="Arial" w:hAnsi="Arial"/>
          <w:sz w:val="15"/>
          <w:szCs w:val="15"/>
          <w:u w:val="single" w:color="auto"/>
          <w:color w:val="auto"/>
        </w:rPr>
        <w:t>/s/ Hugh T. Regan, Jr.</w:t>
      </w:r>
    </w:p>
    <w:p>
      <w:pPr>
        <w:sectPr>
          <w:pgSz w:w="11900" w:h="16838" w:orient="portrait"/>
          <w:cols w:equalWidth="0" w:num="1">
            <w:col w:w="11420"/>
          </w:cols>
          <w:pgMar w:left="240" w:top="131" w:right="239" w:bottom="0" w:gutter="0" w:footer="0" w:header="0"/>
          <w:type w:val="continuous"/>
        </w:sectPr>
      </w:pPr>
    </w:p>
    <w:bookmarkStart w:id="21" w:name="page22"/>
    <w:bookmarkEnd w:id="21"/>
    <w:p>
      <w:pPr>
        <w:ind w:left="2700"/>
        <w:spacing w:after="0"/>
        <w:rPr>
          <w:sz w:val="20"/>
          <w:szCs w:val="20"/>
          <w:color w:val="auto"/>
        </w:rPr>
      </w:pPr>
      <w:r>
        <w:rPr>
          <w:rFonts w:ascii="Arial" w:cs="Arial" w:eastAsia="Arial" w:hAnsi="Arial"/>
          <w:sz w:val="18"/>
          <w:szCs w:val="18"/>
          <w:color w:val="auto"/>
        </w:rPr>
        <w:t>Hugh T. Regan, Jr.</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18"/>
          <w:szCs w:val="18"/>
          <w:i w:val="1"/>
          <w:iCs w:val="1"/>
          <w:color w:val="auto"/>
        </w:rPr>
        <w:t>Treasurer and Chief Financial Officer</w:t>
      </w:r>
    </w:p>
    <w:p>
      <w:pPr>
        <w:spacing w:after="0" w:line="200" w:lineRule="exact"/>
        <w:rPr>
          <w:sz w:val="20"/>
          <w:szCs w:val="20"/>
          <w:color w:val="auto"/>
        </w:rPr>
      </w:pPr>
    </w:p>
    <w:p>
      <w:pPr>
        <w:spacing w:after="0" w:line="38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1064260</wp:posOffset>
            </wp:positionH>
            <wp:positionV relativeFrom="paragraph">
              <wp:posOffset>135890</wp:posOffset>
            </wp:positionV>
            <wp:extent cx="620014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191" w:lineRule="exact"/>
        <w:rPr>
          <w:sz w:val="20"/>
          <w:szCs w:val="20"/>
          <w:color w:val="auto"/>
        </w:rPr>
      </w:pPr>
    </w:p>
    <w:p>
      <w:pPr>
        <w:ind w:left="400" w:right="4499" w:hanging="394"/>
        <w:spacing w:after="0" w:line="259" w:lineRule="auto"/>
        <w:rPr>
          <w:sz w:val="20"/>
          <w:szCs w:val="20"/>
          <w:color w:val="auto"/>
        </w:rPr>
      </w:pPr>
      <w:r>
        <w:rPr>
          <w:rFonts w:ascii="Arial" w:cs="Arial" w:eastAsia="Arial" w:hAnsi="Arial"/>
          <w:sz w:val="18"/>
          <w:szCs w:val="18"/>
          <w:color w:val="auto"/>
        </w:rPr>
        <w:t>3.1* Articles of Incorporation: Previously filed by the Company as an Exhibit to the Company's Registration Statement on Form S-1, File No. 333-26457, and incorporated herein by reference.</w:t>
      </w:r>
    </w:p>
    <w:p>
      <w:pPr>
        <w:spacing w:after="0" w:line="194" w:lineRule="exact"/>
        <w:rPr>
          <w:sz w:val="20"/>
          <w:szCs w:val="20"/>
          <w:color w:val="auto"/>
        </w:rPr>
      </w:pPr>
    </w:p>
    <w:p>
      <w:pPr>
        <w:jc w:val="both"/>
        <w:ind w:left="400" w:right="3939" w:hanging="394"/>
        <w:spacing w:after="0" w:line="259" w:lineRule="auto"/>
        <w:rPr>
          <w:sz w:val="20"/>
          <w:szCs w:val="20"/>
          <w:color w:val="auto"/>
        </w:rPr>
      </w:pPr>
      <w:r>
        <w:rPr>
          <w:rFonts w:ascii="Arial" w:cs="Arial" w:eastAsia="Arial" w:hAnsi="Arial"/>
          <w:sz w:val="18"/>
          <w:szCs w:val="18"/>
          <w:color w:val="auto"/>
        </w:rPr>
        <w:t>3.2* ByLaws of inTEST Corporation, as amended on October 30, 2007: Previously filed as Exhibit 3.2 of the Company's Form 8-K on November 5, 2007 and incorporated herein by reference.</w:t>
      </w:r>
    </w:p>
    <w:p>
      <w:pPr>
        <w:spacing w:after="0" w:line="194" w:lineRule="exact"/>
        <w:rPr>
          <w:sz w:val="20"/>
          <w:szCs w:val="20"/>
          <w:color w:val="auto"/>
        </w:rPr>
      </w:pPr>
    </w:p>
    <w:p>
      <w:pPr>
        <w:ind w:left="400" w:right="3299" w:hanging="394"/>
        <w:spacing w:after="0" w:line="259" w:lineRule="auto"/>
        <w:rPr>
          <w:sz w:val="20"/>
          <w:szCs w:val="20"/>
          <w:color w:val="auto"/>
        </w:rPr>
      </w:pPr>
      <w:r>
        <w:rPr>
          <w:rFonts w:ascii="Arial" w:cs="Arial" w:eastAsia="Arial" w:hAnsi="Arial"/>
          <w:sz w:val="18"/>
          <w:szCs w:val="18"/>
          <w:color w:val="auto"/>
        </w:rPr>
        <w:t>10.1* Compensatory Arrangements of Certain Officers: Previously filed as Item 5.02 of the Company's Current Report on Form 8-K filed on March 16, 2010 and incorporated herein by reference. (CP)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Chief Executive Officer pursuant to Rule 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Chief Financial Officer pursuant to Rule 13a-14(a).</w:t>
      </w:r>
    </w:p>
    <w:p>
      <w:pPr>
        <w:spacing w:after="0" w:line="225" w:lineRule="exact"/>
        <w:rPr>
          <w:sz w:val="20"/>
          <w:szCs w:val="20"/>
          <w:color w:val="auto"/>
        </w:rPr>
      </w:pPr>
    </w:p>
    <w:p>
      <w:pPr>
        <w:ind w:left="440" w:right="4199" w:hanging="438"/>
        <w:spacing w:after="0" w:line="332" w:lineRule="auto"/>
        <w:rPr>
          <w:sz w:val="20"/>
          <w:szCs w:val="20"/>
          <w:color w:val="auto"/>
        </w:rPr>
      </w:pPr>
      <w:r>
        <w:rPr>
          <w:rFonts w:ascii="Arial" w:cs="Arial" w:eastAsia="Arial" w:hAnsi="Arial"/>
          <w:sz w:val="16"/>
          <w:szCs w:val="16"/>
          <w:color w:val="auto"/>
        </w:rPr>
        <w:t>32.1 Certification of Chief Executive Officer pursuant to 18 U.S.C. Section 1350, as adopted pursuant to Section 906 of the Sarbanes-Oxley Act of 2002.</w:t>
      </w:r>
    </w:p>
    <w:p>
      <w:pPr>
        <w:spacing w:after="0" w:line="139" w:lineRule="exact"/>
        <w:rPr>
          <w:sz w:val="20"/>
          <w:szCs w:val="20"/>
          <w:color w:val="auto"/>
        </w:rPr>
      </w:pPr>
    </w:p>
    <w:p>
      <w:pPr>
        <w:ind w:left="440" w:right="4259" w:hanging="438"/>
        <w:spacing w:after="0" w:line="332" w:lineRule="auto"/>
        <w:rPr>
          <w:sz w:val="20"/>
          <w:szCs w:val="20"/>
          <w:color w:val="auto"/>
        </w:rPr>
      </w:pPr>
      <w:r>
        <w:rPr>
          <w:rFonts w:ascii="Arial" w:cs="Arial" w:eastAsia="Arial" w:hAnsi="Arial"/>
          <w:sz w:val="16"/>
          <w:szCs w:val="16"/>
          <w:color w:val="auto"/>
        </w:rPr>
        <w:t>32.2 Certification of Chief Financial Officer pursuant to 18 U.S.C. Section 1350, as adopted pursuant to Section 906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Indicates document previously filed.</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(CP) Indicates a management contract or compensatory plan, contract or arrangement in which directors and/or executive officers participate.</w:t>
      </w:r>
    </w:p>
    <w:p>
      <w:pPr>
        <w:spacing w:after="0" w:line="21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0219"/>
          </w:cols>
          <w:pgMar w:left="240" w:top="131" w:right="1440"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14, 2010</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14, 2010</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Treasurer and Chief Financial Officer</w:t>
      </w:r>
    </w:p>
    <w:p>
      <w:pPr>
        <w:sectPr>
          <w:pgSz w:w="11900" w:h="16838" w:orient="portrait"/>
          <w:cols w:equalWidth="0" w:num="1">
            <w:col w:w="11420"/>
          </w:cols>
          <w:pgMar w:left="240" w:top="11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70" w:lineRule="auto"/>
        <w:rPr>
          <w:sz w:val="20"/>
          <w:szCs w:val="20"/>
          <w:color w:val="auto"/>
        </w:rPr>
      </w:pPr>
      <w:r>
        <w:rPr>
          <w:rFonts w:ascii="Arial" w:cs="Arial" w:eastAsia="Arial" w:hAnsi="Arial"/>
          <w:sz w:val="23"/>
          <w:szCs w:val="23"/>
          <w:color w:val="auto"/>
        </w:rPr>
        <w:t>In connection with the Quarterly Report of inTEST Corporation (the "Company") on Form 10-Q for the period ended March 31, 2010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20" w:firstLine="8"/>
        <w:spacing w:after="0" w:line="275" w:lineRule="auto"/>
        <w:tabs>
          <w:tab w:leader="none" w:pos="344" w:val="left"/>
        </w:tabs>
        <w:numPr>
          <w:ilvl w:val="0"/>
          <w:numId w:val="9"/>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9"/>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May 14, 2010</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360"/>
        <w:spacing w:after="0" w:line="270" w:lineRule="auto"/>
        <w:rPr>
          <w:sz w:val="20"/>
          <w:szCs w:val="20"/>
          <w:color w:val="auto"/>
        </w:rPr>
      </w:pPr>
      <w:r>
        <w:rPr>
          <w:rFonts w:ascii="Arial" w:cs="Arial" w:eastAsia="Arial" w:hAnsi="Arial"/>
          <w:sz w:val="23"/>
          <w:szCs w:val="23"/>
          <w:color w:val="auto"/>
        </w:rPr>
        <w:t>In connection with the Quarterly Report of inTEST Corporation (the "Company") on Form 10-Q for the period ended March 31, 2010 as filed with the Securities and Exchange Commission on the date hereof (the "Report"), I, Hugh T. Regan, Jr., Treasurer and Chief Financial Officer of the Company, certify, pursuant to 18 U.S.C. Section 1350, as adopted pursuant to Section 906 of the Sarbanes-Oxley Act of 2002, that:</w:t>
      </w:r>
    </w:p>
    <w:p>
      <w:pPr>
        <w:spacing w:after="0" w:line="228" w:lineRule="exact"/>
        <w:rPr>
          <w:sz w:val="20"/>
          <w:szCs w:val="20"/>
          <w:color w:val="auto"/>
        </w:rPr>
      </w:pPr>
    </w:p>
    <w:p>
      <w:pPr>
        <w:ind w:right="520" w:firstLine="8"/>
        <w:spacing w:after="0" w:line="275" w:lineRule="auto"/>
        <w:tabs>
          <w:tab w:leader="none" w:pos="344" w:val="left"/>
        </w:tabs>
        <w:numPr>
          <w:ilvl w:val="0"/>
          <w:numId w:val="10"/>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10"/>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May 14, 2010</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Treasurer and Chief Financial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decimal"/>
      <w:start w:val="9"/>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2019-12-10T15:19:38Z</dcterms:created>
  <dcterms:modified xsi:type="dcterms:W3CDTF">2019-12-10T15:19:38Z</dcterms:modified>
</cp:coreProperties>
</file>