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_____________</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June 30, 2017</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204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5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0000FF"/>
        </w:rPr>
        <w:t>inTEST Corporation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8"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ind w:left="496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88"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800" w:type="dxa"/>
            <w:vAlign w:val="bottom"/>
          </w:tcPr>
          <w:p>
            <w:pPr>
              <w:jc w:val="right"/>
              <w:ind w:right="3392"/>
              <w:spacing w:after="0"/>
              <w:rPr>
                <w:sz w:val="20"/>
                <w:szCs w:val="20"/>
                <w:color w:val="auto"/>
              </w:rPr>
            </w:pPr>
            <w:r>
              <w:rPr>
                <w:rFonts w:ascii="Arial" w:cs="Arial" w:eastAsia="Arial" w:hAnsi="Arial"/>
                <w:sz w:val="18"/>
                <w:szCs w:val="18"/>
                <w:color w:val="auto"/>
                <w:w w:val="99"/>
              </w:rPr>
              <w:t>___</w:t>
            </w:r>
          </w:p>
        </w:tc>
        <w:tc>
          <w:tcPr>
            <w:tcW w:w="2440" w:type="dxa"/>
            <w:vAlign w:val="bottom"/>
            <w:gridSpan w:val="2"/>
          </w:tcPr>
          <w:p>
            <w:pPr>
              <w:ind w:left="220"/>
              <w:spacing w:after="0"/>
              <w:rPr>
                <w:sz w:val="20"/>
                <w:szCs w:val="20"/>
                <w:color w:val="auto"/>
              </w:rPr>
            </w:pPr>
            <w:r>
              <w:rPr>
                <w:rFonts w:ascii="Arial" w:cs="Arial" w:eastAsia="Arial" w:hAnsi="Arial"/>
                <w:sz w:val="18"/>
                <w:szCs w:val="18"/>
                <w:color w:val="auto"/>
              </w:rPr>
              <w:t>Accelerated filer ___</w:t>
            </w:r>
          </w:p>
        </w:tc>
      </w:tr>
      <w:tr>
        <w:trPr>
          <w:trHeight w:val="205"/>
        </w:trPr>
        <w:tc>
          <w:tcPr>
            <w:tcW w:w="1600" w:type="dxa"/>
            <w:vAlign w:val="bottom"/>
          </w:tcPr>
          <w:p>
            <w:pPr>
              <w:spacing w:after="0" w:line="205" w:lineRule="exact"/>
              <w:rPr>
                <w:sz w:val="20"/>
                <w:szCs w:val="20"/>
                <w:color w:val="auto"/>
              </w:rPr>
            </w:pPr>
            <w:r>
              <w:rPr>
                <w:rFonts w:ascii="Arial" w:cs="Arial" w:eastAsia="Arial" w:hAnsi="Arial"/>
                <w:sz w:val="18"/>
                <w:szCs w:val="18"/>
                <w:color w:val="auto"/>
                <w:w w:val="95"/>
              </w:rPr>
              <w:t>Non-accelerated filer</w:t>
            </w:r>
          </w:p>
        </w:tc>
        <w:tc>
          <w:tcPr>
            <w:tcW w:w="3800" w:type="dxa"/>
            <w:vAlign w:val="bottom"/>
          </w:tcPr>
          <w:p>
            <w:pPr>
              <w:jc w:val="right"/>
              <w:ind w:right="132"/>
              <w:spacing w:after="0" w:line="205" w:lineRule="exact"/>
              <w:rPr>
                <w:sz w:val="20"/>
                <w:szCs w:val="20"/>
                <w:color w:val="auto"/>
              </w:rPr>
            </w:pPr>
            <w:r>
              <w:rPr>
                <w:rFonts w:ascii="Arial" w:cs="Arial" w:eastAsia="Arial" w:hAnsi="Arial"/>
                <w:sz w:val="18"/>
                <w:szCs w:val="18"/>
                <w:color w:val="auto"/>
                <w:w w:val="89"/>
              </w:rPr>
              <w:t>___ (Do not check if a smaller reporting company)</w:t>
            </w:r>
          </w:p>
        </w:tc>
        <w:tc>
          <w:tcPr>
            <w:tcW w:w="2440" w:type="dxa"/>
            <w:vAlign w:val="bottom"/>
            <w:gridSpan w:val="2"/>
          </w:tcPr>
          <w:p>
            <w:pPr>
              <w:ind w:left="220"/>
              <w:spacing w:after="0" w:line="205" w:lineRule="exact"/>
              <w:rPr>
                <w:sz w:val="20"/>
                <w:szCs w:val="20"/>
                <w:color w:val="auto"/>
              </w:rPr>
            </w:pPr>
            <w:r>
              <w:rPr>
                <w:rFonts w:ascii="Arial" w:cs="Arial" w:eastAsia="Arial" w:hAnsi="Arial"/>
                <w:sz w:val="18"/>
                <w:szCs w:val="18"/>
                <w:color w:val="auto"/>
                <w:w w:val="94"/>
              </w:rPr>
              <w:t>Smaller reporting company X</w:t>
            </w:r>
          </w:p>
        </w:tc>
      </w:tr>
      <w:tr>
        <w:trPr>
          <w:trHeight w:val="262"/>
        </w:trPr>
        <w:tc>
          <w:tcPr>
            <w:tcW w:w="5400" w:type="dxa"/>
            <w:vAlign w:val="bottom"/>
            <w:gridSpan w:val="2"/>
          </w:tcPr>
          <w:p>
            <w:pPr>
              <w:spacing w:after="0"/>
              <w:rPr>
                <w:sz w:val="20"/>
                <w:szCs w:val="20"/>
                <w:color w:val="auto"/>
              </w:rPr>
            </w:pPr>
            <w:r>
              <w:rPr>
                <w:rFonts w:ascii="Arial" w:cs="Arial" w:eastAsia="Arial" w:hAnsi="Arial"/>
                <w:sz w:val="18"/>
                <w:szCs w:val="18"/>
                <w:color w:val="auto"/>
              </w:rPr>
              <w:t>Emerging growth company ___</w:t>
            </w:r>
          </w:p>
        </w:tc>
        <w:tc>
          <w:tcPr>
            <w:tcW w:w="21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r>
    </w:tbl>
    <w:p>
      <w:pPr>
        <w:spacing w:after="0" w:line="183"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July 31, 2017:</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10,402,058</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200" w:lineRule="exact"/>
        <w:rPr>
          <w:sz w:val="24"/>
          <w:szCs w:val="24"/>
          <w:color w:val="auto"/>
        </w:rPr>
      </w:pPr>
    </w:p>
    <w:p>
      <w:pPr>
        <w:spacing w:after="0" w:line="37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PART I.  FINANCIAL INFORMATION</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8380" w:type="dxa"/>
            <w:vAlign w:val="bottom"/>
          </w:tcPr>
          <w:p>
            <w:pPr>
              <w:spacing w:after="0"/>
              <w:rPr>
                <w:sz w:val="18"/>
                <w:szCs w:val="18"/>
                <w:color w:val="auto"/>
              </w:rPr>
            </w:pPr>
          </w:p>
        </w:tc>
        <w:tc>
          <w:tcPr>
            <w:tcW w:w="82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3"/>
              </w:rPr>
              <w:t>Page</w:t>
            </w:r>
          </w:p>
        </w:tc>
      </w:tr>
      <w:tr>
        <w:trPr>
          <w:trHeight w:val="262"/>
        </w:trPr>
        <w:tc>
          <w:tcPr>
            <w:tcW w:w="838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4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486"/>
        </w:trPr>
        <w:tc>
          <w:tcPr>
            <w:tcW w:w="8380" w:type="dxa"/>
            <w:vAlign w:val="bottom"/>
          </w:tcPr>
          <w:p>
            <w:pPr>
              <w:ind w:left="760"/>
              <w:spacing w:after="0"/>
              <w:rPr>
                <w:sz w:val="20"/>
                <w:szCs w:val="20"/>
                <w:color w:val="auto"/>
              </w:rPr>
            </w:pPr>
            <w:r>
              <w:rPr>
                <w:rFonts w:ascii="Arial" w:cs="Arial" w:eastAsia="Arial" w:hAnsi="Arial"/>
                <w:sz w:val="18"/>
                <w:szCs w:val="18"/>
                <w:color w:val="auto"/>
              </w:rPr>
              <w:t>Consolidated Balance Sheets as of June 30, 2017 (Unaudited) and December 31, 2016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43"/>
        </w:trPr>
        <w:tc>
          <w:tcPr>
            <w:tcW w:w="8380" w:type="dxa"/>
            <w:vAlign w:val="bottom"/>
          </w:tcPr>
          <w:p>
            <w:pPr>
              <w:ind w:left="760"/>
              <w:spacing w:after="0"/>
              <w:rPr>
                <w:sz w:val="20"/>
                <w:szCs w:val="20"/>
                <w:color w:val="auto"/>
              </w:rPr>
            </w:pPr>
            <w:r>
              <w:rPr>
                <w:rFonts w:ascii="Arial" w:cs="Arial" w:eastAsia="Arial" w:hAnsi="Arial"/>
                <w:sz w:val="18"/>
                <w:szCs w:val="18"/>
                <w:color w:val="auto"/>
                <w:w w:val="92"/>
              </w:rPr>
              <w:t>Unaudited Consolidated Statements of Operations for the three months and six months ended June 30,</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ectPr>
          <w:pgSz w:w="11900" w:h="16922" w:orient="portrait"/>
          <w:cols w:equalWidth="0" w:num="1">
            <w:col w:w="11280"/>
          </w:cols>
          <w:pgMar w:left="240" w:top="239" w:right="379" w:bottom="0" w:gutter="0" w:footer="0" w:header="0"/>
        </w:sectPr>
      </w:pPr>
    </w:p>
    <w:bookmarkStart w:id="1" w:name="page2"/>
    <w:bookmarkEnd w:id="1"/>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2017 and 2016</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2</w:t>
            </w:r>
          </w:p>
        </w:tc>
      </w:tr>
      <w:tr>
        <w:trPr>
          <w:trHeight w:val="439"/>
        </w:trPr>
        <w:tc>
          <w:tcPr>
            <w:tcW w:w="720" w:type="dxa"/>
            <w:vAlign w:val="bottom"/>
          </w:tcPr>
          <w:p>
            <w:pPr>
              <w:spacing w:after="0"/>
              <w:rPr>
                <w:sz w:val="24"/>
                <w:szCs w:val="24"/>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w w:val="93"/>
              </w:rPr>
              <w:t>Unaudited Consolidated Statements of Comprehensive Earnings for the three months and six months</w:t>
            </w:r>
          </w:p>
        </w:tc>
        <w:tc>
          <w:tcPr>
            <w:tcW w:w="96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ended June 30, 2017 and 2016</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3</w:t>
            </w:r>
          </w:p>
        </w:tc>
      </w:tr>
      <w:tr>
        <w:trPr>
          <w:trHeight w:val="243"/>
        </w:trPr>
        <w:tc>
          <w:tcPr>
            <w:tcW w:w="720" w:type="dxa"/>
            <w:vAlign w:val="bottom"/>
          </w:tcPr>
          <w:p>
            <w:pPr>
              <w:spacing w:after="0"/>
              <w:rPr>
                <w:sz w:val="21"/>
                <w:szCs w:val="21"/>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w w:val="95"/>
              </w:rPr>
              <w:t>Unaudited Consolidated Statement of Stockholders' Equity for the six months ended June 30, 2017</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3</w:t>
            </w:r>
          </w:p>
        </w:tc>
      </w:tr>
      <w:tr>
        <w:trPr>
          <w:trHeight w:val="243"/>
        </w:trPr>
        <w:tc>
          <w:tcPr>
            <w:tcW w:w="720" w:type="dxa"/>
            <w:vAlign w:val="bottom"/>
          </w:tcPr>
          <w:p>
            <w:pPr>
              <w:spacing w:after="0"/>
              <w:rPr>
                <w:sz w:val="21"/>
                <w:szCs w:val="21"/>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w w:val="93"/>
              </w:rPr>
              <w:t>Unaudited Consolidated Statements of Cash Flows for the six months ended June 30, 2017 and 2016</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4</w:t>
            </w:r>
          </w:p>
        </w:tc>
      </w:tr>
      <w:tr>
        <w:trPr>
          <w:trHeight w:val="243"/>
        </w:trPr>
        <w:tc>
          <w:tcPr>
            <w:tcW w:w="720" w:type="dxa"/>
            <w:vAlign w:val="bottom"/>
          </w:tcPr>
          <w:p>
            <w:pPr>
              <w:spacing w:after="0"/>
              <w:rPr>
                <w:sz w:val="21"/>
                <w:szCs w:val="21"/>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86"/>
              </w:rPr>
              <w:t>5 - 19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8"/>
              </w:rPr>
              <w:t>Management's Discussion and Analysis of Financial Condition and Results of Operations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20 - 28</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28</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28</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96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29</w:t>
            </w:r>
          </w:p>
        </w:tc>
      </w:tr>
      <w:tr>
        <w:trPr>
          <w:trHeight w:val="513"/>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30</w:t>
            </w:r>
          </w:p>
        </w:tc>
      </w:tr>
      <w:tr>
        <w:trPr>
          <w:trHeight w:val="513"/>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gridSpan w:val="3"/>
          </w:tcPr>
          <w:p>
            <w:pPr>
              <w:jc w:val="center"/>
              <w:ind w:left="3952"/>
              <w:spacing w:after="0"/>
              <w:rPr>
                <w:sz w:val="20"/>
                <w:szCs w:val="20"/>
                <w:color w:val="auto"/>
              </w:rPr>
            </w:pPr>
            <w:r>
              <w:rPr>
                <w:rFonts w:ascii="Arial" w:cs="Arial" w:eastAsia="Arial" w:hAnsi="Arial"/>
                <w:sz w:val="18"/>
                <w:szCs w:val="18"/>
                <w:b w:val="1"/>
                <w:bCs w:val="1"/>
                <w:color w:val="auto"/>
                <w:w w:val="99"/>
              </w:rPr>
              <w:t>PART I. FINANCIAL INFORMATION</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7380" w:type="dxa"/>
            <w:vAlign w:val="bottom"/>
            <w:gridSpan w:val="3"/>
          </w:tcPr>
          <w:p>
            <w:pPr>
              <w:jc w:val="center"/>
              <w:ind w:left="3972"/>
              <w:spacing w:after="0"/>
              <w:rPr>
                <w:sz w:val="20"/>
                <w:szCs w:val="20"/>
                <w:color w:val="auto"/>
              </w:rPr>
            </w:pPr>
            <w:r>
              <w:rPr>
                <w:rFonts w:ascii="Arial" w:cs="Arial" w:eastAsia="Arial" w:hAnsi="Arial"/>
                <w:sz w:val="18"/>
                <w:szCs w:val="18"/>
                <w:b w:val="1"/>
                <w:bCs w:val="1"/>
                <w:color w:val="auto"/>
                <w:w w:val="96"/>
              </w:rPr>
              <w:t>CONSOLIDATED BALANCE SHEETS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7380" w:type="dxa"/>
            <w:vAlign w:val="bottom"/>
            <w:gridSpan w:val="3"/>
          </w:tcPr>
          <w:p>
            <w:pPr>
              <w:jc w:val="center"/>
              <w:ind w:left="3972"/>
              <w:spacing w:after="0"/>
              <w:rPr>
                <w:sz w:val="20"/>
                <w:szCs w:val="20"/>
                <w:color w:val="auto"/>
              </w:rPr>
            </w:pPr>
            <w:r>
              <w:rPr>
                <w:rFonts w:ascii="Arial" w:cs="Arial" w:eastAsia="Arial" w:hAnsi="Arial"/>
                <w:sz w:val="18"/>
                <w:szCs w:val="18"/>
                <w:color w:val="auto"/>
                <w:w w:val="85"/>
              </w:rPr>
              <w:t>(In thousands, except share and per share data)</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4"/>
          </w:tcPr>
          <w:p>
            <w:pPr>
              <w:ind w:left="400"/>
              <w:spacing w:after="0"/>
              <w:rPr>
                <w:sz w:val="20"/>
                <w:szCs w:val="20"/>
                <w:color w:val="auto"/>
              </w:rPr>
            </w:pPr>
            <w:r>
              <w:rPr>
                <w:rFonts w:ascii="Courier New" w:cs="Courier New" w:eastAsia="Courier New" w:hAnsi="Courier New"/>
                <w:sz w:val="18"/>
                <w:szCs w:val="18"/>
                <w:color w:val="auto"/>
              </w:rPr>
              <w:t>June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2017</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2016</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4"/>
          </w:tcPr>
          <w:p>
            <w:pPr>
              <w:ind w:left="4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4"/>
          </w:tcPr>
          <w:p>
            <w:pPr>
              <w:ind w:left="18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00" w:type="dxa"/>
            <w:vAlign w:val="bottom"/>
            <w:gridSpan w:val="2"/>
          </w:tcPr>
          <w:p>
            <w:pPr>
              <w:ind w:left="4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$28,611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$146 and $146, respectively</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11,938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5,377</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3,676</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629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342</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w w:val="95"/>
              </w:rPr>
              <w:t>26,375</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38,006</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4,383</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711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5,715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4,986</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w w:val="95"/>
              </w:rPr>
              <w:t>(4,190)</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(4,042)</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1,525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944</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1,110</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18,526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10,072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875</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28</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500" w:type="dxa"/>
            <w:vAlign w:val="bottom"/>
            <w:gridSpan w:val="2"/>
          </w:tcPr>
          <w:p>
            <w:pPr>
              <w:ind w:left="40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56,704</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$42,844</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ectPr>
          <w:pgSz w:w="11900" w:h="16882" w:orient="portrait"/>
          <w:cols w:equalWidth="0" w:num="1">
            <w:col w:w="10219"/>
          </w:cols>
          <w:pgMar w:left="240" w:top="145"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w:t>
            </w:r>
          </w:p>
        </w:tc>
        <w:tc>
          <w:tcPr>
            <w:tcW w:w="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2,823</w:t>
            </w:r>
          </w:p>
        </w:tc>
        <w:tc>
          <w:tcPr>
            <w:tcW w:w="260" w:type="dxa"/>
            <w:vAlign w:val="bottom"/>
          </w:tcPr>
          <w:p>
            <w:pPr>
              <w:spacing w:after="0"/>
              <w:rPr>
                <w:sz w:val="17"/>
                <w:szCs w:val="17"/>
                <w:color w:val="auto"/>
              </w:rPr>
            </w:pPr>
          </w:p>
        </w:tc>
        <w:tc>
          <w:tcPr>
            <w:tcW w:w="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1,588</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deposits and deferred revenue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foreign income taxes payable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Current portion of contingent consideration liability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164"/>
        </w:trPr>
        <w:tc>
          <w:tcPr>
            <w:tcW w:w="7060" w:type="dxa"/>
            <w:vAlign w:val="bottom"/>
            <w:gridSpan w:val="2"/>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528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173</w:t>
            </w:r>
          </w:p>
        </w:tc>
        <w:tc>
          <w:tcPr>
            <w:tcW w:w="100" w:type="dxa"/>
            <w:vAlign w:val="bottom"/>
          </w:tcPr>
          <w:p>
            <w:pPr>
              <w:spacing w:after="0"/>
              <w:rPr>
                <w:sz w:val="14"/>
                <w:szCs w:val="14"/>
                <w:color w:val="auto"/>
              </w:rPr>
            </w:pP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9,732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line="182" w:lineRule="exact"/>
              <w:rPr>
                <w:sz w:val="20"/>
                <w:szCs w:val="20"/>
                <w:color w:val="auto"/>
              </w:rPr>
            </w:pPr>
            <w:r>
              <w:rPr>
                <w:rFonts w:ascii="Courier New" w:cs="Courier New" w:eastAsia="Courier New" w:hAnsi="Courier New"/>
                <w:sz w:val="18"/>
                <w:szCs w:val="18"/>
                <w:color w:val="auto"/>
              </w:rPr>
              <w:t>5,056</w:t>
            </w:r>
          </w:p>
        </w:tc>
      </w:tr>
      <w:tr>
        <w:trPr>
          <w:trHeight w:val="221"/>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Deferred tax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4,103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9"/>
                <w:szCs w:val="19"/>
                <w:color w:val="auto"/>
              </w:rPr>
            </w:pPr>
          </w:p>
        </w:tc>
      </w:tr>
      <w:tr>
        <w:trPr>
          <w:trHeight w:val="164"/>
        </w:trPr>
        <w:tc>
          <w:tcPr>
            <w:tcW w:w="1120" w:type="dxa"/>
            <w:vAlign w:val="bottom"/>
          </w:tcPr>
          <w:p>
            <w:pPr>
              <w:spacing w:after="0" w:line="164" w:lineRule="exact"/>
              <w:rPr>
                <w:sz w:val="20"/>
                <w:szCs w:val="20"/>
                <w:color w:val="auto"/>
              </w:rPr>
            </w:pPr>
            <w:r>
              <w:rPr>
                <w:rFonts w:ascii="Courier New" w:cs="Courier New" w:eastAsia="Courier New" w:hAnsi="Courier New"/>
                <w:sz w:val="18"/>
                <w:szCs w:val="18"/>
                <w:color w:val="auto"/>
              </w:rPr>
              <w:t>Contingent</w:t>
            </w:r>
          </w:p>
        </w:tc>
        <w:tc>
          <w:tcPr>
            <w:tcW w:w="5940" w:type="dxa"/>
            <w:vAlign w:val="bottom"/>
          </w:tcPr>
          <w:p>
            <w:pPr>
              <w:ind w:left="40"/>
              <w:spacing w:after="0" w:line="164" w:lineRule="exact"/>
              <w:rPr>
                <w:sz w:val="20"/>
                <w:szCs w:val="20"/>
                <w:color w:val="auto"/>
              </w:rPr>
            </w:pPr>
            <w:r>
              <w:rPr>
                <w:rFonts w:ascii="Courier New" w:cs="Courier New" w:eastAsia="Courier New" w:hAnsi="Courier New"/>
                <w:sz w:val="18"/>
                <w:szCs w:val="18"/>
                <w:color w:val="auto"/>
              </w:rPr>
              <w:t>consideration liability, net of current portion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1,251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4"/>
                <w:szCs w:val="14"/>
                <w:color w:val="auto"/>
              </w:rPr>
            </w:pP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w w:val="95"/>
              </w:rPr>
              <w:t>15,086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line="182" w:lineRule="exact"/>
              <w:rPr>
                <w:sz w:val="20"/>
                <w:szCs w:val="20"/>
                <w:color w:val="auto"/>
              </w:rPr>
            </w:pPr>
            <w:r>
              <w:rPr>
                <w:rFonts w:ascii="Courier New" w:cs="Courier New" w:eastAsia="Courier New" w:hAnsi="Courier New"/>
                <w:sz w:val="18"/>
                <w:szCs w:val="18"/>
                <w:color w:val="auto"/>
              </w:rPr>
              <w:t>5,056</w:t>
            </w:r>
          </w:p>
        </w:tc>
      </w:tr>
      <w:tr>
        <w:trPr>
          <w:trHeight w:val="221"/>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10,435,135 and 10,394,018 shares issued, respectively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25,702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25,578</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15,194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11,671</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c>
          <w:tcPr>
            <w:tcW w:w="100" w:type="dxa"/>
            <w:vAlign w:val="bottom"/>
          </w:tcPr>
          <w:p>
            <w:pPr>
              <w:spacing w:after="0"/>
              <w:rPr>
                <w:sz w:val="17"/>
                <w:szCs w:val="17"/>
                <w:color w:val="auto"/>
              </w:rPr>
            </w:pPr>
          </w:p>
        </w:tc>
      </w:tr>
      <w:tr>
        <w:trPr>
          <w:trHeight w:val="164"/>
        </w:trPr>
        <w:tc>
          <w:tcPr>
            <w:tcW w:w="1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w:t>
            </w:r>
          </w:p>
        </w:tc>
        <w:tc>
          <w:tcPr>
            <w:tcW w:w="5940" w:type="dxa"/>
            <w:vAlign w:val="bottom"/>
          </w:tcPr>
          <w:p>
            <w:pPr>
              <w:ind w:left="40"/>
              <w:spacing w:after="0" w:line="164" w:lineRule="exact"/>
              <w:rPr>
                <w:sz w:val="20"/>
                <w:szCs w:val="20"/>
                <w:color w:val="auto"/>
              </w:rPr>
            </w:pPr>
            <w:r>
              <w:rPr>
                <w:rFonts w:ascii="Courier New" w:cs="Courier New" w:eastAsia="Courier New" w:hAnsi="Courier New"/>
                <w:sz w:val="18"/>
                <w:szCs w:val="18"/>
                <w:color w:val="auto"/>
              </w:rPr>
              <w:t>stock, at cost; 33,077 and 33,077 shares, respectively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41,618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37,788</w:t>
            </w:r>
          </w:p>
        </w:tc>
        <w:tc>
          <w:tcPr>
            <w:tcW w:w="100" w:type="dxa"/>
            <w:vAlign w:val="bottom"/>
          </w:tcPr>
          <w:p>
            <w:pPr>
              <w:spacing w:after="0"/>
              <w:rPr>
                <w:sz w:val="15"/>
                <w:szCs w:val="15"/>
                <w:color w:val="auto"/>
              </w:rPr>
            </w:pPr>
          </w:p>
        </w:tc>
      </w:tr>
      <w:tr>
        <w:trPr>
          <w:trHeight w:val="221"/>
        </w:trPr>
        <w:tc>
          <w:tcPr>
            <w:tcW w:w="112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56,704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42,844</w:t>
            </w:r>
          </w:p>
        </w:tc>
        <w:tc>
          <w:tcPr>
            <w:tcW w:w="100" w:type="dxa"/>
            <w:vAlign w:val="bottom"/>
          </w:tcPr>
          <w:p>
            <w:pPr>
              <w:spacing w:after="0"/>
              <w:rPr>
                <w:sz w:val="19"/>
                <w:szCs w:val="19"/>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gridSpan w:val="5"/>
          </w:tcPr>
          <w:p>
            <w:pPr>
              <w:jc w:val="center"/>
              <w:ind w:left="31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960" w:type="dxa"/>
            <w:vAlign w:val="bottom"/>
          </w:tcPr>
          <w:p>
            <w:pPr>
              <w:spacing w:after="0"/>
              <w:rPr>
                <w:sz w:val="18"/>
                <w:szCs w:val="18"/>
                <w:color w:val="auto"/>
              </w:rPr>
            </w:pPr>
          </w:p>
        </w:tc>
      </w:tr>
      <w:tr>
        <w:trPr>
          <w:trHeight w:val="222"/>
        </w:trPr>
        <w:tc>
          <w:tcPr>
            <w:tcW w:w="4480" w:type="dxa"/>
            <w:vAlign w:val="bottom"/>
          </w:tcPr>
          <w:p>
            <w:pPr>
              <w:spacing w:after="0"/>
              <w:rPr>
                <w:sz w:val="19"/>
                <w:szCs w:val="19"/>
                <w:color w:val="auto"/>
              </w:rPr>
            </w:pPr>
          </w:p>
        </w:tc>
        <w:tc>
          <w:tcPr>
            <w:tcW w:w="1500" w:type="dxa"/>
            <w:vAlign w:val="bottom"/>
            <w:gridSpan w:val="2"/>
          </w:tcPr>
          <w:p>
            <w:pPr>
              <w:jc w:val="center"/>
              <w:ind w:left="872"/>
              <w:spacing w:after="0"/>
              <w:rPr>
                <w:sz w:val="20"/>
                <w:szCs w:val="20"/>
                <w:color w:val="auto"/>
              </w:rPr>
            </w:pPr>
            <w:r>
              <w:rPr>
                <w:rFonts w:ascii="Arial" w:cs="Arial" w:eastAsia="Arial" w:hAnsi="Arial"/>
                <w:sz w:val="18"/>
                <w:szCs w:val="18"/>
                <w:color w:val="auto"/>
                <w:w w:val="93"/>
              </w:rPr>
              <w:t>- 1 -</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9"/>
        </w:trPr>
        <w:tc>
          <w:tcPr>
            <w:tcW w:w="4480" w:type="dxa"/>
            <w:vAlign w:val="bottom"/>
          </w:tcPr>
          <w:p>
            <w:pPr>
              <w:spacing w:after="0"/>
              <w:rPr>
                <w:sz w:val="24"/>
                <w:szCs w:val="24"/>
                <w:color w:val="auto"/>
              </w:rPr>
            </w:pPr>
          </w:p>
        </w:tc>
        <w:tc>
          <w:tcPr>
            <w:tcW w:w="2580" w:type="dxa"/>
            <w:vAlign w:val="bottom"/>
            <w:gridSpan w:val="3"/>
          </w:tcPr>
          <w:p>
            <w:pPr>
              <w:jc w:val="center"/>
              <w:ind w:right="12"/>
              <w:spacing w:after="0"/>
              <w:rPr>
                <w:sz w:val="20"/>
                <w:szCs w:val="20"/>
                <w:color w:val="auto"/>
              </w:rPr>
            </w:pPr>
            <w:r>
              <w:rPr>
                <w:rFonts w:ascii="Arial" w:cs="Arial" w:eastAsia="Arial" w:hAnsi="Arial"/>
                <w:sz w:val="18"/>
                <w:szCs w:val="18"/>
                <w:b w:val="1"/>
                <w:bCs w:val="1"/>
                <w:color w:val="auto"/>
                <w:w w:val="96"/>
              </w:rPr>
              <w:t>inTEST CORPORATION</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8220" w:type="dxa"/>
            <w:vAlign w:val="bottom"/>
            <w:gridSpan w:val="5"/>
          </w:tcPr>
          <w:p>
            <w:pPr>
              <w:jc w:val="center"/>
              <w:ind w:left="311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960" w:type="dxa"/>
            <w:vAlign w:val="bottom"/>
          </w:tcPr>
          <w:p>
            <w:pPr>
              <w:spacing w:after="0"/>
              <w:rPr>
                <w:sz w:val="19"/>
                <w:szCs w:val="19"/>
                <w:color w:val="auto"/>
              </w:rPr>
            </w:pPr>
          </w:p>
        </w:tc>
      </w:tr>
      <w:tr>
        <w:trPr>
          <w:trHeight w:val="216"/>
        </w:trPr>
        <w:tc>
          <w:tcPr>
            <w:tcW w:w="8220" w:type="dxa"/>
            <w:vAlign w:val="bottom"/>
            <w:gridSpan w:val="5"/>
          </w:tcPr>
          <w:p>
            <w:pPr>
              <w:jc w:val="center"/>
              <w:ind w:left="3132"/>
              <w:spacing w:after="0"/>
              <w:rPr>
                <w:sz w:val="20"/>
                <w:szCs w:val="20"/>
                <w:color w:val="auto"/>
              </w:rPr>
            </w:pPr>
            <w:r>
              <w:rPr>
                <w:rFonts w:ascii="Arial" w:cs="Arial" w:eastAsia="Arial" w:hAnsi="Arial"/>
                <w:sz w:val="18"/>
                <w:szCs w:val="18"/>
                <w:color w:val="auto"/>
                <w:w w:val="85"/>
              </w:rPr>
              <w:t>(In thousands, except share and per share data)</w:t>
            </w:r>
          </w:p>
        </w:tc>
        <w:tc>
          <w:tcPr>
            <w:tcW w:w="960" w:type="dxa"/>
            <w:vAlign w:val="bottom"/>
          </w:tcPr>
          <w:p>
            <w:pPr>
              <w:spacing w:after="0"/>
              <w:rPr>
                <w:sz w:val="18"/>
                <w:szCs w:val="18"/>
                <w:color w:val="auto"/>
              </w:rPr>
            </w:pPr>
          </w:p>
        </w:tc>
      </w:tr>
      <w:tr>
        <w:trPr>
          <w:trHeight w:val="222"/>
        </w:trPr>
        <w:tc>
          <w:tcPr>
            <w:tcW w:w="4480" w:type="dxa"/>
            <w:vAlign w:val="bottom"/>
          </w:tcPr>
          <w:p>
            <w:pPr>
              <w:spacing w:after="0"/>
              <w:rPr>
                <w:sz w:val="19"/>
                <w:szCs w:val="19"/>
                <w:color w:val="auto"/>
              </w:rPr>
            </w:pPr>
          </w:p>
        </w:tc>
        <w:tc>
          <w:tcPr>
            <w:tcW w:w="2580" w:type="dxa"/>
            <w:vAlign w:val="bottom"/>
            <w:gridSpan w:val="3"/>
          </w:tcPr>
          <w:p>
            <w:pPr>
              <w:jc w:val="center"/>
              <w:ind w:right="32"/>
              <w:spacing w:after="0"/>
              <w:rPr>
                <w:sz w:val="20"/>
                <w:szCs w:val="20"/>
                <w:color w:val="auto"/>
              </w:rPr>
            </w:pPr>
            <w:r>
              <w:rPr>
                <w:rFonts w:ascii="Arial" w:cs="Arial" w:eastAsia="Arial" w:hAnsi="Arial"/>
                <w:sz w:val="18"/>
                <w:szCs w:val="18"/>
                <w:color w:val="auto"/>
                <w:w w:val="91"/>
              </w:rPr>
              <w:t>(Unaudited)</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783"/>
        </w:trPr>
        <w:tc>
          <w:tcPr>
            <w:tcW w:w="4480" w:type="dxa"/>
            <w:vAlign w:val="bottom"/>
          </w:tcPr>
          <w:p>
            <w:pPr>
              <w:spacing w:after="0"/>
              <w:rPr>
                <w:sz w:val="24"/>
                <w:szCs w:val="24"/>
                <w:color w:val="auto"/>
              </w:rPr>
            </w:pPr>
          </w:p>
        </w:tc>
        <w:tc>
          <w:tcPr>
            <w:tcW w:w="258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480" w:type="dxa"/>
            <w:vAlign w:val="bottom"/>
          </w:tcPr>
          <w:p>
            <w:pPr>
              <w:spacing w:after="0"/>
              <w:rPr>
                <w:sz w:val="17"/>
                <w:szCs w:val="17"/>
                <w:color w:val="auto"/>
              </w:rPr>
            </w:pPr>
          </w:p>
        </w:tc>
        <w:tc>
          <w:tcPr>
            <w:tcW w:w="25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June 30,</w:t>
            </w:r>
          </w:p>
        </w:tc>
        <w:tc>
          <w:tcPr>
            <w:tcW w:w="21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480" w:type="dxa"/>
            <w:vAlign w:val="bottom"/>
          </w:tcPr>
          <w:p>
            <w:pPr>
              <w:spacing w:after="0"/>
              <w:rPr>
                <w:sz w:val="17"/>
                <w:szCs w:val="17"/>
                <w:color w:val="auto"/>
              </w:rPr>
            </w:pPr>
          </w:p>
        </w:tc>
        <w:tc>
          <w:tcPr>
            <w:tcW w:w="2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2017</w:t>
            </w:r>
          </w:p>
        </w:tc>
        <w:tc>
          <w:tcPr>
            <w:tcW w:w="240" w:type="dxa"/>
            <w:vAlign w:val="bottom"/>
          </w:tcPr>
          <w:p>
            <w:pPr>
              <w:spacing w:after="0"/>
              <w:rPr>
                <w:sz w:val="17"/>
                <w:szCs w:val="17"/>
                <w:color w:val="auto"/>
              </w:rPr>
            </w:pPr>
          </w:p>
        </w:tc>
        <w:tc>
          <w:tcPr>
            <w:tcW w:w="10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$15,888</w:t>
            </w:r>
          </w:p>
        </w:tc>
        <w:tc>
          <w:tcPr>
            <w:tcW w:w="24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$10,485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$30,068</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$19,132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7,467</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5,156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13,919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9,736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8,421</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5,329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16,149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9,396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1,871</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3,539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2,806</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982</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1,917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1,973</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3,286</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5,280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3,790</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6,139</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4,598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10,736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8,569</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2,282</w:t>
            </w:r>
          </w:p>
        </w:tc>
        <w:tc>
          <w:tcPr>
            <w:tcW w:w="24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731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5,413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827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2,336</w:t>
            </w:r>
          </w:p>
        </w:tc>
        <w:tc>
          <w:tcPr>
            <w:tcW w:w="24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749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5,508</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873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$ 1,445</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486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$ 3,523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567</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$0.14</w:t>
            </w:r>
          </w:p>
        </w:tc>
        <w:tc>
          <w:tcPr>
            <w:tcW w:w="24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$0.34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$0.05</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10,277,155</w:t>
            </w:r>
          </w:p>
        </w:tc>
        <w:tc>
          <w:tcPr>
            <w:tcW w:w="3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10,295,836 10,270,860 10,342,919</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$0.14</w:t>
            </w:r>
          </w:p>
        </w:tc>
        <w:tc>
          <w:tcPr>
            <w:tcW w:w="24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$0.34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$0.05</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10,334,894</w:t>
            </w:r>
          </w:p>
        </w:tc>
        <w:tc>
          <w:tcPr>
            <w:tcW w:w="3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10,310,692 10,315,115 10,357,468</w:t>
            </w:r>
          </w:p>
        </w:tc>
      </w:tr>
    </w:tbl>
    <w:p>
      <w:pPr>
        <w:sectPr>
          <w:pgSz w:w="11900" w:h="16838" w:orient="portrait"/>
          <w:cols w:equalWidth="0" w:num="1">
            <w:col w:w="10219"/>
          </w:cols>
          <w:pgMar w:left="240" w:top="136" w:right="1440" w:bottom="132" w:gutter="0" w:footer="0" w:header="0"/>
        </w:sectPr>
      </w:pPr>
    </w:p>
    <w:bookmarkStart w:id="3" w:name="page4"/>
    <w:bookmarkEnd w:id="3"/>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320" w:type="dxa"/>
            <w:vAlign w:val="bottom"/>
            <w:gridSpan w:val="4"/>
          </w:tcPr>
          <w:p>
            <w:pPr>
              <w:jc w:val="center"/>
              <w:ind w:right="432"/>
              <w:spacing w:after="0"/>
              <w:rPr>
                <w:sz w:val="20"/>
                <w:szCs w:val="20"/>
                <w:color w:val="auto"/>
              </w:rPr>
            </w:pPr>
            <w:r>
              <w:rPr>
                <w:rFonts w:ascii="Arial" w:cs="Arial" w:eastAsia="Arial" w:hAnsi="Arial"/>
                <w:sz w:val="18"/>
                <w:szCs w:val="18"/>
                <w:b w:val="1"/>
                <w:bCs w:val="1"/>
                <w:color w:val="auto"/>
                <w:w w:val="96"/>
              </w:rPr>
              <w:t>inTEST CORPORATION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8460" w:type="dxa"/>
            <w:vAlign w:val="bottom"/>
            <w:gridSpan w:val="7"/>
          </w:tcPr>
          <w:p>
            <w:pPr>
              <w:jc w:val="center"/>
              <w:ind w:left="287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16"/>
        </w:trPr>
        <w:tc>
          <w:tcPr>
            <w:tcW w:w="4320" w:type="dxa"/>
            <w:vAlign w:val="bottom"/>
          </w:tcPr>
          <w:p>
            <w:pPr>
              <w:spacing w:after="0"/>
              <w:rPr>
                <w:sz w:val="18"/>
                <w:szCs w:val="18"/>
                <w:color w:val="auto"/>
              </w:rPr>
            </w:pPr>
          </w:p>
        </w:tc>
        <w:tc>
          <w:tcPr>
            <w:tcW w:w="222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4320" w:type="dxa"/>
            <w:vAlign w:val="bottom"/>
          </w:tcPr>
          <w:p>
            <w:pPr>
              <w:spacing w:after="0"/>
              <w:rPr>
                <w:sz w:val="19"/>
                <w:szCs w:val="19"/>
                <w:color w:val="auto"/>
              </w:rPr>
            </w:pPr>
          </w:p>
        </w:tc>
        <w:tc>
          <w:tcPr>
            <w:tcW w:w="2220" w:type="dxa"/>
            <w:vAlign w:val="bottom"/>
            <w:gridSpan w:val="3"/>
          </w:tcPr>
          <w:p>
            <w:pPr>
              <w:jc w:val="center"/>
              <w:ind w:left="472"/>
              <w:spacing w:after="0"/>
              <w:rPr>
                <w:sz w:val="20"/>
                <w:szCs w:val="20"/>
                <w:color w:val="auto"/>
              </w:rPr>
            </w:pPr>
            <w:r>
              <w:rPr>
                <w:rFonts w:ascii="Arial" w:cs="Arial" w:eastAsia="Arial" w:hAnsi="Arial"/>
                <w:sz w:val="18"/>
                <w:szCs w:val="18"/>
                <w:color w:val="auto"/>
                <w:w w:val="91"/>
              </w:rPr>
              <w:t>(Unaudited)</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783"/>
        </w:trPr>
        <w:tc>
          <w:tcPr>
            <w:tcW w:w="4320" w:type="dxa"/>
            <w:vAlign w:val="bottom"/>
          </w:tcPr>
          <w:p>
            <w:pPr>
              <w:spacing w:after="0"/>
              <w:rPr>
                <w:sz w:val="24"/>
                <w:szCs w:val="24"/>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19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8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320" w:type="dxa"/>
            <w:vAlign w:val="bottom"/>
          </w:tcPr>
          <w:p>
            <w:pPr>
              <w:spacing w:after="0"/>
              <w:rPr>
                <w:sz w:val="17"/>
                <w:szCs w:val="17"/>
                <w:color w:val="auto"/>
              </w:rPr>
            </w:pPr>
          </w:p>
        </w:tc>
        <w:tc>
          <w:tcPr>
            <w:tcW w:w="2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2017</w:t>
            </w:r>
          </w:p>
        </w:tc>
        <w:tc>
          <w:tcPr>
            <w:tcW w:w="16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2016</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2017</w:t>
            </w:r>
          </w:p>
        </w:tc>
        <w:tc>
          <w:tcPr>
            <w:tcW w:w="160" w:type="dxa"/>
            <w:vAlign w:val="bottom"/>
          </w:tcPr>
          <w:p>
            <w:pPr>
              <w:spacing w:after="0"/>
              <w:rPr>
                <w:sz w:val="17"/>
                <w:szCs w:val="17"/>
                <w:color w:val="auto"/>
              </w:rPr>
            </w:pPr>
          </w:p>
        </w:tc>
        <w:tc>
          <w:tcPr>
            <w:tcW w:w="660" w:type="dxa"/>
            <w:vAlign w:val="bottom"/>
          </w:tcPr>
          <w:p>
            <w:pPr>
              <w:jc w:val="right"/>
              <w:ind w:right="152"/>
              <w:spacing w:after="0" w:line="203" w:lineRule="exact"/>
              <w:rPr>
                <w:sz w:val="20"/>
                <w:szCs w:val="20"/>
                <w:color w:val="auto"/>
              </w:rPr>
            </w:pPr>
            <w:r>
              <w:rPr>
                <w:rFonts w:ascii="Courier New" w:cs="Courier New" w:eastAsia="Courier New" w:hAnsi="Courier New"/>
                <w:sz w:val="18"/>
                <w:szCs w:val="18"/>
                <w:color w:val="auto"/>
                <w:w w:val="92"/>
              </w:rPr>
              <w:t>2016</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$ 1,445</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486</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$ 3,523</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567</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155</w:t>
            </w: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183</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41</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$ 1,600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419</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$ 3,706</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608</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8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40" w:type="dxa"/>
            <w:vAlign w:val="bottom"/>
            <w:gridSpan w:val="4"/>
          </w:tcPr>
          <w:p>
            <w:pPr>
              <w:jc w:val="center"/>
              <w:ind w:left="435"/>
              <w:spacing w:after="0"/>
              <w:rPr>
                <w:sz w:val="20"/>
                <w:szCs w:val="20"/>
                <w:color w:val="auto"/>
              </w:rPr>
            </w:pPr>
            <w:r>
              <w:rPr>
                <w:rFonts w:ascii="Arial" w:cs="Arial" w:eastAsia="Arial" w:hAnsi="Arial"/>
                <w:sz w:val="18"/>
                <w:szCs w:val="18"/>
                <w:b w:val="1"/>
                <w:bCs w:val="1"/>
                <w:color w:val="auto"/>
                <w:w w:val="96"/>
              </w:rPr>
              <w:t>inTEST CORPORATION</w:t>
            </w:r>
          </w:p>
        </w:tc>
        <w:tc>
          <w:tcPr>
            <w:tcW w:w="154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60" w:type="dxa"/>
            <w:vAlign w:val="bottom"/>
            <w:gridSpan w:val="7"/>
          </w:tcPr>
          <w:p>
            <w:pPr>
              <w:jc w:val="center"/>
              <w:ind w:left="177"/>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80" w:type="dxa"/>
            <w:vAlign w:val="bottom"/>
            <w:gridSpan w:val="5"/>
          </w:tcPr>
          <w:p>
            <w:pPr>
              <w:jc w:val="center"/>
              <w:ind w:right="999"/>
              <w:spacing w:after="0"/>
              <w:rPr>
                <w:sz w:val="20"/>
                <w:szCs w:val="20"/>
                <w:color w:val="auto"/>
              </w:rPr>
            </w:pPr>
            <w:r>
              <w:rPr>
                <w:rFonts w:ascii="Arial" w:cs="Arial" w:eastAsia="Arial" w:hAnsi="Arial"/>
                <w:sz w:val="18"/>
                <w:szCs w:val="18"/>
                <w:color w:val="auto"/>
                <w:w w:val="85"/>
              </w:rPr>
              <w:t>(In thousands, except share data)</w:t>
            </w: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center"/>
              <w:ind w:right="539"/>
              <w:spacing w:after="0"/>
              <w:rPr>
                <w:sz w:val="20"/>
                <w:szCs w:val="20"/>
                <w:color w:val="auto"/>
              </w:rPr>
            </w:pPr>
            <w:r>
              <w:rPr>
                <w:rFonts w:ascii="Arial" w:cs="Arial" w:eastAsia="Arial" w:hAnsi="Arial"/>
                <w:sz w:val="18"/>
                <w:szCs w:val="18"/>
                <w:color w:val="auto"/>
                <w:w w:val="91"/>
              </w:rPr>
              <w:t>(Unaudited)</w:t>
            </w:r>
          </w:p>
        </w:tc>
        <w:tc>
          <w:tcPr>
            <w:tcW w:w="1540" w:type="dxa"/>
            <w:vAlign w:val="bottom"/>
          </w:tcPr>
          <w:p>
            <w:pPr>
              <w:spacing w:after="0"/>
              <w:rPr>
                <w:sz w:val="19"/>
                <w:szCs w:val="19"/>
                <w:color w:val="auto"/>
              </w:rPr>
            </w:pPr>
          </w:p>
        </w:tc>
      </w:tr>
      <w:tr>
        <w:trPr>
          <w:trHeight w:val="509"/>
        </w:trPr>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56"/>
              <w:spacing w:after="0"/>
              <w:rPr>
                <w:sz w:val="20"/>
                <w:szCs w:val="20"/>
                <w:color w:val="auto"/>
              </w:rPr>
            </w:pPr>
            <w:r>
              <w:rPr>
                <w:rFonts w:ascii="Courier New" w:cs="Courier New" w:eastAsia="Courier New" w:hAnsi="Courier New"/>
                <w:sz w:val="12"/>
                <w:szCs w:val="12"/>
                <w:color w:val="auto"/>
              </w:rPr>
              <w:t>Accumulated</w:t>
            </w: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2060" w:type="dxa"/>
            <w:vAlign w:val="bottom"/>
          </w:tcPr>
          <w:p>
            <w:pPr>
              <w:spacing w:after="0"/>
              <w:rPr>
                <w:sz w:val="11"/>
                <w:szCs w:val="11"/>
                <w:color w:val="auto"/>
              </w:rPr>
            </w:pPr>
          </w:p>
        </w:tc>
        <w:tc>
          <w:tcPr>
            <w:tcW w:w="1340" w:type="dxa"/>
            <w:vAlign w:val="bottom"/>
            <w:gridSpan w:val="2"/>
          </w:tcPr>
          <w:p>
            <w:pPr>
              <w:jc w:val="right"/>
              <w:ind w:right="117"/>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700" w:type="dxa"/>
            <w:vAlign w:val="bottom"/>
          </w:tcPr>
          <w:p>
            <w:pPr>
              <w:spacing w:after="0"/>
              <w:rPr>
                <w:sz w:val="11"/>
                <w:szCs w:val="11"/>
                <w:color w:val="auto"/>
              </w:rPr>
            </w:pPr>
          </w:p>
        </w:tc>
        <w:tc>
          <w:tcPr>
            <w:tcW w:w="980" w:type="dxa"/>
            <w:vAlign w:val="bottom"/>
            <w:gridSpan w:val="2"/>
          </w:tcPr>
          <w:p>
            <w:pPr>
              <w:jc w:val="right"/>
              <w:ind w:right="336"/>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6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4080" w:type="dxa"/>
            <w:vAlign w:val="bottom"/>
            <w:gridSpan w:val="5"/>
          </w:tcPr>
          <w:p>
            <w:pPr>
              <w:jc w:val="right"/>
              <w:ind w:right="699"/>
              <w:spacing w:after="0"/>
              <w:rPr>
                <w:sz w:val="20"/>
                <w:szCs w:val="20"/>
                <w:color w:val="auto"/>
              </w:rPr>
            </w:pPr>
            <w:r>
              <w:rPr>
                <w:rFonts w:ascii="Courier New" w:cs="Courier New" w:eastAsia="Courier New" w:hAnsi="Courier New"/>
                <w:sz w:val="12"/>
                <w:szCs w:val="12"/>
                <w:color w:val="auto"/>
              </w:rPr>
              <w:t>Retained Comprehensive Treasury Stockholders'</w:t>
            </w:r>
          </w:p>
        </w:tc>
      </w:tr>
      <w:tr>
        <w:trPr>
          <w:trHeight w:val="135"/>
        </w:trPr>
        <w:tc>
          <w:tcPr>
            <w:tcW w:w="2060" w:type="dxa"/>
            <w:vAlign w:val="bottom"/>
          </w:tcPr>
          <w:p>
            <w:pPr>
              <w:spacing w:after="0"/>
              <w:rPr>
                <w:sz w:val="11"/>
                <w:szCs w:val="11"/>
                <w:color w:val="auto"/>
              </w:rPr>
            </w:pPr>
          </w:p>
        </w:tc>
        <w:tc>
          <w:tcPr>
            <w:tcW w:w="8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Earnings</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Earnings</w:t>
            </w:r>
          </w:p>
        </w:tc>
        <w:tc>
          <w:tcPr>
            <w:tcW w:w="8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Stock</w:t>
            </w: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6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4880" w:type="dxa"/>
            <w:vAlign w:val="bottom"/>
            <w:gridSpan w:val="6"/>
          </w:tcPr>
          <w:p>
            <w:pPr>
              <w:jc w:val="right"/>
              <w:ind w:right="69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January 1, 2017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10,394,018</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$ 104</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$25,578</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$11,671</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639</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$37,788</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3,523</w:t>
            </w:r>
          </w:p>
        </w:tc>
        <w:tc>
          <w:tcPr>
            <w:tcW w:w="3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3,523</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Other comprehensive income</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183</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183</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stock-based awards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186</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186</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Issuance of unvested shares</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55,000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Repurchase and retirement</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common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(13,883)</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(62)</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839"/>
              <w:spacing w:after="0"/>
              <w:rPr>
                <w:sz w:val="20"/>
                <w:szCs w:val="20"/>
                <w:color w:val="auto"/>
              </w:rPr>
            </w:pPr>
            <w:r>
              <w:rPr>
                <w:rFonts w:ascii="Courier New" w:cs="Courier New" w:eastAsia="Courier New" w:hAnsi="Courier New"/>
                <w:sz w:val="12"/>
                <w:szCs w:val="12"/>
                <w:color w:val="auto"/>
              </w:rPr>
              <w:t>(62)</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June 30, 2017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10,435,135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$ 104</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$25,702</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$15,194</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822</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$41,618</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38" w:orient="portrait"/>
          <w:cols w:equalWidth="0" w:num="1">
            <w:col w:w="10219"/>
          </w:cols>
          <w:pgMar w:left="240" w:top="1306"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480" w:type="dxa"/>
            <w:vAlign w:val="bottom"/>
          </w:tcPr>
          <w:p>
            <w:pPr>
              <w:jc w:val="right"/>
              <w:ind w:right="318"/>
              <w:spacing w:after="0"/>
              <w:rPr>
                <w:sz w:val="20"/>
                <w:szCs w:val="20"/>
                <w:color w:val="auto"/>
              </w:rPr>
            </w:pPr>
            <w:r>
              <w:rPr>
                <w:rFonts w:ascii="Arial" w:cs="Arial" w:eastAsia="Arial" w:hAnsi="Arial"/>
                <w:sz w:val="18"/>
                <w:szCs w:val="18"/>
                <w:color w:val="auto"/>
                <w:w w:val="93"/>
              </w:rPr>
              <w:t>(In thousands)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9"/>
        </w:trPr>
        <w:tc>
          <w:tcPr>
            <w:tcW w:w="5120" w:type="dxa"/>
            <w:vAlign w:val="bottom"/>
          </w:tcPr>
          <w:p>
            <w:pPr>
              <w:spacing w:after="0"/>
              <w:rPr>
                <w:sz w:val="24"/>
                <w:szCs w:val="24"/>
                <w:color w:val="auto"/>
              </w:rPr>
            </w:pPr>
          </w:p>
        </w:tc>
        <w:tc>
          <w:tcPr>
            <w:tcW w:w="218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Six Months Ended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180" w:type="dxa"/>
            <w:vAlign w:val="bottom"/>
            <w:gridSpan w:val="3"/>
          </w:tcPr>
          <w:p>
            <w:pPr>
              <w:jc w:val="right"/>
              <w:ind w:right="299"/>
              <w:spacing w:after="0"/>
              <w:rPr>
                <w:sz w:val="20"/>
                <w:szCs w:val="20"/>
                <w:color w:val="auto"/>
              </w:rPr>
            </w:pPr>
            <w:r>
              <w:rPr>
                <w:rFonts w:ascii="Courier New" w:cs="Courier New" w:eastAsia="Courier New" w:hAnsi="Courier New"/>
                <w:sz w:val="12"/>
                <w:szCs w:val="12"/>
                <w:color w:val="auto"/>
              </w:rPr>
              <w:t>June 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18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80" w:type="dxa"/>
            <w:vAlign w:val="bottom"/>
          </w:tcPr>
          <w:p>
            <w:pPr>
              <w:jc w:val="right"/>
              <w:ind w:right="178"/>
              <w:spacing w:after="0"/>
              <w:rPr>
                <w:sz w:val="20"/>
                <w:szCs w:val="20"/>
                <w:color w:val="auto"/>
              </w:rPr>
            </w:pPr>
            <w:r>
              <w:rPr>
                <w:rFonts w:ascii="Courier New" w:cs="Courier New" w:eastAsia="Courier New" w:hAnsi="Courier New"/>
                <w:sz w:val="12"/>
                <w:szCs w:val="12"/>
                <w:color w:val="auto"/>
              </w:rPr>
              <w:t>2017</w:t>
            </w:r>
          </w:p>
        </w:tc>
        <w:tc>
          <w:tcPr>
            <w:tcW w:w="200" w:type="dxa"/>
            <w:vAlign w:val="bottom"/>
          </w:tcPr>
          <w:p>
            <w:pPr>
              <w:spacing w:after="0"/>
              <w:rPr>
                <w:sz w:val="11"/>
                <w:szCs w:val="11"/>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2016</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$ 3,523</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567</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523</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304</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90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118</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gain</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(29)</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(10)</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stock-based awards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186</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178</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Loss on sale of property and equipment</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32</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115</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59</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102</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(2,884)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(2,332)</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(697)</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90</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(84)</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343</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Restricted certificates of deposit</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125</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(3)</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35</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565</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(134)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(46)</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(35)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13</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131</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58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93</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Customer deposits and deferred revenue</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(19)</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(113)</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324</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Contingent consideration liability</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2,302</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118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3,378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195</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Acquisition of business, net of cash acquired</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(24,264)</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Purchase of property and equipment</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(203)</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(164)</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7</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(24,460)</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(164)</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Repurchase of common stock</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(62)</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(770)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(62)</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(770)</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129</w:t>
            </w:r>
          </w:p>
        </w:tc>
        <w:tc>
          <w:tcPr>
            <w:tcW w:w="200" w:type="dxa"/>
            <w:vAlign w:val="bottom"/>
          </w:tcPr>
          <w:p>
            <w:pPr>
              <w:spacing w:after="0"/>
              <w:rPr>
                <w:sz w:val="23"/>
                <w:szCs w:val="23"/>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32</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all activities</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(21,015)</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(707)</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28,611</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25,710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$ 7,596</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$25,003</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$ 1,583</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 net of cash acquired</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$15,852</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1480" w:type="dxa"/>
            <w:vAlign w:val="bottom"/>
          </w:tcPr>
          <w:p>
            <w:pPr>
              <w:jc w:val="right"/>
              <w:ind w:right="38"/>
              <w:spacing w:after="0"/>
              <w:rPr>
                <w:sz w:val="20"/>
                <w:szCs w:val="20"/>
                <w:color w:val="auto"/>
              </w:rPr>
            </w:pPr>
            <w:r>
              <w:rPr>
                <w:rFonts w:ascii="Courier New" w:cs="Courier New" w:eastAsia="Courier New" w:hAnsi="Courier New"/>
                <w:sz w:val="12"/>
                <w:szCs w:val="12"/>
                <w:color w:val="auto"/>
              </w:rPr>
              <w:t>(8,408)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Goodwill resulting from acquisition</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16,820</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paid for acquisition</w:t>
            </w: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$24,264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We also market our thermal products in markets outside the ATE market, such as the automotive, consumer electronics, defense/aerospace, energy, industrial and telecommunications markets. We manufacture our products in the U.S. Marketing and support activities are conducted worldwide from our facilities in the U.S., Germany and Singapore. The consolidated entity is comprised of inTEST Corporation (parent) and our wholly-owned subsidiaries.</w:t>
      </w:r>
    </w:p>
    <w:p>
      <w:pPr>
        <w:spacing w:after="0" w:line="170"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During 2016, we reorganized our business from three product segments (Thermal Products, Mechanical Products and Electrical Products) into two product segments (inTEST Thermal Products ("Thermal") and inTEST Electromechanical Semiconductor Products ("EMS"). Certain operational changes undertaken in the first quarter of 2016 in connection with this reorganization are discussed further in Note 3 of our consolidated financial statements included in our Annual Report on Form 10-K for the year ended December 31, 2016 filed with the Securities and Exchange Commission on March 27, 2017 (the "2016 Form 10-K"). Accordingly, effective January 1, 2017, we have two reportable segments, which are also our reporting units. Prior period information has been reclassified to be comparable to the presentation for 2017.</w:t>
      </w:r>
    </w:p>
    <w:p>
      <w:pPr>
        <w:spacing w:after="0" w:line="174"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On May 24, 2017, we completed the acquisition of Ambrell Corporation ("Ambrell").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will</w:t>
      </w:r>
    </w:p>
    <w:p>
      <w:pPr>
        <w:sectPr>
          <w:pgSz w:w="11900" w:h="16838" w:orient="portrait"/>
          <w:cols w:equalWidth="0" w:num="1">
            <w:col w:w="11420"/>
          </w:cols>
          <w:pgMar w:left="240" w:top="131" w:right="239" w:bottom="0" w:gutter="0" w:footer="0" w:header="0"/>
        </w:sectPr>
      </w:pPr>
    </w:p>
    <w:bookmarkStart w:id="5" w:name="page6"/>
    <w:bookmarkEnd w:id="5"/>
    <w:p>
      <w:pPr>
        <w:ind w:left="540" w:right="100"/>
        <w:spacing w:after="0" w:line="256" w:lineRule="auto"/>
        <w:rPr>
          <w:sz w:val="20"/>
          <w:szCs w:val="20"/>
          <w:color w:val="auto"/>
        </w:rPr>
      </w:pPr>
      <w:r>
        <w:rPr>
          <w:rFonts w:ascii="Arial" w:cs="Arial" w:eastAsia="Arial" w:hAnsi="Arial"/>
          <w:sz w:val="18"/>
          <w:szCs w:val="18"/>
          <w:color w:val="auto"/>
        </w:rPr>
        <w:t>complement our current thermal technologies and broaden our diverse customer base, allowing expansion within many non-ATE related markets, such as consumer product packaging, fiber-optics, automotive and other markets. Ambrell's operations will be included in our Thermal segment. Ambrell manufactures its products in the U.S. and conducts marketing and support activities from its facilities in the U.S., the Netherlands and the U.K. This acquisition is discussed further in Note 3.</w:t>
      </w:r>
    </w:p>
    <w:p>
      <w:pPr>
        <w:spacing w:after="0" w:line="197"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The ATE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ATE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346" w:lineRule="exact"/>
        <w:rPr>
          <w:sz w:val="20"/>
          <w:szCs w:val="20"/>
          <w:color w:val="auto"/>
        </w:rPr>
      </w:pPr>
    </w:p>
    <w:p>
      <w:pPr>
        <w:ind w:left="540" w:right="654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jc w:val="both"/>
        <w:ind w:left="540" w:right="260"/>
        <w:spacing w:after="0" w:line="290"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deferred tax assets and liabilities, including related valuation allowances, are particularly impacted by estimates.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2016 Form 10-K.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within general and administrative expense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225" w:lineRule="exact"/>
        <w:rPr>
          <w:sz w:val="20"/>
          <w:szCs w:val="20"/>
          <w:color w:val="auto"/>
        </w:rPr>
      </w:pPr>
    </w:p>
    <w:p>
      <w:pPr>
        <w:ind w:left="540" w:right="780"/>
        <w:spacing w:after="0" w:line="268" w:lineRule="auto"/>
        <w:rPr>
          <w:sz w:val="20"/>
          <w:szCs w:val="20"/>
          <w:color w:val="auto"/>
        </w:rPr>
      </w:pPr>
      <w:r>
        <w:rPr>
          <w:rFonts w:ascii="Arial" w:cs="Arial" w:eastAsia="Arial" w:hAnsi="Arial"/>
          <w:sz w:val="18"/>
          <w:szCs w:val="18"/>
          <w:color w:val="auto"/>
        </w:rPr>
        <w:t>The fair values of our financial instruments reflect the amounts that would be received to sell an asset or paid to transfer a liability in an orderly transaction between market participants at the measurement date (exit price).</w:t>
      </w:r>
    </w:p>
    <w:p>
      <w:pPr>
        <w:spacing w:after="0" w:line="186"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carrying amounts of our financial instruments of cash and cash equivalents, accounts receivable, accounts payable and accrued liabilities approximate fair value due to their short maturities.</w:t>
      </w:r>
    </w:p>
    <w:p>
      <w:pPr>
        <w:spacing w:after="0" w:line="186"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color w:val="auto"/>
        </w:rPr>
        <w:t>We carry our contingent consideration liability at fair value. In accordance with the three-tier fair value hierarchy, we determined the fair value of our contingent consideration liability using the income approach with assumed discount rates and payment probabilities. The income approach uses Level 3, or unobservable inputs, as defined under the accounting guidance for fair value measurements. See Notes 3 and 4 for more information regarding our contingent consideration liability.</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Inventories</w:t>
      </w:r>
    </w:p>
    <w:p>
      <w:pPr>
        <w:sectPr>
          <w:pgSz w:w="11900" w:h="16838" w:orient="portrait"/>
          <w:cols w:equalWidth="0" w:num="1">
            <w:col w:w="11420"/>
          </w:cols>
          <w:pgMar w:left="240" w:top="131" w:right="239" w:bottom="0" w:gutter="0" w:footer="0" w:header="0"/>
          <w:type w:val="continuous"/>
        </w:sectPr>
      </w:pPr>
    </w:p>
    <w:bookmarkStart w:id="6" w:name="page7"/>
    <w:bookmarkEnd w:id="6"/>
    <w:p>
      <w:pPr>
        <w:ind w:left="540" w:right="8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$90 and $118 for the six months ended June 30, 2017 and 2016,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40" w:right="20"/>
        <w:spacing w:after="0" w:line="307" w:lineRule="auto"/>
        <w:rPr>
          <w:sz w:val="20"/>
          <w:szCs w:val="20"/>
          <w:color w:val="auto"/>
        </w:rPr>
      </w:pPr>
      <w:r>
        <w:rPr>
          <w:rFonts w:ascii="Arial" w:cs="Arial" w:eastAsia="Arial" w:hAnsi="Arial"/>
          <w:sz w:val="15"/>
          <w:szCs w:val="15"/>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66" w:lineRule="exact"/>
        <w:rPr>
          <w:sz w:val="20"/>
          <w:szCs w:val="20"/>
          <w:color w:val="auto"/>
        </w:rPr>
      </w:pPr>
    </w:p>
    <w:p>
      <w:pPr>
        <w:ind w:left="540" w:right="60"/>
        <w:spacing w:after="0" w:line="314" w:lineRule="auto"/>
        <w:rPr>
          <w:sz w:val="20"/>
          <w:szCs w:val="20"/>
          <w:color w:val="auto"/>
        </w:rPr>
      </w:pPr>
      <w:r>
        <w:rPr>
          <w:rFonts w:ascii="Arial" w:cs="Arial" w:eastAsia="Arial" w:hAnsi="Arial"/>
          <w:sz w:val="15"/>
          <w:szCs w:val="15"/>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59"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5"/>
          <w:szCs w:val="15"/>
          <w:color w:val="auto"/>
        </w:rPr>
        <w:t>We have made an assessment of our operations and determined that there were no material subsequent events requiring adjustment to, or disclosure in, our</w:t>
      </w:r>
    </w:p>
    <w:p>
      <w:pPr>
        <w:sectPr>
          <w:pgSz w:w="11900" w:h="16838" w:orient="portrait"/>
          <w:cols w:equalWidth="0" w:num="1">
            <w:col w:w="11420"/>
          </w:cols>
          <w:pgMar w:left="240" w:top="131" w:right="239" w:bottom="0" w:gutter="0" w:footer="0" w:header="0"/>
        </w:sectPr>
      </w:pPr>
    </w:p>
    <w:bookmarkStart w:id="7" w:name="page8"/>
    <w:bookmarkEnd w:id="7"/>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financial statements for the six months ended June 30, 2017.</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In addition, we lease certain of our equipment to customers under non-cancellable operating leases. These leases generally have an initial term of six months. We recognize revenue for these leases on a straight-line basis over the term of the lease.</w:t>
      </w:r>
    </w:p>
    <w:p>
      <w:pPr>
        <w:spacing w:after="0" w:line="186"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our consolidated statement of operations.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6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Three Months 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9"/>
          </w:tcPr>
          <w:p>
            <w:pPr>
              <w:jc w:val="center"/>
              <w:ind w:right="30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5"/>
          </w:tcPr>
          <w:p>
            <w:pPr>
              <w:ind w:left="8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4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5"/>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2"/>
          </w:tcPr>
          <w:p>
            <w:pPr>
              <w:spacing w:after="0"/>
              <w:rPr>
                <w:sz w:val="12"/>
                <w:szCs w:val="12"/>
                <w:color w:val="auto"/>
              </w:rPr>
            </w:pPr>
          </w:p>
        </w:tc>
      </w:tr>
      <w:tr>
        <w:trPr>
          <w:trHeight w:val="156"/>
        </w:trPr>
        <w:tc>
          <w:tcPr>
            <w:tcW w:w="4480" w:type="dxa"/>
            <w:vAlign w:val="bottom"/>
          </w:tcPr>
          <w:p>
            <w:pPr>
              <w:spacing w:after="0"/>
              <w:rPr>
                <w:sz w:val="13"/>
                <w:szCs w:val="13"/>
                <w:color w:val="auto"/>
              </w:rPr>
            </w:pPr>
          </w:p>
        </w:tc>
        <w:tc>
          <w:tcPr>
            <w:tcW w:w="840" w:type="dxa"/>
            <w:vAlign w:val="bottom"/>
            <w:gridSpan w:val="5"/>
          </w:tcPr>
          <w:p>
            <w:pPr>
              <w:ind w:left="580"/>
              <w:spacing w:after="0" w:line="155" w:lineRule="exact"/>
              <w:rPr>
                <w:sz w:val="20"/>
                <w:szCs w:val="20"/>
                <w:color w:val="auto"/>
              </w:rPr>
            </w:pPr>
            <w:r>
              <w:rPr>
                <w:rFonts w:ascii="Arial" w:cs="Arial" w:eastAsia="Arial" w:hAnsi="Arial"/>
                <w:sz w:val="14"/>
                <w:szCs w:val="14"/>
                <w:b w:val="1"/>
                <w:bCs w:val="1"/>
                <w:i w:val="1"/>
                <w:iCs w:val="1"/>
                <w:color w:val="auto"/>
                <w:w w:val="76"/>
              </w:rPr>
              <w:t>2017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320" w:type="dxa"/>
            <w:vAlign w:val="bottom"/>
          </w:tcPr>
          <w:p>
            <w:pPr>
              <w:spacing w:after="0"/>
              <w:rPr>
                <w:sz w:val="13"/>
                <w:szCs w:val="13"/>
                <w:color w:val="auto"/>
              </w:rPr>
            </w:pPr>
          </w:p>
        </w:tc>
        <w:tc>
          <w:tcPr>
            <w:tcW w:w="920" w:type="dxa"/>
            <w:vAlign w:val="bottom"/>
            <w:gridSpan w:val="6"/>
          </w:tcPr>
          <w:p>
            <w:pPr>
              <w:jc w:val="right"/>
              <w:ind w:right="232"/>
              <w:spacing w:after="0" w:line="155" w:lineRule="exact"/>
              <w:rPr>
                <w:sz w:val="20"/>
                <w:szCs w:val="20"/>
                <w:color w:val="auto"/>
              </w:rPr>
            </w:pPr>
            <w:r>
              <w:rPr>
                <w:rFonts w:ascii="Arial" w:cs="Arial" w:eastAsia="Arial" w:hAnsi="Arial"/>
                <w:sz w:val="14"/>
                <w:szCs w:val="14"/>
                <w:b w:val="1"/>
                <w:bCs w:val="1"/>
                <w:i w:val="1"/>
                <w:iCs w:val="1"/>
                <w:color w:val="auto"/>
              </w:rPr>
              <w:t>2017</w:t>
            </w:r>
          </w:p>
        </w:tc>
        <w:tc>
          <w:tcPr>
            <w:tcW w:w="140" w:type="dxa"/>
            <w:vAlign w:val="bottom"/>
          </w:tcPr>
          <w:p>
            <w:pPr>
              <w:spacing w:after="0"/>
              <w:rPr>
                <w:sz w:val="13"/>
                <w:szCs w:val="13"/>
                <w:color w:val="auto"/>
              </w:rPr>
            </w:pPr>
          </w:p>
        </w:tc>
        <w:tc>
          <w:tcPr>
            <w:tcW w:w="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300" w:type="dxa"/>
            <w:vAlign w:val="bottom"/>
          </w:tcPr>
          <w:p>
            <w:pPr>
              <w:spacing w:after="0"/>
              <w:rPr>
                <w:sz w:val="13"/>
                <w:szCs w:val="13"/>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300" w:type="dxa"/>
            <w:vAlign w:val="bottom"/>
            <w:gridSpan w:val="7"/>
          </w:tcPr>
          <w:p>
            <w:pPr>
              <w:jc w:val="right"/>
              <w:ind w:right="140"/>
              <w:spacing w:after="0"/>
              <w:rPr>
                <w:sz w:val="20"/>
                <w:szCs w:val="20"/>
                <w:color w:val="auto"/>
              </w:rPr>
            </w:pPr>
            <w:r>
              <w:rPr>
                <w:rFonts w:ascii="Arial" w:cs="Arial" w:eastAsia="Arial" w:hAnsi="Arial"/>
                <w:sz w:val="18"/>
                <w:szCs w:val="18"/>
                <w:color w:val="auto"/>
              </w:rPr>
              <w:t>10,277,155</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86"/>
              </w:rPr>
              <w:t>10,295,836</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w w:val="99"/>
              </w:rPr>
              <w:t>10,270,860</w:t>
            </w:r>
          </w:p>
        </w:tc>
        <w:tc>
          <w:tcPr>
            <w:tcW w:w="140" w:type="dxa"/>
            <w:vAlign w:val="bottom"/>
          </w:tcPr>
          <w:p>
            <w:pPr>
              <w:spacing w:after="0"/>
              <w:rPr>
                <w:sz w:val="20"/>
                <w:szCs w:val="20"/>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84"/>
              </w:rPr>
              <w:t>10,342,919</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5"/>
        </w:trPr>
        <w:tc>
          <w:tcPr>
            <w:tcW w:w="4480" w:type="dxa"/>
            <w:vAlign w:val="bottom"/>
          </w:tcPr>
          <w:p>
            <w:pPr>
              <w:ind w:left="220"/>
              <w:spacing w:after="0" w:line="205" w:lineRule="exact"/>
              <w:rPr>
                <w:sz w:val="20"/>
                <w:szCs w:val="20"/>
                <w:color w:val="auto"/>
              </w:rPr>
            </w:pPr>
            <w:r>
              <w:rPr>
                <w:rFonts w:ascii="Arial" w:cs="Arial" w:eastAsia="Arial" w:hAnsi="Arial"/>
                <w:sz w:val="18"/>
                <w:szCs w:val="18"/>
                <w:color w:val="auto"/>
                <w:w w:val="99"/>
              </w:rPr>
              <w:t>Unvested shares of restricted stock and stock options</w:t>
            </w:r>
          </w:p>
        </w:tc>
        <w:tc>
          <w:tcPr>
            <w:tcW w:w="1300" w:type="dxa"/>
            <w:vAlign w:val="bottom"/>
            <w:gridSpan w:val="7"/>
          </w:tcPr>
          <w:p>
            <w:pPr>
              <w:jc w:val="right"/>
              <w:ind w:right="140"/>
              <w:spacing w:after="0" w:line="205" w:lineRule="exact"/>
              <w:rPr>
                <w:sz w:val="20"/>
                <w:szCs w:val="20"/>
                <w:color w:val="auto"/>
              </w:rPr>
            </w:pPr>
            <w:r>
              <w:rPr>
                <w:rFonts w:ascii="Arial" w:cs="Arial" w:eastAsia="Arial" w:hAnsi="Arial"/>
                <w:sz w:val="18"/>
                <w:szCs w:val="18"/>
                <w:color w:val="auto"/>
              </w:rPr>
              <w:t>57,739</w:t>
            </w:r>
          </w:p>
        </w:tc>
        <w:tc>
          <w:tcPr>
            <w:tcW w:w="80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14,856</w:t>
            </w:r>
          </w:p>
        </w:tc>
        <w:tc>
          <w:tcPr>
            <w:tcW w:w="9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44,255</w:t>
            </w:r>
          </w:p>
        </w:tc>
        <w:tc>
          <w:tcPr>
            <w:tcW w:w="140" w:type="dxa"/>
            <w:vAlign w:val="bottom"/>
          </w:tcPr>
          <w:p>
            <w:pPr>
              <w:spacing w:after="0"/>
              <w:rPr>
                <w:sz w:val="17"/>
                <w:szCs w:val="17"/>
                <w:color w:val="auto"/>
              </w:rPr>
            </w:pPr>
          </w:p>
        </w:tc>
        <w:tc>
          <w:tcPr>
            <w:tcW w:w="78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14,549</w:t>
            </w:r>
          </w:p>
        </w:tc>
      </w:tr>
      <w:tr>
        <w:trPr>
          <w:trHeight w:val="255"/>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r>
      <w:tr>
        <w:trPr>
          <w:trHeight w:val="184"/>
        </w:trPr>
        <w:tc>
          <w:tcPr>
            <w:tcW w:w="448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1300" w:type="dxa"/>
            <w:vAlign w:val="bottom"/>
            <w:gridSpan w:val="7"/>
          </w:tcPr>
          <w:p>
            <w:pPr>
              <w:jc w:val="right"/>
              <w:ind w:right="140"/>
              <w:spacing w:after="0" w:line="184" w:lineRule="exact"/>
              <w:rPr>
                <w:sz w:val="20"/>
                <w:szCs w:val="20"/>
                <w:color w:val="auto"/>
              </w:rPr>
            </w:pPr>
            <w:r>
              <w:rPr>
                <w:rFonts w:ascii="Arial" w:cs="Arial" w:eastAsia="Arial" w:hAnsi="Arial"/>
                <w:sz w:val="18"/>
                <w:szCs w:val="18"/>
                <w:color w:val="auto"/>
              </w:rPr>
              <w:t>10,334,894</w:t>
            </w:r>
          </w:p>
        </w:tc>
        <w:tc>
          <w:tcPr>
            <w:tcW w:w="80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86"/>
              </w:rPr>
              <w:t>10,310,692</w:t>
            </w:r>
          </w:p>
        </w:tc>
        <w:tc>
          <w:tcPr>
            <w:tcW w:w="1060" w:type="dxa"/>
            <w:vAlign w:val="bottom"/>
            <w:gridSpan w:val="7"/>
          </w:tcPr>
          <w:p>
            <w:pPr>
              <w:jc w:val="right"/>
              <w:ind w:right="140"/>
              <w:spacing w:after="0" w:line="184" w:lineRule="exact"/>
              <w:rPr>
                <w:sz w:val="20"/>
                <w:szCs w:val="20"/>
                <w:color w:val="auto"/>
              </w:rPr>
            </w:pPr>
            <w:r>
              <w:rPr>
                <w:rFonts w:ascii="Arial" w:cs="Arial" w:eastAsia="Arial" w:hAnsi="Arial"/>
                <w:sz w:val="18"/>
                <w:szCs w:val="18"/>
                <w:color w:val="auto"/>
                <w:w w:val="99"/>
              </w:rPr>
              <w:t>10,315,115</w:t>
            </w:r>
          </w:p>
        </w:tc>
        <w:tc>
          <w:tcPr>
            <w:tcW w:w="78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84"/>
              </w:rPr>
              <w:t>10,357,468</w:t>
            </w:r>
          </w:p>
        </w:tc>
      </w:tr>
      <w:tr>
        <w:trPr>
          <w:trHeight w:val="498"/>
        </w:trPr>
        <w:tc>
          <w:tcPr>
            <w:tcW w:w="4480" w:type="dxa"/>
            <w:vAlign w:val="bottom"/>
          </w:tcPr>
          <w:p>
            <w:pPr>
              <w:spacing w:after="0"/>
              <w:rPr>
                <w:sz w:val="20"/>
                <w:szCs w:val="20"/>
                <w:color w:val="auto"/>
              </w:rPr>
            </w:pPr>
            <w:r>
              <w:rPr>
                <w:rFonts w:ascii="Arial" w:cs="Arial" w:eastAsia="Arial" w:hAnsi="Arial"/>
                <w:sz w:val="18"/>
                <w:szCs w:val="18"/>
                <w:color w:val="auto"/>
                <w:w w:val="97"/>
              </w:rPr>
              <w:t>Average number of potentially dilutive securities excluded</w:t>
            </w:r>
          </w:p>
        </w:tc>
        <w:tc>
          <w:tcPr>
            <w:tcW w:w="3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222"/>
        </w:trPr>
        <w:tc>
          <w:tcPr>
            <w:tcW w:w="448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300" w:type="dxa"/>
            <w:vAlign w:val="bottom"/>
            <w:gridSpan w:val="7"/>
          </w:tcPr>
          <w:p>
            <w:pPr>
              <w:jc w:val="right"/>
              <w:ind w:right="140"/>
              <w:spacing w:after="0"/>
              <w:rPr>
                <w:sz w:val="20"/>
                <w:szCs w:val="20"/>
                <w:color w:val="auto"/>
              </w:rPr>
            </w:pPr>
            <w:r>
              <w:rPr>
                <w:rFonts w:ascii="Arial" w:cs="Arial" w:eastAsia="Arial" w:hAnsi="Arial"/>
                <w:sz w:val="18"/>
                <w:szCs w:val="18"/>
                <w:color w:val="auto"/>
              </w:rPr>
              <w:t>96,000</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19,800</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71,630</w:t>
            </w:r>
          </w:p>
        </w:tc>
        <w:tc>
          <w:tcPr>
            <w:tcW w:w="140" w:type="dxa"/>
            <w:vAlign w:val="bottom"/>
          </w:tcPr>
          <w:p>
            <w:pPr>
              <w:spacing w:after="0"/>
              <w:rPr>
                <w:sz w:val="19"/>
                <w:szCs w:val="19"/>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17,516</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300"/>
        <w:spacing w:after="0" w:line="294" w:lineRule="auto"/>
        <w:rPr>
          <w:sz w:val="20"/>
          <w:szCs w:val="20"/>
          <w:color w:val="auto"/>
        </w:rPr>
      </w:pPr>
      <w:r>
        <w:rPr>
          <w:rFonts w:ascii="Arial" w:cs="Arial" w:eastAsia="Arial" w:hAnsi="Arial"/>
          <w:sz w:val="16"/>
          <w:szCs w:val="16"/>
          <w:color w:val="auto"/>
        </w:rPr>
        <w:t>In March 2016, the Financial Accounting Standards Board (the "FASB") issued amendments to the current guidance on accounting for stock-based compensation issued to employees which is contained in ASC Topic 718 (Compensation - Stock Compensation). The new guidance simplifies several aspects of the accounting for share-based payment transactions, including the income tax consequences, classification of awards as either equity or liabilities, and classification on the statement of cash flows. The amendments were effective for us as of January 1, 2017. The implementation of these amendments did not have a material impact on our consolidated financial statements.</w:t>
      </w:r>
    </w:p>
    <w:p>
      <w:pPr>
        <w:spacing w:after="0" w:line="170" w:lineRule="exact"/>
        <w:rPr>
          <w:sz w:val="20"/>
          <w:szCs w:val="20"/>
          <w:color w:val="auto"/>
        </w:rPr>
      </w:pPr>
    </w:p>
    <w:p>
      <w:pPr>
        <w:ind w:left="540" w:right="60"/>
        <w:spacing w:after="0" w:line="323" w:lineRule="auto"/>
        <w:rPr>
          <w:sz w:val="20"/>
          <w:szCs w:val="20"/>
          <w:color w:val="auto"/>
        </w:rPr>
      </w:pPr>
      <w:r>
        <w:rPr>
          <w:rFonts w:ascii="Arial" w:cs="Arial" w:eastAsia="Arial" w:hAnsi="Arial"/>
          <w:sz w:val="15"/>
          <w:szCs w:val="15"/>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w:t>
      </w:r>
    </w:p>
    <w:p>
      <w:pPr>
        <w:sectPr>
          <w:pgSz w:w="11900" w:h="16926" w:orient="portrait"/>
          <w:cols w:equalWidth="0" w:num="1">
            <w:col w:w="11420"/>
          </w:cols>
          <w:pgMar w:left="240" w:top="131" w:right="239" w:bottom="0" w:gutter="0" w:footer="0" w:header="0"/>
        </w:sectPr>
      </w:pPr>
    </w:p>
    <w:bookmarkStart w:id="8" w:name="page9"/>
    <w:bookmarkEnd w:id="8"/>
    <w:p>
      <w:pPr>
        <w:ind w:left="540" w:right="120"/>
        <w:spacing w:after="0" w:line="256" w:lineRule="auto"/>
        <w:rPr>
          <w:sz w:val="20"/>
          <w:szCs w:val="20"/>
          <w:color w:val="auto"/>
        </w:rPr>
      </w:pPr>
      <w:r>
        <w:rPr>
          <w:rFonts w:ascii="Arial" w:cs="Arial" w:eastAsia="Arial" w:hAnsi="Arial"/>
          <w:sz w:val="18"/>
          <w:szCs w:val="18"/>
          <w:color w:val="auto"/>
        </w:rPr>
        <w:t>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were effective for us as of January 1, 2017. The implementation of these amendments did not have a material impact on our consolidated financial statements.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color w:val="auto"/>
        </w:rPr>
        <w:t>In May 2017, the FASB issued amendments to the guidance on accounting for a change to the terms or conditions (modification) of a share-based payment award. The amendments provide that an entity should account for the effects of a modification unless the fair value and vesting conditions of the modified award and the classification of the modified award (equity or liability instrument) are the same as the original award immediately before the modification. The amendments are effective for us as of January 1, 2018. Early adoption is permitted. The amendments are to be applied prospectively to an award modified on or after the adoption date. We do not expect the implementation of the amendments to have a material impact on our consolidated financial statements.</w:t>
      </w:r>
    </w:p>
    <w:p>
      <w:pPr>
        <w:spacing w:after="0" w:line="198" w:lineRule="exact"/>
        <w:rPr>
          <w:sz w:val="20"/>
          <w:szCs w:val="20"/>
          <w:color w:val="auto"/>
        </w:rPr>
      </w:pPr>
    </w:p>
    <w:p>
      <w:pPr>
        <w:ind w:left="540" w:right="180"/>
        <w:spacing w:after="0" w:line="318" w:lineRule="auto"/>
        <w:rPr>
          <w:sz w:val="20"/>
          <w:szCs w:val="20"/>
          <w:color w:val="auto"/>
        </w:rPr>
      </w:pPr>
      <w:r>
        <w:rPr>
          <w:rFonts w:ascii="Arial" w:cs="Arial" w:eastAsia="Arial" w:hAnsi="Arial"/>
          <w:sz w:val="15"/>
          <w:szCs w:val="15"/>
          <w:color w:val="auto"/>
        </w:rPr>
        <w:t>In January 2017, the FASB issued amendments to the guidance on accounting for goodwill impairment. The amendments simplify the accounting for goodwill impairment by removing Step II of the goodwill impairment test, which requires a hypothetical purchase price allocation. Under the amendments, a goodwill impairment will now be the amount by which a reporting unit's carrying value exceeds its fair value, not to exceed the carrying amount of goodwill. The amendments will be applied prospectively and are effective for us as of January 1, 2020, with early application permitted beginning January 1, 2017. We do not expect the implementation of the amendments to have a material impact on our consolidated financial statements.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40"/>
        <w:spacing w:after="0" w:line="256" w:lineRule="auto"/>
        <w:rPr>
          <w:sz w:val="20"/>
          <w:szCs w:val="20"/>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are effective for us as of January 1, 2018, with early application permitted. We do not expect the implementation of these amendments to have a material impact on our consolidated financial statements.</w:t>
      </w:r>
    </w:p>
    <w:p>
      <w:pPr>
        <w:spacing w:after="0" w:line="197"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are effective for us as of January 1, 2018, and are to be applied retrospectively. Early application is permitted. We do not expect the implementation of these amendments to have a material impact on our consolidated financial statements.</w:t>
      </w:r>
    </w:p>
    <w:p>
      <w:pPr>
        <w:spacing w:after="0" w:line="197" w:lineRule="exact"/>
        <w:rPr>
          <w:sz w:val="20"/>
          <w:szCs w:val="20"/>
          <w:color w:val="auto"/>
        </w:rPr>
      </w:pPr>
    </w:p>
    <w:p>
      <w:pPr>
        <w:ind w:left="540" w:right="140"/>
        <w:spacing w:after="0" w:line="310" w:lineRule="auto"/>
        <w:rPr>
          <w:sz w:val="20"/>
          <w:szCs w:val="20"/>
          <w:color w:val="auto"/>
        </w:rPr>
      </w:pPr>
      <w:r>
        <w:rPr>
          <w:rFonts w:ascii="Arial" w:cs="Arial" w:eastAsia="Arial" w:hAnsi="Arial"/>
          <w:sz w:val="15"/>
          <w:szCs w:val="15"/>
          <w:color w:val="auto"/>
        </w:rPr>
        <w:t>In February 2016, the FASB issued amendments to the current guidance on accounting for lease transactions, which is presented in ASC Topic 842 (Leases).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impact of the implementation of these amendments on our consolidated financial statements.</w:t>
      </w:r>
    </w:p>
    <w:p>
      <w:pPr>
        <w:spacing w:after="0" w:line="162"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Subsequent to May, 2014, the FASB has issued additional clarifying guidance on certain aspects of this new guidance. This guidance is presented in ASC Topic 606 (Revenue from Contracts with Customers). This new guidance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as of January 1, 2018. Early application is only permitted as of the prior effective date, which in our case would be as of January 1, 2017. We currently plan to implement this new guidance on January 1, 2018 with a cumulative adjustment to retained earnings as opposed to retrospectively adjusting prior periods. During the fourth quarter of 2016, we completed a preliminary review of all our revenue streams to identify any differences in timing, measurement or presentation of revenue recognition. Our implementation process is ongoing; however, based on the results of our assessment to date, we currently do not expect the implementation of this new guidance to have a significant impact on the timing or amount of revenue we recognize in any given period in comparison to the amount recognized under current guidance.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On May 24, 2017, we completed our acquisition of Ambrell, a manufacturer of precision induction heating systems. Ambrell's systems are used to conduct fast, efficient, repeatable non-contact heating of metals or other electrically conductive materials, in order to transform raw materials into finished parts. The Ambrell acquisition will complement our current thermal technologies and broaden our diverse customer base, allowing expansion within many non-ATE related markets, such as consumer product packaging, fiber-optics, automotive and other markets.</w:t>
      </w:r>
    </w:p>
    <w:p>
      <w:pPr>
        <w:spacing w:after="0" w:line="167"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The purchase price for Ambrell was $22,000 in cash paid at closing, subject to a customary post-closing working capital adjustment. Additional consideration in the form of earnouts may be paid based upon a multiple of adjusted EBITDA for 2017 and 2018, as further discussed below. The acquisition was completed by acquiring all of the outstanding capital stock of Ambrell. Total acquisition costs incurred to complete this transaction were $849. Acquisition costs were expensed as incurred and included in general and administrative expense.</w:t>
      </w:r>
    </w:p>
    <w:p>
      <w:pPr>
        <w:spacing w:after="0" w:line="167"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The acquisition of Ambrell has been accounted for as a business combination using purchase accounting, and, accordingly, the results of Ambrell have been included in our consolidated results of operations from the date of acquisition. The allocation of the purchase price for Ambrell is not yet complete. As a result, the values reflected below are preliminary and</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131" w:right="239" w:bottom="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we expect them to change. The preliminary allocation of the Ambrell purchase price was based on estimated fair values as of May 24, 2017. We are currently working with third-party valuation specialists to assist us with determining the fair value of intangible assets acquired, the related deferred tax liabilities, our liability for contingent consideration and any step-up in the fair value of inventories acquired. We have not yet received their final report. In addition, the final fair values assigned to acquired property and equipment are also preliminary as we have not yet had adequate time to complete our review of salvage values and estimated useful lives. We are also in the process of reviewing the final working capital adjustment and are currently working through certain discrepancies in the calculation between ourselves and the seller. Adjustments to these preliminary amounts will be included in the final allocation of the purchase price for Ambrell, which we expect to finalize in the third quarter of 2017. These adjustments could be material.</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excess of the purchase price over the identifiable intangible and net tangible assets was allocated to goodwill and is not deductible for tax purposes.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Goodwill is attributed to synergies that are expected to result from the operations of the combined businesses.</w:t>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The total preliminary purchase price of $24,334 was comprised of:</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6"/>
        </w:trPr>
        <w:tc>
          <w:tcPr>
            <w:tcW w:w="6580" w:type="dxa"/>
            <w:vAlign w:val="bottom"/>
          </w:tcPr>
          <w:p>
            <w:pPr>
              <w:ind w:left="1720"/>
              <w:spacing w:after="0"/>
              <w:rPr>
                <w:sz w:val="20"/>
                <w:szCs w:val="20"/>
                <w:color w:val="auto"/>
              </w:rPr>
            </w:pPr>
            <w:r>
              <w:rPr>
                <w:rFonts w:ascii="Arial" w:cs="Arial" w:eastAsia="Arial" w:hAnsi="Arial"/>
                <w:sz w:val="18"/>
                <w:szCs w:val="18"/>
                <w:color w:val="auto"/>
              </w:rPr>
              <w:t>Cash paid to acquire the capital stock of Ambrell</w:t>
            </w:r>
          </w:p>
        </w:tc>
        <w:tc>
          <w:tcPr>
            <w:tcW w:w="2060" w:type="dxa"/>
            <w:vAlign w:val="bottom"/>
            <w:gridSpan w:val="4"/>
          </w:tcPr>
          <w:p>
            <w:pPr>
              <w:jc w:val="right"/>
              <w:ind w:right="40"/>
              <w:spacing w:after="0"/>
              <w:rPr>
                <w:sz w:val="20"/>
                <w:szCs w:val="20"/>
                <w:color w:val="auto"/>
              </w:rPr>
            </w:pPr>
            <w:r>
              <w:rPr>
                <w:rFonts w:ascii="Arial" w:cs="Arial" w:eastAsia="Arial" w:hAnsi="Arial"/>
                <w:sz w:val="18"/>
                <w:szCs w:val="18"/>
                <w:color w:val="auto"/>
              </w:rPr>
              <w:t>$22,742</w:t>
            </w:r>
          </w:p>
        </w:tc>
      </w:tr>
      <w:tr>
        <w:trPr>
          <w:trHeight w:val="243"/>
        </w:trPr>
        <w:tc>
          <w:tcPr>
            <w:tcW w:w="6580" w:type="dxa"/>
            <w:vAlign w:val="bottom"/>
          </w:tcPr>
          <w:p>
            <w:pPr>
              <w:ind w:left="1720"/>
              <w:spacing w:after="0"/>
              <w:rPr>
                <w:sz w:val="20"/>
                <w:szCs w:val="20"/>
                <w:color w:val="auto"/>
              </w:rPr>
            </w:pPr>
            <w:r>
              <w:rPr>
                <w:rFonts w:ascii="Arial" w:cs="Arial" w:eastAsia="Arial" w:hAnsi="Arial"/>
                <w:sz w:val="18"/>
                <w:szCs w:val="18"/>
                <w:color w:val="auto"/>
              </w:rPr>
              <w:t>Estimated fair value of contingent consideration</w:t>
            </w:r>
          </w:p>
        </w:tc>
        <w:tc>
          <w:tcPr>
            <w:tcW w:w="2060" w:type="dxa"/>
            <w:vAlign w:val="bottom"/>
            <w:gridSpan w:val="4"/>
          </w:tcPr>
          <w:p>
            <w:pPr>
              <w:jc w:val="right"/>
              <w:ind w:right="40"/>
              <w:spacing w:after="0"/>
              <w:rPr>
                <w:sz w:val="20"/>
                <w:szCs w:val="20"/>
                <w:color w:val="auto"/>
              </w:rPr>
            </w:pPr>
            <w:r>
              <w:rPr>
                <w:rFonts w:ascii="Arial" w:cs="Arial" w:eastAsia="Arial" w:hAnsi="Arial"/>
                <w:sz w:val="18"/>
                <w:szCs w:val="18"/>
                <w:color w:val="auto"/>
              </w:rPr>
              <w:t>2,302</w:t>
            </w:r>
          </w:p>
        </w:tc>
      </w:tr>
      <w:tr>
        <w:trPr>
          <w:trHeight w:val="205"/>
        </w:trPr>
        <w:tc>
          <w:tcPr>
            <w:tcW w:w="6580" w:type="dxa"/>
            <w:vAlign w:val="bottom"/>
          </w:tcPr>
          <w:p>
            <w:pPr>
              <w:ind w:left="1720"/>
              <w:spacing w:after="0" w:line="205" w:lineRule="exact"/>
              <w:rPr>
                <w:sz w:val="20"/>
                <w:szCs w:val="20"/>
                <w:color w:val="auto"/>
              </w:rPr>
            </w:pPr>
            <w:r>
              <w:rPr>
                <w:rFonts w:ascii="Arial" w:cs="Arial" w:eastAsia="Arial" w:hAnsi="Arial"/>
                <w:sz w:val="18"/>
                <w:szCs w:val="18"/>
                <w:color w:val="auto"/>
              </w:rPr>
              <w:t>Estimated working capital adjustments</w:t>
            </w:r>
          </w:p>
        </w:tc>
        <w:tc>
          <w:tcPr>
            <w:tcW w:w="1500" w:type="dxa"/>
            <w:vAlign w:val="bottom"/>
            <w:gridSpan w:val="2"/>
          </w:tcPr>
          <w:p>
            <w:pPr>
              <w:spacing w:after="0"/>
              <w:rPr>
                <w:sz w:val="17"/>
                <w:szCs w:val="17"/>
                <w:color w:val="auto"/>
              </w:rPr>
            </w:pPr>
          </w:p>
        </w:tc>
        <w:tc>
          <w:tcPr>
            <w:tcW w:w="5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(710)</w:t>
            </w:r>
          </w:p>
        </w:tc>
      </w:tr>
      <w:tr>
        <w:trPr>
          <w:trHeight w:val="20"/>
        </w:trPr>
        <w:tc>
          <w:tcPr>
            <w:tcW w:w="6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580" w:type="dxa"/>
            <w:vAlign w:val="bottom"/>
          </w:tcPr>
          <w:p>
            <w:pPr>
              <w:ind w:left="1720"/>
              <w:spacing w:after="0"/>
              <w:rPr>
                <w:sz w:val="20"/>
                <w:szCs w:val="20"/>
                <w:color w:val="auto"/>
              </w:rPr>
            </w:pPr>
            <w:r>
              <w:rPr>
                <w:rFonts w:ascii="Arial" w:cs="Arial" w:eastAsia="Arial" w:hAnsi="Arial"/>
                <w:sz w:val="18"/>
                <w:szCs w:val="18"/>
                <w:color w:val="auto"/>
              </w:rPr>
              <w:t>Total preliminary purchase price</w:t>
            </w:r>
          </w:p>
        </w:tc>
        <w:tc>
          <w:tcPr>
            <w:tcW w:w="148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24,334</w:t>
            </w:r>
          </w:p>
        </w:tc>
      </w:tr>
    </w:tbl>
    <w:p>
      <w:pPr>
        <w:spacing w:after="0" w:line="248"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As noted above, the consideration paid for the acquisition of Ambrell includes contingent consideration based on the future adjusted EBITDA of Ambrell. Adjusted EBITDA is earnings (or loss) from operations before interest expense, benefit or provision for income taxes, depreciation and amortization, and excludes other non-recurring income and expense items as defined in Exhibit B of the stock purchase agreement for Ambrell. The first earnout, to be paid after calendar year 2017 is completed, will be an amount equal to 8x Ambrell's adjusted EBITDA for 2017 minus the $22,000 paid at closing. The second earnout, to be paid after calendar year 2018 is completed, is an amount equal to 8x Ambrell's adjusted EBITDA for 2018 minus the sum of the $22,000 paid at closing and any earnout paid with respect to 2017. The 2017 and 2018 earnouts, in the aggregate, are capped at $18,000. We based our initial valuation of the contingent consideration on the range of projected estimated EBITDA of $1,485 to $3,175 for 2017 and $1,835 to $3,479 for 2018. This resulted in a range of payouts between $2,988 and $5,688. We discounted the range of payouts by an estimated cost of capital of 18.5% and probability weighted the results to arrive at an estimated fair value of $2,302, which was recorded as a contingent consideration liability as of the acquisition date. As previously noted, we are currently working with valuation specialists to finalize the estimate of the fair value of contingent consideration as of the acquisition date, and have not yet received their final report.</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The total preliminary purchase price of $24,334 has been allocated as follows: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6"/>
        </w:trPr>
        <w:tc>
          <w:tcPr>
            <w:tcW w:w="8060" w:type="dxa"/>
            <w:vAlign w:val="bottom"/>
          </w:tcPr>
          <w:p>
            <w:pPr>
              <w:ind w:left="1680"/>
              <w:spacing w:after="0"/>
              <w:rPr>
                <w:sz w:val="20"/>
                <w:szCs w:val="20"/>
                <w:color w:val="auto"/>
              </w:rPr>
            </w:pPr>
            <w:r>
              <w:rPr>
                <w:rFonts w:ascii="Arial" w:cs="Arial" w:eastAsia="Arial" w:hAnsi="Arial"/>
                <w:sz w:val="18"/>
                <w:szCs w:val="18"/>
                <w:color w:val="auto"/>
              </w:rPr>
              <w:t>Goodwill</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82"/>
              </w:rPr>
              <w:t>$16,820</w:t>
            </w:r>
          </w:p>
        </w:tc>
      </w:tr>
      <w:tr>
        <w:trPr>
          <w:trHeight w:val="243"/>
        </w:trPr>
        <w:tc>
          <w:tcPr>
            <w:tcW w:w="8060" w:type="dxa"/>
            <w:vAlign w:val="bottom"/>
          </w:tcPr>
          <w:p>
            <w:pPr>
              <w:ind w:left="1680"/>
              <w:spacing w:after="0"/>
              <w:rPr>
                <w:sz w:val="20"/>
                <w:szCs w:val="20"/>
                <w:color w:val="auto"/>
              </w:rPr>
            </w:pPr>
            <w:r>
              <w:rPr>
                <w:rFonts w:ascii="Arial" w:cs="Arial" w:eastAsia="Arial" w:hAnsi="Arial"/>
                <w:sz w:val="18"/>
                <w:szCs w:val="18"/>
                <w:color w:val="auto"/>
              </w:rPr>
              <w:t>Identifiable intangible assets</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9,500</w:t>
            </w:r>
          </w:p>
        </w:tc>
      </w:tr>
      <w:tr>
        <w:trPr>
          <w:trHeight w:val="243"/>
        </w:trPr>
        <w:tc>
          <w:tcPr>
            <w:tcW w:w="8060" w:type="dxa"/>
            <w:vAlign w:val="bottom"/>
          </w:tcPr>
          <w:p>
            <w:pPr>
              <w:ind w:left="1680"/>
              <w:spacing w:after="0"/>
              <w:rPr>
                <w:sz w:val="20"/>
                <w:szCs w:val="20"/>
                <w:color w:val="auto"/>
              </w:rPr>
            </w:pPr>
            <w:r>
              <w:rPr>
                <w:rFonts w:ascii="Arial" w:cs="Arial" w:eastAsia="Arial" w:hAnsi="Arial"/>
                <w:sz w:val="18"/>
                <w:szCs w:val="18"/>
                <w:color w:val="auto"/>
              </w:rPr>
              <w:t>Tangible assets acquired and liabilities assumed:</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060" w:type="dxa"/>
            <w:vAlign w:val="bottom"/>
          </w:tcPr>
          <w:p>
            <w:pPr>
              <w:ind w:left="1860"/>
              <w:spacing w:after="0"/>
              <w:rPr>
                <w:sz w:val="20"/>
                <w:szCs w:val="20"/>
                <w:color w:val="auto"/>
              </w:rPr>
            </w:pPr>
            <w:r>
              <w:rPr>
                <w:rFonts w:ascii="Arial" w:cs="Arial" w:eastAsia="Arial" w:hAnsi="Arial"/>
                <w:sz w:val="18"/>
                <w:szCs w:val="18"/>
                <w:color w:val="auto"/>
              </w:rPr>
              <w:t>Cash</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r>
      <w:tr>
        <w:trPr>
          <w:trHeight w:val="243"/>
        </w:trPr>
        <w:tc>
          <w:tcPr>
            <w:tcW w:w="8060" w:type="dxa"/>
            <w:vAlign w:val="bottom"/>
          </w:tcPr>
          <w:p>
            <w:pPr>
              <w:ind w:left="1840"/>
              <w:spacing w:after="0"/>
              <w:rPr>
                <w:sz w:val="20"/>
                <w:szCs w:val="20"/>
                <w:color w:val="auto"/>
              </w:rPr>
            </w:pPr>
            <w:r>
              <w:rPr>
                <w:rFonts w:ascii="Arial" w:cs="Arial" w:eastAsia="Arial" w:hAnsi="Arial"/>
                <w:sz w:val="18"/>
                <w:szCs w:val="18"/>
                <w:color w:val="auto"/>
              </w:rPr>
              <w:t>Trade accounts receivable</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3,621</w:t>
            </w:r>
          </w:p>
        </w:tc>
      </w:tr>
      <w:tr>
        <w:trPr>
          <w:trHeight w:val="243"/>
        </w:trPr>
        <w:tc>
          <w:tcPr>
            <w:tcW w:w="8060" w:type="dxa"/>
            <w:vAlign w:val="bottom"/>
          </w:tcPr>
          <w:p>
            <w:pPr>
              <w:ind w:left="1860"/>
              <w:spacing w:after="0"/>
              <w:rPr>
                <w:sz w:val="20"/>
                <w:szCs w:val="20"/>
                <w:color w:val="auto"/>
              </w:rPr>
            </w:pPr>
            <w:r>
              <w:rPr>
                <w:rFonts w:ascii="Arial" w:cs="Arial" w:eastAsia="Arial" w:hAnsi="Arial"/>
                <w:sz w:val="18"/>
                <w:szCs w:val="18"/>
                <w:color w:val="auto"/>
              </w:rPr>
              <w:t>Inventories</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1,917</w:t>
            </w:r>
          </w:p>
        </w:tc>
      </w:tr>
      <w:tr>
        <w:trPr>
          <w:trHeight w:val="243"/>
        </w:trPr>
        <w:tc>
          <w:tcPr>
            <w:tcW w:w="8060" w:type="dxa"/>
            <w:vAlign w:val="bottom"/>
          </w:tcPr>
          <w:p>
            <w:pPr>
              <w:ind w:left="1860"/>
              <w:spacing w:after="0"/>
              <w:rPr>
                <w:sz w:val="20"/>
                <w:szCs w:val="20"/>
                <w:color w:val="auto"/>
              </w:rPr>
            </w:pPr>
            <w:r>
              <w:rPr>
                <w:rFonts w:ascii="Arial" w:cs="Arial" w:eastAsia="Arial" w:hAnsi="Arial"/>
                <w:sz w:val="18"/>
                <w:szCs w:val="18"/>
                <w:color w:val="auto"/>
              </w:rPr>
              <w:t>Other current assets</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r>
      <w:tr>
        <w:trPr>
          <w:trHeight w:val="243"/>
        </w:trPr>
        <w:tc>
          <w:tcPr>
            <w:tcW w:w="8060" w:type="dxa"/>
            <w:vAlign w:val="bottom"/>
          </w:tcPr>
          <w:p>
            <w:pPr>
              <w:ind w:left="1860"/>
              <w:spacing w:after="0"/>
              <w:rPr>
                <w:sz w:val="20"/>
                <w:szCs w:val="20"/>
                <w:color w:val="auto"/>
              </w:rPr>
            </w:pPr>
            <w:r>
              <w:rPr>
                <w:rFonts w:ascii="Arial" w:cs="Arial" w:eastAsia="Arial" w:hAnsi="Arial"/>
                <w:sz w:val="18"/>
                <w:szCs w:val="18"/>
                <w:color w:val="auto"/>
              </w:rPr>
              <w:t>Property and equipment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614</w:t>
            </w:r>
          </w:p>
        </w:tc>
      </w:tr>
      <w:tr>
        <w:trPr>
          <w:trHeight w:val="243"/>
        </w:trPr>
        <w:tc>
          <w:tcPr>
            <w:tcW w:w="8060" w:type="dxa"/>
            <w:vAlign w:val="bottom"/>
          </w:tcPr>
          <w:p>
            <w:pPr>
              <w:ind w:left="1840"/>
              <w:spacing w:after="0"/>
              <w:rPr>
                <w:sz w:val="20"/>
                <w:szCs w:val="20"/>
                <w:color w:val="auto"/>
              </w:rPr>
            </w:pPr>
            <w:r>
              <w:rPr>
                <w:rFonts w:ascii="Arial" w:cs="Arial" w:eastAsia="Arial" w:hAnsi="Arial"/>
                <w:sz w:val="18"/>
                <w:szCs w:val="18"/>
                <w:color w:val="auto"/>
              </w:rPr>
              <w:t>Accounts payable</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(1,420)</w:t>
            </w:r>
          </w:p>
        </w:tc>
      </w:tr>
      <w:tr>
        <w:trPr>
          <w:trHeight w:val="243"/>
        </w:trPr>
        <w:tc>
          <w:tcPr>
            <w:tcW w:w="8060" w:type="dxa"/>
            <w:vAlign w:val="bottom"/>
          </w:tcPr>
          <w:p>
            <w:pPr>
              <w:ind w:left="1840"/>
              <w:spacing w:after="0"/>
              <w:rPr>
                <w:sz w:val="20"/>
                <w:szCs w:val="20"/>
                <w:color w:val="auto"/>
              </w:rPr>
            </w:pPr>
            <w:r>
              <w:rPr>
                <w:rFonts w:ascii="Arial" w:cs="Arial" w:eastAsia="Arial" w:hAnsi="Arial"/>
                <w:sz w:val="18"/>
                <w:szCs w:val="18"/>
                <w:color w:val="auto"/>
              </w:rPr>
              <w:t>Accrued expenses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(1,280)</w:t>
            </w:r>
          </w:p>
        </w:tc>
      </w:tr>
      <w:tr>
        <w:trPr>
          <w:trHeight w:val="243"/>
        </w:trPr>
        <w:tc>
          <w:tcPr>
            <w:tcW w:w="8060" w:type="dxa"/>
            <w:vAlign w:val="bottom"/>
          </w:tcPr>
          <w:p>
            <w:pPr>
              <w:ind w:left="1860"/>
              <w:spacing w:after="0"/>
              <w:rPr>
                <w:sz w:val="20"/>
                <w:szCs w:val="20"/>
                <w:color w:val="auto"/>
              </w:rPr>
            </w:pPr>
            <w:r>
              <w:rPr>
                <w:rFonts w:ascii="Arial" w:cs="Arial" w:eastAsia="Arial" w:hAnsi="Arial"/>
                <w:sz w:val="18"/>
                <w:szCs w:val="18"/>
                <w:color w:val="auto"/>
              </w:rPr>
              <w:t>Customer advances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(554)</w:t>
            </w:r>
          </w:p>
        </w:tc>
      </w:tr>
      <w:tr>
        <w:trPr>
          <w:trHeight w:val="205"/>
        </w:trPr>
        <w:tc>
          <w:tcPr>
            <w:tcW w:w="8060" w:type="dxa"/>
            <w:vAlign w:val="bottom"/>
          </w:tcPr>
          <w:p>
            <w:pPr>
              <w:ind w:left="1860"/>
              <w:spacing w:after="0" w:line="205" w:lineRule="exact"/>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7"/>
                <w:szCs w:val="17"/>
                <w:color w:val="auto"/>
              </w:rPr>
            </w:pPr>
          </w:p>
        </w:tc>
        <w:tc>
          <w:tcPr>
            <w:tcW w:w="6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(5,154)</w:t>
            </w:r>
          </w:p>
        </w:tc>
      </w:tr>
      <w:tr>
        <w:trPr>
          <w:trHeight w:val="20"/>
        </w:trPr>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60" w:type="dxa"/>
            <w:vAlign w:val="bottom"/>
          </w:tcPr>
          <w:p>
            <w:pPr>
              <w:ind w:left="1680"/>
              <w:spacing w:after="0"/>
              <w:rPr>
                <w:sz w:val="20"/>
                <w:szCs w:val="20"/>
                <w:color w:val="auto"/>
              </w:rPr>
            </w:pPr>
            <w:r>
              <w:rPr>
                <w:rFonts w:ascii="Arial" w:cs="Arial" w:eastAsia="Arial" w:hAnsi="Arial"/>
                <w:sz w:val="18"/>
                <w:szCs w:val="18"/>
                <w:color w:val="auto"/>
              </w:rPr>
              <w:t>Total preliminary purchase price</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24,334</w:t>
            </w:r>
          </w:p>
        </w:tc>
      </w:tr>
      <w:tr>
        <w:trPr>
          <w:trHeight w:val="464"/>
        </w:trPr>
        <w:tc>
          <w:tcPr>
            <w:tcW w:w="8060" w:type="dxa"/>
            <w:vAlign w:val="bottom"/>
          </w:tcPr>
          <w:p>
            <w:pPr>
              <w:ind w:left="4980"/>
              <w:spacing w:after="0"/>
              <w:rPr>
                <w:sz w:val="20"/>
                <w:szCs w:val="20"/>
                <w:color w:val="auto"/>
              </w:rPr>
            </w:pPr>
            <w:r>
              <w:rPr>
                <w:rFonts w:ascii="Arial" w:cs="Arial" w:eastAsia="Arial" w:hAnsi="Arial"/>
                <w:sz w:val="18"/>
                <w:szCs w:val="18"/>
                <w:color w:val="auto"/>
              </w:rPr>
              <w:t>- 11 -</w:t>
            </w: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We estimated the fair value of identifiable intangible assets acquired using a combination of the income, cost and market approaches. As part of the preliminary valuation analysis, we identified intangible assets, including technology, trade names, customer relationships and backlog. The fair value of the identifiable intangible assets is determined primarily using the income approach, which requires a forecast of all expected future cash flows. Since all information required to perform a detailed valuation of Ambrell's intangible assets is not yet available, we used certain assumptions based on historical and industry data for our preliminary valuation. As previously noted, we are currently working with valuation specialists to finalize the estimate of the fair value of identifiable intangible assets as of the acquisition date, and have not yet received their final report. The following table summarizes the estimated fair value of Ambrell's identifiable intangible assets and their estimated useful lives and uses the straight-line method of amortization:</w:t>
      </w:r>
    </w:p>
    <w:p>
      <w:pPr>
        <w:spacing w:after="0" w:line="183" w:lineRule="exact"/>
        <w:rPr>
          <w:sz w:val="20"/>
          <w:szCs w:val="20"/>
          <w:color w:val="auto"/>
        </w:rPr>
      </w:pPr>
    </w:p>
    <w:p>
      <w:pPr>
        <w:ind w:left="8540"/>
        <w:spacing w:after="0"/>
        <w:rPr>
          <w:sz w:val="20"/>
          <w:szCs w:val="20"/>
          <w:color w:val="auto"/>
        </w:rPr>
      </w:pPr>
      <w:r>
        <w:rPr>
          <w:rFonts w:ascii="Arial" w:cs="Arial" w:eastAsia="Arial" w:hAnsi="Arial"/>
          <w:sz w:val="14"/>
          <w:szCs w:val="14"/>
          <w:b w:val="1"/>
          <w:bCs w:val="1"/>
          <w:i w:val="1"/>
          <w:iCs w:val="1"/>
          <w:color w:val="auto"/>
        </w:rPr>
        <w:t>Weighted</w:t>
      </w:r>
    </w:p>
    <w:p>
      <w:pPr>
        <w:ind w:left="8560"/>
        <w:spacing w:after="0" w:line="221" w:lineRule="auto"/>
        <w:rPr>
          <w:sz w:val="20"/>
          <w:szCs w:val="20"/>
          <w:color w:val="auto"/>
        </w:rPr>
      </w:pPr>
      <w:r>
        <w:rPr>
          <w:rFonts w:ascii="Arial" w:cs="Arial" w:eastAsia="Arial" w:hAnsi="Arial"/>
          <w:sz w:val="14"/>
          <w:szCs w:val="14"/>
          <w:b w:val="1"/>
          <w:bCs w:val="1"/>
          <w:i w:val="1"/>
          <w:iCs w:val="1"/>
          <w:color w:val="auto"/>
        </w:rPr>
        <w:t>Average</w:t>
      </w:r>
    </w:p>
    <w:p>
      <w:pPr>
        <w:ind w:left="7860"/>
        <w:spacing w:after="0" w:line="221" w:lineRule="auto"/>
        <w:tabs>
          <w:tab w:leader="none" w:pos="8500" w:val="left"/>
        </w:tabs>
        <w:rPr>
          <w:sz w:val="20"/>
          <w:szCs w:val="20"/>
          <w:color w:val="auto"/>
        </w:rPr>
      </w:pPr>
      <w:r>
        <w:rPr>
          <w:rFonts w:ascii="Arial" w:cs="Arial" w:eastAsia="Arial" w:hAnsi="Arial"/>
          <w:sz w:val="14"/>
          <w:szCs w:val="14"/>
          <w:b w:val="1"/>
          <w:bCs w:val="1"/>
          <w:i w:val="1"/>
          <w:iCs w:val="1"/>
          <w:color w:val="auto"/>
        </w:rPr>
        <w:t>Fair</w:t>
      </w:r>
      <w:r>
        <w:rPr>
          <w:sz w:val="20"/>
          <w:szCs w:val="20"/>
          <w:color w:val="auto"/>
        </w:rPr>
        <w:tab/>
      </w:r>
      <w:r>
        <w:rPr>
          <w:rFonts w:ascii="Arial" w:cs="Arial" w:eastAsia="Arial" w:hAnsi="Arial"/>
          <w:sz w:val="14"/>
          <w:szCs w:val="14"/>
          <w:b w:val="1"/>
          <w:bCs w:val="1"/>
          <w:i w:val="1"/>
          <w:iCs w:val="1"/>
          <w:color w:val="auto"/>
        </w:rPr>
        <w:t>Estimated</w:t>
      </w:r>
    </w:p>
    <w:p>
      <w:pPr>
        <w:ind w:left="7820"/>
        <w:spacing w:after="0"/>
        <w:tabs>
          <w:tab w:leader="none" w:pos="8460" w:val="left"/>
        </w:tabs>
        <w:rPr>
          <w:sz w:val="20"/>
          <w:szCs w:val="20"/>
          <w:color w:val="auto"/>
        </w:rPr>
      </w:pPr>
      <w:r>
        <w:rPr>
          <w:rFonts w:ascii="Arial" w:cs="Arial" w:eastAsia="Arial" w:hAnsi="Arial"/>
          <w:sz w:val="14"/>
          <w:szCs w:val="14"/>
          <w:b w:val="1"/>
          <w:bCs w:val="1"/>
          <w:i w:val="1"/>
          <w:iCs w:val="1"/>
          <w:u w:val="single" w:color="auto"/>
          <w:color w:val="auto"/>
        </w:rPr>
        <w:t>Value</w:t>
      </w:r>
      <w:r>
        <w:rPr>
          <w:sz w:val="20"/>
          <w:szCs w:val="20"/>
          <w:color w:val="auto"/>
        </w:rPr>
        <w:tab/>
      </w:r>
      <w:r>
        <w:rPr>
          <w:rFonts w:ascii="Arial" w:cs="Arial" w:eastAsia="Arial" w:hAnsi="Arial"/>
          <w:sz w:val="14"/>
          <w:szCs w:val="14"/>
          <w:b w:val="1"/>
          <w:bCs w:val="1"/>
          <w:i w:val="1"/>
          <w:iCs w:val="1"/>
          <w:u w:val="single" w:color="auto"/>
          <w:color w:val="auto"/>
        </w:rPr>
        <w:t>Useful Life</w:t>
      </w:r>
    </w:p>
    <w:p>
      <w:pPr>
        <w:spacing w:after="0" w:line="3"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(in years)</w:t>
      </w:r>
    </w:p>
    <w:p>
      <w:pPr>
        <w:sectPr>
          <w:pgSz w:w="11900" w:h="16838" w:orient="portrait"/>
          <w:cols w:equalWidth="0" w:num="1">
            <w:col w:w="11400"/>
          </w:cols>
          <w:pgMar w:left="240" w:top="125" w:right="259" w:bottom="0" w:gutter="0" w:footer="0" w:header="0"/>
        </w:sectPr>
      </w:pPr>
    </w:p>
    <w:p>
      <w:pPr>
        <w:spacing w:after="0" w:line="85" w:lineRule="exact"/>
        <w:rPr>
          <w:sz w:val="20"/>
          <w:szCs w:val="20"/>
          <w:color w:val="auto"/>
        </w:rPr>
      </w:pPr>
    </w:p>
    <w:p>
      <w:pPr>
        <w:ind w:left="2200"/>
        <w:spacing w:after="0"/>
        <w:tabs>
          <w:tab w:leader="none" w:pos="7820" w:val="left"/>
          <w:tab w:leader="none" w:pos="8900" w:val="left"/>
        </w:tabs>
        <w:rPr>
          <w:sz w:val="20"/>
          <w:szCs w:val="20"/>
          <w:color w:val="auto"/>
        </w:rPr>
      </w:pPr>
      <w:r>
        <w:rPr>
          <w:rFonts w:ascii="Arial" w:cs="Arial" w:eastAsia="Arial" w:hAnsi="Arial"/>
          <w:sz w:val="18"/>
          <w:szCs w:val="18"/>
          <w:color w:val="auto"/>
        </w:rPr>
        <w:t>Customer relationships</w:t>
      </w:r>
      <w:r>
        <w:rPr>
          <w:sz w:val="20"/>
          <w:szCs w:val="20"/>
          <w:color w:val="auto"/>
        </w:rPr>
        <w:tab/>
      </w:r>
      <w:r>
        <w:rPr>
          <w:rFonts w:ascii="Arial" w:cs="Arial" w:eastAsia="Arial" w:hAnsi="Arial"/>
          <w:sz w:val="18"/>
          <w:szCs w:val="18"/>
          <w:color w:val="auto"/>
        </w:rPr>
        <w:t>$6,500</w:t>
      </w:r>
      <w:r>
        <w:rPr>
          <w:sz w:val="20"/>
          <w:szCs w:val="20"/>
          <w:color w:val="auto"/>
        </w:rPr>
        <w:tab/>
      </w:r>
      <w:r>
        <w:rPr>
          <w:rFonts w:ascii="Arial" w:cs="Arial" w:eastAsia="Arial" w:hAnsi="Arial"/>
          <w:sz w:val="16"/>
          <w:szCs w:val="16"/>
          <w:color w:val="auto"/>
        </w:rPr>
        <w:t>6</w:t>
      </w:r>
    </w:p>
    <w:p>
      <w:pPr>
        <w:sectPr>
          <w:pgSz w:w="11900" w:h="16838" w:orient="portrait"/>
          <w:cols w:equalWidth="0" w:num="1">
            <w:col w:w="11400"/>
          </w:cols>
          <w:pgMar w:left="240" w:top="125" w:right="259" w:bottom="0" w:gutter="0" w:footer="0" w:header="0"/>
          <w:type w:val="continuous"/>
        </w:sectPr>
      </w:pPr>
    </w:p>
    <w:bookmarkStart w:id="10" w:name="page11"/>
    <w:bookmarkEnd w:id="10"/>
    <w:p>
      <w:pPr>
        <w:spacing w:after="0" w:line="112" w:lineRule="exact"/>
        <w:rPr>
          <w:sz w:val="20"/>
          <w:szCs w:val="20"/>
          <w:color w:val="auto"/>
        </w:rPr>
      </w:pPr>
    </w:p>
    <w:tbl>
      <w:tblPr>
        <w:tblLayout w:type="fixed"/>
        <w:tblInd w:w="2200" w:type="dxa"/>
        <w:tblCellMar>
          <w:top w:w="0" w:type="dxa"/>
          <w:left w:w="0" w:type="dxa"/>
          <w:bottom w:w="0" w:type="dxa"/>
          <w:right w:w="0" w:type="dxa"/>
        </w:tblCellMar>
      </w:tblP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Patented technology</w:t>
            </w:r>
          </w:p>
        </w:tc>
        <w:tc>
          <w:tcPr>
            <w:tcW w:w="480" w:type="dxa"/>
            <w:vAlign w:val="bottom"/>
          </w:tcPr>
          <w:p>
            <w:pPr>
              <w:jc w:val="right"/>
              <w:spacing w:after="0"/>
              <w:rPr>
                <w:sz w:val="20"/>
                <w:szCs w:val="20"/>
                <w:color w:val="auto"/>
              </w:rPr>
            </w:pPr>
            <w:r>
              <w:rPr>
                <w:rFonts w:ascii="Arial" w:cs="Arial" w:eastAsia="Arial" w:hAnsi="Arial"/>
                <w:sz w:val="18"/>
                <w:szCs w:val="18"/>
                <w:color w:val="auto"/>
              </w:rPr>
              <w:t>1,500</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1"/>
        </w:trPr>
        <w:tc>
          <w:tcPr>
            <w:tcW w:w="5640" w:type="dxa"/>
            <w:vAlign w:val="bottom"/>
          </w:tcPr>
          <w:p>
            <w:pPr>
              <w:spacing w:after="0"/>
              <w:rPr>
                <w:sz w:val="20"/>
                <w:szCs w:val="20"/>
                <w:color w:val="auto"/>
              </w:rPr>
            </w:pPr>
            <w:r>
              <w:rPr>
                <w:rFonts w:ascii="Arial" w:cs="Arial" w:eastAsia="Arial" w:hAnsi="Arial"/>
                <w:sz w:val="18"/>
                <w:szCs w:val="18"/>
                <w:color w:val="auto"/>
              </w:rPr>
              <w:t>Customer backlog</w:t>
            </w: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5"/>
        </w:trPr>
        <w:tc>
          <w:tcPr>
            <w:tcW w:w="5640" w:type="dxa"/>
            <w:vAlign w:val="bottom"/>
          </w:tcPr>
          <w:p>
            <w:pPr>
              <w:spacing w:after="0" w:line="205" w:lineRule="exact"/>
              <w:rPr>
                <w:sz w:val="20"/>
                <w:szCs w:val="20"/>
                <w:color w:val="auto"/>
              </w:rPr>
            </w:pPr>
            <w:r>
              <w:rPr>
                <w:rFonts w:ascii="Arial" w:cs="Arial" w:eastAsia="Arial" w:hAnsi="Arial"/>
                <w:sz w:val="18"/>
                <w:szCs w:val="18"/>
                <w:color w:val="auto"/>
              </w:rPr>
              <w:t>Ambrell trade name</w:t>
            </w: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500</w:t>
            </w:r>
          </w:p>
        </w:tc>
        <w:tc>
          <w:tcPr>
            <w:tcW w:w="700" w:type="dxa"/>
            <w:vAlign w:val="bottom"/>
          </w:tcPr>
          <w:p>
            <w:pPr>
              <w:jc w:val="right"/>
              <w:spacing w:after="0" w:line="205" w:lineRule="exact"/>
              <w:rPr>
                <w:sz w:val="20"/>
                <w:szCs w:val="20"/>
                <w:color w:val="auto"/>
              </w:rPr>
            </w:pPr>
            <w:r>
              <w:rPr>
                <w:rFonts w:ascii="Arial" w:cs="Arial" w:eastAsia="Arial" w:hAnsi="Arial"/>
                <w:sz w:val="18"/>
                <w:szCs w:val="18"/>
                <w:color w:val="auto"/>
              </w:rPr>
              <w:t>4</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9,500</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48" w:lineRule="exact"/>
        <w:rPr>
          <w:sz w:val="20"/>
          <w:szCs w:val="20"/>
          <w:color w:val="auto"/>
        </w:rPr>
      </w:pPr>
    </w:p>
    <w:p>
      <w:pPr>
        <w:ind w:left="540" w:right="260"/>
        <w:spacing w:after="0" w:line="298" w:lineRule="auto"/>
        <w:rPr>
          <w:sz w:val="20"/>
          <w:szCs w:val="20"/>
          <w:color w:val="auto"/>
        </w:rPr>
      </w:pPr>
      <w:r>
        <w:rPr>
          <w:rFonts w:ascii="Arial" w:cs="Arial" w:eastAsia="Arial" w:hAnsi="Arial"/>
          <w:sz w:val="16"/>
          <w:szCs w:val="16"/>
          <w:color w:val="auto"/>
        </w:rPr>
        <w:t>As discussed above, these preliminary estimates of fair value and estimated useful lives will likely differ from final amounts we will calculate after completing our final valuation analysis, including receiving the final report from the valuation specialists we have engaged to assist us in this area. The difference could be material. A 10% change in the valuation of intangible assets would cause a corresponding increase or decrease in the balance of goodwill and annual amortization expense of approximately $158, assuming an overall weighted-average useful life of 6 years.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the period from May 24, 2017 to June 30, 2017, Ambrell contributed $1,995 of net revenues and $30 of net income.</w:t>
      </w:r>
    </w:p>
    <w:p>
      <w:pPr>
        <w:spacing w:after="0" w:line="225" w:lineRule="exact"/>
        <w:rPr>
          <w:sz w:val="20"/>
          <w:szCs w:val="20"/>
          <w:color w:val="auto"/>
        </w:rPr>
      </w:pPr>
    </w:p>
    <w:p>
      <w:pPr>
        <w:ind w:left="540" w:right="180"/>
        <w:spacing w:after="0" w:line="298" w:lineRule="auto"/>
        <w:rPr>
          <w:sz w:val="20"/>
          <w:szCs w:val="20"/>
          <w:color w:val="auto"/>
        </w:rPr>
      </w:pPr>
      <w:r>
        <w:rPr>
          <w:rFonts w:ascii="Arial" w:cs="Arial" w:eastAsia="Arial" w:hAnsi="Arial"/>
          <w:sz w:val="16"/>
          <w:szCs w:val="16"/>
          <w:color w:val="auto"/>
        </w:rPr>
        <w:t>The following unaudited pro forma information gives effect to the acquisition of Ambrell as if the acquisition occurred on January 1, 2016.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6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340" w:type="dxa"/>
            <w:vAlign w:val="bottom"/>
            <w:gridSpan w:val="8"/>
          </w:tcPr>
          <w:p>
            <w:pPr>
              <w:jc w:val="center"/>
              <w:ind w:left="48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60" w:type="dxa"/>
            <w:vAlign w:val="bottom"/>
          </w:tcPr>
          <w:p>
            <w:pPr>
              <w:spacing w:after="0"/>
              <w:rPr>
                <w:sz w:val="14"/>
                <w:szCs w:val="14"/>
                <w:color w:val="auto"/>
              </w:rPr>
            </w:pPr>
          </w:p>
        </w:tc>
        <w:tc>
          <w:tcPr>
            <w:tcW w:w="1320" w:type="dxa"/>
            <w:vAlign w:val="bottom"/>
            <w:gridSpan w:val="6"/>
          </w:tcPr>
          <w:p>
            <w:pPr>
              <w:jc w:val="right"/>
              <w:ind w:right="26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3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80"/>
              <w:spacing w:after="0" w:line="146" w:lineRule="exact"/>
              <w:rPr>
                <w:sz w:val="20"/>
                <w:szCs w:val="20"/>
                <w:color w:val="auto"/>
              </w:rPr>
            </w:pPr>
            <w:r>
              <w:rPr>
                <w:rFonts w:ascii="Arial" w:cs="Arial" w:eastAsia="Arial" w:hAnsi="Arial"/>
                <w:sz w:val="14"/>
                <w:szCs w:val="14"/>
                <w:b w:val="1"/>
                <w:bCs w:val="1"/>
                <w:i w:val="1"/>
                <w:iCs w:val="1"/>
                <w:color w:val="auto"/>
                <w:w w:val="89"/>
              </w:rPr>
              <w:t>June 30,</w:t>
            </w:r>
          </w:p>
        </w:tc>
        <w:tc>
          <w:tcPr>
            <w:tcW w:w="260" w:type="dxa"/>
            <w:vAlign w:val="bottom"/>
          </w:tcPr>
          <w:p>
            <w:pPr>
              <w:spacing w:after="0"/>
              <w:rPr>
                <w:sz w:val="12"/>
                <w:szCs w:val="12"/>
                <w:color w:val="auto"/>
              </w:rPr>
            </w:pPr>
          </w:p>
        </w:tc>
      </w:tr>
      <w:tr>
        <w:trPr>
          <w:trHeight w:val="156"/>
        </w:trPr>
        <w:tc>
          <w:tcPr>
            <w:tcW w:w="3100" w:type="dxa"/>
            <w:vAlign w:val="bottom"/>
          </w:tcPr>
          <w:p>
            <w:pPr>
              <w:spacing w:after="0"/>
              <w:rPr>
                <w:sz w:val="13"/>
                <w:szCs w:val="13"/>
                <w:color w:val="auto"/>
              </w:rPr>
            </w:pPr>
          </w:p>
        </w:tc>
        <w:tc>
          <w:tcPr>
            <w:tcW w:w="11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2017</w:t>
            </w:r>
          </w:p>
        </w:tc>
        <w:tc>
          <w:tcPr>
            <w:tcW w:w="360" w:type="dxa"/>
            <w:vAlign w:val="bottom"/>
          </w:tcPr>
          <w:p>
            <w:pPr>
              <w:spacing w:after="0"/>
              <w:rPr>
                <w:sz w:val="13"/>
                <w:szCs w:val="13"/>
                <w:color w:val="auto"/>
              </w:rPr>
            </w:pP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380" w:type="dxa"/>
            <w:vAlign w:val="bottom"/>
          </w:tcPr>
          <w:p>
            <w:pPr>
              <w:spacing w:after="0"/>
              <w:rPr>
                <w:sz w:val="13"/>
                <w:szCs w:val="13"/>
                <w:color w:val="auto"/>
              </w:rPr>
            </w:pPr>
          </w:p>
        </w:tc>
        <w:tc>
          <w:tcPr>
            <w:tcW w:w="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2017</w:t>
            </w:r>
          </w:p>
        </w:tc>
        <w:tc>
          <w:tcPr>
            <w:tcW w:w="340" w:type="dxa"/>
            <w:vAlign w:val="bottom"/>
          </w:tcPr>
          <w:p>
            <w:pPr>
              <w:spacing w:after="0"/>
              <w:rPr>
                <w:sz w:val="13"/>
                <w:szCs w:val="13"/>
                <w:color w:val="auto"/>
              </w:rPr>
            </w:pPr>
          </w:p>
        </w:tc>
        <w:tc>
          <w:tcPr>
            <w:tcW w:w="72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i w:val="1"/>
                <w:iCs w:val="1"/>
                <w:color w:val="auto"/>
              </w:rPr>
              <w:t>2016</w:t>
            </w:r>
          </w:p>
        </w:tc>
      </w:tr>
      <w:tr>
        <w:trPr>
          <w:trHeight w:val="20"/>
        </w:trPr>
        <w:tc>
          <w:tcPr>
            <w:tcW w:w="3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2"/>
        </w:trPr>
        <w:tc>
          <w:tcPr>
            <w:tcW w:w="3100" w:type="dxa"/>
            <w:vAlign w:val="bottom"/>
          </w:tcPr>
          <w:p>
            <w:pPr>
              <w:spacing w:after="0"/>
              <w:rPr>
                <w:sz w:val="20"/>
                <w:szCs w:val="20"/>
                <w:color w:val="auto"/>
              </w:rPr>
            </w:pPr>
            <w:r>
              <w:rPr>
                <w:rFonts w:ascii="Arial" w:cs="Arial" w:eastAsia="Arial" w:hAnsi="Arial"/>
                <w:sz w:val="18"/>
                <w:szCs w:val="18"/>
                <w:color w:val="auto"/>
              </w:rPr>
              <w:t>Net revenues</w:t>
            </w:r>
          </w:p>
        </w:tc>
        <w:tc>
          <w:tcPr>
            <w:tcW w:w="1520" w:type="dxa"/>
            <w:vAlign w:val="bottom"/>
            <w:gridSpan w:val="4"/>
          </w:tcPr>
          <w:p>
            <w:pPr>
              <w:jc w:val="right"/>
              <w:ind w:right="52"/>
              <w:spacing w:after="0"/>
              <w:rPr>
                <w:sz w:val="20"/>
                <w:szCs w:val="20"/>
                <w:color w:val="auto"/>
              </w:rPr>
            </w:pPr>
            <w:r>
              <w:rPr>
                <w:rFonts w:ascii="Arial" w:cs="Arial" w:eastAsia="Arial" w:hAnsi="Arial"/>
                <w:sz w:val="18"/>
                <w:szCs w:val="18"/>
                <w:color w:val="auto"/>
              </w:rPr>
              <w:t>$18,896</w:t>
            </w:r>
          </w:p>
        </w:tc>
        <w:tc>
          <w:tcPr>
            <w:tcW w:w="820" w:type="dxa"/>
            <w:vAlign w:val="bottom"/>
            <w:gridSpan w:val="4"/>
          </w:tcPr>
          <w:p>
            <w:pPr>
              <w:ind w:left="100"/>
              <w:spacing w:after="0"/>
              <w:rPr>
                <w:sz w:val="20"/>
                <w:szCs w:val="20"/>
                <w:color w:val="auto"/>
              </w:rPr>
            </w:pPr>
            <w:r>
              <w:rPr>
                <w:rFonts w:ascii="Arial" w:cs="Arial" w:eastAsia="Arial" w:hAnsi="Arial"/>
                <w:sz w:val="18"/>
                <w:szCs w:val="18"/>
                <w:color w:val="auto"/>
              </w:rPr>
              <w:t>$15,737</w:t>
            </w:r>
          </w:p>
        </w:tc>
        <w:tc>
          <w:tcPr>
            <w:tcW w:w="760" w:type="dxa"/>
            <w:vAlign w:val="bottom"/>
            <w:gridSpan w:val="4"/>
          </w:tcPr>
          <w:p>
            <w:pPr>
              <w:jc w:val="right"/>
              <w:ind w:right="32"/>
              <w:spacing w:after="0"/>
              <w:rPr>
                <w:sz w:val="20"/>
                <w:szCs w:val="20"/>
                <w:color w:val="auto"/>
              </w:rPr>
            </w:pPr>
            <w:r>
              <w:rPr>
                <w:rFonts w:ascii="Arial" w:cs="Arial" w:eastAsia="Arial" w:hAnsi="Arial"/>
                <w:sz w:val="18"/>
                <w:szCs w:val="18"/>
                <w:color w:val="auto"/>
                <w:w w:val="98"/>
              </w:rPr>
              <w:t>$37,688</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$28,767</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Net earnings (loss)</w:t>
            </w:r>
          </w:p>
        </w:tc>
        <w:tc>
          <w:tcPr>
            <w:tcW w:w="1520" w:type="dxa"/>
            <w:vAlign w:val="bottom"/>
            <w:gridSpan w:val="4"/>
          </w:tcPr>
          <w:p>
            <w:pPr>
              <w:jc w:val="right"/>
              <w:ind w:right="52"/>
              <w:spacing w:after="0"/>
              <w:rPr>
                <w:sz w:val="20"/>
                <w:szCs w:val="20"/>
                <w:color w:val="auto"/>
              </w:rPr>
            </w:pPr>
            <w:r>
              <w:rPr>
                <w:rFonts w:ascii="Arial" w:cs="Arial" w:eastAsia="Arial" w:hAnsi="Arial"/>
                <w:sz w:val="18"/>
                <w:szCs w:val="18"/>
                <w:color w:val="auto"/>
              </w:rPr>
              <w:t>$ 1,936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760" w:type="dxa"/>
            <w:vAlign w:val="bottom"/>
            <w:gridSpan w:val="4"/>
          </w:tcPr>
          <w:p>
            <w:pPr>
              <w:jc w:val="right"/>
              <w:ind w:right="32"/>
              <w:spacing w:after="0"/>
              <w:rPr>
                <w:sz w:val="20"/>
                <w:szCs w:val="20"/>
                <w:color w:val="auto"/>
              </w:rPr>
            </w:pPr>
            <w:r>
              <w:rPr>
                <w:rFonts w:ascii="Arial" w:cs="Arial" w:eastAsia="Arial" w:hAnsi="Arial"/>
                <w:sz w:val="18"/>
                <w:szCs w:val="18"/>
                <w:color w:val="auto"/>
              </w:rPr>
              <w:t>$ 3,841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(409)</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520" w:type="dxa"/>
            <w:vAlign w:val="bottom"/>
            <w:gridSpan w:val="4"/>
          </w:tcPr>
          <w:p>
            <w:pPr>
              <w:jc w:val="right"/>
              <w:ind w:right="52"/>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$(0.00)</w:t>
            </w:r>
          </w:p>
        </w:tc>
        <w:tc>
          <w:tcPr>
            <w:tcW w:w="760" w:type="dxa"/>
            <w:vAlign w:val="bottom"/>
            <w:gridSpan w:val="4"/>
          </w:tcPr>
          <w:p>
            <w:pPr>
              <w:jc w:val="right"/>
              <w:ind w:right="32"/>
              <w:spacing w:after="0"/>
              <w:rPr>
                <w:sz w:val="20"/>
                <w:szCs w:val="20"/>
                <w:color w:val="auto"/>
              </w:rPr>
            </w:pPr>
            <w:r>
              <w:rPr>
                <w:rFonts w:ascii="Arial" w:cs="Arial" w:eastAsia="Arial" w:hAnsi="Arial"/>
                <w:sz w:val="18"/>
                <w:szCs w:val="18"/>
                <w:color w:val="auto"/>
              </w:rPr>
              <w:t>$0.37</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$(0.04)</w:t>
            </w:r>
          </w:p>
        </w:tc>
      </w:tr>
    </w:tbl>
    <w:p>
      <w:pPr>
        <w:spacing w:after="0" w:line="223"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$849 incurred by us as a direct result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91"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FAIR VALUE MEASUREMENTS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208" w:lineRule="exact"/>
        <w:rPr>
          <w:sz w:val="20"/>
          <w:szCs w:val="20"/>
          <w:color w:val="auto"/>
        </w:rPr>
      </w:pPr>
    </w:p>
    <w:p>
      <w:pPr>
        <w:ind w:left="2440" w:right="1740" w:hanging="728"/>
        <w:spacing w:after="0" w:line="268" w:lineRule="auto"/>
        <w:tabs>
          <w:tab w:leader="none" w:pos="2420" w:val="left"/>
        </w:tabs>
        <w:rPr>
          <w:sz w:val="20"/>
          <w:szCs w:val="20"/>
          <w:color w:val="auto"/>
        </w:rPr>
      </w:pPr>
      <w:r>
        <w:rPr>
          <w:rFonts w:ascii="Arial" w:cs="Arial" w:eastAsia="Arial" w:hAnsi="Arial"/>
          <w:sz w:val="18"/>
          <w:szCs w:val="18"/>
          <w:color w:val="auto"/>
        </w:rPr>
        <w:t>Level 1</w:t>
        <w:tab/>
        <w:t>Valuations based on unadjusted quoted prices in active markets for identical assets or liabilities that we have the ability to access.</w:t>
      </w:r>
    </w:p>
    <w:p>
      <w:pPr>
        <w:spacing w:after="0" w:line="240" w:lineRule="exact"/>
        <w:rPr>
          <w:sz w:val="20"/>
          <w:szCs w:val="20"/>
          <w:color w:val="auto"/>
        </w:rPr>
      </w:pPr>
    </w:p>
    <w:p>
      <w:pPr>
        <w:ind w:left="2440" w:right="1940" w:hanging="728"/>
        <w:spacing w:after="0" w:line="259" w:lineRule="auto"/>
        <w:tabs>
          <w:tab w:leader="none" w:pos="2420" w:val="left"/>
        </w:tabs>
        <w:rPr>
          <w:sz w:val="20"/>
          <w:szCs w:val="20"/>
          <w:color w:val="auto"/>
        </w:rPr>
      </w:pPr>
      <w:r>
        <w:rPr>
          <w:rFonts w:ascii="Arial" w:cs="Arial" w:eastAsia="Arial" w:hAnsi="Arial"/>
          <w:sz w:val="18"/>
          <w:szCs w:val="18"/>
          <w:color w:val="auto"/>
        </w:rPr>
        <w:t>Level 2</w:t>
        <w:tab/>
        <w:t>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248"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Valuations based on inputs that are unobservable and significant to the overall fair value measurement.</w:t>
      </w:r>
    </w:p>
    <w:p>
      <w:pPr>
        <w:spacing w:after="0" w:line="239"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185"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The contingent consideration liability on our balance sheet is measured at fair value on a recurring basis using Level 3 inputs. Our contingent consideration liability is a result of our acquisition of Ambrell on May 24, 2017, and it represents the estimated fair value of the additional cash consideration payable that is contingent upon the achievement of certain financial results by Ambrell in 2017 and 2018, as discussed more fully in Note 3. The fair value of this Level 3 instrument involves generating various scenarios for projected adjusted EBITDA over a specified time period, calculating the associated contingent consideration payments and discounting the average payments to present value.</w:t>
      </w:r>
    </w:p>
    <w:p>
      <w:pPr>
        <w:spacing w:after="0" w:line="170"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As discussed further in Note 3, our purchase price allocation, including the determination of the fair value of the contingent consideration liability as of the acquisition date, is still preliminary and we expect it to change. We expect to complete our purchase price allocation during the third quarter of 2017.</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ectPr>
          <w:pgSz w:w="11900" w:h="16950" w:orient="portrait"/>
          <w:cols w:equalWidth="0" w:num="1">
            <w:col w:w="11420"/>
          </w:cols>
          <w:pgMar w:left="240" w:top="64" w:right="239" w:bottom="0" w:gutter="0" w:footer="0" w:header="0"/>
        </w:sectPr>
      </w:pPr>
    </w:p>
    <w:p>
      <w:pPr>
        <w:spacing w:after="0" w:line="289" w:lineRule="exact"/>
        <w:rPr>
          <w:sz w:val="20"/>
          <w:szCs w:val="20"/>
          <w:color w:val="auto"/>
        </w:rPr>
      </w:pPr>
    </w:p>
    <w:tbl>
      <w:tblPr>
        <w:tblLayout w:type="fixed"/>
        <w:tblInd w:w="5680" w:type="dxa"/>
        <w:tblCellMar>
          <w:top w:w="0" w:type="dxa"/>
          <w:left w:w="0" w:type="dxa"/>
          <w:bottom w:w="0" w:type="dxa"/>
          <w:right w:w="0" w:type="dxa"/>
        </w:tblCellMar>
      </w:tblPr>
      <w:tr>
        <w:trPr>
          <w:trHeight w:val="161"/>
        </w:trPr>
        <w:tc>
          <w:tcPr>
            <w:tcW w:w="820" w:type="dxa"/>
            <w:vAlign w:val="bottom"/>
          </w:tcPr>
          <w:p>
            <w:pPr>
              <w:jc w:val="center"/>
              <w:ind w:right="112"/>
              <w:spacing w:after="0"/>
              <w:rPr>
                <w:sz w:val="20"/>
                <w:szCs w:val="20"/>
                <w:color w:val="auto"/>
              </w:rPr>
            </w:pPr>
            <w:r>
              <w:rPr>
                <w:rFonts w:ascii="Arial" w:cs="Arial" w:eastAsia="Arial" w:hAnsi="Arial"/>
                <w:sz w:val="14"/>
                <w:szCs w:val="14"/>
                <w:b w:val="1"/>
                <w:bCs w:val="1"/>
                <w:i w:val="1"/>
                <w:iCs w:val="1"/>
                <w:color w:val="auto"/>
                <w:w w:val="83"/>
              </w:rPr>
              <w:t>Amounts at</w:t>
            </w:r>
          </w:p>
        </w:tc>
        <w:tc>
          <w:tcPr>
            <w:tcW w:w="280" w:type="dxa"/>
            <w:vAlign w:val="bottom"/>
          </w:tcPr>
          <w:p>
            <w:pPr>
              <w:spacing w:after="0"/>
              <w:rPr>
                <w:sz w:val="13"/>
                <w:szCs w:val="13"/>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i w:val="1"/>
                <w:iCs w:val="1"/>
                <w:color w:val="auto"/>
                <w:w w:val="85"/>
              </w:rPr>
              <w:t>Fair Value Measurement Using</w:t>
            </w:r>
          </w:p>
        </w:tc>
        <w:tc>
          <w:tcPr>
            <w:tcW w:w="120" w:type="dxa"/>
            <w:vAlign w:val="bottom"/>
          </w:tcPr>
          <w:p>
            <w:pPr>
              <w:spacing w:after="0"/>
              <w:rPr>
                <w:sz w:val="13"/>
                <w:szCs w:val="13"/>
                <w:color w:val="auto"/>
              </w:rPr>
            </w:pPr>
          </w:p>
        </w:tc>
      </w:tr>
      <w:tr>
        <w:trPr>
          <w:trHeight w:val="181"/>
        </w:trPr>
        <w:tc>
          <w:tcPr>
            <w:tcW w:w="820" w:type="dxa"/>
            <w:vAlign w:val="bottom"/>
          </w:tcPr>
          <w:p>
            <w:pPr>
              <w:jc w:val="center"/>
              <w:ind w:right="112"/>
              <w:spacing w:after="0"/>
              <w:rPr>
                <w:sz w:val="20"/>
                <w:szCs w:val="20"/>
                <w:color w:val="auto"/>
              </w:rPr>
            </w:pPr>
            <w:r>
              <w:rPr>
                <w:rFonts w:ascii="Arial" w:cs="Arial" w:eastAsia="Arial" w:hAnsi="Arial"/>
                <w:sz w:val="14"/>
                <w:szCs w:val="14"/>
                <w:b w:val="1"/>
                <w:bCs w:val="1"/>
                <w:i w:val="1"/>
                <w:iCs w:val="1"/>
                <w:color w:val="auto"/>
                <w:w w:val="89"/>
              </w:rPr>
              <w:t>Fair Value</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i w:val="1"/>
                <w:iCs w:val="1"/>
                <w:color w:val="auto"/>
              </w:rPr>
              <w:t>Level 1</w:t>
            </w:r>
          </w:p>
        </w:tc>
        <w:tc>
          <w:tcPr>
            <w:tcW w:w="80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Level 2</w:t>
            </w:r>
          </w:p>
        </w:tc>
        <w:tc>
          <w:tcPr>
            <w:tcW w:w="58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w w:val="79"/>
              </w:rPr>
              <w:t>Level 3</w:t>
            </w:r>
          </w:p>
        </w:tc>
      </w:tr>
    </w:tbl>
    <w:p>
      <w:pPr>
        <w:sectPr>
          <w:pgSz w:w="11900" w:h="16950" w:orient="portrait"/>
          <w:cols w:equalWidth="0" w:num="1">
            <w:col w:w="11420"/>
          </w:cols>
          <w:pgMar w:left="240" w:top="64" w:right="239" w:bottom="0" w:gutter="0" w:footer="0" w:header="0"/>
          <w:type w:val="continuous"/>
        </w:sectPr>
      </w:pPr>
    </w:p>
    <w:bookmarkStart w:id="11" w:name="page12"/>
    <w:bookmarkEnd w:id="11"/>
    <w:p>
      <w:pPr>
        <w:ind w:left="2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3771265</wp:posOffset>
            </wp:positionH>
            <wp:positionV relativeFrom="page">
              <wp:posOffset>97155</wp:posOffset>
            </wp:positionV>
            <wp:extent cx="3790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095" cy="8890"/>
                    </a:xfrm>
                    <a:prstGeom prst="rect">
                      <a:avLst/>
                    </a:prstGeom>
                    <a:noFill/>
                  </pic:spPr>
                </pic:pic>
              </a:graphicData>
            </a:graphic>
          </wp:anchor>
        </w:drawing>
        <w:drawing>
          <wp:anchor simplePos="0" relativeHeight="251657728" behindDoc="1" locked="0" layoutInCell="0" allowOverlap="1">
            <wp:simplePos x="0" y="0"/>
            <wp:positionH relativeFrom="page">
              <wp:posOffset>4386580</wp:posOffset>
            </wp:positionH>
            <wp:positionV relativeFrom="page">
              <wp:posOffset>97155</wp:posOffset>
            </wp:positionV>
            <wp:extent cx="25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635" cy="8890"/>
                    </a:xfrm>
                    <a:prstGeom prst="rect">
                      <a:avLst/>
                    </a:prstGeom>
                    <a:noFill/>
                  </pic:spPr>
                </pic:pic>
              </a:graphicData>
            </a:graphic>
          </wp:anchor>
        </w:drawing>
        <w:drawing>
          <wp:anchor simplePos="0" relativeHeight="251657728" behindDoc="1" locked="0" layoutInCell="0" allowOverlap="1">
            <wp:simplePos x="0" y="0"/>
            <wp:positionH relativeFrom="page">
              <wp:posOffset>4901565</wp:posOffset>
            </wp:positionH>
            <wp:positionV relativeFrom="page">
              <wp:posOffset>97155</wp:posOffset>
            </wp:positionV>
            <wp:extent cx="254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635" cy="8890"/>
                    </a:xfrm>
                    <a:prstGeom prst="rect">
                      <a:avLst/>
                    </a:prstGeom>
                    <a:noFill/>
                  </pic:spPr>
                </pic:pic>
              </a:graphicData>
            </a:graphic>
          </wp:anchor>
        </w:drawing>
        <w:drawing>
          <wp:anchor simplePos="0" relativeHeight="251657728" behindDoc="1" locked="0" layoutInCell="0" allowOverlap="1">
            <wp:simplePos x="0" y="0"/>
            <wp:positionH relativeFrom="page">
              <wp:posOffset>5398770</wp:posOffset>
            </wp:positionH>
            <wp:positionV relativeFrom="page">
              <wp:posOffset>97155</wp:posOffset>
            </wp:positionV>
            <wp:extent cx="25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35" cy="8890"/>
                    </a:xfrm>
                    <a:prstGeom prst="rect">
                      <a:avLst/>
                    </a:prstGeom>
                    <a:noFill/>
                  </pic:spPr>
                </pic:pic>
              </a:graphicData>
            </a:graphic>
          </wp:anchor>
        </w:drawing>
        <w:t>As of June 30, 2017</w:t>
      </w:r>
    </w:p>
    <w:p>
      <w:pPr>
        <w:spacing w:after="0" w:line="42" w:lineRule="exact"/>
        <w:rPr>
          <w:sz w:val="20"/>
          <w:szCs w:val="20"/>
          <w:color w:val="auto"/>
        </w:rPr>
      </w:pPr>
    </w:p>
    <w:p>
      <w:pPr>
        <w:ind w:left="2600"/>
        <w:spacing w:after="0"/>
        <w:tabs>
          <w:tab w:leader="none" w:pos="5740" w:val="left"/>
          <w:tab w:leader="none" w:pos="6620" w:val="left"/>
          <w:tab w:leader="none" w:pos="7020" w:val="left"/>
          <w:tab w:leader="none" w:pos="7440" w:val="left"/>
          <w:tab w:leader="none" w:pos="7820" w:val="left"/>
          <w:tab w:leader="none" w:pos="8200" w:val="left"/>
        </w:tabs>
        <w:rPr>
          <w:sz w:val="20"/>
          <w:szCs w:val="20"/>
          <w:color w:val="auto"/>
        </w:rPr>
      </w:pPr>
      <w:r>
        <w:rPr>
          <w:rFonts w:ascii="Arial" w:cs="Arial" w:eastAsia="Arial" w:hAnsi="Arial"/>
          <w:sz w:val="18"/>
          <w:szCs w:val="18"/>
          <w:color w:val="auto"/>
        </w:rPr>
        <w:t>Contingent consideration liability</w:t>
      </w:r>
      <w:r>
        <w:rPr>
          <w:sz w:val="20"/>
          <w:szCs w:val="20"/>
          <w:color w:val="auto"/>
        </w:rPr>
        <w:tab/>
      </w:r>
      <w:r>
        <w:rPr>
          <w:rFonts w:ascii="Arial" w:cs="Arial" w:eastAsia="Arial" w:hAnsi="Arial"/>
          <w:sz w:val="18"/>
          <w:szCs w:val="18"/>
          <w:u w:val="single" w:color="auto"/>
          <w:color w:val="auto"/>
        </w:rPr>
        <w:t>$2,302</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$2,302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9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Goodwill and intangible assets on our balance sheets are the result of our acquisitions of Sigma Systems Corp. ("Sigma") in October 2008, Thermonics, Inc. ("Thermonics") in January 2012 and Ambrell in May 2017. All of our goodwill and intangible assets are allocated to our Thermal segment. Our allocation of the purchase price for Ambrell is not yet complete; as a result, the values reflected below for intangible assets and goodwill related to the Ambrell acquisition are preliminary and we expect them to change. The preliminary allocation of the Ambrell purchase price was based on estimated fair values as of May 24, 2017. Adjustments to these estimates will be included in the final allocation of the purchase price of Ambrell. These adjustments could be material. We expect to finalize the purchase price allocation in the third quarter of 2017.</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Changes in the amount of the carrying value of goodwill for the six months ended June 30, 2017 are as follows:</w:t>
      </w:r>
    </w:p>
    <w:p>
      <w:pPr>
        <w:spacing w:after="0" w:line="22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4"/>
                <w:szCs w:val="14"/>
                <w:b w:val="1"/>
                <w:bCs w:val="1"/>
                <w:i w:val="1"/>
                <w:iCs w:val="1"/>
                <w:color w:val="auto"/>
                <w:w w:val="80"/>
              </w:rPr>
              <w:t>Sigma</w:t>
            </w:r>
          </w:p>
        </w:tc>
        <w:tc>
          <w:tcPr>
            <w:tcW w:w="940" w:type="dxa"/>
            <w:vAlign w:val="bottom"/>
            <w:gridSpan w:val="5"/>
          </w:tcPr>
          <w:p>
            <w:pPr>
              <w:ind w:left="180"/>
              <w:spacing w:after="0"/>
              <w:rPr>
                <w:sz w:val="20"/>
                <w:szCs w:val="20"/>
                <w:color w:val="auto"/>
              </w:rPr>
            </w:pPr>
            <w:r>
              <w:rPr>
                <w:rFonts w:ascii="Arial" w:cs="Arial" w:eastAsia="Arial" w:hAnsi="Arial"/>
                <w:sz w:val="14"/>
                <w:szCs w:val="14"/>
                <w:b w:val="1"/>
                <w:bCs w:val="1"/>
                <w:i w:val="1"/>
                <w:iCs w:val="1"/>
                <w:color w:val="auto"/>
                <w:w w:val="93"/>
              </w:rPr>
              <w:t>Thermonics</w:t>
            </w:r>
          </w:p>
        </w:tc>
        <w:tc>
          <w:tcPr>
            <w:tcW w:w="720" w:type="dxa"/>
            <w:vAlign w:val="bottom"/>
            <w:gridSpan w:val="4"/>
          </w:tcPr>
          <w:p>
            <w:pPr>
              <w:ind w:left="140"/>
              <w:spacing w:after="0"/>
              <w:rPr>
                <w:sz w:val="20"/>
                <w:szCs w:val="20"/>
                <w:color w:val="auto"/>
              </w:rPr>
            </w:pPr>
            <w:r>
              <w:rPr>
                <w:rFonts w:ascii="Arial" w:cs="Arial" w:eastAsia="Arial" w:hAnsi="Arial"/>
                <w:sz w:val="14"/>
                <w:szCs w:val="14"/>
                <w:b w:val="1"/>
                <w:bCs w:val="1"/>
                <w:i w:val="1"/>
                <w:iCs w:val="1"/>
                <w:color w:val="auto"/>
              </w:rPr>
              <w:t>Ambrell</w:t>
            </w:r>
          </w:p>
        </w:tc>
        <w:tc>
          <w:tcPr>
            <w:tcW w:w="160" w:type="dxa"/>
            <w:vAlign w:val="bottom"/>
          </w:tcPr>
          <w:p>
            <w:pPr>
              <w:spacing w:after="0"/>
              <w:rPr>
                <w:sz w:val="14"/>
                <w:szCs w:val="14"/>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rPr>
              <w:t>Total</w:t>
            </w: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2"/>
        </w:trPr>
        <w:tc>
          <w:tcPr>
            <w:tcW w:w="3360" w:type="dxa"/>
            <w:vAlign w:val="bottom"/>
          </w:tcPr>
          <w:p>
            <w:pPr>
              <w:spacing w:after="0"/>
              <w:rPr>
                <w:sz w:val="20"/>
                <w:szCs w:val="20"/>
                <w:color w:val="auto"/>
              </w:rPr>
            </w:pPr>
            <w:r>
              <w:rPr>
                <w:rFonts w:ascii="Arial" w:cs="Arial" w:eastAsia="Arial" w:hAnsi="Arial"/>
                <w:sz w:val="18"/>
                <w:szCs w:val="18"/>
                <w:color w:val="auto"/>
              </w:rPr>
              <w:t>Balance - January 1, 2017</w:t>
            </w:r>
          </w:p>
        </w:tc>
        <w:tc>
          <w:tcPr>
            <w:tcW w:w="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$1,656</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1,706</w:t>
            </w:r>
          </w:p>
        </w:tc>
      </w:tr>
      <w:tr>
        <w:trPr>
          <w:trHeight w:val="205"/>
        </w:trPr>
        <w:tc>
          <w:tcPr>
            <w:tcW w:w="3360" w:type="dxa"/>
            <w:vAlign w:val="bottom"/>
          </w:tcPr>
          <w:p>
            <w:pPr>
              <w:spacing w:after="0" w:line="205" w:lineRule="exact"/>
              <w:rPr>
                <w:sz w:val="20"/>
                <w:szCs w:val="20"/>
                <w:color w:val="auto"/>
              </w:rPr>
            </w:pPr>
            <w:r>
              <w:rPr>
                <w:rFonts w:ascii="Arial" w:cs="Arial" w:eastAsia="Arial" w:hAnsi="Arial"/>
                <w:sz w:val="18"/>
                <w:szCs w:val="18"/>
                <w:color w:val="auto"/>
              </w:rPr>
              <w:t>Acquisition of Ambrell</w:t>
            </w: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7"/>
                <w:szCs w:val="17"/>
                <w:color w:val="auto"/>
              </w:rPr>
            </w:pPr>
          </w:p>
        </w:tc>
        <w:tc>
          <w:tcPr>
            <w:tcW w:w="2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83"/>
              </w:rPr>
              <w:t>16,820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83"/>
              </w:rPr>
              <w:t>16,820</w:t>
            </w: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Balance - June 30, 2017</w:t>
            </w: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1,656</w:t>
            </w:r>
          </w:p>
        </w:tc>
        <w:tc>
          <w:tcPr>
            <w:tcW w:w="380" w:type="dxa"/>
            <w:vAlign w:val="bottom"/>
            <w:gridSpan w:val="2"/>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16,820</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18,526</w:t>
            </w: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the amount of the carrying value of finite-lived intangible assets for the six months ended June 30, 2017 are as follows:</w:t>
      </w:r>
    </w:p>
    <w:p>
      <w:pPr>
        <w:spacing w:after="0" w:line="239"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Balance - January 1, 2017</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Acquisition of Ambrell</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9,500</w:t>
            </w:r>
          </w:p>
        </w:tc>
        <w:tc>
          <w:tcPr>
            <w:tcW w:w="40" w:type="dxa"/>
            <w:vAlign w:val="bottom"/>
          </w:tcPr>
          <w:p>
            <w:pPr>
              <w:spacing w:after="0"/>
              <w:rPr>
                <w:sz w:val="21"/>
                <w:szCs w:val="21"/>
                <w:color w:val="auto"/>
              </w:rPr>
            </w:pPr>
          </w:p>
        </w:tc>
      </w:tr>
      <w:tr>
        <w:trPr>
          <w:trHeight w:val="205"/>
        </w:trPr>
        <w:tc>
          <w:tcPr>
            <w:tcW w:w="5660" w:type="dxa"/>
            <w:vAlign w:val="bottom"/>
          </w:tcPr>
          <w:p>
            <w:pPr>
              <w:spacing w:after="0" w:line="205" w:lineRule="exact"/>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99"/>
              </w:rPr>
              <w:t>(303)</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Balance - June 30, 2017</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9,562</w:t>
            </w:r>
          </w:p>
        </w:tc>
        <w:tc>
          <w:tcPr>
            <w:tcW w:w="40" w:type="dxa"/>
            <w:vAlign w:val="bottom"/>
          </w:tcPr>
          <w:p>
            <w:pPr>
              <w:spacing w:after="0"/>
              <w:rPr>
                <w:sz w:val="19"/>
                <w:szCs w:val="19"/>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June 30, 2017 and December 31, 2016:</w:t>
      </w:r>
    </w:p>
    <w:p>
      <w:pPr>
        <w:spacing w:after="0" w:line="22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i w:val="1"/>
                <w:iCs w:val="1"/>
                <w:color w:val="auto"/>
                <w:w w:val="98"/>
              </w:rPr>
              <w:t>June 30, 2017</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gridSpan w:val="4"/>
          </w:tcPr>
          <w:p>
            <w:pPr>
              <w:jc w:val="center"/>
              <w:ind w:right="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40" w:type="dxa"/>
            <w:vAlign w:val="bottom"/>
          </w:tcPr>
          <w:p>
            <w:pPr>
              <w:spacing w:after="0"/>
              <w:rPr>
                <w:sz w:val="12"/>
                <w:szCs w:val="12"/>
                <w:color w:val="auto"/>
              </w:rPr>
            </w:pPr>
          </w:p>
        </w:tc>
        <w:tc>
          <w:tcPr>
            <w:tcW w:w="2140" w:type="dxa"/>
            <w:vAlign w:val="bottom"/>
            <w:gridSpan w:val="5"/>
          </w:tcPr>
          <w:p>
            <w:pPr>
              <w:jc w:val="center"/>
              <w:ind w:left="1395"/>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4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gridSpan w:val="4"/>
          </w:tcPr>
          <w:p>
            <w:pPr>
              <w:jc w:val="center"/>
              <w:ind w:right="5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80" w:type="dxa"/>
            <w:vAlign w:val="bottom"/>
            <w:gridSpan w:val="6"/>
          </w:tcPr>
          <w:p>
            <w:pPr>
              <w:ind w:left="12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40" w:type="dxa"/>
            <w:vAlign w:val="bottom"/>
          </w:tcPr>
          <w:p>
            <w:pPr>
              <w:spacing w:after="0"/>
              <w:rPr>
                <w:sz w:val="12"/>
                <w:szCs w:val="12"/>
                <w:color w:val="auto"/>
              </w:rPr>
            </w:pPr>
          </w:p>
        </w:tc>
        <w:tc>
          <w:tcPr>
            <w:tcW w:w="600" w:type="dxa"/>
            <w:vAlign w:val="bottom"/>
            <w:gridSpan w:val="7"/>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$ 7,980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$1,492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gridSpan w:val="5"/>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6,488</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2,090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1,633</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640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490</w:t>
            </w: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Customer backlog</w:t>
            </w:r>
          </w:p>
        </w:tc>
        <w:tc>
          <w:tcPr>
            <w:tcW w:w="1580" w:type="dxa"/>
            <w:vAlign w:val="bottom"/>
          </w:tcPr>
          <w:p>
            <w:pPr>
              <w:spacing w:after="0"/>
              <w:rPr>
                <w:sz w:val="17"/>
                <w:szCs w:val="17"/>
                <w:color w:val="auto"/>
              </w:rPr>
            </w:pPr>
          </w:p>
        </w:tc>
        <w:tc>
          <w:tcPr>
            <w:tcW w:w="5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1,000</w:t>
            </w:r>
          </w:p>
        </w:tc>
        <w:tc>
          <w:tcPr>
            <w:tcW w:w="320" w:type="dxa"/>
            <w:vAlign w:val="bottom"/>
            <w:gridSpan w:val="3"/>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917</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11,980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2,418</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9,562</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580" w:type="dxa"/>
            <w:vAlign w:val="bottom"/>
          </w:tcPr>
          <w:p>
            <w:pPr>
              <w:spacing w:after="0"/>
              <w:rPr>
                <w:sz w:val="17"/>
                <w:szCs w:val="17"/>
                <w:color w:val="auto"/>
              </w:rPr>
            </w:pPr>
          </w:p>
        </w:tc>
        <w:tc>
          <w:tcPr>
            <w:tcW w:w="5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12,490</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10,072</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i w:val="1"/>
                <w:iCs w:val="1"/>
                <w:color w:val="auto"/>
                <w:w w:val="85"/>
              </w:rPr>
              <w:t>December 31, 2016</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gridSpan w:val="4"/>
          </w:tcPr>
          <w:p>
            <w:pPr>
              <w:jc w:val="center"/>
              <w:ind w:right="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40" w:type="dxa"/>
            <w:vAlign w:val="bottom"/>
          </w:tcPr>
          <w:p>
            <w:pPr>
              <w:spacing w:after="0"/>
              <w:rPr>
                <w:sz w:val="12"/>
                <w:szCs w:val="12"/>
                <w:color w:val="auto"/>
              </w:rPr>
            </w:pPr>
          </w:p>
        </w:tc>
        <w:tc>
          <w:tcPr>
            <w:tcW w:w="2140" w:type="dxa"/>
            <w:vAlign w:val="bottom"/>
            <w:gridSpan w:val="5"/>
          </w:tcPr>
          <w:p>
            <w:pPr>
              <w:jc w:val="center"/>
              <w:ind w:left="1395"/>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4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gridSpan w:val="4"/>
          </w:tcPr>
          <w:p>
            <w:pPr>
              <w:jc w:val="center"/>
              <w:ind w:right="5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80" w:type="dxa"/>
            <w:vAlign w:val="bottom"/>
            <w:gridSpan w:val="6"/>
          </w:tcPr>
          <w:p>
            <w:pPr>
              <w:ind w:left="12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40" w:type="dxa"/>
            <w:vAlign w:val="bottom"/>
          </w:tcPr>
          <w:p>
            <w:pPr>
              <w:spacing w:after="0"/>
              <w:rPr>
                <w:sz w:val="12"/>
                <w:szCs w:val="12"/>
                <w:color w:val="auto"/>
              </w:rPr>
            </w:pPr>
          </w:p>
        </w:tc>
        <w:tc>
          <w:tcPr>
            <w:tcW w:w="600" w:type="dxa"/>
            <w:vAlign w:val="bottom"/>
            <w:gridSpan w:val="7"/>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720" w:type="dxa"/>
            <w:vAlign w:val="bottom"/>
            <w:gridSpan w:val="2"/>
          </w:tcPr>
          <w:p>
            <w:pPr>
              <w:spacing w:after="0"/>
              <w:rPr>
                <w:sz w:val="17"/>
                <w:szCs w:val="17"/>
                <w:color w:val="auto"/>
              </w:rPr>
            </w:pPr>
          </w:p>
        </w:tc>
        <w:tc>
          <w:tcPr>
            <w:tcW w:w="4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140</w:t>
            </w:r>
          </w:p>
        </w:tc>
        <w:tc>
          <w:tcPr>
            <w:tcW w:w="320" w:type="dxa"/>
            <w:vAlign w:val="bottom"/>
            <w:gridSpan w:val="3"/>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2,480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2,115</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720" w:type="dxa"/>
            <w:vAlign w:val="bottom"/>
            <w:gridSpan w:val="2"/>
          </w:tcPr>
          <w:p>
            <w:pPr>
              <w:spacing w:after="0"/>
              <w:rPr>
                <w:sz w:val="17"/>
                <w:szCs w:val="17"/>
                <w:color w:val="auto"/>
              </w:rPr>
            </w:pPr>
          </w:p>
        </w:tc>
        <w:tc>
          <w:tcPr>
            <w:tcW w:w="4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875</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301" w:right="339" w:bottom="0" w:gutter="0" w:footer="0" w:header="0"/>
        </w:sect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320"/>
          </w:cols>
          <w:pgMar w:left="240" w:top="301" w:right="339" w:bottom="0" w:gutter="0" w:footer="0" w:header="0"/>
          <w:type w:val="continuous"/>
        </w:sectPr>
      </w:pPr>
    </w:p>
    <w:bookmarkStart w:id="12" w:name="page13"/>
    <w:bookmarkEnd w:id="12"/>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Total amortization expense for our finite-lived intangible assets was $303 and $116, respectively, for the six months ended June 30, 2017 and 2016. The following table sets forth the estimated annual amortization expense for each of the next five years:</w:t>
      </w:r>
    </w:p>
    <w:p>
      <w:pPr>
        <w:spacing w:after="0" w:line="199" w:lineRule="exact"/>
        <w:rPr>
          <w:sz w:val="20"/>
          <w:szCs w:val="20"/>
          <w:color w:val="auto"/>
        </w:rPr>
      </w:pPr>
    </w:p>
    <w:tbl>
      <w:tblPr>
        <w:tblLayout w:type="fixed"/>
        <w:tblInd w:w="3100" w:type="dxa"/>
        <w:tblCellMar>
          <w:top w:w="0" w:type="dxa"/>
          <w:left w:w="0" w:type="dxa"/>
          <w:bottom w:w="0" w:type="dxa"/>
          <w:right w:w="0" w:type="dxa"/>
        </w:tblCellMar>
      </w:tblP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2017 (remainder)</w:t>
            </w:r>
          </w:p>
        </w:tc>
        <w:tc>
          <w:tcPr>
            <w:tcW w:w="2260" w:type="dxa"/>
            <w:vAlign w:val="bottom"/>
          </w:tcPr>
          <w:p>
            <w:pPr>
              <w:jc w:val="right"/>
              <w:spacing w:after="0"/>
              <w:rPr>
                <w:sz w:val="20"/>
                <w:szCs w:val="20"/>
                <w:color w:val="auto"/>
              </w:rPr>
            </w:pPr>
            <w:r>
              <w:rPr>
                <w:rFonts w:ascii="Arial" w:cs="Arial" w:eastAsia="Arial" w:hAnsi="Arial"/>
                <w:sz w:val="18"/>
                <w:szCs w:val="18"/>
                <w:color w:val="auto"/>
              </w:rPr>
              <w:t>$1,285</w:t>
            </w: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2018</w:t>
            </w:r>
          </w:p>
        </w:tc>
        <w:tc>
          <w:tcPr>
            <w:tcW w:w="226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2019</w:t>
            </w:r>
          </w:p>
        </w:tc>
        <w:tc>
          <w:tcPr>
            <w:tcW w:w="226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2020</w:t>
            </w:r>
          </w:p>
        </w:tc>
        <w:tc>
          <w:tcPr>
            <w:tcW w:w="226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419"/>
        </w:trPr>
        <w:tc>
          <w:tcPr>
            <w:tcW w:w="2980" w:type="dxa"/>
            <w:vAlign w:val="bottom"/>
          </w:tcPr>
          <w:p>
            <w:pPr>
              <w:spacing w:after="0"/>
              <w:rPr>
                <w:sz w:val="20"/>
                <w:szCs w:val="20"/>
                <w:color w:val="auto"/>
              </w:rPr>
            </w:pPr>
            <w:r>
              <w:rPr>
                <w:rFonts w:ascii="Arial" w:cs="Arial" w:eastAsia="Arial" w:hAnsi="Arial"/>
                <w:sz w:val="18"/>
                <w:szCs w:val="18"/>
                <w:color w:val="auto"/>
              </w:rPr>
              <w:t>2021</w:t>
            </w:r>
          </w:p>
        </w:tc>
        <w:tc>
          <w:tcPr>
            <w:tcW w:w="2260" w:type="dxa"/>
            <w:vAlign w:val="bottom"/>
          </w:tcPr>
          <w:p>
            <w:pPr>
              <w:jc w:val="right"/>
              <w:spacing w:after="0"/>
              <w:rPr>
                <w:sz w:val="20"/>
                <w:szCs w:val="20"/>
                <w:color w:val="auto"/>
              </w:rPr>
            </w:pPr>
            <w:r>
              <w:rPr>
                <w:rFonts w:ascii="Arial" w:cs="Arial" w:eastAsia="Arial" w:hAnsi="Arial"/>
                <w:sz w:val="18"/>
                <w:szCs w:val="18"/>
                <w:color w:val="auto"/>
              </w:rPr>
              <w:t>$1,301</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During the six months ended June 30, 2017 and 2016, Texas Instruments Incorporated accounted for 15% and 11% of our consolidated net revenues, respectively. While both of our operating segments sold products to this customer, these revenues were primarily generated by our EMS segment. During the six months ended June 30, 2017 and 2016, Hakuto Co., Ltd., one of our distributors, accounted for 13% and 15% of our consolidated net revenues, respectively. These revenues were generated by our Thermal segment. No other customers accounted for 10% or more of our consolidated net revenues during the six months ended June 30, 2017 and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June 30, 2017 and December 31, 2016 were comprised of the following:</w:t>
      </w:r>
    </w:p>
    <w:p>
      <w:pPr>
        <w:spacing w:after="0" w:line="224"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40" w:type="dxa"/>
            <w:vAlign w:val="bottom"/>
            <w:gridSpan w:val="4"/>
          </w:tcPr>
          <w:p>
            <w:pPr>
              <w:ind w:left="1440"/>
              <w:spacing w:after="0"/>
              <w:rPr>
                <w:sz w:val="20"/>
                <w:szCs w:val="20"/>
                <w:color w:val="auto"/>
              </w:rPr>
            </w:pPr>
            <w:r>
              <w:rPr>
                <w:rFonts w:ascii="Arial" w:cs="Arial" w:eastAsia="Arial" w:hAnsi="Arial"/>
                <w:sz w:val="14"/>
                <w:szCs w:val="14"/>
                <w:b w:val="1"/>
                <w:bCs w:val="1"/>
                <w:i w:val="1"/>
                <w:iCs w:val="1"/>
                <w:color w:val="auto"/>
              </w:rPr>
              <w:t>June 30,</w:t>
            </w:r>
          </w:p>
        </w:tc>
        <w:tc>
          <w:tcPr>
            <w:tcW w:w="62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3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rPr>
              <w:t>2017</w:t>
            </w:r>
          </w:p>
        </w:tc>
        <w:tc>
          <w:tcPr>
            <w:tcW w:w="30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140" w:type="dxa"/>
            <w:vAlign w:val="bottom"/>
          </w:tcPr>
          <w:p>
            <w:pPr>
              <w:spacing w:after="0"/>
              <w:rPr>
                <w:sz w:val="12"/>
                <w:szCs w:val="12"/>
                <w:color w:val="auto"/>
              </w:rPr>
            </w:pPr>
          </w:p>
        </w:tc>
      </w:tr>
      <w:tr>
        <w:trPr>
          <w:trHeight w:val="235"/>
        </w:trPr>
        <w:tc>
          <w:tcPr>
            <w:tcW w:w="3540" w:type="dxa"/>
            <w:vAlign w:val="bottom"/>
          </w:tcPr>
          <w:p>
            <w:pPr>
              <w:spacing w:after="0"/>
              <w:rPr>
                <w:sz w:val="20"/>
                <w:szCs w:val="20"/>
                <w:color w:val="auto"/>
              </w:rPr>
            </w:pPr>
            <w:r>
              <w:rPr>
                <w:rFonts w:ascii="Arial" w:cs="Arial" w:eastAsia="Arial" w:hAnsi="Arial"/>
                <w:sz w:val="18"/>
                <w:szCs w:val="18"/>
                <w:color w:val="auto"/>
              </w:rPr>
              <w:t>Raw materials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$3,817</w:t>
            </w:r>
          </w:p>
        </w:tc>
        <w:tc>
          <w:tcPr>
            <w:tcW w:w="3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$2,695</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Work in process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1,238</w:t>
            </w:r>
          </w:p>
        </w:tc>
        <w:tc>
          <w:tcPr>
            <w:tcW w:w="30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728</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81</w:t>
            </w:r>
          </w:p>
        </w:tc>
      </w:tr>
      <w:tr>
        <w:trPr>
          <w:trHeight w:val="205"/>
        </w:trPr>
        <w:tc>
          <w:tcPr>
            <w:tcW w:w="354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1460" w:type="dxa"/>
            <w:vAlign w:val="bottom"/>
            <w:gridSpan w:val="2"/>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840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172</w:t>
            </w: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 inventories</w:t>
            </w:r>
          </w:p>
        </w:tc>
        <w:tc>
          <w:tcPr>
            <w:tcW w:w="1460" w:type="dxa"/>
            <w:vAlign w:val="bottom"/>
            <w:gridSpan w:val="2"/>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6,212</w:t>
            </w:r>
          </w:p>
        </w:tc>
        <w:tc>
          <w:tcPr>
            <w:tcW w:w="3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3,676</w:t>
            </w:r>
          </w:p>
        </w:tc>
      </w:tr>
      <w:tr>
        <w:trPr>
          <w:trHeight w:val="20"/>
        </w:trPr>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June 30, 2017 and December 31, 2016 consisted of the following:</w:t>
      </w:r>
    </w:p>
    <w:p>
      <w:pPr>
        <w:spacing w:after="0" w:line="19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6"/>
          </w:tcPr>
          <w:p>
            <w:pPr>
              <w:jc w:val="right"/>
              <w:ind w:right="240"/>
              <w:spacing w:after="0"/>
              <w:rPr>
                <w:sz w:val="20"/>
                <w:szCs w:val="20"/>
                <w:color w:val="auto"/>
              </w:rPr>
            </w:pPr>
            <w:r>
              <w:rPr>
                <w:rFonts w:ascii="Arial" w:cs="Arial" w:eastAsia="Arial" w:hAnsi="Arial"/>
                <w:sz w:val="14"/>
                <w:szCs w:val="14"/>
                <w:b w:val="1"/>
                <w:bCs w:val="1"/>
                <w:i w:val="1"/>
                <w:iCs w:val="1"/>
                <w:color w:val="auto"/>
                <w:w w:val="88"/>
              </w:rPr>
              <w:t>Letters of Credit</w:t>
            </w:r>
          </w:p>
        </w:tc>
      </w:tr>
      <w:tr>
        <w:trPr>
          <w:trHeight w:val="146"/>
        </w:trPr>
        <w:tc>
          <w:tcPr>
            <w:tcW w:w="2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280" w:type="dxa"/>
            <w:vAlign w:val="bottom"/>
          </w:tcPr>
          <w:p>
            <w:pPr>
              <w:spacing w:after="0"/>
              <w:rPr>
                <w:sz w:val="12"/>
                <w:szCs w:val="12"/>
                <w:color w:val="auto"/>
              </w:rPr>
            </w:pPr>
          </w:p>
        </w:tc>
        <w:tc>
          <w:tcPr>
            <w:tcW w:w="80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85"/>
              </w:rPr>
              <w:t>Lease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auto"/>
            </w:tcBorders>
            <w:gridSpan w:val="5"/>
          </w:tcPr>
          <w:p>
            <w:pPr>
              <w:jc w:val="right"/>
              <w:spacing w:after="0" w:line="146" w:lineRule="exact"/>
              <w:rPr>
                <w:sz w:val="20"/>
                <w:szCs w:val="20"/>
                <w:color w:val="auto"/>
              </w:rPr>
            </w:pPr>
            <w:r>
              <w:rPr>
                <w:rFonts w:ascii="Arial" w:cs="Arial" w:eastAsia="Arial" w:hAnsi="Arial"/>
                <w:sz w:val="14"/>
                <w:szCs w:val="14"/>
                <w:b w:val="1"/>
                <w:bCs w:val="1"/>
                <w:i w:val="1"/>
                <w:iCs w:val="1"/>
                <w:color w:val="auto"/>
                <w:w w:val="87"/>
              </w:rPr>
              <w:t>Amount Outstanding</w:t>
            </w:r>
          </w:p>
        </w:tc>
        <w:tc>
          <w:tcPr>
            <w:tcW w:w="40" w:type="dxa"/>
            <w:vAlign w:val="bottom"/>
            <w:gridSpan w:val="2"/>
          </w:tcPr>
          <w:p>
            <w:pPr>
              <w:spacing w:after="0"/>
              <w:rPr>
                <w:sz w:val="12"/>
                <w:szCs w:val="12"/>
                <w:color w:val="auto"/>
              </w:rPr>
            </w:pPr>
          </w:p>
        </w:tc>
      </w:tr>
      <w:tr>
        <w:trPr>
          <w:trHeight w:val="158"/>
        </w:trPr>
        <w:tc>
          <w:tcPr>
            <w:tcW w:w="2120" w:type="dxa"/>
            <w:vAlign w:val="bottom"/>
          </w:tcPr>
          <w:p>
            <w:pPr>
              <w:spacing w:after="0"/>
              <w:rPr>
                <w:sz w:val="13"/>
                <w:szCs w:val="13"/>
                <w:color w:val="auto"/>
              </w:rPr>
            </w:pPr>
          </w:p>
        </w:tc>
        <w:tc>
          <w:tcPr>
            <w:tcW w:w="2000" w:type="dxa"/>
            <w:vAlign w:val="bottom"/>
            <w:gridSpan w:val="3"/>
          </w:tcPr>
          <w:p>
            <w:pPr>
              <w:jc w:val="center"/>
              <w:ind w:left="799"/>
              <w:spacing w:after="0" w:line="158" w:lineRule="exact"/>
              <w:rPr>
                <w:sz w:val="20"/>
                <w:szCs w:val="20"/>
                <w:color w:val="auto"/>
              </w:rPr>
            </w:pPr>
            <w:r>
              <w:rPr>
                <w:rFonts w:ascii="Arial" w:cs="Arial" w:eastAsia="Arial" w:hAnsi="Arial"/>
                <w:sz w:val="14"/>
                <w:szCs w:val="14"/>
                <w:b w:val="1"/>
                <w:bCs w:val="1"/>
                <w:i w:val="1"/>
                <w:iCs w:val="1"/>
                <w:color w:val="auto"/>
                <w:w w:val="90"/>
              </w:rPr>
              <w:t>Original L/C</w:t>
            </w:r>
          </w:p>
        </w:tc>
        <w:tc>
          <w:tcPr>
            <w:tcW w:w="11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0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080" w:type="dxa"/>
            <w:vAlign w:val="bottom"/>
            <w:gridSpan w:val="5"/>
          </w:tcPr>
          <w:p>
            <w:pPr>
              <w:ind w:left="200"/>
              <w:spacing w:after="0" w:line="158" w:lineRule="exact"/>
              <w:rPr>
                <w:sz w:val="20"/>
                <w:szCs w:val="20"/>
                <w:color w:val="auto"/>
              </w:rPr>
            </w:pPr>
            <w:r>
              <w:rPr>
                <w:rFonts w:ascii="Arial" w:cs="Arial" w:eastAsia="Arial" w:hAnsi="Arial"/>
                <w:sz w:val="14"/>
                <w:szCs w:val="14"/>
                <w:b w:val="1"/>
                <w:bCs w:val="1"/>
                <w:i w:val="1"/>
                <w:iCs w:val="1"/>
                <w:color w:val="auto"/>
              </w:rPr>
              <w:t>June 30,</w:t>
            </w:r>
          </w:p>
        </w:tc>
        <w:tc>
          <w:tcPr>
            <w:tcW w:w="480" w:type="dxa"/>
            <w:vAlign w:val="bottom"/>
            <w:gridSpan w:val="4"/>
          </w:tcPr>
          <w:p>
            <w:pPr>
              <w:jc w:val="right"/>
              <w:ind w:right="2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2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22"/>
              <w:spacing w:after="0" w:line="146" w:lineRule="exact"/>
              <w:rPr>
                <w:sz w:val="20"/>
                <w:szCs w:val="20"/>
                <w:color w:val="auto"/>
              </w:rPr>
            </w:pPr>
            <w:r>
              <w:rPr>
                <w:rFonts w:ascii="Arial" w:cs="Arial" w:eastAsia="Arial" w:hAnsi="Arial"/>
                <w:sz w:val="14"/>
                <w:szCs w:val="14"/>
                <w:b w:val="1"/>
                <w:bCs w:val="1"/>
                <w:i w:val="1"/>
                <w:iCs w:val="1"/>
                <w:color w:val="auto"/>
              </w:rPr>
              <w:t>2017</w:t>
            </w:r>
          </w:p>
        </w:tc>
        <w:tc>
          <w:tcPr>
            <w:tcW w:w="40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35"/>
        </w:trPr>
        <w:tc>
          <w:tcPr>
            <w:tcW w:w="2120" w:type="dxa"/>
            <w:vAlign w:val="bottom"/>
          </w:tcPr>
          <w:p>
            <w:pPr>
              <w:spacing w:after="0"/>
              <w:rPr>
                <w:sz w:val="20"/>
                <w:szCs w:val="20"/>
                <w:color w:val="auto"/>
              </w:rPr>
            </w:pPr>
            <w:r>
              <w:rPr>
                <w:rFonts w:ascii="Arial" w:cs="Arial" w:eastAsia="Arial" w:hAnsi="Arial"/>
                <w:sz w:val="18"/>
                <w:szCs w:val="18"/>
                <w:color w:val="auto"/>
              </w:rPr>
              <w:t>Mt. Laurel, NJ</w:t>
            </w:r>
          </w:p>
        </w:tc>
        <w:tc>
          <w:tcPr>
            <w:tcW w:w="2000" w:type="dxa"/>
            <w:vAlign w:val="bottom"/>
            <w:gridSpan w:val="3"/>
          </w:tcPr>
          <w:p>
            <w:pPr>
              <w:jc w:val="right"/>
              <w:ind w:right="180"/>
              <w:spacing w:after="0"/>
              <w:rPr>
                <w:sz w:val="20"/>
                <w:szCs w:val="20"/>
                <w:color w:val="auto"/>
              </w:rPr>
            </w:pPr>
            <w:r>
              <w:rPr>
                <w:rFonts w:ascii="Arial" w:cs="Arial" w:eastAsia="Arial" w:hAnsi="Arial"/>
                <w:sz w:val="18"/>
                <w:szCs w:val="18"/>
                <w:color w:val="auto"/>
              </w:rPr>
              <w:t>3/29/2010</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3/31/2018</w:t>
            </w:r>
          </w:p>
        </w:tc>
        <w:tc>
          <w:tcPr>
            <w:tcW w:w="10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4/30/2021</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20"/>
                <w:szCs w:val="20"/>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$125</w:t>
            </w:r>
          </w:p>
        </w:tc>
      </w:tr>
      <w:tr>
        <w:trPr>
          <w:trHeight w:val="205"/>
        </w:trPr>
        <w:tc>
          <w:tcPr>
            <w:tcW w:w="2120" w:type="dxa"/>
            <w:vAlign w:val="bottom"/>
          </w:tcPr>
          <w:p>
            <w:pPr>
              <w:spacing w:after="0" w:line="205" w:lineRule="exact"/>
              <w:rPr>
                <w:sz w:val="20"/>
                <w:szCs w:val="20"/>
                <w:color w:val="auto"/>
              </w:rPr>
            </w:pPr>
            <w:r>
              <w:rPr>
                <w:rFonts w:ascii="Arial" w:cs="Arial" w:eastAsia="Arial" w:hAnsi="Arial"/>
                <w:sz w:val="18"/>
                <w:szCs w:val="18"/>
                <w:color w:val="auto"/>
              </w:rPr>
              <w:t>Mansfield, MA</w:t>
            </w:r>
          </w:p>
        </w:tc>
        <w:tc>
          <w:tcPr>
            <w:tcW w:w="2000" w:type="dxa"/>
            <w:vAlign w:val="bottom"/>
            <w:gridSpan w:val="3"/>
          </w:tcPr>
          <w:p>
            <w:pPr>
              <w:jc w:val="right"/>
              <w:ind w:right="180"/>
              <w:spacing w:after="0" w:line="205" w:lineRule="exact"/>
              <w:rPr>
                <w:sz w:val="20"/>
                <w:szCs w:val="20"/>
                <w:color w:val="auto"/>
              </w:rPr>
            </w:pPr>
            <w:r>
              <w:rPr>
                <w:rFonts w:ascii="Arial" w:cs="Arial" w:eastAsia="Arial" w:hAnsi="Arial"/>
                <w:sz w:val="18"/>
                <w:szCs w:val="18"/>
                <w:color w:val="auto"/>
              </w:rPr>
              <w:t>10/27/2010</w:t>
            </w:r>
          </w:p>
        </w:tc>
        <w:tc>
          <w:tcPr>
            <w:tcW w:w="1120" w:type="dxa"/>
            <w:vAlign w:val="bottom"/>
            <w:gridSpan w:val="3"/>
          </w:tcPr>
          <w:p>
            <w:pPr>
              <w:jc w:val="right"/>
              <w:ind w:right="160"/>
              <w:spacing w:after="0" w:line="205" w:lineRule="exact"/>
              <w:rPr>
                <w:sz w:val="20"/>
                <w:szCs w:val="20"/>
                <w:color w:val="auto"/>
              </w:rPr>
            </w:pPr>
            <w:r>
              <w:rPr>
                <w:rFonts w:ascii="Arial" w:cs="Arial" w:eastAsia="Arial" w:hAnsi="Arial"/>
                <w:sz w:val="18"/>
                <w:szCs w:val="18"/>
                <w:color w:val="auto"/>
              </w:rPr>
              <w:t>11/08/2018</w:t>
            </w:r>
          </w:p>
        </w:tc>
        <w:tc>
          <w:tcPr>
            <w:tcW w:w="1080" w:type="dxa"/>
            <w:vAlign w:val="bottom"/>
            <w:gridSpan w:val="3"/>
          </w:tcPr>
          <w:p>
            <w:pPr>
              <w:jc w:val="center"/>
              <w:ind w:right="20"/>
              <w:spacing w:after="0" w:line="205" w:lineRule="exact"/>
              <w:rPr>
                <w:sz w:val="20"/>
                <w:szCs w:val="20"/>
                <w:color w:val="auto"/>
              </w:rPr>
            </w:pPr>
            <w:r>
              <w:rPr>
                <w:rFonts w:ascii="Arial" w:cs="Arial" w:eastAsia="Arial" w:hAnsi="Arial"/>
                <w:sz w:val="18"/>
                <w:szCs w:val="18"/>
                <w:color w:val="auto"/>
                <w:w w:val="87"/>
              </w:rPr>
              <w:t>8/23/2021</w:t>
            </w:r>
          </w:p>
        </w:tc>
        <w:tc>
          <w:tcPr>
            <w:tcW w:w="340" w:type="dxa"/>
            <w:vAlign w:val="bottom"/>
            <w:gridSpan w:val="3"/>
          </w:tcPr>
          <w:p>
            <w:pPr>
              <w:spacing w:after="0"/>
              <w:rPr>
                <w:sz w:val="17"/>
                <w:szCs w:val="17"/>
                <w:color w:val="auto"/>
              </w:rPr>
            </w:pPr>
          </w:p>
        </w:tc>
        <w:tc>
          <w:tcPr>
            <w:tcW w:w="3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50</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50</w:t>
            </w:r>
          </w:p>
        </w:tc>
      </w:tr>
      <w:tr>
        <w:trPr>
          <w:trHeight w:val="223"/>
        </w:trPr>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w:t>
            </w:r>
          </w:p>
        </w:tc>
        <w:tc>
          <w:tcPr>
            <w:tcW w:w="40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w:t>
            </w:r>
          </w:p>
        </w:tc>
      </w:tr>
      <w:tr>
        <w:trPr>
          <w:trHeight w:val="20"/>
        </w:trPr>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- 15 -</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91"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As of June 30, 2017, we have unvested restricted stock awards and stock options granted under stock-based employee compensation plans that are described more fully in Note 12 to the consolidated financial statements in our 2016 Form 10-K.</w:t>
      </w:r>
    </w:p>
    <w:p>
      <w:pPr>
        <w:spacing w:after="0" w:line="186"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color w:val="auto"/>
        </w:rPr>
        <w:t>As of June 30, 2017, total unrecognized compensation expense related to unvested restricted stock awards and stock options was $732. The weighted average period over which this expense is expected to be recognized is 3.0 years. The following table shows the allocation of the compensation expense we recorded during the three and six months ended June 30, 2017 and 2016, respectively, related to stock-based compensation:</w:t>
      </w:r>
    </w:p>
    <w:p>
      <w:pPr>
        <w:spacing w:after="0" w:line="159" w:lineRule="exact"/>
        <w:rPr>
          <w:sz w:val="20"/>
          <w:szCs w:val="20"/>
          <w:color w:val="auto"/>
        </w:rPr>
      </w:pPr>
    </w:p>
    <w:tbl>
      <w:tblPr>
        <w:tblLayout w:type="fixed"/>
        <w:tblInd w:w="6600" w:type="dxa"/>
        <w:tblCellMar>
          <w:top w:w="0" w:type="dxa"/>
          <w:left w:w="0" w:type="dxa"/>
          <w:bottom w:w="0" w:type="dxa"/>
          <w:right w:w="0" w:type="dxa"/>
        </w:tblCellMar>
      </w:tblPr>
      <w:tr>
        <w:trPr>
          <w:trHeight w:val="161"/>
        </w:trPr>
        <w:tc>
          <w:tcPr>
            <w:tcW w:w="1340" w:type="dxa"/>
            <w:vAlign w:val="bottom"/>
            <w:gridSpan w:val="6"/>
          </w:tcPr>
          <w:p>
            <w:pPr>
              <w:jc w:val="center"/>
              <w:ind w:right="16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200" w:type="dxa"/>
            <w:vAlign w:val="bottom"/>
            <w:gridSpan w:val="6"/>
          </w:tcPr>
          <w:p>
            <w:pPr>
              <w:jc w:val="center"/>
              <w:ind w:left="92"/>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21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bottom w:val="single" w:sz="8" w:color="auto"/>
            </w:tcBorders>
            <w:gridSpan w:val="4"/>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60" w:type="dxa"/>
            <w:vAlign w:val="bottom"/>
          </w:tcPr>
          <w:p>
            <w:pPr>
              <w:spacing w:after="0"/>
              <w:rPr>
                <w:sz w:val="12"/>
                <w:szCs w:val="12"/>
                <w:color w:val="auto"/>
              </w:rPr>
            </w:pPr>
          </w:p>
        </w:tc>
      </w:tr>
      <w:tr>
        <w:trPr>
          <w:trHeight w:val="156"/>
        </w:trPr>
        <w:tc>
          <w:tcPr>
            <w:tcW w:w="6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2017</w:t>
            </w:r>
          </w:p>
        </w:tc>
        <w:tc>
          <w:tcPr>
            <w:tcW w:w="48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2016</w:t>
            </w:r>
          </w:p>
        </w:tc>
        <w:tc>
          <w:tcPr>
            <w:tcW w:w="240" w:type="dxa"/>
            <w:vAlign w:val="bottom"/>
          </w:tcPr>
          <w:p>
            <w:pPr>
              <w:spacing w:after="0"/>
              <w:rPr>
                <w:sz w:val="13"/>
                <w:szCs w:val="13"/>
                <w:color w:val="auto"/>
              </w:rPr>
            </w:pPr>
          </w:p>
        </w:tc>
        <w:tc>
          <w:tcPr>
            <w:tcW w:w="66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i w:val="1"/>
                <w:iCs w:val="1"/>
                <w:color w:val="auto"/>
              </w:rPr>
              <w:t>2017</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6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 w:lineRule="exact"/>
        <w:rPr>
          <w:sz w:val="20"/>
          <w:szCs w:val="20"/>
          <w:color w:val="auto"/>
        </w:rPr>
      </w:pPr>
    </w:p>
    <w:p>
      <w:pPr>
        <w:sectPr>
          <w:pgSz w:w="11900" w:h="16839" w:orient="portrait"/>
          <w:cols w:equalWidth="0" w:num="1">
            <w:col w:w="11320"/>
          </w:cols>
          <w:pgMar w:left="240" w:top="125" w:right="339" w:bottom="0" w:gutter="0" w:footer="0" w:header="0"/>
        </w:sectPr>
      </w:pPr>
    </w:p>
    <w:p>
      <w:pPr>
        <w:ind w:left="2140"/>
        <w:spacing w:after="0"/>
        <w:tabs>
          <w:tab w:leader="none" w:pos="6740" w:val="left"/>
          <w:tab w:leader="none" w:pos="7520" w:val="left"/>
          <w:tab w:leader="none" w:pos="8160" w:val="left"/>
          <w:tab w:leader="none" w:pos="8880" w:val="left"/>
        </w:tabs>
        <w:rPr>
          <w:sz w:val="20"/>
          <w:szCs w:val="20"/>
          <w:color w:val="auto"/>
        </w:rPr>
      </w:pPr>
      <w:r>
        <w:rPr>
          <w:rFonts w:ascii="Arial" w:cs="Arial" w:eastAsia="Arial" w:hAnsi="Arial"/>
          <w:sz w:val="18"/>
          <w:szCs w:val="18"/>
          <w:color w:val="auto"/>
        </w:rPr>
        <w:t>Cost of revenues</w:t>
      </w:r>
      <w:r>
        <w:rPr>
          <w:sz w:val="20"/>
          <w:szCs w:val="20"/>
          <w:color w:val="auto"/>
        </w:rPr>
        <w:tab/>
      </w:r>
      <w:r>
        <w:rPr>
          <w:rFonts w:ascii="Arial" w:cs="Arial" w:eastAsia="Arial" w:hAnsi="Arial"/>
          <w:sz w:val="18"/>
          <w:szCs w:val="18"/>
          <w:color w:val="auto"/>
        </w:rPr>
        <w:t>$ 1</w:t>
      </w:r>
      <w:r>
        <w:rPr>
          <w:sz w:val="20"/>
          <w:szCs w:val="20"/>
          <w:color w:val="auto"/>
        </w:rPr>
        <w:tab/>
      </w:r>
      <w:r>
        <w:rPr>
          <w:rFonts w:ascii="Arial" w:cs="Arial" w:eastAsia="Arial" w:hAnsi="Arial"/>
          <w:sz w:val="18"/>
          <w:szCs w:val="18"/>
          <w:color w:val="auto"/>
        </w:rPr>
        <w:t>$ 2</w:t>
      </w:r>
      <w:r>
        <w:rPr>
          <w:sz w:val="20"/>
          <w:szCs w:val="20"/>
          <w:color w:val="auto"/>
        </w:rPr>
        <w:tab/>
      </w:r>
      <w:r>
        <w:rPr>
          <w:rFonts w:ascii="Arial" w:cs="Arial" w:eastAsia="Arial" w:hAnsi="Arial"/>
          <w:sz w:val="18"/>
          <w:szCs w:val="18"/>
          <w:color w:val="auto"/>
        </w:rPr>
        <w:t>$ 4</w:t>
      </w:r>
      <w:r>
        <w:rPr>
          <w:sz w:val="20"/>
          <w:szCs w:val="20"/>
          <w:color w:val="auto"/>
        </w:rPr>
        <w:tab/>
      </w:r>
      <w:r>
        <w:rPr>
          <w:rFonts w:ascii="Arial" w:cs="Arial" w:eastAsia="Arial" w:hAnsi="Arial"/>
          <w:sz w:val="18"/>
          <w:szCs w:val="18"/>
          <w:color w:val="auto"/>
        </w:rPr>
        <w:t>$ 5</w:t>
      </w:r>
    </w:p>
    <w:p>
      <w:pPr>
        <w:sectPr>
          <w:pgSz w:w="11900" w:h="16839" w:orient="portrait"/>
          <w:cols w:equalWidth="0" w:num="1">
            <w:col w:w="11320"/>
          </w:cols>
          <w:pgMar w:left="240" w:top="125" w:right="339" w:bottom="0" w:gutter="0" w:footer="0" w:header="0"/>
          <w:type w:val="continuous"/>
        </w:sectPr>
      </w:pPr>
    </w:p>
    <w:bookmarkStart w:id="13" w:name="page14"/>
    <w:bookmarkEnd w:id="13"/>
    <w:tbl>
      <w:tblPr>
        <w:tblLayout w:type="fixed"/>
        <w:tblInd w:w="2140" w:type="dxa"/>
        <w:tblCellMar>
          <w:top w:w="0" w:type="dxa"/>
          <w:left w:w="0" w:type="dxa"/>
          <w:bottom w:w="0" w:type="dxa"/>
          <w:right w:w="0" w:type="dxa"/>
        </w:tblCellMar>
      </w:tblP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Selling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62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5"/>
        </w:trPr>
        <w:tc>
          <w:tcPr>
            <w:tcW w:w="462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260" w:type="dxa"/>
            <w:vAlign w:val="bottom"/>
          </w:tcPr>
          <w:p>
            <w:pPr>
              <w:jc w:val="right"/>
              <w:spacing w:after="0" w:line="205" w:lineRule="exact"/>
              <w:rPr>
                <w:sz w:val="20"/>
                <w:szCs w:val="20"/>
                <w:color w:val="auto"/>
              </w:rPr>
            </w:pPr>
            <w:r>
              <w:rPr>
                <w:rFonts w:ascii="Arial" w:cs="Arial" w:eastAsia="Arial" w:hAnsi="Arial"/>
                <w:sz w:val="18"/>
                <w:szCs w:val="18"/>
                <w:color w:val="auto"/>
              </w:rPr>
              <w:t>96</w:t>
            </w:r>
          </w:p>
        </w:tc>
        <w:tc>
          <w:tcPr>
            <w:tcW w:w="440" w:type="dxa"/>
            <w:vAlign w:val="bottom"/>
          </w:tcPr>
          <w:p>
            <w:pPr>
              <w:spacing w:after="0"/>
              <w:rPr>
                <w:sz w:val="17"/>
                <w:szCs w:val="17"/>
                <w:color w:val="auto"/>
              </w:rPr>
            </w:pPr>
          </w:p>
        </w:tc>
        <w:tc>
          <w:tcPr>
            <w:tcW w:w="620" w:type="dxa"/>
            <w:vAlign w:val="bottom"/>
            <w:gridSpan w:val="2"/>
          </w:tcPr>
          <w:p>
            <w:pPr>
              <w:jc w:val="right"/>
              <w:ind w:right="280"/>
              <w:spacing w:after="0" w:line="205" w:lineRule="exact"/>
              <w:rPr>
                <w:sz w:val="20"/>
                <w:szCs w:val="20"/>
                <w:color w:val="auto"/>
              </w:rPr>
            </w:pPr>
            <w:r>
              <w:rPr>
                <w:rFonts w:ascii="Arial" w:cs="Arial" w:eastAsia="Arial" w:hAnsi="Arial"/>
                <w:sz w:val="18"/>
                <w:szCs w:val="18"/>
                <w:color w:val="auto"/>
              </w:rPr>
              <w:t>132</w:t>
            </w:r>
          </w:p>
        </w:tc>
        <w:tc>
          <w:tcPr>
            <w:tcW w:w="360" w:type="dxa"/>
            <w:vAlign w:val="bottom"/>
          </w:tcPr>
          <w:p>
            <w:pPr>
              <w:jc w:val="right"/>
              <w:spacing w:after="0" w:line="205" w:lineRule="exact"/>
              <w:rPr>
                <w:sz w:val="20"/>
                <w:szCs w:val="20"/>
                <w:color w:val="auto"/>
              </w:rPr>
            </w:pPr>
            <w:r>
              <w:rPr>
                <w:rFonts w:ascii="Arial" w:cs="Arial" w:eastAsia="Arial" w:hAnsi="Arial"/>
                <w:sz w:val="18"/>
                <w:szCs w:val="18"/>
                <w:color w:val="auto"/>
              </w:rPr>
              <w:t>178</w:t>
            </w:r>
          </w:p>
        </w:tc>
        <w:tc>
          <w:tcPr>
            <w:tcW w:w="7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165</w:t>
            </w:r>
          </w:p>
        </w:tc>
      </w:tr>
      <w:tr>
        <w:trPr>
          <w:trHeight w:val="20"/>
        </w:trPr>
        <w:tc>
          <w:tcPr>
            <w:tcW w:w="4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23"/>
        </w:trPr>
        <w:tc>
          <w:tcPr>
            <w:tcW w:w="46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98</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186</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w:t>
            </w:r>
          </w:p>
        </w:tc>
      </w:tr>
      <w:tr>
        <w:trPr>
          <w:trHeight w:val="20"/>
        </w:trPr>
        <w:tc>
          <w:tcPr>
            <w:tcW w:w="4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stock-based compensation expense capitalized in the six months ended June 30, 2017 or 2016.</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However, during January 2016, we granted 22,500 shares of restricted stock to three of our independent directors which vested 100% upon the re-election of these directors at our annual meeting of stockholders in June 2016. The total compensation expense related to the shares granted in 2016 was $98, and it was recorded upon the re-election of these directors. In March 2017, we granted 22,500 shares of restricted stock to these same directors. These shares vested 25% upon the grant date and will vest an additional 25% at each of June 30, September 30, and December 31, 2017. The total compensation expense related to these shares is $143 and it will be recorded as the shares vest during 2017.</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unvested shares of restricted stock for the six months ended June 30, 2017:</w:t>
      </w:r>
    </w:p>
    <w:p>
      <w:pPr>
        <w:spacing w:after="0" w:line="22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860" w:type="dxa"/>
            <w:vAlign w:val="bottom"/>
          </w:tcPr>
          <w:p>
            <w:pPr>
              <w:spacing w:after="0"/>
              <w:rPr>
                <w:sz w:val="12"/>
                <w:szCs w:val="12"/>
                <w:color w:val="auto"/>
              </w:rPr>
            </w:pPr>
          </w:p>
        </w:tc>
        <w:tc>
          <w:tcPr>
            <w:tcW w:w="6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75"/>
              </w:rPr>
              <w:t>Number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5860" w:type="dxa"/>
            <w:vAlign w:val="bottom"/>
          </w:tcPr>
          <w:p>
            <w:pPr>
              <w:spacing w:after="0"/>
              <w:rPr>
                <w:sz w:val="12"/>
                <w:szCs w:val="12"/>
                <w:color w:val="auto"/>
              </w:rPr>
            </w:pPr>
          </w:p>
        </w:tc>
        <w:tc>
          <w:tcPr>
            <w:tcW w:w="680" w:type="dxa"/>
            <w:vAlign w:val="bottom"/>
            <w:gridSpan w:val="3"/>
          </w:tcPr>
          <w:p>
            <w:pPr>
              <w:jc w:val="center"/>
              <w:ind w:right="240"/>
              <w:spacing w:after="0"/>
              <w:rPr>
                <w:sz w:val="20"/>
                <w:szCs w:val="20"/>
                <w:color w:val="auto"/>
              </w:rPr>
            </w:pPr>
            <w:r>
              <w:rPr>
                <w:rFonts w:ascii="Arial" w:cs="Arial" w:eastAsia="Arial" w:hAnsi="Arial"/>
                <w:sz w:val="12"/>
                <w:szCs w:val="12"/>
                <w:b w:val="1"/>
                <w:bCs w:val="1"/>
                <w:i w:val="1"/>
                <w:iCs w:val="1"/>
                <w:color w:val="auto"/>
                <w:w w:val="80"/>
              </w:rPr>
              <w:t>of Shares</w:t>
            </w:r>
          </w:p>
        </w:tc>
        <w:tc>
          <w:tcPr>
            <w:tcW w:w="68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58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Unvested shares outstanding, January 1, 2017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97,025</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55,000</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6.35</w:t>
            </w: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Vested</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(34,725)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4.55</w:t>
            </w:r>
          </w:p>
        </w:tc>
      </w:tr>
      <w:tr>
        <w:trPr>
          <w:trHeight w:val="205"/>
        </w:trPr>
        <w:tc>
          <w:tcPr>
            <w:tcW w:w="586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5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Unvested shares outstanding, June 30, 2017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117,300</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4.97</w:t>
            </w:r>
          </w:p>
        </w:tc>
      </w:tr>
      <w:tr>
        <w:trPr>
          <w:trHeight w:val="20"/>
        </w:trPr>
        <w:tc>
          <w:tcPr>
            <w:tcW w:w="5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total fair value of the shares that vested during the six months ended June 30, 2017 and 2016 was $197 and $138, respectively, as of the vesting dates of these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The fair value for stock options granted during the six months ended June 30, 2017 and 2016 was estimated at the date of grant using the Black-Scholes option pricing model with the following weighted average assumptions:</w:t>
      </w:r>
    </w:p>
    <w:p>
      <w:pPr>
        <w:spacing w:after="0" w:line="182"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2017</w:t>
            </w:r>
          </w:p>
        </w:tc>
        <w:tc>
          <w:tcPr>
            <w:tcW w:w="20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2016</w:t>
            </w:r>
          </w:p>
        </w:tc>
        <w:tc>
          <w:tcPr>
            <w:tcW w:w="160" w:type="dxa"/>
            <w:vAlign w:val="bottom"/>
          </w:tcPr>
          <w:p>
            <w:pPr>
              <w:spacing w:after="0"/>
              <w:rPr>
                <w:sz w:val="14"/>
                <w:szCs w:val="14"/>
                <w:color w:val="auto"/>
              </w:rPr>
            </w:pPr>
          </w:p>
        </w:tc>
      </w:tr>
      <w:tr>
        <w:trPr>
          <w:trHeight w:val="20"/>
        </w:trPr>
        <w:tc>
          <w:tcPr>
            <w:tcW w:w="4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5"/>
        </w:trPr>
        <w:tc>
          <w:tcPr>
            <w:tcW w:w="4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1.30%</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0.00%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0.00%</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.39</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per share weighted average fair value of stock options issued during the six months ended June 30, 2017 and 2016 was $2.64 and $1.43, respectively.</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stock options for the six months ended June 30, 2017:</w:t>
      </w:r>
    </w:p>
    <w:p>
      <w:pPr>
        <w:spacing w:after="0" w:line="22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8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i w:val="1"/>
                <w:iCs w:val="1"/>
                <w:color w:val="auto"/>
                <w:w w:val="71"/>
              </w:rPr>
              <w:t>Number</w:t>
            </w:r>
          </w:p>
        </w:tc>
        <w:tc>
          <w:tcPr>
            <w:tcW w:w="800" w:type="dxa"/>
            <w:vAlign w:val="bottom"/>
            <w:gridSpan w:val="2"/>
          </w:tcPr>
          <w:p>
            <w:pPr>
              <w:jc w:val="center"/>
              <w:ind w:left="98"/>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58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i w:val="1"/>
                <w:iCs w:val="1"/>
                <w:color w:val="auto"/>
                <w:w w:val="76"/>
              </w:rPr>
              <w:t>of Shares</w:t>
            </w:r>
          </w:p>
        </w:tc>
        <w:tc>
          <w:tcPr>
            <w:tcW w:w="800" w:type="dxa"/>
            <w:vAlign w:val="bottom"/>
            <w:gridSpan w:val="2"/>
          </w:tcPr>
          <w:p>
            <w:pPr>
              <w:jc w:val="center"/>
              <w:ind w:left="118"/>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58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Options outstanding, January 1, 2017 (none exercisable)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19,800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96,000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6.35</w:t>
            </w: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586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5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Options outstanding, June 30, 2017 (4,950 exercisable)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115,800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6.01</w:t>
            </w:r>
          </w:p>
        </w:tc>
      </w:tr>
      <w:tr>
        <w:trPr>
          <w:trHeight w:val="20"/>
        </w:trPr>
        <w:tc>
          <w:tcPr>
            <w:tcW w:w="5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REPURCHASE PLAN</w:t>
      </w:r>
    </w:p>
    <w:p>
      <w:pPr>
        <w:spacing w:after="0" w:line="191" w:lineRule="exact"/>
        <w:rPr>
          <w:sz w:val="20"/>
          <w:szCs w:val="20"/>
          <w:color w:val="auto"/>
        </w:rPr>
      </w:pPr>
    </w:p>
    <w:p>
      <w:pPr>
        <w:ind w:left="540" w:right="60"/>
        <w:spacing w:after="0" w:line="323" w:lineRule="auto"/>
        <w:rPr>
          <w:sz w:val="20"/>
          <w:szCs w:val="20"/>
          <w:color w:val="auto"/>
        </w:rPr>
      </w:pPr>
      <w:r>
        <w:rPr>
          <w:rFonts w:ascii="Arial" w:cs="Arial" w:eastAsia="Arial" w:hAnsi="Arial"/>
          <w:sz w:val="15"/>
          <w:szCs w:val="15"/>
          <w:color w:val="auto"/>
        </w:rPr>
        <w:t>On October 27, 2015, our Board of Directors authorized the repurchase of up to $5,000 of our common stock from time to time on the open market, in compliance with Rule 10b-18 under the Securities Exchange Act of 1934 (the "Exchange Act"), or in privately negotiated transactions (the "2015 Repurchase Plan"). Repurchases may also be made under trading plans entered into with RW Baird &amp; Co. (each a "10b5-1 Plan"), which permit shares to be repurchased when we might otherwise be precluded from doing so under insider trading laws. The timing, price and amount of any shares repurchased</w:t>
      </w:r>
    </w:p>
    <w:p>
      <w:pPr>
        <w:sectPr>
          <w:pgSz w:w="11900" w:h="16838" w:orient="portrait"/>
          <w:cols w:equalWidth="0" w:num="1">
            <w:col w:w="11400"/>
          </w:cols>
          <w:pgMar w:left="240" w:top="104" w:right="259" w:bottom="0" w:gutter="0" w:footer="0" w:header="0"/>
        </w:sectPr>
      </w:pPr>
    </w:p>
    <w:bookmarkStart w:id="14" w:name="page15"/>
    <w:bookmarkEnd w:id="14"/>
    <w:p>
      <w:pPr>
        <w:ind w:left="540" w:right="20"/>
        <w:spacing w:after="0" w:line="291" w:lineRule="auto"/>
        <w:rPr>
          <w:sz w:val="20"/>
          <w:szCs w:val="20"/>
          <w:color w:val="auto"/>
        </w:rPr>
      </w:pPr>
      <w:r>
        <w:rPr>
          <w:rFonts w:ascii="Arial" w:cs="Arial" w:eastAsia="Arial" w:hAnsi="Arial"/>
          <w:sz w:val="16"/>
          <w:szCs w:val="16"/>
          <w:color w:val="auto"/>
        </w:rPr>
        <w:t>under the 2015 Repurchase Plan is determined by our management, based on our evaluation of market conditions and other factors. To date, all purchases have been made in accordance with 10b5-1 Plans which provided for purchases to be made so long as the price did not exceed a maximum price. Recently, the price of our shares has exceeded the cap. Management is considering new parameters for future purchases and may enter into a new 10b5-1 Plan at some point under those new parameters. As of June 30, 2017 all of our 10b5-1 Plans had expired. The 2015 Repurchase Plan does not obligate us to repurchase any particular amount of common stock and may be suspended or discontinued at any time without prior notice. The 2015 Repurchase Plan is funded using our operating cash flow or available cash.</w:t>
      </w:r>
    </w:p>
    <w:p>
      <w:pPr>
        <w:spacing w:after="0" w:line="174"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During the six months ended June 30, 2017 and 2016, we repurchased 13,883 and 190,725 shares under the 2015 Repurchase Plan, respectively. The total cost to repurchase these shares was $62 and $770, respectively. As of June 30, 2017, we had repurchased a total of 297,020 shares under the 2015 Repurchase Plan at a cost of $1,195. All of the repurchased shares were retired.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We have defined contribution 401(k) plans for our employees who work in the U.S. All permanent employees of inTEST Corporation, Temptronic Corporation and inTEST Silicon Valley Corporation who are at least 18 years of age are eligible to participate in the inTEST Corporation Incentive Savings Plan (the "inTEST Plan"). We match employee contributions dollar for dollar up to 10% of the employee's annual compensation, with a maximum limit of $5. Employer contributions vest ratably over four years. Matching contributions are discretionary. For the six months ended June 30, 2017 and 2016, we recorded $245 and $249 of expense for matching contributions, respectively.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- 17 -</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EMPLOYEE BENEFIT PLANS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All permanent employees of Ambrell Corporation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compensation. From the date of acquisition through June 30, 2017, we made matching contributions of $5.</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jc w:val="both"/>
        <w:ind w:left="540" w:right="160"/>
        <w:spacing w:after="0" w:line="306" w:lineRule="auto"/>
        <w:rPr>
          <w:sz w:val="20"/>
          <w:szCs w:val="20"/>
          <w:color w:val="auto"/>
        </w:rPr>
      </w:pPr>
      <w:r>
        <w:rPr>
          <w:rFonts w:ascii="Arial" w:cs="Arial" w:eastAsia="Arial" w:hAnsi="Arial"/>
          <w:sz w:val="16"/>
          <w:szCs w:val="16"/>
          <w:color w:val="auto"/>
        </w:rPr>
        <w:t>As discussed in Note 1, during 2016, we reorganized our business from three product segments (Thermal Products, Mechanical Products and Electrical Products) into two product segments (Thermal and EMS). Accordingly, effective January 1, 2017, we have two reportable segments, which are also our reporting units. Prior period information has been reclassified to be comparable to the presentation for 2017.</w:t>
      </w:r>
    </w:p>
    <w:p>
      <w:pPr>
        <w:spacing w:after="0" w:line="161"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Thermal includes the operations of Temptronic Corporation, Thermonics, Sigma, inTEST Thermal Solutions GmbH (Germany), inTEST Pte, Limited (Singapore) and Ambrell, which we acquired in May 2017, as discussed in Note 3.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w:t>
      </w:r>
    </w:p>
    <w:p>
      <w:pPr>
        <w:spacing w:after="0" w:line="16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86" w:lineRule="exact"/>
        <w:rPr>
          <w:sz w:val="20"/>
          <w:szCs w:val="20"/>
          <w:color w:val="auto"/>
        </w:rPr>
      </w:pPr>
    </w:p>
    <w:p>
      <w:pPr>
        <w:ind w:left="540" w:right="300"/>
        <w:spacing w:after="0" w:line="306" w:lineRule="auto"/>
        <w:rPr>
          <w:sz w:val="20"/>
          <w:szCs w:val="20"/>
          <w:color w:val="auto"/>
        </w:rPr>
      </w:pPr>
      <w:r>
        <w:rPr>
          <w:rFonts w:ascii="Arial" w:cs="Arial" w:eastAsia="Arial" w:hAnsi="Arial"/>
          <w:sz w:val="16"/>
          <w:szCs w:val="16"/>
          <w:color w:val="auto"/>
        </w:rPr>
        <w:t>We operate our business worldwide, and both segments sell their products both domestically and internationally. Both segments sell to semiconductor manufacturers, third-party test and assembly houses and ATE manufacturers. Thermal also sells into a variety of markets outside of the ATE market, including the automotive, consumer electronics, defense/aerospace, energy, industrial and telecommunications markets.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15"/>
          </w:tcPr>
          <w:p>
            <w:pPr>
              <w:jc w:val="center"/>
              <w:ind w:right="200"/>
              <w:spacing w:after="0"/>
              <w:rPr>
                <w:sz w:val="20"/>
                <w:szCs w:val="20"/>
                <w:color w:val="auto"/>
              </w:rPr>
            </w:pPr>
            <w:r>
              <w:rPr>
                <w:rFonts w:ascii="Arial" w:cs="Arial" w:eastAsia="Arial" w:hAnsi="Arial"/>
                <w:sz w:val="14"/>
                <w:szCs w:val="14"/>
                <w:b w:val="1"/>
                <w:bCs w:val="1"/>
                <w:i w:val="1"/>
                <w:iCs w:val="1"/>
                <w:color w:val="auto"/>
                <w:w w:val="82"/>
              </w:rPr>
              <w:t>Three Months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14"/>
          </w:tcPr>
          <w:p>
            <w:pPr>
              <w:jc w:val="center"/>
              <w:ind w:right="180"/>
              <w:spacing w:after="0"/>
              <w:rPr>
                <w:sz w:val="20"/>
                <w:szCs w:val="20"/>
                <w:color w:val="auto"/>
              </w:rPr>
            </w:pPr>
            <w:r>
              <w:rPr>
                <w:rFonts w:ascii="Arial" w:cs="Arial" w:eastAsia="Arial" w:hAnsi="Arial"/>
                <w:sz w:val="14"/>
                <w:szCs w:val="14"/>
                <w:b w:val="1"/>
                <w:bCs w:val="1"/>
                <w:i w:val="1"/>
                <w:iCs w:val="1"/>
                <w:color w:val="auto"/>
                <w:w w:val="84"/>
              </w:rPr>
              <w:t>Six Months Ended</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9"/>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4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gridSpan w:val="9"/>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26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76"/>
              </w:rPr>
              <w:t>2016</w:t>
            </w: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2017</w:t>
            </w: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2016</w:t>
            </w: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8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Thermal</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$ 9,194</w:t>
            </w:r>
          </w:p>
        </w:tc>
        <w:tc>
          <w:tcPr>
            <w:tcW w:w="140" w:type="dxa"/>
            <w:vAlign w:val="bottom"/>
          </w:tcPr>
          <w:p>
            <w:pPr>
              <w:spacing w:after="0"/>
              <w:rPr>
                <w:sz w:val="21"/>
                <w:szCs w:val="21"/>
                <w:color w:val="auto"/>
              </w:rPr>
            </w:pPr>
          </w:p>
        </w:tc>
        <w:tc>
          <w:tcPr>
            <w:tcW w:w="660" w:type="dxa"/>
            <w:vAlign w:val="bottom"/>
            <w:gridSpan w:val="8"/>
          </w:tcPr>
          <w:p>
            <w:pPr>
              <w:jc w:val="right"/>
              <w:spacing w:after="0"/>
              <w:rPr>
                <w:sz w:val="20"/>
                <w:szCs w:val="20"/>
                <w:color w:val="auto"/>
              </w:rPr>
            </w:pPr>
            <w:r>
              <w:rPr>
                <w:rFonts w:ascii="Arial" w:cs="Arial" w:eastAsia="Arial" w:hAnsi="Arial"/>
                <w:sz w:val="18"/>
                <w:szCs w:val="18"/>
                <w:color w:val="auto"/>
              </w:rPr>
              <w:t>$ 5,594</w:t>
            </w:r>
          </w:p>
        </w:tc>
        <w:tc>
          <w:tcPr>
            <w:tcW w:w="80" w:type="dxa"/>
            <w:vAlign w:val="bottom"/>
          </w:tcPr>
          <w:p>
            <w:pPr>
              <w:spacing w:after="0"/>
              <w:rPr>
                <w:sz w:val="21"/>
                <w:szCs w:val="21"/>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color w:val="auto"/>
                <w:w w:val="95"/>
              </w:rPr>
              <w:t>$16,970</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w w:val="98"/>
              </w:rPr>
              <w:t>$10,788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1260" w:type="dxa"/>
            <w:vAlign w:val="bottom"/>
          </w:tcPr>
          <w:p>
            <w:pPr>
              <w:spacing w:after="0"/>
              <w:rPr>
                <w:sz w:val="17"/>
                <w:szCs w:val="17"/>
                <w:color w:val="auto"/>
              </w:rPr>
            </w:pPr>
          </w:p>
        </w:tc>
        <w:tc>
          <w:tcPr>
            <w:tcW w:w="58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6,694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rPr>
              <w:t>4,891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rPr>
              <w:t>13,098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8,344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84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15,888</w:t>
            </w:r>
          </w:p>
        </w:tc>
        <w:tc>
          <w:tcPr>
            <w:tcW w:w="140" w:type="dxa"/>
            <w:vAlign w:val="bottom"/>
          </w:tcPr>
          <w:p>
            <w:pPr>
              <w:spacing w:after="0"/>
              <w:rPr>
                <w:sz w:val="19"/>
                <w:szCs w:val="19"/>
                <w:color w:val="auto"/>
              </w:rPr>
            </w:pPr>
          </w:p>
        </w:tc>
        <w:tc>
          <w:tcPr>
            <w:tcW w:w="66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10,485</w:t>
            </w:r>
          </w:p>
        </w:tc>
        <w:tc>
          <w:tcPr>
            <w:tcW w:w="80" w:type="dxa"/>
            <w:vAlign w:val="bottom"/>
          </w:tcPr>
          <w:p>
            <w:pPr>
              <w:spacing w:after="0"/>
              <w:rPr>
                <w:sz w:val="19"/>
                <w:szCs w:val="19"/>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30,068</w:t>
            </w:r>
          </w:p>
        </w:tc>
        <w:tc>
          <w:tcPr>
            <w:tcW w:w="12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w w:val="84"/>
              </w:rPr>
              <w:t>Earnings (loss) before income tax expense (benefit):</w:t>
            </w:r>
          </w:p>
        </w:tc>
        <w:tc>
          <w:tcPr>
            <w:tcW w:w="12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Thermal</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$ 1,350</w:t>
            </w:r>
          </w:p>
        </w:tc>
        <w:tc>
          <w:tcPr>
            <w:tcW w:w="140" w:type="dxa"/>
            <w:vAlign w:val="bottom"/>
          </w:tcPr>
          <w:p>
            <w:pPr>
              <w:spacing w:after="0"/>
              <w:rPr>
                <w:sz w:val="21"/>
                <w:szCs w:val="21"/>
                <w:color w:val="auto"/>
              </w:rPr>
            </w:pPr>
          </w:p>
        </w:tc>
        <w:tc>
          <w:tcPr>
            <w:tcW w:w="660" w:type="dxa"/>
            <w:vAlign w:val="bottom"/>
            <w:gridSpan w:val="8"/>
          </w:tcPr>
          <w:p>
            <w:pPr>
              <w:jc w:val="right"/>
              <w:spacing w:after="0"/>
              <w:rPr>
                <w:sz w:val="20"/>
                <w:szCs w:val="20"/>
                <w:color w:val="auto"/>
              </w:rPr>
            </w:pPr>
            <w:r>
              <w:rPr>
                <w:rFonts w:ascii="Arial" w:cs="Arial" w:eastAsia="Arial" w:hAnsi="Arial"/>
                <w:sz w:val="18"/>
                <w:szCs w:val="18"/>
                <w:color w:val="auto"/>
              </w:rPr>
              <w:t>$ 734</w:t>
            </w:r>
          </w:p>
        </w:tc>
        <w:tc>
          <w:tcPr>
            <w:tcW w:w="80" w:type="dxa"/>
            <w:vAlign w:val="bottom"/>
          </w:tcPr>
          <w:p>
            <w:pPr>
              <w:spacing w:after="0"/>
              <w:rPr>
                <w:sz w:val="21"/>
                <w:szCs w:val="21"/>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color w:val="auto"/>
              </w:rPr>
              <w:t>$ 3,196</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EMS</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21"/>
                <w:szCs w:val="21"/>
                <w:color w:val="auto"/>
              </w:rPr>
            </w:pPr>
          </w:p>
        </w:tc>
        <w:tc>
          <w:tcPr>
            <w:tcW w:w="660" w:type="dxa"/>
            <w:vAlign w:val="bottom"/>
            <w:gridSpan w:val="8"/>
          </w:tcPr>
          <w:p>
            <w:pPr>
              <w:jc w:val="right"/>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21"/>
                <w:szCs w:val="21"/>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380" w:type="dxa"/>
            <w:vAlign w:val="bottom"/>
            <w:gridSpan w:val="2"/>
          </w:tcPr>
          <w:p>
            <w:pPr>
              <w:spacing w:after="0"/>
              <w:rPr>
                <w:sz w:val="17"/>
                <w:szCs w:val="17"/>
                <w:color w:val="auto"/>
              </w:rPr>
            </w:pPr>
          </w:p>
        </w:tc>
        <w:tc>
          <w:tcPr>
            <w:tcW w:w="600" w:type="dxa"/>
            <w:vAlign w:val="bottom"/>
            <w:gridSpan w:val="6"/>
          </w:tcPr>
          <w:p>
            <w:pPr>
              <w:jc w:val="right"/>
              <w:ind w:right="100"/>
              <w:spacing w:after="0" w:line="205" w:lineRule="exact"/>
              <w:rPr>
                <w:sz w:val="20"/>
                <w:szCs w:val="20"/>
                <w:color w:val="auto"/>
              </w:rPr>
            </w:pPr>
            <w:r>
              <w:rPr>
                <w:rFonts w:ascii="Arial" w:cs="Arial" w:eastAsia="Arial" w:hAnsi="Arial"/>
                <w:sz w:val="18"/>
                <w:szCs w:val="18"/>
                <w:color w:val="auto"/>
                <w:w w:val="84"/>
              </w:rPr>
              <w:t>(1,177)</w:t>
            </w:r>
          </w:p>
        </w:tc>
        <w:tc>
          <w:tcPr>
            <w:tcW w:w="740" w:type="dxa"/>
            <w:vAlign w:val="bottom"/>
            <w:gridSpan w:val="9"/>
          </w:tcPr>
          <w:p>
            <w:pPr>
              <w:ind w:left="320"/>
              <w:spacing w:after="0" w:line="205" w:lineRule="exact"/>
              <w:rPr>
                <w:sz w:val="20"/>
                <w:szCs w:val="20"/>
                <w:color w:val="auto"/>
              </w:rPr>
            </w:pPr>
            <w:r>
              <w:rPr>
                <w:rFonts w:ascii="Arial" w:cs="Arial" w:eastAsia="Arial" w:hAnsi="Arial"/>
                <w:sz w:val="18"/>
                <w:szCs w:val="18"/>
                <w:color w:val="auto"/>
                <w:w w:val="95"/>
              </w:rPr>
              <w:t>(693)</w:t>
            </w:r>
          </w:p>
        </w:tc>
        <w:tc>
          <w:tcPr>
            <w:tcW w:w="760" w:type="dxa"/>
            <w:vAlign w:val="bottom"/>
            <w:gridSpan w:val="9"/>
          </w:tcPr>
          <w:p>
            <w:pPr>
              <w:jc w:val="right"/>
              <w:ind w:right="80"/>
              <w:spacing w:after="0" w:line="205" w:lineRule="exact"/>
              <w:rPr>
                <w:sz w:val="20"/>
                <w:szCs w:val="20"/>
                <w:color w:val="auto"/>
              </w:rPr>
            </w:pPr>
            <w:r>
              <w:rPr>
                <w:rFonts w:ascii="Arial" w:cs="Arial" w:eastAsia="Arial" w:hAnsi="Arial"/>
                <w:sz w:val="18"/>
                <w:szCs w:val="18"/>
                <w:color w:val="auto"/>
              </w:rPr>
              <w:t>(1,549)</w:t>
            </w:r>
          </w:p>
        </w:tc>
        <w:tc>
          <w:tcPr>
            <w:tcW w:w="720" w:type="dxa"/>
            <w:vAlign w:val="bottom"/>
            <w:gridSpan w:val="8"/>
          </w:tcPr>
          <w:p>
            <w:pPr>
              <w:jc w:val="right"/>
              <w:spacing w:after="0" w:line="205" w:lineRule="exact"/>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80" w:type="dxa"/>
            <w:vAlign w:val="bottom"/>
            <w:tcBorders>
              <w:right w:val="single" w:sz="8" w:color="auto"/>
            </w:tcBorders>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Pr>
          <w:p>
            <w:pPr>
              <w:spacing w:after="0"/>
              <w:rPr>
                <w:sz w:val="19"/>
                <w:szCs w:val="19"/>
                <w:color w:val="auto"/>
              </w:rPr>
            </w:pP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$ 2,336</w:t>
            </w:r>
          </w:p>
        </w:tc>
        <w:tc>
          <w:tcPr>
            <w:tcW w:w="140" w:type="dxa"/>
            <w:vAlign w:val="bottom"/>
          </w:tcPr>
          <w:p>
            <w:pPr>
              <w:spacing w:after="0"/>
              <w:rPr>
                <w:sz w:val="19"/>
                <w:szCs w:val="19"/>
                <w:color w:val="auto"/>
              </w:rPr>
            </w:pPr>
          </w:p>
        </w:tc>
        <w:tc>
          <w:tcPr>
            <w:tcW w:w="660" w:type="dxa"/>
            <w:vAlign w:val="bottom"/>
            <w:gridSpan w:val="8"/>
          </w:tcPr>
          <w:p>
            <w:pPr>
              <w:jc w:val="right"/>
              <w:spacing w:after="0"/>
              <w:rPr>
                <w:sz w:val="20"/>
                <w:szCs w:val="20"/>
                <w:color w:val="auto"/>
              </w:rPr>
            </w:pPr>
            <w:r>
              <w:rPr>
                <w:rFonts w:ascii="Arial" w:cs="Arial" w:eastAsia="Arial" w:hAnsi="Arial"/>
                <w:sz w:val="18"/>
                <w:szCs w:val="18"/>
                <w:color w:val="auto"/>
              </w:rPr>
              <w:t>$ 749</w:t>
            </w:r>
          </w:p>
        </w:tc>
        <w:tc>
          <w:tcPr>
            <w:tcW w:w="80" w:type="dxa"/>
            <w:vAlign w:val="bottom"/>
          </w:tcPr>
          <w:p>
            <w:pPr>
              <w:spacing w:after="0"/>
              <w:rPr>
                <w:sz w:val="19"/>
                <w:szCs w:val="19"/>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color w:val="auto"/>
              </w:rPr>
              <w:t>$ 5,508</w:t>
            </w:r>
          </w:p>
        </w:tc>
        <w:tc>
          <w:tcPr>
            <w:tcW w:w="12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$ 873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Thermal</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  835</w:t>
            </w:r>
          </w:p>
        </w:tc>
        <w:tc>
          <w:tcPr>
            <w:tcW w:w="140" w:type="dxa"/>
            <w:vAlign w:val="bottom"/>
          </w:tcPr>
          <w:p>
            <w:pPr>
              <w:spacing w:after="0"/>
              <w:rPr>
                <w:sz w:val="21"/>
                <w:szCs w:val="21"/>
                <w:color w:val="auto"/>
              </w:rPr>
            </w:pPr>
          </w:p>
        </w:tc>
        <w:tc>
          <w:tcPr>
            <w:tcW w:w="660" w:type="dxa"/>
            <w:vAlign w:val="bottom"/>
            <w:gridSpan w:val="8"/>
          </w:tcPr>
          <w:p>
            <w:pPr>
              <w:jc w:val="right"/>
              <w:spacing w:after="0"/>
              <w:rPr>
                <w:sz w:val="20"/>
                <w:szCs w:val="20"/>
                <w:color w:val="auto"/>
              </w:rPr>
            </w:pPr>
            <w:r>
              <w:rPr>
                <w:rFonts w:ascii="Arial" w:cs="Arial" w:eastAsia="Arial" w:hAnsi="Arial"/>
                <w:sz w:val="18"/>
                <w:szCs w:val="18"/>
                <w:color w:val="auto"/>
              </w:rPr>
              <w:t>$ 476</w:t>
            </w:r>
          </w:p>
        </w:tc>
        <w:tc>
          <w:tcPr>
            <w:tcW w:w="80" w:type="dxa"/>
            <w:vAlign w:val="bottom"/>
          </w:tcPr>
          <w:p>
            <w:pPr>
              <w:spacing w:after="0"/>
              <w:rPr>
                <w:sz w:val="21"/>
                <w:szCs w:val="21"/>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$ 849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EMS</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Pr>
          <w:p>
            <w:pPr>
              <w:spacing w:after="0"/>
              <w:rPr>
                <w:sz w:val="21"/>
                <w:szCs w:val="21"/>
                <w:color w:val="auto"/>
              </w:rPr>
            </w:pPr>
          </w:p>
        </w:tc>
        <w:tc>
          <w:tcPr>
            <w:tcW w:w="660" w:type="dxa"/>
            <w:vAlign w:val="bottom"/>
            <w:gridSpan w:val="8"/>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1"/>
                <w:szCs w:val="21"/>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380" w:type="dxa"/>
            <w:vAlign w:val="bottom"/>
            <w:gridSpan w:val="2"/>
          </w:tcPr>
          <w:p>
            <w:pPr>
              <w:spacing w:after="0"/>
              <w:rPr>
                <w:sz w:val="17"/>
                <w:szCs w:val="17"/>
                <w:color w:val="auto"/>
              </w:rPr>
            </w:pPr>
          </w:p>
        </w:tc>
        <w:tc>
          <w:tcPr>
            <w:tcW w:w="600" w:type="dxa"/>
            <w:vAlign w:val="bottom"/>
            <w:gridSpan w:val="6"/>
          </w:tcPr>
          <w:p>
            <w:pPr>
              <w:jc w:val="right"/>
              <w:ind w:right="100"/>
              <w:spacing w:after="0" w:line="205" w:lineRule="exact"/>
              <w:rPr>
                <w:sz w:val="20"/>
                <w:szCs w:val="20"/>
                <w:color w:val="auto"/>
              </w:rPr>
            </w:pPr>
            <w:r>
              <w:rPr>
                <w:rFonts w:ascii="Arial" w:cs="Arial" w:eastAsia="Arial" w:hAnsi="Arial"/>
                <w:sz w:val="18"/>
                <w:szCs w:val="18"/>
                <w:color w:val="auto"/>
              </w:rPr>
              <w:t>(728)</w:t>
            </w:r>
          </w:p>
        </w:tc>
        <w:tc>
          <w:tcPr>
            <w:tcW w:w="740" w:type="dxa"/>
            <w:vAlign w:val="bottom"/>
            <w:gridSpan w:val="9"/>
          </w:tcPr>
          <w:p>
            <w:pPr>
              <w:ind w:left="320"/>
              <w:spacing w:after="0" w:line="205" w:lineRule="exact"/>
              <w:rPr>
                <w:sz w:val="20"/>
                <w:szCs w:val="20"/>
                <w:color w:val="auto"/>
              </w:rPr>
            </w:pPr>
            <w:r>
              <w:rPr>
                <w:rFonts w:ascii="Arial" w:cs="Arial" w:eastAsia="Arial" w:hAnsi="Arial"/>
                <w:sz w:val="18"/>
                <w:szCs w:val="18"/>
                <w:color w:val="auto"/>
                <w:w w:val="95"/>
              </w:rPr>
              <w:t>(450)</w:t>
            </w:r>
          </w:p>
        </w:tc>
        <w:tc>
          <w:tcPr>
            <w:tcW w:w="760" w:type="dxa"/>
            <w:vAlign w:val="bottom"/>
            <w:gridSpan w:val="9"/>
          </w:tcPr>
          <w:p>
            <w:pPr>
              <w:jc w:val="right"/>
              <w:ind w:right="80"/>
              <w:spacing w:after="0" w:line="205" w:lineRule="exact"/>
              <w:rPr>
                <w:sz w:val="20"/>
                <w:szCs w:val="20"/>
                <w:color w:val="auto"/>
              </w:rPr>
            </w:pPr>
            <w:r>
              <w:rPr>
                <w:rFonts w:ascii="Arial" w:cs="Arial" w:eastAsia="Arial" w:hAnsi="Arial"/>
                <w:sz w:val="18"/>
                <w:szCs w:val="18"/>
                <w:color w:val="auto"/>
              </w:rPr>
              <w:t>(972)</w:t>
            </w:r>
          </w:p>
        </w:tc>
        <w:tc>
          <w:tcPr>
            <w:tcW w:w="720" w:type="dxa"/>
            <w:vAlign w:val="bottom"/>
            <w:gridSpan w:val="8"/>
          </w:tcPr>
          <w:p>
            <w:pPr>
              <w:jc w:val="right"/>
              <w:spacing w:after="0" w:line="205" w:lineRule="exact"/>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Pr>
          <w:p>
            <w:pPr>
              <w:spacing w:after="0"/>
              <w:rPr>
                <w:sz w:val="19"/>
                <w:szCs w:val="19"/>
                <w:color w:val="auto"/>
              </w:rPr>
            </w:pPr>
          </w:p>
        </w:tc>
        <w:tc>
          <w:tcPr>
            <w:tcW w:w="184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1,445</w:t>
            </w:r>
          </w:p>
        </w:tc>
        <w:tc>
          <w:tcPr>
            <w:tcW w:w="140" w:type="dxa"/>
            <w:vAlign w:val="bottom"/>
          </w:tcPr>
          <w:p>
            <w:pPr>
              <w:spacing w:after="0"/>
              <w:rPr>
                <w:sz w:val="19"/>
                <w:szCs w:val="19"/>
                <w:color w:val="auto"/>
              </w:rPr>
            </w:pPr>
          </w:p>
        </w:tc>
        <w:tc>
          <w:tcPr>
            <w:tcW w:w="660" w:type="dxa"/>
            <w:vAlign w:val="bottom"/>
            <w:gridSpan w:val="8"/>
          </w:tcPr>
          <w:p>
            <w:pPr>
              <w:jc w:val="right"/>
              <w:spacing w:after="0"/>
              <w:rPr>
                <w:sz w:val="20"/>
                <w:szCs w:val="20"/>
                <w:color w:val="auto"/>
              </w:rPr>
            </w:pPr>
            <w:r>
              <w:rPr>
                <w:rFonts w:ascii="Arial" w:cs="Arial" w:eastAsia="Arial" w:hAnsi="Arial"/>
                <w:sz w:val="18"/>
                <w:szCs w:val="18"/>
                <w:color w:val="auto"/>
              </w:rPr>
              <w:t>$ 486</w:t>
            </w:r>
          </w:p>
        </w:tc>
        <w:tc>
          <w:tcPr>
            <w:tcW w:w="80" w:type="dxa"/>
            <w:vAlign w:val="bottom"/>
          </w:tcPr>
          <w:p>
            <w:pPr>
              <w:spacing w:after="0"/>
              <w:rPr>
                <w:sz w:val="19"/>
                <w:szCs w:val="19"/>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3,523</w:t>
            </w:r>
          </w:p>
        </w:tc>
        <w:tc>
          <w:tcPr>
            <w:tcW w:w="12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$ 567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6"/>
        </w:trPr>
        <w:tc>
          <w:tcPr>
            <w:tcW w:w="3800" w:type="dxa"/>
            <w:vAlign w:val="bottom"/>
          </w:tcPr>
          <w:p>
            <w:pPr>
              <w:spacing w:after="0"/>
              <w:rPr>
                <w:sz w:val="24"/>
                <w:szCs w:val="24"/>
                <w:color w:val="auto"/>
              </w:rPr>
            </w:pPr>
          </w:p>
        </w:tc>
        <w:tc>
          <w:tcPr>
            <w:tcW w:w="1260" w:type="dxa"/>
            <w:vAlign w:val="bottom"/>
          </w:tcPr>
          <w:p>
            <w:pPr>
              <w:jc w:val="right"/>
              <w:ind w:right="792"/>
              <w:spacing w:after="0"/>
              <w:rPr>
                <w:sz w:val="20"/>
                <w:szCs w:val="20"/>
                <w:color w:val="auto"/>
              </w:rPr>
            </w:pPr>
            <w:r>
              <w:rPr>
                <w:rFonts w:ascii="Arial" w:cs="Arial" w:eastAsia="Arial" w:hAnsi="Arial"/>
                <w:sz w:val="18"/>
                <w:szCs w:val="18"/>
                <w:color w:val="auto"/>
                <w:w w:val="85"/>
              </w:rPr>
              <w:t>- 18 -</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1" w:right="299" w:bottom="24"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pacing w:after="0" w:line="242" w:lineRule="exact"/>
        <w:rPr>
          <w:sz w:val="20"/>
          <w:szCs w:val="20"/>
          <w:color w:val="auto"/>
        </w:rPr>
      </w:pPr>
    </w:p>
    <w:tbl>
      <w:tblPr>
        <w:tblLayout w:type="fixed"/>
        <w:tblInd w:w="1800" w:type="dxa"/>
        <w:tblCellMar>
          <w:top w:w="0" w:type="dxa"/>
          <w:left w:w="0" w:type="dxa"/>
          <w:bottom w:w="0" w:type="dxa"/>
          <w:right w:w="0" w:type="dxa"/>
        </w:tblCellMar>
      </w:tblPr>
      <w:tr>
        <w:trPr>
          <w:trHeight w:val="172"/>
        </w:trPr>
        <w:tc>
          <w:tcPr>
            <w:tcW w:w="6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2"/>
              </w:rPr>
              <w:t>June 30,</w:t>
            </w:r>
          </w:p>
        </w:tc>
        <w:tc>
          <w:tcPr>
            <w:tcW w:w="14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656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i w:val="1"/>
                <w:iCs w:val="1"/>
                <w:color w:val="auto"/>
              </w:rPr>
              <w:t>2017</w:t>
            </w:r>
          </w:p>
        </w:tc>
        <w:tc>
          <w:tcPr>
            <w:tcW w:w="680" w:type="dxa"/>
            <w:vAlign w:val="bottom"/>
            <w:gridSpan w:val="2"/>
          </w:tcPr>
          <w:p>
            <w:pPr>
              <w:jc w:val="right"/>
              <w:ind w:right="62"/>
              <w:spacing w:after="0"/>
              <w:rPr>
                <w:sz w:val="20"/>
                <w:szCs w:val="20"/>
                <w:color w:val="auto"/>
              </w:rPr>
            </w:pPr>
            <w:r>
              <w:rPr>
                <w:rFonts w:ascii="Arial" w:cs="Arial" w:eastAsia="Arial" w:hAnsi="Arial"/>
                <w:sz w:val="14"/>
                <w:szCs w:val="14"/>
                <w:b w:val="1"/>
                <w:bCs w:val="1"/>
                <w:i w:val="1"/>
                <w:iCs w:val="1"/>
                <w:color w:val="auto"/>
              </w:rPr>
              <w:t>2016</w:t>
            </w:r>
          </w:p>
        </w:tc>
        <w:tc>
          <w:tcPr>
            <w:tcW w:w="20" w:type="dxa"/>
            <w:vAlign w:val="bottom"/>
          </w:tcPr>
          <w:p>
            <w:pPr>
              <w:spacing w:after="0"/>
              <w:rPr>
                <w:sz w:val="14"/>
                <w:szCs w:val="14"/>
                <w:color w:val="auto"/>
              </w:rPr>
            </w:pPr>
          </w:p>
        </w:tc>
      </w:tr>
      <w:tr>
        <w:trPr>
          <w:trHeight w:val="262"/>
        </w:trPr>
        <w:tc>
          <w:tcPr>
            <w:tcW w:w="656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5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Thermal</w:t>
            </w:r>
          </w:p>
        </w:tc>
        <w:tc>
          <w:tcPr>
            <w:tcW w:w="520" w:type="dxa"/>
            <w:vAlign w:val="bottom"/>
          </w:tcPr>
          <w:p>
            <w:pPr>
              <w:jc w:val="right"/>
              <w:spacing w:after="0"/>
              <w:rPr>
                <w:sz w:val="20"/>
                <w:szCs w:val="20"/>
                <w:color w:val="auto"/>
              </w:rPr>
            </w:pPr>
            <w:r>
              <w:rPr>
                <w:rFonts w:ascii="Arial" w:cs="Arial" w:eastAsia="Arial" w:hAnsi="Arial"/>
                <w:sz w:val="18"/>
                <w:szCs w:val="18"/>
                <w:color w:val="auto"/>
                <w:w w:val="76"/>
              </w:rPr>
              <w:t>$47,218</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$19,893</w:t>
            </w:r>
          </w:p>
        </w:tc>
      </w:tr>
      <w:tr>
        <w:trPr>
          <w:trHeight w:val="205"/>
        </w:trPr>
        <w:tc>
          <w:tcPr>
            <w:tcW w:w="656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5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9,486</w:t>
            </w:r>
          </w:p>
        </w:tc>
        <w:tc>
          <w:tcPr>
            <w:tcW w:w="140" w:type="dxa"/>
            <w:vAlign w:val="bottom"/>
          </w:tcPr>
          <w:p>
            <w:pPr>
              <w:spacing w:after="0"/>
              <w:rPr>
                <w:sz w:val="17"/>
                <w:szCs w:val="17"/>
                <w:color w:val="auto"/>
              </w:rPr>
            </w:pPr>
          </w:p>
        </w:tc>
        <w:tc>
          <w:tcPr>
            <w:tcW w:w="5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98"/>
              </w:rPr>
              <w:t>22,951</w:t>
            </w:r>
          </w:p>
        </w:tc>
      </w:tr>
      <w:tr>
        <w:trPr>
          <w:trHeight w:val="223"/>
        </w:trPr>
        <w:tc>
          <w:tcPr>
            <w:tcW w:w="6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56,704</w:t>
            </w: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42,844</w:t>
            </w:r>
          </w:p>
        </w:tc>
      </w:tr>
      <w:tr>
        <w:trPr>
          <w:trHeight w:val="20"/>
        </w:trPr>
        <w:tc>
          <w:tcPr>
            <w:tcW w:w="656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60" w:type="dxa"/>
            <w:vAlign w:val="bottom"/>
            <w:gridSpan w:val="13"/>
          </w:tcPr>
          <w:p>
            <w:pPr>
              <w:jc w:val="right"/>
              <w:ind w:right="14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11"/>
          </w:tcPr>
          <w:p>
            <w:pPr>
              <w:jc w:val="right"/>
              <w:ind w:right="14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3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6"/>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6"/>
          </w:tcPr>
          <w:p>
            <w:pPr>
              <w:jc w:val="right"/>
              <w:ind w:right="4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6"/>
        </w:trPr>
        <w:tc>
          <w:tcPr>
            <w:tcW w:w="3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rPr>
              <w:t>2017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720" w:type="dxa"/>
            <w:vAlign w:val="bottom"/>
            <w:gridSpan w:val="6"/>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2017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5"/>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U.S.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2,903</w:t>
            </w: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$ 7,466</w:t>
            </w:r>
          </w:p>
        </w:tc>
        <w:tc>
          <w:tcPr>
            <w:tcW w:w="720" w:type="dxa"/>
            <w:vAlign w:val="bottom"/>
            <w:gridSpan w:val="8"/>
          </w:tcPr>
          <w:p>
            <w:pPr>
              <w:jc w:val="right"/>
              <w:spacing w:after="0"/>
              <w:rPr>
                <w:sz w:val="20"/>
                <w:szCs w:val="20"/>
                <w:color w:val="auto"/>
              </w:rPr>
            </w:pPr>
            <w:r>
              <w:rPr>
                <w:rFonts w:ascii="Arial" w:cs="Arial" w:eastAsia="Arial" w:hAnsi="Arial"/>
                <w:sz w:val="18"/>
                <w:szCs w:val="18"/>
                <w:color w:val="auto"/>
              </w:rPr>
              <w:t>$ 5,630</w:t>
            </w:r>
          </w:p>
        </w:tc>
      </w:tr>
      <w:tr>
        <w:trPr>
          <w:trHeight w:val="205"/>
        </w:trPr>
        <w:tc>
          <w:tcPr>
            <w:tcW w:w="346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6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87"/>
              </w:rPr>
              <w:t>11,308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7,582</w:t>
            </w:r>
          </w:p>
        </w:tc>
        <w:tc>
          <w:tcPr>
            <w:tcW w:w="160" w:type="dxa"/>
            <w:vAlign w:val="bottom"/>
          </w:tcPr>
          <w:p>
            <w:pPr>
              <w:spacing w:after="0"/>
              <w:rPr>
                <w:sz w:val="17"/>
                <w:szCs w:val="17"/>
                <w:color w:val="auto"/>
              </w:rPr>
            </w:pPr>
          </w:p>
        </w:tc>
        <w:tc>
          <w:tcPr>
            <w:tcW w:w="56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w w:val="98"/>
              </w:rPr>
              <w:t>22,602</w:t>
            </w:r>
          </w:p>
        </w:tc>
        <w:tc>
          <w:tcPr>
            <w:tcW w:w="160" w:type="dxa"/>
            <w:vAlign w:val="bottom"/>
          </w:tcPr>
          <w:p>
            <w:pPr>
              <w:spacing w:after="0"/>
              <w:rPr>
                <w:sz w:val="17"/>
                <w:szCs w:val="17"/>
                <w:color w:val="auto"/>
              </w:rPr>
            </w:pPr>
          </w:p>
        </w:tc>
        <w:tc>
          <w:tcPr>
            <w:tcW w:w="56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w w:val="98"/>
              </w:rPr>
              <w:t>13,502</w:t>
            </w:r>
          </w:p>
        </w:tc>
      </w:tr>
      <w:tr>
        <w:trPr>
          <w:trHeight w:val="223"/>
        </w:trPr>
        <w:tc>
          <w:tcPr>
            <w:tcW w:w="34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15,888</w:t>
            </w: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10,485</w:t>
            </w:r>
          </w:p>
        </w:tc>
        <w:tc>
          <w:tcPr>
            <w:tcW w:w="7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30,068</w:t>
            </w:r>
          </w:p>
        </w:tc>
        <w:tc>
          <w:tcPr>
            <w:tcW w:w="72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19,132</w:t>
            </w:r>
          </w:p>
        </w:tc>
      </w:tr>
      <w:tr>
        <w:trPr>
          <w:trHeight w:val="428"/>
        </w:trPr>
        <w:tc>
          <w:tcPr>
            <w:tcW w:w="3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4"/>
                <w:szCs w:val="14"/>
                <w:b w:val="1"/>
                <w:bCs w:val="1"/>
                <w:i w:val="1"/>
                <w:iCs w:val="1"/>
                <w:color w:val="auto"/>
                <w:w w:val="85"/>
              </w:rPr>
              <w:t>June 30,</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gridSpan w:val="6"/>
          </w:tcPr>
          <w:p>
            <w:pPr>
              <w:jc w:val="right"/>
              <w:ind w:right="8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3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2017</w:t>
            </w:r>
          </w:p>
        </w:tc>
        <w:tc>
          <w:tcPr>
            <w:tcW w:w="80" w:type="dxa"/>
            <w:vAlign w:val="bottom"/>
          </w:tcPr>
          <w:p>
            <w:pPr>
              <w:spacing w:after="0"/>
              <w:rPr>
                <w:sz w:val="12"/>
                <w:szCs w:val="12"/>
                <w:color w:val="auto"/>
              </w:rPr>
            </w:pPr>
          </w:p>
        </w:tc>
        <w:tc>
          <w:tcPr>
            <w:tcW w:w="620" w:type="dxa"/>
            <w:vAlign w:val="bottom"/>
            <w:gridSpan w:val="6"/>
          </w:tcPr>
          <w:p>
            <w:pPr>
              <w:jc w:val="right"/>
              <w:ind w:right="60"/>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5"/>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U.S.</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$1,125</w:t>
            </w:r>
          </w:p>
        </w:tc>
        <w:tc>
          <w:tcPr>
            <w:tcW w:w="3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691</w:t>
            </w:r>
          </w:p>
        </w:tc>
      </w:tr>
      <w:tr>
        <w:trPr>
          <w:trHeight w:val="205"/>
        </w:trPr>
        <w:tc>
          <w:tcPr>
            <w:tcW w:w="346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400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253</w:t>
            </w:r>
          </w:p>
        </w:tc>
      </w:tr>
      <w:tr>
        <w:trPr>
          <w:trHeight w:val="223"/>
        </w:trPr>
        <w:tc>
          <w:tcPr>
            <w:tcW w:w="3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1,525</w:t>
            </w:r>
          </w:p>
        </w:tc>
        <w:tc>
          <w:tcPr>
            <w:tcW w:w="3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944</w:t>
            </w:r>
          </w:p>
        </w:tc>
      </w:tr>
      <w:tr>
        <w:trPr>
          <w:trHeight w:val="20"/>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- 19 -</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40" w:right="166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2016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ectPr>
          <w:pgSz w:w="11900" w:h="16838" w:orient="portrait"/>
          <w:cols w:equalWidth="0" w:num="1">
            <w:col w:w="11340"/>
          </w:cols>
          <w:pgMar w:left="240" w:top="125" w:right="319" w:bottom="0" w:gutter="0" w:footer="0" w:header="0"/>
        </w:sectPr>
      </w:pPr>
    </w:p>
    <w:bookmarkStart w:id="16" w:name="page17"/>
    <w:bookmarkEnd w:id="16"/>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2016 Form 10-K. Material changes to such risk factors may be reported in subsequent Quarterly Reports on Form 10-Q in Part II, Item 1A. There have been no such changes from the risk factors set forth in our 2016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As further discussed below, on May 24, 2017, we acquired Ambrell. Ambrell sells its products almost exclusively to customers in the industrial market which is a non-ATE market. We expect that the acquisition of Ambrell will significantly reduce our dependence on customers in the ATE market. We expect that our future orders and net revenues will be approximately equally split between the ATE and non-ATE markets.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4"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color w:val="auto"/>
        </w:rPr>
        <w:t>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42"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As part of our ongoing strategy to reduce the impact of ATE market volatility on our business operations, we continue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While market share statistics exist for some of the markets we serve outside the ATE market, due to the nature of our highly specialized product offerings in these non-ATE markets, we do not expect broad market penetration in many of these markets and, therefore, do not anticipate developing meaningful market shares in these non-ATE markets. In addition, our orders and net revenues in any given period in these markets do not necessarily reflect the overall trends in these non-ATE markets due to our limited market shares. Consequently, we are continuing to evaluate buying patterns and opportunities for growth in these non-ATE markets that may affect our performance. The level of our orders and net revenues from these non-ATE markets has varied in the past, and we expect will vary significantly in the future, as we work to build our presence in these markets and establish new markets for our products. As previously mentioned, Ambrell, which we acquired in May 2017, sells its products almost exclusively to customers in the industrial market, which is one of the non-ATE markets we serve. We expect that the acquisition of Ambrell will significantly increase our orders and net revenues from markets outside the ATE market. As a result, we expect that our future orders and net revenues will be approximately equally split between the ATE and non-ATE markets.</w:t>
      </w:r>
    </w:p>
    <w:p>
      <w:pPr>
        <w:spacing w:after="0" w:line="175"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original equipment manufacturers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OEMs specifying other suppliers as primary vendors, with less frequent opportunities to compete for such designations, (iii) the in-house manufacturing activities of OEMs building certain products we have historically sold to them, including manipulators, docking hardware and tester interfaces,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 to be successful in obtaining the sale or causing loss of the sale).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w:t>
      </w:r>
    </w:p>
    <w:p>
      <w:pPr>
        <w:sectPr>
          <w:pgSz w:w="11900" w:h="16838" w:orient="portrait"/>
          <w:cols w:equalWidth="0" w:num="1">
            <w:col w:w="11400"/>
          </w:cols>
          <w:pgMar w:left="240" w:top="347" w:right="259" w:bottom="0" w:gutter="0" w:footer="0" w:header="0"/>
        </w:sectPr>
      </w:pPr>
    </w:p>
    <w:bookmarkStart w:id="17" w:name="page18"/>
    <w:bookmarkEnd w:id="17"/>
    <w:p>
      <w:pPr>
        <w:ind w:left="540" w:right="220"/>
        <w:spacing w:after="0" w:line="294" w:lineRule="auto"/>
        <w:rPr>
          <w:sz w:val="20"/>
          <w:szCs w:val="20"/>
          <w:color w:val="auto"/>
        </w:rPr>
      </w:pPr>
      <w:r>
        <w:rPr>
          <w:rFonts w:ascii="Arial" w:cs="Arial" w:eastAsia="Arial" w:hAnsi="Arial"/>
          <w:sz w:val="16"/>
          <w:szCs w:val="16"/>
          <w:color w:val="auto"/>
        </w:rPr>
        <w:t>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jc w:val="both"/>
        <w:ind w:left="540" w:right="180"/>
        <w:spacing w:after="0" w:line="256" w:lineRule="auto"/>
        <w:rPr>
          <w:sz w:val="20"/>
          <w:szCs w:val="20"/>
          <w:color w:val="auto"/>
        </w:rPr>
      </w:pPr>
      <w:r>
        <w:rPr>
          <w:rFonts w:ascii="Arial" w:cs="Arial" w:eastAsia="Arial" w:hAnsi="Arial"/>
          <w:sz w:val="18"/>
          <w:szCs w:val="18"/>
          <w:color w:val="auto"/>
        </w:rPr>
        <w:t>On May 24, 2017, we completed the acquisition of Ambrell by acquiring all of the outstanding capital stock of Ambrell. Ambrell is a manufacturer of precision induction heating systems. Ambrell's systems are used to conduct fast, efficient, repeatable non-contact heating of metals or other electrically conductive materials, in order to transform raw materials into finished parts. The Ambrell acquisition will complement our current thermal technologies and broaden our diverse customer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base, allowing expansion within many non-ATE related markets, such as consumer product packaging, fiber-optics, automotive and other markets. This acquisition has been accounted for as a business combination using purchase accounting. The purchase price for Ambrell was $22 million in cash paid at closing, subject to a customary post-closing working capital adjustment. Additional consideration in the form of earnouts may be paid based upon a multiple of adjusted EBITDA for 2017 and 2018. The 2017 and 2018 earnouts, in the aggregate, are capped at $18 million. For further discussion of the acquisition, see Note 3 to our consolidated financial statements.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for the periods indicated, a breakdown of the orders received by product segment and market (in thousands).</w:t>
      </w:r>
    </w:p>
    <w:p>
      <w:pPr>
        <w:spacing w:after="0" w:line="247"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3"/>
              </w:rPr>
              <w:t>Three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5"/>
          </w:tcPr>
          <w:p>
            <w:pPr>
              <w:jc w:val="center"/>
              <w:ind w:right="280"/>
              <w:spacing w:after="0"/>
              <w:rPr>
                <w:sz w:val="20"/>
                <w:szCs w:val="20"/>
                <w:color w:val="auto"/>
              </w:rPr>
            </w:pPr>
            <w:r>
              <w:rPr>
                <w:rFonts w:ascii="Arial" w:cs="Arial" w:eastAsia="Arial" w:hAnsi="Arial"/>
                <w:sz w:val="14"/>
                <w:szCs w:val="14"/>
                <w:b w:val="1"/>
                <w:bCs w:val="1"/>
                <w:i w:val="1"/>
                <w:iCs w:val="1"/>
                <w:color w:val="auto"/>
                <w:w w:val="89"/>
              </w:rPr>
              <w:t>Three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10"/>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6"/>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gridSpan w:val="2"/>
          </w:tcPr>
          <w:p>
            <w:pPr>
              <w:ind w:left="100"/>
              <w:spacing w:after="0" w:line="146" w:lineRule="exact"/>
              <w:rPr>
                <w:sz w:val="20"/>
                <w:szCs w:val="20"/>
                <w:color w:val="auto"/>
              </w:rPr>
            </w:pPr>
            <w:r>
              <w:rPr>
                <w:rFonts w:ascii="Arial" w:cs="Arial" w:eastAsia="Arial" w:hAnsi="Arial"/>
                <w:sz w:val="14"/>
                <w:szCs w:val="14"/>
                <w:b w:val="1"/>
                <w:bCs w:val="1"/>
                <w:i w:val="1"/>
                <w:iCs w:val="1"/>
                <w:color w:val="auto"/>
                <w:w w:val="81"/>
              </w:rPr>
              <w:t>Change</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gridSpan w:val="4"/>
          </w:tcPr>
          <w:p>
            <w:pPr>
              <w:ind w:left="14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40" w:type="dxa"/>
            <w:vAlign w:val="bottom"/>
            <w:gridSpan w:val="2"/>
          </w:tcPr>
          <w:p>
            <w:pPr>
              <w:spacing w:after="0"/>
              <w:rPr>
                <w:sz w:val="12"/>
                <w:szCs w:val="12"/>
                <w:color w:val="auto"/>
              </w:rPr>
            </w:pPr>
          </w:p>
        </w:tc>
      </w:tr>
      <w:tr>
        <w:trPr>
          <w:trHeight w:val="223"/>
        </w:trPr>
        <w:tc>
          <w:tcPr>
            <w:tcW w:w="34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4"/>
                <w:szCs w:val="14"/>
                <w:b w:val="1"/>
                <w:bCs w:val="1"/>
                <w:i w:val="1"/>
                <w:iCs w:val="1"/>
                <w:color w:val="auto"/>
                <w:w w:val="96"/>
              </w:rPr>
              <w:t>2016</w:t>
            </w:r>
          </w:p>
        </w:tc>
        <w:tc>
          <w:tcPr>
            <w:tcW w:w="60" w:type="dxa"/>
            <w:vAlign w:val="bottom"/>
          </w:tcPr>
          <w:p>
            <w:pPr>
              <w:spacing w:after="0"/>
              <w:rPr>
                <w:sz w:val="19"/>
                <w:szCs w:val="19"/>
                <w:color w:val="auto"/>
              </w:rPr>
            </w:pPr>
          </w:p>
        </w:tc>
        <w:tc>
          <w:tcPr>
            <w:tcW w:w="560" w:type="dxa"/>
            <w:vAlign w:val="bottom"/>
            <w:gridSpan w:val="3"/>
          </w:tcPr>
          <w:p>
            <w:pPr>
              <w:jc w:val="right"/>
              <w:ind w:right="17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0" w:type="dxa"/>
            <w:vAlign w:val="bottom"/>
          </w:tcPr>
          <w:p>
            <w:pPr>
              <w:spacing w:after="0"/>
              <w:rPr>
                <w:sz w:val="19"/>
                <w:szCs w:val="19"/>
                <w:color w:val="auto"/>
              </w:rPr>
            </w:pPr>
          </w:p>
        </w:tc>
        <w:tc>
          <w:tcPr>
            <w:tcW w:w="380" w:type="dxa"/>
            <w:vAlign w:val="bottom"/>
            <w:gridSpan w:val="4"/>
          </w:tcPr>
          <w:p>
            <w:pPr>
              <w:jc w:val="right"/>
              <w:ind w:right="240"/>
              <w:spacing w:after="0"/>
              <w:rPr>
                <w:sz w:val="20"/>
                <w:szCs w:val="20"/>
                <w:color w:val="auto"/>
              </w:rPr>
            </w:pPr>
            <w:r>
              <w:rPr>
                <w:rFonts w:ascii="Arial" w:cs="Arial" w:eastAsia="Arial" w:hAnsi="Arial"/>
                <w:sz w:val="14"/>
                <w:szCs w:val="14"/>
                <w:b w:val="1"/>
                <w:bCs w:val="1"/>
                <w:i w:val="1"/>
                <w:iCs w:val="1"/>
                <w:color w:val="auto"/>
                <w:w w:val="96"/>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15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 w:type="dxa"/>
            <w:vAlign w:val="bottom"/>
          </w:tcPr>
          <w:p>
            <w:pPr>
              <w:spacing w:after="0"/>
              <w:rPr>
                <w:sz w:val="19"/>
                <w:szCs w:val="19"/>
                <w:color w:val="auto"/>
              </w:rPr>
            </w:pPr>
          </w:p>
        </w:tc>
        <w:tc>
          <w:tcPr>
            <w:tcW w:w="62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w:t>
            </w:r>
          </w:p>
        </w:tc>
      </w:tr>
      <w:tr>
        <w:trPr>
          <w:trHeight w:val="235"/>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Thermal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8,775</w:t>
            </w:r>
          </w:p>
        </w:tc>
        <w:tc>
          <w:tcPr>
            <w:tcW w:w="1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8,186</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  589</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7,260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$ 1,515</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21 %</w:t>
            </w: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10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5,817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rPr>
              <w:t>4,413</w:t>
            </w:r>
          </w:p>
        </w:tc>
        <w:tc>
          <w:tcPr>
            <w:tcW w:w="760" w:type="dxa"/>
            <w:vAlign w:val="bottom"/>
            <w:gridSpan w:val="4"/>
          </w:tcPr>
          <w:p>
            <w:pPr>
              <w:jc w:val="right"/>
              <w:ind w:right="200"/>
              <w:spacing w:after="0" w:line="205" w:lineRule="exact"/>
              <w:rPr>
                <w:sz w:val="20"/>
                <w:szCs w:val="20"/>
                <w:color w:val="auto"/>
              </w:rPr>
            </w:pPr>
            <w:r>
              <w:rPr>
                <w:rFonts w:ascii="Arial" w:cs="Arial" w:eastAsia="Arial" w:hAnsi="Arial"/>
                <w:sz w:val="18"/>
                <w:szCs w:val="18"/>
                <w:color w:val="auto"/>
              </w:rPr>
              <w:t>1,404</w:t>
            </w:r>
          </w:p>
        </w:tc>
        <w:tc>
          <w:tcPr>
            <w:tcW w:w="3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3"/>
              </w:rPr>
              <w:t>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7,772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(1.955)</w:t>
            </w:r>
          </w:p>
        </w:tc>
        <w:tc>
          <w:tcPr>
            <w:tcW w:w="6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(25)%</w:t>
            </w:r>
          </w:p>
        </w:tc>
      </w:tr>
      <w:tr>
        <w:trPr>
          <w:trHeight w:val="20"/>
        </w:trPr>
        <w:tc>
          <w:tcPr>
            <w:tcW w:w="3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223"/>
        </w:trPr>
        <w:tc>
          <w:tcPr>
            <w:tcW w:w="3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14,592</w:t>
            </w:r>
          </w:p>
        </w:tc>
        <w:tc>
          <w:tcPr>
            <w:tcW w:w="1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w w:val="83"/>
              </w:rPr>
              <w:t>12,599</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1,993</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16%</w:t>
            </w:r>
          </w:p>
        </w:tc>
        <w:tc>
          <w:tcPr>
            <w:tcW w:w="3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15,032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(440)</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20" w:type="dxa"/>
            <w:vAlign w:val="bottom"/>
            <w:tcBorders>
              <w:left w:val="single" w:sz="8" w:color="auto"/>
            </w:tcBorders>
            <w:gridSpan w:val="4"/>
          </w:tcPr>
          <w:p>
            <w:pPr>
              <w:spacing w:after="0" w:line="20" w:lineRule="exact"/>
              <w:rPr>
                <w:sz w:val="1"/>
                <w:szCs w:val="1"/>
                <w:color w:val="auto"/>
              </w:rPr>
            </w:pPr>
          </w:p>
        </w:tc>
      </w:tr>
      <w:tr>
        <w:trPr>
          <w:trHeight w:val="505"/>
        </w:trPr>
        <w:tc>
          <w:tcPr>
            <w:tcW w:w="3440" w:type="dxa"/>
            <w:vAlign w:val="bottom"/>
          </w:tcPr>
          <w:p>
            <w:pPr>
              <w:spacing w:after="0"/>
              <w:rPr>
                <w:sz w:val="20"/>
                <w:szCs w:val="20"/>
                <w:color w:val="auto"/>
              </w:rPr>
            </w:pPr>
            <w:r>
              <w:rPr>
                <w:rFonts w:ascii="Arial" w:cs="Arial" w:eastAsia="Arial" w:hAnsi="Arial"/>
                <w:sz w:val="18"/>
                <w:szCs w:val="18"/>
                <w:color w:val="auto"/>
              </w:rPr>
              <w:t>ATE market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8,689</w:t>
            </w:r>
          </w:p>
        </w:tc>
        <w:tc>
          <w:tcPr>
            <w:tcW w:w="1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8,217</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  472</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$11,559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8"/>
              </w:rPr>
              <w:t>$(2,968)</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(25)%</w:t>
            </w: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10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5,903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rPr>
              <w:t>4,382</w:t>
            </w:r>
          </w:p>
        </w:tc>
        <w:tc>
          <w:tcPr>
            <w:tcW w:w="760" w:type="dxa"/>
            <w:vAlign w:val="bottom"/>
            <w:gridSpan w:val="4"/>
          </w:tcPr>
          <w:p>
            <w:pPr>
              <w:jc w:val="right"/>
              <w:ind w:right="200"/>
              <w:spacing w:after="0" w:line="205" w:lineRule="exact"/>
              <w:rPr>
                <w:sz w:val="20"/>
                <w:szCs w:val="20"/>
                <w:color w:val="auto"/>
              </w:rPr>
            </w:pPr>
            <w:r>
              <w:rPr>
                <w:rFonts w:ascii="Arial" w:cs="Arial" w:eastAsia="Arial" w:hAnsi="Arial"/>
                <w:sz w:val="18"/>
                <w:szCs w:val="18"/>
                <w:color w:val="auto"/>
              </w:rPr>
              <w:t>1,521</w:t>
            </w:r>
          </w:p>
        </w:tc>
        <w:tc>
          <w:tcPr>
            <w:tcW w:w="3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3"/>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3,473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2,528</w:t>
            </w:r>
          </w:p>
        </w:tc>
        <w:tc>
          <w:tcPr>
            <w:tcW w:w="6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70 %</w:t>
            </w:r>
          </w:p>
        </w:tc>
      </w:tr>
      <w:tr>
        <w:trPr>
          <w:trHeight w:val="20"/>
        </w:trPr>
        <w:tc>
          <w:tcPr>
            <w:tcW w:w="3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223"/>
        </w:trPr>
        <w:tc>
          <w:tcPr>
            <w:tcW w:w="3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14,592</w:t>
            </w:r>
          </w:p>
        </w:tc>
        <w:tc>
          <w:tcPr>
            <w:tcW w:w="1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w w:val="83"/>
              </w:rPr>
              <w:t>12,599</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1,993</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16%</w:t>
            </w:r>
          </w:p>
        </w:tc>
        <w:tc>
          <w:tcPr>
            <w:tcW w:w="3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15,032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(440)</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66"/>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Six</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10"/>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6"/>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gridSpan w:val="2"/>
          </w:tcPr>
          <w:p>
            <w:pPr>
              <w:ind w:left="100"/>
              <w:spacing w:after="0" w:line="146" w:lineRule="exact"/>
              <w:rPr>
                <w:sz w:val="20"/>
                <w:szCs w:val="20"/>
                <w:color w:val="auto"/>
              </w:rPr>
            </w:pPr>
            <w:r>
              <w:rPr>
                <w:rFonts w:ascii="Arial" w:cs="Arial" w:eastAsia="Arial" w:hAnsi="Arial"/>
                <w:sz w:val="14"/>
                <w:szCs w:val="14"/>
                <w:b w:val="1"/>
                <w:bCs w:val="1"/>
                <w:i w:val="1"/>
                <w:iCs w:val="1"/>
                <w:color w:val="auto"/>
                <w:w w:val="81"/>
              </w:rPr>
              <w:t>Change</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23"/>
        </w:trPr>
        <w:tc>
          <w:tcPr>
            <w:tcW w:w="34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4"/>
                <w:szCs w:val="14"/>
                <w:b w:val="1"/>
                <w:bCs w:val="1"/>
                <w:i w:val="1"/>
                <w:iCs w:val="1"/>
                <w:color w:val="auto"/>
                <w:w w:val="96"/>
              </w:rPr>
              <w:t>2016</w:t>
            </w:r>
          </w:p>
        </w:tc>
        <w:tc>
          <w:tcPr>
            <w:tcW w:w="60" w:type="dxa"/>
            <w:vAlign w:val="bottom"/>
          </w:tcPr>
          <w:p>
            <w:pPr>
              <w:spacing w:after="0"/>
              <w:rPr>
                <w:sz w:val="19"/>
                <w:szCs w:val="19"/>
                <w:color w:val="auto"/>
              </w:rPr>
            </w:pPr>
          </w:p>
        </w:tc>
        <w:tc>
          <w:tcPr>
            <w:tcW w:w="560" w:type="dxa"/>
            <w:vAlign w:val="bottom"/>
            <w:gridSpan w:val="3"/>
          </w:tcPr>
          <w:p>
            <w:pPr>
              <w:jc w:val="right"/>
              <w:ind w:right="17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0" w:type="dxa"/>
            <w:vAlign w:val="bottom"/>
          </w:tcPr>
          <w:p>
            <w:pPr>
              <w:spacing w:after="0"/>
              <w:rPr>
                <w:sz w:val="19"/>
                <w:szCs w:val="19"/>
                <w:color w:val="auto"/>
              </w:rPr>
            </w:pPr>
          </w:p>
        </w:tc>
        <w:tc>
          <w:tcPr>
            <w:tcW w:w="380" w:type="dxa"/>
            <w:vAlign w:val="bottom"/>
            <w:gridSpan w:val="4"/>
          </w:tcPr>
          <w:p>
            <w:pPr>
              <w:jc w:val="right"/>
              <w:ind w:right="240"/>
              <w:spacing w:after="0"/>
              <w:rPr>
                <w:sz w:val="20"/>
                <w:szCs w:val="20"/>
                <w:color w:val="auto"/>
              </w:rPr>
            </w:pPr>
            <w:r>
              <w:rPr>
                <w:rFonts w:ascii="Arial" w:cs="Arial" w:eastAsia="Arial" w:hAnsi="Arial"/>
                <w:sz w:val="14"/>
                <w:szCs w:val="14"/>
                <w:b w:val="1"/>
                <w:bCs w:val="1"/>
                <w:i w:val="1"/>
                <w:iCs w:val="1"/>
                <w:color w:val="auto"/>
                <w:w w:val="96"/>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5"/>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Thermal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16,035</w:t>
            </w:r>
          </w:p>
        </w:tc>
        <w:tc>
          <w:tcPr>
            <w:tcW w:w="1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w w:val="83"/>
              </w:rPr>
              <w:t>13,302</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$2,733</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10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3"/>
              </w:rPr>
              <w:t>13,589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rPr>
              <w:t>9,135</w:t>
            </w:r>
          </w:p>
        </w:tc>
        <w:tc>
          <w:tcPr>
            <w:tcW w:w="760" w:type="dxa"/>
            <w:vAlign w:val="bottom"/>
            <w:gridSpan w:val="4"/>
          </w:tcPr>
          <w:p>
            <w:pPr>
              <w:jc w:val="right"/>
              <w:ind w:right="200"/>
              <w:spacing w:after="0" w:line="205" w:lineRule="exact"/>
              <w:rPr>
                <w:sz w:val="20"/>
                <w:szCs w:val="20"/>
                <w:color w:val="auto"/>
              </w:rPr>
            </w:pPr>
            <w:r>
              <w:rPr>
                <w:rFonts w:ascii="Arial" w:cs="Arial" w:eastAsia="Arial" w:hAnsi="Arial"/>
                <w:sz w:val="18"/>
                <w:szCs w:val="18"/>
                <w:color w:val="auto"/>
              </w:rPr>
              <w:t>4,454</w:t>
            </w:r>
          </w:p>
        </w:tc>
        <w:tc>
          <w:tcPr>
            <w:tcW w:w="3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3"/>
              </w:rPr>
              <w:t>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29,624</w:t>
            </w:r>
          </w:p>
        </w:tc>
        <w:tc>
          <w:tcPr>
            <w:tcW w:w="1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w w:val="83"/>
              </w:rPr>
              <w:t>22,437</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7,187</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05"/>
        </w:trPr>
        <w:tc>
          <w:tcPr>
            <w:tcW w:w="3440" w:type="dxa"/>
            <w:vAlign w:val="bottom"/>
          </w:tcPr>
          <w:p>
            <w:pPr>
              <w:spacing w:after="0"/>
              <w:rPr>
                <w:sz w:val="20"/>
                <w:szCs w:val="20"/>
                <w:color w:val="auto"/>
              </w:rPr>
            </w:pPr>
            <w:r>
              <w:rPr>
                <w:rFonts w:ascii="Arial" w:cs="Arial" w:eastAsia="Arial" w:hAnsi="Arial"/>
                <w:sz w:val="18"/>
                <w:szCs w:val="18"/>
                <w:color w:val="auto"/>
              </w:rPr>
              <w:t>ATE market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20,248</w:t>
            </w:r>
          </w:p>
        </w:tc>
        <w:tc>
          <w:tcPr>
            <w:tcW w:w="1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w w:val="83"/>
              </w:rPr>
              <w:t>16,064</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$4,184</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10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9,376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rPr>
              <w:t>6,373</w:t>
            </w:r>
          </w:p>
        </w:tc>
        <w:tc>
          <w:tcPr>
            <w:tcW w:w="760" w:type="dxa"/>
            <w:vAlign w:val="bottom"/>
            <w:gridSpan w:val="4"/>
          </w:tcPr>
          <w:p>
            <w:pPr>
              <w:jc w:val="right"/>
              <w:ind w:right="200"/>
              <w:spacing w:after="0" w:line="205" w:lineRule="exact"/>
              <w:rPr>
                <w:sz w:val="20"/>
                <w:szCs w:val="20"/>
                <w:color w:val="auto"/>
              </w:rPr>
            </w:pPr>
            <w:r>
              <w:rPr>
                <w:rFonts w:ascii="Arial" w:cs="Arial" w:eastAsia="Arial" w:hAnsi="Arial"/>
                <w:sz w:val="18"/>
                <w:szCs w:val="18"/>
                <w:color w:val="auto"/>
              </w:rPr>
              <w:t>3.003</w:t>
            </w:r>
          </w:p>
        </w:tc>
        <w:tc>
          <w:tcPr>
            <w:tcW w:w="3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3"/>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29,624</w:t>
            </w:r>
          </w:p>
        </w:tc>
        <w:tc>
          <w:tcPr>
            <w:tcW w:w="1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w w:val="83"/>
              </w:rPr>
              <w:t>22,437</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7,187</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Total consolidated orders for the quarter ended June 30, 2017 were $14.6 million compared to $12.6 million for the same period in 2016 and $15.0 million for the quarter ended March 31, 2017. During the quarter ended June 30, 2017, the orders of our Thermal segment included $2.3 million of orders attributable to Ambrell, which we acquired on May 24, 2017, as previously discussed. Of the orders attributable to Ambrell, $98,000 were from customers in the ATE market and the balance were from non-ATE market customers. Adjusted to eliminate the impact of the orders attributable to Ambrell, our consolidated orders would have decreased $333,000, or 3%, as compared to the same period in 2016, and $2.8 million, or 18%, as compared to the first quarter of 2017. We attribute the reduction in demand during the second quarter of 2017 as compared to the first quarter of the year to a shift in the timing of orders being placed by our ATE customers. We believe that the increase in demand that we typically see in the second quarter of the year came earlier than it historically has (during the fourth quarter of 2016 and the first quarter of 2017) and contributed, in part, to the significant growth in order levels that we experienced during these periods.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MANAGEMENT'S DISCUSSION AND ANALYSIS OF FINANCIAL CONDITION AND RESULTS OF OPERATIONS </w:t>
      </w:r>
      <w:r>
        <w:rPr>
          <w:rFonts w:ascii="Arial" w:cs="Arial" w:eastAsia="Arial" w:hAnsi="Arial"/>
          <w:sz w:val="16"/>
          <w:szCs w:val="16"/>
          <w:color w:val="auto"/>
        </w:rPr>
        <w:t>(Continued)</w:t>
      </w:r>
    </w:p>
    <w:p>
      <w:pPr>
        <w:sectPr>
          <w:pgSz w:w="11900" w:h="16838" w:orient="portrait"/>
          <w:cols w:equalWidth="0" w:num="1">
            <w:col w:w="11400"/>
          </w:cols>
          <w:pgMar w:left="240" w:top="131" w:right="259" w:bottom="0" w:gutter="0" w:footer="0" w:header="0"/>
          <w:type w:val="continuous"/>
        </w:sectPr>
      </w:pPr>
    </w:p>
    <w:bookmarkStart w:id="18" w:name="page19"/>
    <w:bookmarkEnd w:id="18"/>
    <w:p>
      <w:pPr>
        <w:ind w:left="540"/>
        <w:spacing w:after="0" w:line="291" w:lineRule="auto"/>
        <w:rPr>
          <w:sz w:val="20"/>
          <w:szCs w:val="20"/>
          <w:color w:val="auto"/>
        </w:rPr>
      </w:pPr>
      <w:r>
        <w:rPr>
          <w:rFonts w:ascii="Arial" w:cs="Arial" w:eastAsia="Arial" w:hAnsi="Arial"/>
          <w:sz w:val="16"/>
          <w:szCs w:val="16"/>
          <w:color w:val="auto"/>
        </w:rPr>
        <w:t>Total consolidated orders for the six months ended June 30, 2017 were $29.6 million compared to $22.4 million for the same period in 2016. Adjusted to eliminate the impact of orders attributable to Ambrell, our consolidated orders for the six months ended June 30, 2017 would have been $27.3 million, and would have increased $4.9 million, or 22%, as compared to the same period in 2016. Although we experienced increased demand from both ATE and non-ATE market customers, the largest increase in demand was from our customers in the ATE market. This higher level of demand is being driven, in part, by the increasing number of ICs utilized in the automotive industry and the need to test those ICs. In addition, demand for ATE is also being driven by products which enable the Internet of Things (IoT) and the increasing number of ICs in consumer electronics and industrial applications.</w:t>
      </w:r>
    </w:p>
    <w:p>
      <w:pPr>
        <w:spacing w:after="0" w:line="174"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Adjusted to eliminate the orders attributable to Ambrell, orders from customers in non-ATE markets for the quarter ended June 30, 2017 were $3.7 million, or 30% of total consolidated orders, compared to $4.4 million, or 35% of total consolidated orders, for the same period in 2016 and $3.5 million, or 23% of total consolidated orders, for the quarter ended March 31, 2017. Adjusted to eliminate the orders attributable to Ambrell, orders from customers in non-ATE markets for the six months ended June 30, 2017, were $7.1 million, or 26% of total consolidated orders as compared to $6.4 million, or 28% of total consolidated orders for the same period in 2016. The increase in demand in the first six months of 2017 as compared to the same period in 2016 primarily reflects increased demand from the manufacturers of optical transceiver products. To a lesser extent there were also increases in demand from customers in the automotive markets. These increases were partially offset by a decrease from customers in the defense/aerospace market. The level of our orders in these non-ATE markets has varied in the past, and we expect it will vary significantly in the future as we build our presence in these markets and establish new markets for our products.</w:t>
      </w:r>
    </w:p>
    <w:p>
      <w:pPr>
        <w:spacing w:after="0" w:line="174"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At June 30, 2017, our backlog of unfilled orders for all products was approximately $11.1 million compared with approximately $5.7 million at June 30, 2016 and $8.2 million at March 31, 2017. At June 30, 2017, our backlog included $4.4 million attributable to Ambrell. Our backlog includes customer orders which we have accepted, substantially all of which we expect to deliver in 2017.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 (in thousands).</w:t>
      </w:r>
    </w:p>
    <w:p>
      <w:pPr>
        <w:spacing w:after="0" w:line="224"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center"/>
              <w:ind w:left="12"/>
              <w:spacing w:after="0"/>
              <w:rPr>
                <w:sz w:val="20"/>
                <w:szCs w:val="20"/>
                <w:color w:val="auto"/>
              </w:rPr>
            </w:pPr>
            <w:r>
              <w:rPr>
                <w:rFonts w:ascii="Arial" w:cs="Arial" w:eastAsia="Arial" w:hAnsi="Arial"/>
                <w:sz w:val="14"/>
                <w:szCs w:val="14"/>
                <w:b w:val="1"/>
                <w:bCs w:val="1"/>
                <w:i w:val="1"/>
                <w:iCs w:val="1"/>
                <w:color w:val="auto"/>
                <w:w w:val="89"/>
              </w:rPr>
              <w:t>Three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89"/>
              </w:rPr>
              <w:t>Three</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9"/>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6"/>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bottom w:val="single" w:sz="8" w:color="auto"/>
            </w:tcBorders>
            <w:gridSpan w:val="2"/>
          </w:tcPr>
          <w:p>
            <w:pPr>
              <w:ind w:left="100"/>
              <w:spacing w:after="0" w:line="146" w:lineRule="exact"/>
              <w:rPr>
                <w:sz w:val="20"/>
                <w:szCs w:val="20"/>
                <w:color w:val="auto"/>
              </w:rPr>
            </w:pPr>
            <w:r>
              <w:rPr>
                <w:rFonts w:ascii="Arial" w:cs="Arial" w:eastAsia="Arial" w:hAnsi="Arial"/>
                <w:sz w:val="14"/>
                <w:szCs w:val="14"/>
                <w:b w:val="1"/>
                <w:bCs w:val="1"/>
                <w:i w:val="1"/>
                <w:iCs w:val="1"/>
                <w:color w:val="auto"/>
                <w:w w:val="85"/>
              </w:rPr>
              <w:t>Change</w:t>
            </w:r>
          </w:p>
        </w:tc>
        <w:tc>
          <w:tcPr>
            <w:tcW w:w="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6"/>
        </w:trPr>
        <w:tc>
          <w:tcPr>
            <w:tcW w:w="3120" w:type="dxa"/>
            <w:vAlign w:val="bottom"/>
          </w:tcPr>
          <w:p>
            <w:pPr>
              <w:spacing w:after="0"/>
              <w:rPr>
                <w:sz w:val="13"/>
                <w:szCs w:val="13"/>
                <w:color w:val="auto"/>
              </w:rPr>
            </w:pPr>
          </w:p>
        </w:tc>
        <w:tc>
          <w:tcPr>
            <w:tcW w:w="540" w:type="dxa"/>
            <w:vAlign w:val="bottom"/>
            <w:gridSpan w:val="4"/>
          </w:tcPr>
          <w:p>
            <w:pPr>
              <w:jc w:val="right"/>
              <w:ind w:right="172"/>
              <w:spacing w:after="0" w:line="155" w:lineRule="exact"/>
              <w:rPr>
                <w:sz w:val="20"/>
                <w:szCs w:val="20"/>
                <w:color w:val="auto"/>
              </w:rPr>
            </w:pPr>
            <w:r>
              <w:rPr>
                <w:rFonts w:ascii="Arial" w:cs="Arial" w:eastAsia="Arial" w:hAnsi="Arial"/>
                <w:sz w:val="14"/>
                <w:szCs w:val="14"/>
                <w:b w:val="1"/>
                <w:bCs w:val="1"/>
                <w:i w:val="1"/>
                <w:iCs w:val="1"/>
                <w:color w:val="auto"/>
                <w:w w:val="89"/>
              </w:rPr>
              <w:t>2017</w:t>
            </w:r>
          </w:p>
        </w:tc>
        <w:tc>
          <w:tcPr>
            <w:tcW w:w="220" w:type="dxa"/>
            <w:vAlign w:val="bottom"/>
          </w:tcPr>
          <w:p>
            <w:pPr>
              <w:spacing w:after="0"/>
              <w:rPr>
                <w:sz w:val="13"/>
                <w:szCs w:val="13"/>
                <w:color w:val="auto"/>
              </w:rPr>
            </w:pPr>
          </w:p>
        </w:tc>
        <w:tc>
          <w:tcPr>
            <w:tcW w:w="620" w:type="dxa"/>
            <w:vAlign w:val="bottom"/>
            <w:gridSpan w:val="5"/>
          </w:tcPr>
          <w:p>
            <w:pPr>
              <w:jc w:val="right"/>
              <w:ind w:right="280"/>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780" w:type="dxa"/>
            <w:vAlign w:val="bottom"/>
            <w:gridSpan w:val="2"/>
          </w:tcPr>
          <w:p>
            <w:pPr>
              <w:jc w:val="right"/>
              <w:ind w:right="236"/>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20" w:type="dxa"/>
            <w:vAlign w:val="bottom"/>
          </w:tcPr>
          <w:p>
            <w:pPr>
              <w:spacing w:after="0"/>
              <w:rPr>
                <w:sz w:val="13"/>
                <w:szCs w:val="13"/>
                <w:color w:val="auto"/>
              </w:rPr>
            </w:pPr>
          </w:p>
        </w:tc>
        <w:tc>
          <w:tcPr>
            <w:tcW w:w="480" w:type="dxa"/>
            <w:vAlign w:val="bottom"/>
            <w:gridSpan w:val="4"/>
          </w:tcPr>
          <w:p>
            <w:pPr>
              <w:jc w:val="right"/>
              <w:ind w:right="240"/>
              <w:spacing w:after="0" w:line="155" w:lineRule="exact"/>
              <w:rPr>
                <w:sz w:val="20"/>
                <w:szCs w:val="20"/>
                <w:color w:val="auto"/>
              </w:rPr>
            </w:pPr>
            <w:r>
              <w:rPr>
                <w:rFonts w:ascii="Arial" w:cs="Arial" w:eastAsia="Arial" w:hAnsi="Arial"/>
                <w:sz w:val="14"/>
                <w:szCs w:val="14"/>
                <w:b w:val="1"/>
                <w:bCs w:val="1"/>
                <w:i w:val="1"/>
                <w:iCs w:val="1"/>
                <w:color w:val="auto"/>
              </w:rPr>
              <w:t>%</w:t>
            </w:r>
          </w:p>
        </w:tc>
        <w:tc>
          <w:tcPr>
            <w:tcW w:w="840" w:type="dxa"/>
            <w:vAlign w:val="bottom"/>
            <w:gridSpan w:val="5"/>
          </w:tcPr>
          <w:p>
            <w:pPr>
              <w:jc w:val="center"/>
              <w:ind w:left="66"/>
              <w:spacing w:after="0" w:line="155" w:lineRule="exact"/>
              <w:rPr>
                <w:sz w:val="20"/>
                <w:szCs w:val="20"/>
                <w:color w:val="auto"/>
              </w:rPr>
            </w:pPr>
            <w:r>
              <w:rPr>
                <w:rFonts w:ascii="Arial" w:cs="Arial" w:eastAsia="Arial" w:hAnsi="Arial"/>
                <w:sz w:val="14"/>
                <w:szCs w:val="14"/>
                <w:b w:val="1"/>
                <w:bCs w:val="1"/>
                <w:i w:val="1"/>
                <w:iCs w:val="1"/>
                <w:color w:val="auto"/>
                <w:w w:val="83"/>
              </w:rPr>
              <w:t>2017</w:t>
            </w:r>
          </w:p>
        </w:tc>
        <w:tc>
          <w:tcPr>
            <w:tcW w:w="260" w:type="dxa"/>
            <w:vAlign w:val="bottom"/>
          </w:tcPr>
          <w:p>
            <w:pPr>
              <w:spacing w:after="0"/>
              <w:rPr>
                <w:sz w:val="13"/>
                <w:szCs w:val="13"/>
                <w:color w:val="auto"/>
              </w:rPr>
            </w:pPr>
          </w:p>
        </w:tc>
        <w:tc>
          <w:tcPr>
            <w:tcW w:w="700" w:type="dxa"/>
            <w:vAlign w:val="bottom"/>
            <w:gridSpan w:val="2"/>
          </w:tcPr>
          <w:p>
            <w:pPr>
              <w:jc w:val="right"/>
              <w:ind w:right="237"/>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200" w:type="dxa"/>
            <w:vAlign w:val="bottom"/>
          </w:tcPr>
          <w:p>
            <w:pPr>
              <w:spacing w:after="0"/>
              <w:rPr>
                <w:sz w:val="13"/>
                <w:szCs w:val="13"/>
                <w:color w:val="auto"/>
              </w:rPr>
            </w:pPr>
          </w:p>
        </w:tc>
        <w:tc>
          <w:tcPr>
            <w:tcW w:w="42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w:t>
            </w:r>
          </w:p>
        </w:tc>
      </w:tr>
      <w:tr>
        <w:trPr>
          <w:trHeight w:val="235"/>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Thermal</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9,194</w:t>
            </w:r>
          </w:p>
        </w:tc>
        <w:tc>
          <w:tcPr>
            <w:tcW w:w="2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5,594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64%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7,776</w:t>
            </w: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$1.418</w:t>
            </w:r>
          </w:p>
        </w:tc>
        <w:tc>
          <w:tcPr>
            <w:tcW w:w="20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7"/>
              </w:rPr>
              <w:t>18 %</w:t>
            </w:r>
          </w:p>
        </w:tc>
      </w:tr>
      <w:tr>
        <w:trPr>
          <w:trHeight w:val="205"/>
        </w:trPr>
        <w:tc>
          <w:tcPr>
            <w:tcW w:w="312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6,694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4,891</w:t>
            </w:r>
          </w:p>
        </w:tc>
        <w:tc>
          <w:tcPr>
            <w:tcW w:w="34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3"/>
              </w:rPr>
              <w:t>1,803</w:t>
            </w:r>
          </w:p>
        </w:tc>
        <w:tc>
          <w:tcPr>
            <w:tcW w:w="120" w:type="dxa"/>
            <w:vAlign w:val="bottom"/>
          </w:tcPr>
          <w:p>
            <w:pPr>
              <w:spacing w:after="0"/>
              <w:rPr>
                <w:sz w:val="17"/>
                <w:szCs w:val="17"/>
                <w:color w:val="auto"/>
              </w:rPr>
            </w:pPr>
          </w:p>
        </w:tc>
        <w:tc>
          <w:tcPr>
            <w:tcW w:w="4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6,404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290</w:t>
            </w:r>
          </w:p>
        </w:tc>
        <w:tc>
          <w:tcPr>
            <w:tcW w:w="200" w:type="dxa"/>
            <w:vAlign w:val="bottom"/>
          </w:tcPr>
          <w:p>
            <w:pPr>
              <w:spacing w:after="0"/>
              <w:rPr>
                <w:sz w:val="17"/>
                <w:szCs w:val="17"/>
                <w:color w:val="auto"/>
              </w:rPr>
            </w:pPr>
          </w:p>
        </w:tc>
        <w:tc>
          <w:tcPr>
            <w:tcW w:w="42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5 %</w:t>
            </w:r>
          </w:p>
        </w:tc>
      </w:tr>
      <w:tr>
        <w:trPr>
          <w:trHeight w:val="223"/>
        </w:trPr>
        <w:tc>
          <w:tcPr>
            <w:tcW w:w="3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15,888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10,485</w:t>
            </w: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5,403</w:t>
            </w:r>
          </w:p>
        </w:tc>
        <w:tc>
          <w:tcPr>
            <w:tcW w:w="120" w:type="dxa"/>
            <w:vAlign w:val="bottom"/>
          </w:tcPr>
          <w:p>
            <w:pPr>
              <w:spacing w:after="0"/>
              <w:rPr>
                <w:sz w:val="19"/>
                <w:szCs w:val="19"/>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52%</w:t>
            </w:r>
          </w:p>
        </w:tc>
        <w:tc>
          <w:tcPr>
            <w:tcW w:w="2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14,180</w:t>
            </w: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1,708</w:t>
            </w:r>
          </w:p>
        </w:tc>
        <w:tc>
          <w:tcPr>
            <w:tcW w:w="2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7"/>
              </w:rPr>
              <w:t>12 %</w:t>
            </w:r>
          </w:p>
        </w:tc>
      </w:tr>
      <w:tr>
        <w:trPr>
          <w:trHeight w:val="20"/>
        </w:trPr>
        <w:tc>
          <w:tcPr>
            <w:tcW w:w="312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437"/>
        </w:trPr>
        <w:tc>
          <w:tcPr>
            <w:tcW w:w="3120" w:type="dxa"/>
            <w:vAlign w:val="bottom"/>
          </w:tcPr>
          <w:p>
            <w:pPr>
              <w:spacing w:after="0"/>
              <w:rPr>
                <w:sz w:val="20"/>
                <w:szCs w:val="20"/>
                <w:color w:val="auto"/>
              </w:rPr>
            </w:pPr>
            <w:r>
              <w:rPr>
                <w:rFonts w:ascii="Arial" w:cs="Arial" w:eastAsia="Arial" w:hAnsi="Arial"/>
                <w:sz w:val="18"/>
                <w:szCs w:val="18"/>
                <w:color w:val="auto"/>
              </w:rPr>
              <w:t>ATE market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10,155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7,960</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6"/>
              </w:rPr>
              <w:t>$2,195</w:t>
            </w:r>
          </w:p>
        </w:tc>
        <w:tc>
          <w:tcPr>
            <w:tcW w:w="120" w:type="dxa"/>
            <w:vAlign w:val="bottom"/>
          </w:tcPr>
          <w:p>
            <w:pPr>
              <w:spacing w:after="0"/>
              <w:rPr>
                <w:sz w:val="24"/>
                <w:szCs w:val="24"/>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10,439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77"/>
              </w:rPr>
              <w:t>$ (284)</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5"/>
        </w:trPr>
        <w:tc>
          <w:tcPr>
            <w:tcW w:w="312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5,733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2,525</w:t>
            </w:r>
          </w:p>
        </w:tc>
        <w:tc>
          <w:tcPr>
            <w:tcW w:w="34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3"/>
              </w:rPr>
              <w:t>3,208</w:t>
            </w:r>
          </w:p>
        </w:tc>
        <w:tc>
          <w:tcPr>
            <w:tcW w:w="120" w:type="dxa"/>
            <w:vAlign w:val="bottom"/>
          </w:tcPr>
          <w:p>
            <w:pPr>
              <w:spacing w:after="0"/>
              <w:rPr>
                <w:sz w:val="17"/>
                <w:szCs w:val="17"/>
                <w:color w:val="auto"/>
              </w:rPr>
            </w:pPr>
          </w:p>
        </w:tc>
        <w:tc>
          <w:tcPr>
            <w:tcW w:w="4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6"/>
              </w:rPr>
              <w:t>127%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3,741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88"/>
              </w:rPr>
              <w:t>1,992</w:t>
            </w:r>
          </w:p>
        </w:tc>
        <w:tc>
          <w:tcPr>
            <w:tcW w:w="200" w:type="dxa"/>
            <w:vAlign w:val="bottom"/>
          </w:tcPr>
          <w:p>
            <w:pPr>
              <w:spacing w:after="0"/>
              <w:rPr>
                <w:sz w:val="17"/>
                <w:szCs w:val="17"/>
                <w:color w:val="auto"/>
              </w:rPr>
            </w:pPr>
          </w:p>
        </w:tc>
        <w:tc>
          <w:tcPr>
            <w:tcW w:w="42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7"/>
              </w:rPr>
              <w:t>53 %</w:t>
            </w:r>
          </w:p>
        </w:tc>
      </w:tr>
      <w:tr>
        <w:trPr>
          <w:trHeight w:val="223"/>
        </w:trPr>
        <w:tc>
          <w:tcPr>
            <w:tcW w:w="3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15,888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10,485</w:t>
            </w: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5,403</w:t>
            </w:r>
          </w:p>
        </w:tc>
        <w:tc>
          <w:tcPr>
            <w:tcW w:w="120" w:type="dxa"/>
            <w:vAlign w:val="bottom"/>
          </w:tcPr>
          <w:p>
            <w:pPr>
              <w:spacing w:after="0"/>
              <w:rPr>
                <w:sz w:val="19"/>
                <w:szCs w:val="19"/>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52%</w:t>
            </w:r>
          </w:p>
        </w:tc>
        <w:tc>
          <w:tcPr>
            <w:tcW w:w="2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14,180</w:t>
            </w: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1,708</w:t>
            </w:r>
          </w:p>
        </w:tc>
        <w:tc>
          <w:tcPr>
            <w:tcW w:w="2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7"/>
              </w:rPr>
              <w:t>12 %</w:t>
            </w:r>
          </w:p>
        </w:tc>
      </w:tr>
      <w:tr>
        <w:trPr>
          <w:trHeight w:val="20"/>
        </w:trPr>
        <w:tc>
          <w:tcPr>
            <w:tcW w:w="312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center"/>
              <w:ind w:left="52"/>
              <w:spacing w:after="0"/>
              <w:rPr>
                <w:sz w:val="20"/>
                <w:szCs w:val="20"/>
                <w:color w:val="auto"/>
              </w:rPr>
            </w:pPr>
            <w:r>
              <w:rPr>
                <w:rFonts w:ascii="Arial" w:cs="Arial" w:eastAsia="Arial" w:hAnsi="Arial"/>
                <w:sz w:val="14"/>
                <w:szCs w:val="14"/>
                <w:b w:val="1"/>
                <w:bCs w:val="1"/>
                <w:i w:val="1"/>
                <w:iCs w:val="1"/>
                <w:color w:val="auto"/>
                <w:w w:val="85"/>
              </w:rPr>
              <w:t>Six</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10"/>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gridSpan w:val="2"/>
          </w:tcPr>
          <w:p>
            <w:pPr>
              <w:ind w:left="10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3180" w:type="dxa"/>
            <w:vAlign w:val="bottom"/>
          </w:tcPr>
          <w:p>
            <w:pPr>
              <w:spacing w:after="0"/>
              <w:rPr>
                <w:sz w:val="13"/>
                <w:szCs w:val="13"/>
                <w:color w:val="auto"/>
              </w:rPr>
            </w:pPr>
          </w:p>
        </w:tc>
        <w:tc>
          <w:tcPr>
            <w:tcW w:w="560" w:type="dxa"/>
            <w:vAlign w:val="bottom"/>
            <w:gridSpan w:val="4"/>
          </w:tcPr>
          <w:p>
            <w:pPr>
              <w:jc w:val="right"/>
              <w:ind w:right="152"/>
              <w:spacing w:after="0" w:line="155" w:lineRule="exact"/>
              <w:rPr>
                <w:sz w:val="20"/>
                <w:szCs w:val="20"/>
                <w:color w:val="auto"/>
              </w:rPr>
            </w:pPr>
            <w:r>
              <w:rPr>
                <w:rFonts w:ascii="Arial" w:cs="Arial" w:eastAsia="Arial" w:hAnsi="Arial"/>
                <w:sz w:val="14"/>
                <w:szCs w:val="14"/>
                <w:b w:val="1"/>
                <w:bCs w:val="1"/>
                <w:i w:val="1"/>
                <w:iCs w:val="1"/>
                <w:color w:val="auto"/>
              </w:rPr>
              <w:t>2017</w:t>
            </w:r>
          </w:p>
        </w:tc>
        <w:tc>
          <w:tcPr>
            <w:tcW w:w="200" w:type="dxa"/>
            <w:vAlign w:val="bottom"/>
          </w:tcPr>
          <w:p>
            <w:pPr>
              <w:spacing w:after="0"/>
              <w:rPr>
                <w:sz w:val="13"/>
                <w:szCs w:val="13"/>
                <w:color w:val="auto"/>
              </w:rPr>
            </w:pPr>
          </w:p>
        </w:tc>
        <w:tc>
          <w:tcPr>
            <w:tcW w:w="640" w:type="dxa"/>
            <w:vAlign w:val="bottom"/>
            <w:gridSpan w:val="6"/>
          </w:tcPr>
          <w:p>
            <w:pPr>
              <w:jc w:val="right"/>
              <w:ind w:right="280"/>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780" w:type="dxa"/>
            <w:vAlign w:val="bottom"/>
            <w:gridSpan w:val="3"/>
          </w:tcPr>
          <w:p>
            <w:pPr>
              <w:jc w:val="right"/>
              <w:ind w:right="252"/>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220" w:type="dxa"/>
            <w:vAlign w:val="bottom"/>
          </w:tcPr>
          <w:p>
            <w:pPr>
              <w:spacing w:after="0"/>
              <w:rPr>
                <w:sz w:val="13"/>
                <w:szCs w:val="13"/>
                <w:color w:val="auto"/>
              </w:rPr>
            </w:pPr>
          </w:p>
        </w:tc>
        <w:tc>
          <w:tcPr>
            <w:tcW w:w="32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i w:val="1"/>
                <w:iCs w:val="1"/>
                <w:color w:val="auto"/>
                <w:w w:val="96"/>
              </w:rPr>
              <w:t>%</w:t>
            </w:r>
          </w:p>
        </w:tc>
      </w:tr>
      <w:tr>
        <w:trPr>
          <w:trHeight w:val="302"/>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Thermal</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2"/>
              </w:rPr>
              <w:t>$16,970</w:t>
            </w:r>
          </w:p>
        </w:tc>
        <w:tc>
          <w:tcPr>
            <w:tcW w:w="20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w w:val="95"/>
              </w:rPr>
              <w:t>$10,788</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$ 6,182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3"/>
              </w:rPr>
              <w:t>57%</w:t>
            </w:r>
          </w:p>
        </w:tc>
      </w:tr>
      <w:tr>
        <w:trPr>
          <w:trHeight w:val="205"/>
        </w:trPr>
        <w:tc>
          <w:tcPr>
            <w:tcW w:w="318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5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98"/>
              </w:rPr>
              <w:t>13,098</w:t>
            </w:r>
          </w:p>
        </w:tc>
        <w:tc>
          <w:tcPr>
            <w:tcW w:w="200" w:type="dxa"/>
            <w:vAlign w:val="bottom"/>
          </w:tcPr>
          <w:p>
            <w:pPr>
              <w:spacing w:after="0"/>
              <w:rPr>
                <w:sz w:val="17"/>
                <w:szCs w:val="17"/>
                <w:color w:val="auto"/>
              </w:rPr>
            </w:pPr>
          </w:p>
        </w:tc>
        <w:tc>
          <w:tcPr>
            <w:tcW w:w="120" w:type="dxa"/>
            <w:vAlign w:val="bottom"/>
            <w:gridSpan w:val="3"/>
          </w:tcPr>
          <w:p>
            <w:pPr>
              <w:spacing w:after="0"/>
              <w:rPr>
                <w:sz w:val="17"/>
                <w:szCs w:val="17"/>
                <w:color w:val="auto"/>
              </w:rPr>
            </w:pPr>
          </w:p>
        </w:tc>
        <w:tc>
          <w:tcPr>
            <w:tcW w:w="5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8,344</w:t>
            </w:r>
          </w:p>
        </w:tc>
        <w:tc>
          <w:tcPr>
            <w:tcW w:w="200" w:type="dxa"/>
            <w:vAlign w:val="bottom"/>
          </w:tcPr>
          <w:p>
            <w:pPr>
              <w:spacing w:after="0"/>
              <w:rPr>
                <w:sz w:val="17"/>
                <w:szCs w:val="17"/>
                <w:color w:val="auto"/>
              </w:rPr>
            </w:pPr>
          </w:p>
        </w:tc>
        <w:tc>
          <w:tcPr>
            <w:tcW w:w="5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4,754</w:t>
            </w:r>
          </w:p>
        </w:tc>
        <w:tc>
          <w:tcPr>
            <w:tcW w:w="220" w:type="dxa"/>
            <w:vAlign w:val="bottom"/>
          </w:tcPr>
          <w:p>
            <w:pPr>
              <w:spacing w:after="0"/>
              <w:rPr>
                <w:sz w:val="17"/>
                <w:szCs w:val="17"/>
                <w:color w:val="auto"/>
              </w:rPr>
            </w:pPr>
          </w:p>
        </w:tc>
        <w:tc>
          <w:tcPr>
            <w:tcW w:w="32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3"/>
              </w:rPr>
              <w:t>57%</w:t>
            </w:r>
          </w:p>
        </w:tc>
      </w:tr>
      <w:tr>
        <w:trPr>
          <w:trHeight w:val="223"/>
        </w:trPr>
        <w:tc>
          <w:tcPr>
            <w:tcW w:w="3180" w:type="dxa"/>
            <w:vAlign w:val="bottom"/>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30,068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19,132</w:t>
            </w: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10,936</w:t>
            </w:r>
          </w:p>
        </w:tc>
        <w:tc>
          <w:tcPr>
            <w:tcW w:w="2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3"/>
              </w:rPr>
              <w:t>57%</w:t>
            </w:r>
          </w:p>
        </w:tc>
      </w:tr>
      <w:tr>
        <w:trPr>
          <w:trHeight w:val="437"/>
        </w:trPr>
        <w:tc>
          <w:tcPr>
            <w:tcW w:w="3180" w:type="dxa"/>
            <w:vAlign w:val="bottom"/>
          </w:tcPr>
          <w:p>
            <w:pPr>
              <w:spacing w:after="0"/>
              <w:rPr>
                <w:sz w:val="20"/>
                <w:szCs w:val="20"/>
                <w:color w:val="auto"/>
              </w:rPr>
            </w:pPr>
            <w:r>
              <w:rPr>
                <w:rFonts w:ascii="Arial" w:cs="Arial" w:eastAsia="Arial" w:hAnsi="Arial"/>
                <w:sz w:val="18"/>
                <w:szCs w:val="18"/>
                <w:color w:val="auto"/>
              </w:rPr>
              <w:t>ATE market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2"/>
              </w:rPr>
              <w:t>$20,594</w:t>
            </w:r>
          </w:p>
        </w:tc>
        <w:tc>
          <w:tcPr>
            <w:tcW w:w="20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w w:val="95"/>
              </w:rPr>
              <w:t>$14,029</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$ 6,565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3"/>
              </w:rPr>
              <w:t>47%</w:t>
            </w:r>
          </w:p>
        </w:tc>
      </w:tr>
      <w:tr>
        <w:trPr>
          <w:trHeight w:val="205"/>
        </w:trPr>
        <w:tc>
          <w:tcPr>
            <w:tcW w:w="318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9,474</w:t>
            </w:r>
          </w:p>
        </w:tc>
        <w:tc>
          <w:tcPr>
            <w:tcW w:w="200" w:type="dxa"/>
            <w:vAlign w:val="bottom"/>
          </w:tcPr>
          <w:p>
            <w:pPr>
              <w:spacing w:after="0"/>
              <w:rPr>
                <w:sz w:val="17"/>
                <w:szCs w:val="17"/>
                <w:color w:val="auto"/>
              </w:rPr>
            </w:pPr>
          </w:p>
        </w:tc>
        <w:tc>
          <w:tcPr>
            <w:tcW w:w="120" w:type="dxa"/>
            <w:vAlign w:val="bottom"/>
            <w:gridSpan w:val="3"/>
          </w:tcPr>
          <w:p>
            <w:pPr>
              <w:spacing w:after="0"/>
              <w:rPr>
                <w:sz w:val="17"/>
                <w:szCs w:val="17"/>
                <w:color w:val="auto"/>
              </w:rPr>
            </w:pPr>
          </w:p>
        </w:tc>
        <w:tc>
          <w:tcPr>
            <w:tcW w:w="5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5,103</w:t>
            </w:r>
          </w:p>
        </w:tc>
        <w:tc>
          <w:tcPr>
            <w:tcW w:w="200" w:type="dxa"/>
            <w:vAlign w:val="bottom"/>
          </w:tcPr>
          <w:p>
            <w:pPr>
              <w:spacing w:after="0"/>
              <w:rPr>
                <w:sz w:val="17"/>
                <w:szCs w:val="17"/>
                <w:color w:val="auto"/>
              </w:rPr>
            </w:pPr>
          </w:p>
        </w:tc>
        <w:tc>
          <w:tcPr>
            <w:tcW w:w="5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4,371</w:t>
            </w:r>
          </w:p>
        </w:tc>
        <w:tc>
          <w:tcPr>
            <w:tcW w:w="220" w:type="dxa"/>
            <w:vAlign w:val="bottom"/>
          </w:tcPr>
          <w:p>
            <w:pPr>
              <w:spacing w:after="0"/>
              <w:rPr>
                <w:sz w:val="17"/>
                <w:szCs w:val="17"/>
                <w:color w:val="auto"/>
              </w:rPr>
            </w:pPr>
          </w:p>
        </w:tc>
        <w:tc>
          <w:tcPr>
            <w:tcW w:w="32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3"/>
              </w:rPr>
              <w:t>86%</w:t>
            </w:r>
          </w:p>
        </w:tc>
      </w:tr>
      <w:tr>
        <w:trPr>
          <w:trHeight w:val="223"/>
        </w:trPr>
        <w:tc>
          <w:tcPr>
            <w:tcW w:w="3180" w:type="dxa"/>
            <w:vAlign w:val="bottom"/>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30,068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19,132</w:t>
            </w: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10,936</w:t>
            </w:r>
          </w:p>
        </w:tc>
        <w:tc>
          <w:tcPr>
            <w:tcW w:w="2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3"/>
              </w:rPr>
              <w:t>57%</w:t>
            </w:r>
          </w:p>
        </w:tc>
      </w:tr>
    </w:tbl>
    <w:p>
      <w:pPr>
        <w:spacing w:after="0" w:line="248"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Total consolidated net revenues for the quarter ended June 30, 2017 were $15.9 million compared to $10.5 million for the same period in 2016 and $14.2 million for the quarter ended March 31, 2017. During the quarter ended June 30, 2017, we recorded $2.0 million in net revenues attributable to Ambrell, $31,000 of which were from customers in the ATE market and the balance of which were from non-ATE market customers. Total consolidated net revenues for the first six months of 2017 were $30.1 million compared to $19.1 million for the same period in 2016. The significant increase in our net revenues in the first six months of 2017 as compared to the same period in 2016 reflects the aforementioned strengthening in demand within both the ATE and non-ATE markets. Adjusted to eliminate the net revenues attributable to Ambrell, as a percent of our total consolidated net revenues, net revenues from customers in non-ATE markets were 27% for both the quarter and six months ended June 30, 2017 compared to 24% and 27%, respectively, for the comparable prior periods, and 26% for the first quarter of 2017.</w:t>
      </w:r>
    </w:p>
    <w:p>
      <w:pPr>
        <w:sectPr>
          <w:pgSz w:w="11900" w:h="16838" w:orient="portrait"/>
          <w:cols w:equalWidth="0" w:num="1">
            <w:col w:w="11420"/>
          </w:cols>
          <w:pgMar w:left="240" w:top="131" w:right="239" w:bottom="0" w:gutter="0" w:footer="0" w:header="0"/>
        </w:sectPr>
      </w:pPr>
    </w:p>
    <w:bookmarkStart w:id="19" w:name="page20"/>
    <w:bookmarkEnd w:id="19"/>
    <w:p>
      <w:pPr>
        <w:spacing w:after="0" w:line="6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98" w:lineRule="auto"/>
        <w:rPr>
          <w:sz w:val="20"/>
          <w:szCs w:val="20"/>
          <w:color w:val="auto"/>
        </w:rPr>
      </w:pPr>
      <w:r>
        <w:rPr>
          <w:rFonts w:ascii="Arial" w:cs="Arial" w:eastAsia="Arial" w:hAnsi="Arial"/>
          <w:sz w:val="16"/>
          <w:szCs w:val="16"/>
          <w:color w:val="auto"/>
        </w:rPr>
        <w:t>Both of our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67"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segment also sells into a variety of other markets, including the automotive, consumer electronics, defense/aerospace, energy, industrial and telecommunications markets, and, as a result of the acquisition of Ambrell, the consumer products packaging, fiber optics and other markets. The mix of customers during any given period will affect our gross margin due to differing sales discounts and commissions. For the six months ended June 30, 2017 and 2016, our OEM sales as a percentage of net revenues were 8% and 7%, respectively.</w:t>
      </w:r>
    </w:p>
    <w:p>
      <w:pPr>
        <w:spacing w:after="0" w:line="174"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240"/>
        <w:spacing w:after="0" w:line="306" w:lineRule="auto"/>
        <w:rPr>
          <w:sz w:val="20"/>
          <w:szCs w:val="20"/>
          <w:color w:val="auto"/>
        </w:rPr>
      </w:pPr>
      <w:r>
        <w:rPr>
          <w:rFonts w:ascii="Arial" w:cs="Arial" w:eastAsia="Arial" w:hAnsi="Arial"/>
          <w:sz w:val="16"/>
          <w:szCs w:val="16"/>
          <w:color w:val="auto"/>
        </w:rPr>
        <w:t>The results of operations for our two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June 30, 2017 Compared to Quarter Ended June 30, 2016</w:t>
      </w:r>
    </w:p>
    <w:p>
      <w:pPr>
        <w:spacing w:after="0" w:line="225"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$15.9 million for the quarter ended June 30, 2017 compared to $10.5 million for the same period in 2016,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$5.4 million, or 52%. Our net revenues for the quarter ended June 30, 2017 included $2.0 million of net revenues attributable to Ambrell. We believe the increase in our net revenues during the second quarter of 2017 primarily reflects the factors previously discussed in the Overview.</w:t>
      </w:r>
    </w:p>
    <w:p>
      <w:pPr>
        <w:spacing w:after="0" w:line="161"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53% for the quarter ended June 30, 2017 as compared to 51% for the same period in 2016.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gross margin primarily reflects a reduction in our component material costs as a result of changes in product and customer mix. Although our fixed operating costs increased $641,000 in absolute dollar terms, this increase was absorbed by the higher net revenue levels and, as a result, these costs represented 12% of our net revenues in each of the quarters ended June 30, 2017 and 2016. Of the $641,000 increase in the absolute dollar value of these costs, $404,000 represents the fixed operating costs attributable to Ambrell. The remaining $237,000 increase in our fixed operating costs primarily reflects higher salary and benefits expense for our Thermal segment as a result of an increased use of temporary labor for operations support due to the increased order and shipment activity.</w:t>
      </w:r>
    </w:p>
    <w:p>
      <w:pPr>
        <w:spacing w:after="0" w:line="172"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$1.9 million for the quarter ended June 30, 2017 compared to $1.5 million for the same period in 2016,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$400,000, or 27%. Our expense for the quarter ended June 30, 2017 included $317,000 of selling costs attributable to Ambrell. The remaining increase of $83,000 primarily reflects higher levels of commission expense reflecting the higher net revenues, and to a lesser extent, an increase in salary and benefits expense for our Thermal segment.</w:t>
      </w:r>
    </w:p>
    <w:p>
      <w:pPr>
        <w:spacing w:after="0" w:line="197"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$982,000 in each of the quarters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2016. Engineering expense attributable to Ambrell in the second quarter of 2017 was $82,000. Adjusted to eliminate this amount, engineering expense would have decreased $82,000, or 8%, for the second quarter of 2017 as compared to same period in 2016. This decrease primarily reflects reduced spending on legal matters related to our intellectual property and, to a lesser extent, a decrease in the cost of materials used in new product development for our Thermal segment.</w:t>
      </w:r>
    </w:p>
    <w:p>
      <w:pPr>
        <w:spacing w:after="0" w:line="197"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$3.3 million for the quarter ended June 30, 2017 compared to $2.1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2016, an increase of $1.1 million, or 53%. Our expenses for the second quarter of 2017 included $849,000 of transaction costs related to the acquisition of Ambrell on May 24, 2017, and $536,000 of general and administrative expense attributable to Ambrell. Our expenses for the second quarter of 2016 included $456,000 of transaction costs related to an acquisition that did not close. Adjusted to eliminate these items, general and administrative expense would have increased $212,000 or 13%, primarily reflecting an increase in accruals for profit related bonuses and higher salary and benefits expense.</w:t>
      </w:r>
    </w:p>
    <w:p>
      <w:pPr>
        <w:spacing w:after="0" w:line="174"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June 30, 2017, we recorded income tax expense of $891,000 compared to $263,000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2016. Our effective tax rate was 38% for the quarter ended June 30, compared to 35% for the same period in 2016. On a quarterly basis, we record income tax expense or benefit based on the expected annualized effective tax rate for the various taxing jurisdictions in which we operate our businesses. The increase in the effective tax rate primarily reflects not recording tax benefits on losses incurred in Ambrell's European operations, as we do not expect to be able to utilize them due to expected changes to our operating structure.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Six Months Ended June 30, 2017 Compared to Six Months Ended June 30, 2016</w:t>
      </w:r>
    </w:p>
    <w:p>
      <w:pPr>
        <w:spacing w:after="0" w:line="225"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$30.1 million for the six months ended June 30, 2017 compared to $19.1 million for the same period in 2016,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$10.9 million, or 57%. Our net revenues for the six months ended June 30, 2017 included $2.0 million of net revenues attributable to Ambrell. We believe the increase in our net revenues during the first six months of 2017 primarily reflects the factors previously discussed in the Overview.</w:t>
      </w:r>
    </w:p>
    <w:p>
      <w:pPr>
        <w:sectPr>
          <w:pgSz w:w="11900" w:h="16904" w:orient="portrait"/>
          <w:cols w:equalWidth="0" w:num="1">
            <w:col w:w="11420"/>
          </w:cols>
          <w:pgMar w:left="240" w:top="131" w:right="239" w:bottom="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54% for the six months ended June 30, 2017 as compared to 49% for the same period in 2016.</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Although our fixed operating costs increased $743,000 in absolute dollar terms, they were more fully absorbed by the higher net revenue levels. As a</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result, these costs represented 11% of our net revenues for the six months ended June 30, 2017 compared to 14% for the same period in 2016. Of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$743,000 increase in the absolute dollar value of these costs, $404,000 represents the fixed operating costs attributable to Ambrell. The remaining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$339,000 increase in our fixed operating costs primarily reflects higher salary and benefits expense for our Thermal segment as a result of an increased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use of temporary labor for operations support due to the increased order and shipment activity. To a lesser extent, the increase in gross margin also reflects</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reduction in our component material costs as a result of changes in product and customer mix.</w:t>
      </w:r>
    </w:p>
    <w:p>
      <w:pPr>
        <w:spacing w:after="0" w:line="219" w:lineRule="exact"/>
        <w:rPr>
          <w:sz w:val="20"/>
          <w:szCs w:val="20"/>
          <w:color w:val="auto"/>
        </w:rPr>
      </w:pPr>
    </w:p>
    <w:p>
      <w:pPr>
        <w:jc w:val="both"/>
        <w:ind w:left="540" w:right="440"/>
        <w:spacing w:after="0" w:line="298"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$3.5 million for the six months ended June 30, 2017 compared to $2.8 million for the same period in 2016,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$733,000, or 26%. Our expense for the six months ended June 30, 2017 included $317,000 of selling costs attributable to Ambrell. The remaining increase of $416,000 primarily reflects higher levels of commission expense reflecting the higher net revenues, and to a lesser extent, an increase in travel costs and salary and benefits expense for our Thermal segment.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Engineering and Product Development Expense. </w:t>
      </w:r>
      <w:r>
        <w:rPr>
          <w:rFonts w:ascii="Arial" w:cs="Arial" w:eastAsia="Arial" w:hAnsi="Arial"/>
          <w:sz w:val="15"/>
          <w:szCs w:val="15"/>
          <w:color w:val="auto"/>
        </w:rPr>
        <w:t>Engineering and product development expense was $1.9 million for the six months ended June 30, 2017</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compared to $2.0 million for the same period in 2016, a decrease of $56,000 or 3%. Our expense for the six months ended June 30, 2017 included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$82,000 of engineering costs attributable to Ambrell. Adjusted to eliminate this amount, engineering expense would have decreased $138,000, or 7%, for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first six months of 2017 as compared to same period in 2016. This decrease primarily reflects lower salary and benefits expense for our EMS product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segment, a decrease in the cost of materials used in new product development for our Thermal segment, and, to a lesser extent, reduced spending on legal</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matters related to our intellectual property.</w:t>
      </w:r>
    </w:p>
    <w:p>
      <w:pPr>
        <w:spacing w:after="0" w:line="219" w:lineRule="exact"/>
        <w:rPr>
          <w:sz w:val="20"/>
          <w:szCs w:val="20"/>
          <w:color w:val="auto"/>
        </w:rPr>
      </w:pPr>
    </w:p>
    <w:p>
      <w:pPr>
        <w:ind w:left="540" w:right="160"/>
        <w:spacing w:after="0" w:line="291"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$5.3 million for the six months ended June 30, 2017 compared to $3.8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2016, an increase of $1.5 million, or 39%. Our expenses for the first six months of 2017 included $849,000 of transaction costs related to the acquisition of Ambrell on May 24, 2017, and $536,000 of general and administrative expense attributable to Ambrell. Our expenses for the first six months of 2016 included $456,000 of transaction costs related to an acquisition that did not close. Adjusted to eliminate these items, general and administrative expense would have increased $561,000 or 17%, primarily reflecting higher salary and benefits expense and an increase in accruals for profit related bonuses. To a lesser extent there was also an increase in travel costs and professional fees.</w:t>
      </w:r>
    </w:p>
    <w:p>
      <w:pPr>
        <w:spacing w:after="0" w:line="174"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six months ended June 30, 2017, we recorded income tax expense of $2.0 million compared to $306,000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2016. Our effective tax rate was 36% for the six months ended June 30, compared to 35% for the same period in 2016. On a quarterly basis, we record income tax expense or benefit based on the expected annualized effective tax rate for the various taxing jurisdictions in which we operate our businesses. The increase in the effective tax rate primarily reflects not recording tax benefits on losses incurred in Ambrell's European operations, as we do not expect to be able to utilize them due to expected changes to our operating structure.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46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95"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520" w:type="dxa"/>
            <w:vAlign w:val="bottom"/>
            <w:gridSpan w:val="4"/>
          </w:tcPr>
          <w:p>
            <w:pPr>
              <w:ind w:left="1580"/>
              <w:spacing w:after="0"/>
              <w:rPr>
                <w:sz w:val="20"/>
                <w:szCs w:val="20"/>
                <w:color w:val="auto"/>
              </w:rPr>
            </w:pPr>
            <w:r>
              <w:rPr>
                <w:rFonts w:ascii="Arial" w:cs="Arial" w:eastAsia="Arial" w:hAnsi="Arial"/>
                <w:sz w:val="14"/>
                <w:szCs w:val="14"/>
                <w:b w:val="1"/>
                <w:bCs w:val="1"/>
                <w:i w:val="1"/>
                <w:iCs w:val="1"/>
                <w:color w:val="auto"/>
              </w:rPr>
              <w:t>June 30, 2017</w:t>
            </w:r>
          </w:p>
        </w:tc>
        <w:tc>
          <w:tcPr>
            <w:tcW w:w="920" w:type="dxa"/>
            <w:vAlign w:val="bottom"/>
            <w:gridSpan w:val="2"/>
          </w:tcPr>
          <w:p>
            <w:pPr>
              <w:jc w:val="center"/>
              <w:ind w:left="82"/>
              <w:spacing w:after="0"/>
              <w:rPr>
                <w:sz w:val="20"/>
                <w:szCs w:val="20"/>
                <w:color w:val="auto"/>
              </w:rPr>
            </w:pPr>
            <w:r>
              <w:rPr>
                <w:rFonts w:ascii="Arial" w:cs="Arial" w:eastAsia="Arial" w:hAnsi="Arial"/>
                <w:sz w:val="14"/>
                <w:szCs w:val="14"/>
                <w:b w:val="1"/>
                <w:bCs w:val="1"/>
                <w:i w:val="1"/>
                <w:iCs w:val="1"/>
                <w:color w:val="auto"/>
                <w:w w:val="86"/>
              </w:rPr>
              <w:t>Dec. 31, 2016</w:t>
            </w:r>
          </w:p>
        </w:tc>
      </w:tr>
      <w:tr>
        <w:trPr>
          <w:trHeight w:val="235"/>
        </w:trPr>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7,596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$28,611</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Working capital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16,643</w:t>
            </w:r>
          </w:p>
        </w:tc>
        <w:tc>
          <w:tcPr>
            <w:tcW w:w="160" w:type="dxa"/>
            <w:vAlign w:val="bottom"/>
          </w:tcPr>
          <w:p>
            <w:pPr>
              <w:spacing w:after="0"/>
              <w:rPr>
                <w:sz w:val="21"/>
                <w:szCs w:val="21"/>
                <w:color w:val="auto"/>
              </w:rPr>
            </w:pPr>
          </w:p>
        </w:tc>
        <w:tc>
          <w:tcPr>
            <w:tcW w:w="920" w:type="dxa"/>
            <w:vAlign w:val="bottom"/>
            <w:gridSpan w:val="2"/>
          </w:tcPr>
          <w:p>
            <w:pPr>
              <w:jc w:val="center"/>
              <w:ind w:left="82"/>
              <w:spacing w:after="0"/>
              <w:rPr>
                <w:sz w:val="20"/>
                <w:szCs w:val="20"/>
                <w:color w:val="auto"/>
              </w:rPr>
            </w:pPr>
            <w:r>
              <w:rPr>
                <w:rFonts w:ascii="Arial" w:cs="Arial" w:eastAsia="Arial" w:hAnsi="Arial"/>
                <w:sz w:val="18"/>
                <w:szCs w:val="18"/>
                <w:color w:val="auto"/>
                <w:w w:val="86"/>
              </w:rPr>
              <w:t>$32,950</w:t>
            </w:r>
          </w:p>
        </w:tc>
      </w:tr>
    </w:tbl>
    <w:p>
      <w:pPr>
        <w:spacing w:after="0" w:line="223"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As of June 30, 2017, $2.6 million of our cash and cash equivalents was held by our foreign subsidiaries. When these funds are needed for our operations in the U.S., we may be required to accrue and pay U.S. taxes if we repatriate certain of these funds.</w:t>
      </w:r>
    </w:p>
    <w:p>
      <w:pPr>
        <w:spacing w:after="0" w:line="186"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 the post-acquisition integration of Ambrell, the potential contingent consideration payments for Ambrell and other corporate requirements.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ectPr>
          <w:pgSz w:w="11900" w:h="16838" w:orient="portrait"/>
          <w:cols w:equalWidth="0" w:num="1">
            <w:col w:w="11380"/>
          </w:cols>
          <w:pgMar w:left="240" w:top="347" w:right="279" w:bottom="0" w:gutter="0" w:footer="0" w:header="0"/>
        </w:sectPr>
      </w:pPr>
    </w:p>
    <w:bookmarkStart w:id="21" w:name="page22"/>
    <w:bookmarkEnd w:id="21"/>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six months ended June 30, 2017 was $3.4 million. During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we recorded net earnings of $3.5 million which included non-cash charges of $523,000 for depreciation and amortization, $186,000 for amortization of deferred compensation expense related to stock-based awards and $90,000 as a provision for excess and obsolete inventory. Approximately $197,000 of our amortization expense was related to the intangible assets acquired as part of the acquisition of Ambrell in May 2017, which is discussed further in the Overview and Note 3 to our consolidated financial statements. Adjusted to eliminate the assets and liabilities purchased in the acquisition of Ambrell, accounts receivable and inventories increased $2.9 million and $697,000, respectively, during the six months ended June 30, 2017 compared to the levels at the end of 2016. These increases primarily reflect the increased business activity during the first half of 2017 as compared to the fourth quarter of 2016. During the six months ended June 30, 2017, we established a contingent consideration liability of $2.3 million as a result of our acquisition of Ambrell. During the six month months ended June 30, 2017, domestic and foreign income taxes payable increased $324,000 as a result of higher levels of taxable income during the first half of 2017.</w:t>
      </w:r>
    </w:p>
    <w:p>
      <w:pPr>
        <w:spacing w:after="0" w:line="177" w:lineRule="exact"/>
        <w:rPr>
          <w:sz w:val="20"/>
          <w:szCs w:val="20"/>
          <w:color w:val="auto"/>
        </w:rPr>
      </w:pPr>
    </w:p>
    <w:p>
      <w:pPr>
        <w:ind w:left="540" w:right="100"/>
        <w:spacing w:after="0" w:line="323"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During the six months ended June 30, 2017, we completed the acquisition of Ambrell for $24.3 million, net of cash acquired, as</w:t>
      </w:r>
      <w:r>
        <w:rPr>
          <w:rFonts w:ascii="Arial" w:cs="Arial" w:eastAsia="Arial" w:hAnsi="Arial"/>
          <w:sz w:val="15"/>
          <w:szCs w:val="15"/>
          <w:i w:val="1"/>
          <w:iCs w:val="1"/>
          <w:color w:val="auto"/>
        </w:rPr>
        <w:t xml:space="preserve"> </w:t>
      </w:r>
      <w:r>
        <w:rPr>
          <w:rFonts w:ascii="Arial" w:cs="Arial" w:eastAsia="Arial" w:hAnsi="Arial"/>
          <w:sz w:val="15"/>
          <w:szCs w:val="15"/>
          <w:color w:val="auto"/>
        </w:rPr>
        <w:t>discussed in further detail in the Overview and Note 3 to our consolidated financial statements. During the six months ended June 30, 2017, purchases of property and equipment were $203,000. We have no significant commitments for capital expenditures for the balance of 2017; however, depending upon changes in market demand or manufacturing and sales strategies, we may make such purchases or investments as we deem necessary and appropriate.</w:t>
      </w:r>
    </w:p>
    <w:p>
      <w:pPr>
        <w:spacing w:after="0" w:line="152"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six months ended June 30, 2017, we utilized $62,000 to repurchase 13,883 shares of our common stock under the 2015</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Plan.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80"/>
        <w:spacing w:after="0" w:line="318" w:lineRule="auto"/>
        <w:rPr>
          <w:sz w:val="20"/>
          <w:szCs w:val="20"/>
          <w:color w:val="auto"/>
        </w:rPr>
      </w:pPr>
      <w:r>
        <w:rPr>
          <w:rFonts w:ascii="Arial" w:cs="Arial" w:eastAsia="Arial" w:hAnsi="Arial"/>
          <w:sz w:val="15"/>
          <w:szCs w:val="15"/>
          <w:color w:val="auto"/>
        </w:rPr>
        <w:t>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2017, there have been no significant changes to the accounting policies that we have deemed critical. These policies are more fully described in our 2016 Form 10-K.</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There were no off-balance sheet arrangements during the six months ended June 30, 2017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CEO/CFO Conclusions about the Effectiveness of the Disclosure Controls and Procedures</w:t>
      </w:r>
      <w:r>
        <w:rPr>
          <w:rFonts w:ascii="Arial" w:cs="Arial" w:eastAsia="Arial" w:hAnsi="Arial"/>
          <w:sz w:val="16"/>
          <w:szCs w:val="16"/>
          <w:color w:val="auto"/>
        </w:rPr>
        <w:t>. As required by Rule 13a-15(b), inTEST management,</w:t>
      </w:r>
    </w:p>
    <w:p>
      <w:pPr>
        <w:sectPr>
          <w:pgSz w:w="11900" w:h="16838" w:orient="portrait"/>
          <w:cols w:equalWidth="0" w:num="1">
            <w:col w:w="11400"/>
          </w:cols>
          <w:pgMar w:left="240" w:top="347" w:right="259" w:bottom="0" w:gutter="0" w:footer="0" w:header="0"/>
        </w:sectPr>
      </w:pPr>
    </w:p>
    <w:bookmarkStart w:id="22" w:name="page23"/>
    <w:bookmarkEnd w:id="22"/>
    <w:p>
      <w:pPr>
        <w:jc w:val="both"/>
        <w:ind w:left="540" w:right="240"/>
        <w:spacing w:after="0" w:line="259" w:lineRule="auto"/>
        <w:rPr>
          <w:sz w:val="20"/>
          <w:szCs w:val="20"/>
          <w:color w:val="auto"/>
        </w:rPr>
      </w:pP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2016 filed with the Securities and Exchange Commission on March 27, 2017.</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On October 27, 2015, our Board of Directors authorized the repurchase of up to $5.0 million of our common stock from time to time on the open market, in compliance with Rule 10b-18 under the Exchange Act, or in privately negotiated transactions (the "2015 Repurchase Plan"). Repurchases may also be made under trading plans entered into with RW Baird &amp; Co. (each a "10b5-1 Plan"), which permit shares to be repurchased when we might otherwise be precluded from doing so under insider trading laws. The 2015 Repurchase Plan does not obligate us to repurchase any particular amount of common stock and may be suspended or discontinued at any time without prior notice. The 2015 Repurchase Plan is funded using our operating cash flow or available cash. The timing, price and amount of any shares repurchased under the 2015 Repurchase Plan is determined by our management, based on our evaluation of market conditions and other factors. To date, all purchases have been made in accordance with 10b5-1 Plans which provided for purchases to be made so long as the price did not exceed a maximum price. Recently, the price of our shares has exceeded the cap. Management is considering new parameters for future purchases and may enter into a new 10b5-1 Plan at some point under those new parameters. For the three months ended June 30, 2017, there were no shares repurchased. As of June 30, 2017 all of our 10b5-1 Plans had expired.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Signatures</w:t>
      </w:r>
    </w:p>
    <w:p>
      <w:pPr>
        <w:sectPr>
          <w:pgSz w:w="11900" w:h="16838" w:orient="portrait"/>
          <w:cols w:equalWidth="0" w:num="1">
            <w:col w:w="11400"/>
          </w:cols>
          <w:pgMar w:left="240" w:top="131" w:right="259" w:bottom="0" w:gutter="0" w:footer="0" w:header="0"/>
          <w:type w:val="continuous"/>
        </w:sectPr>
      </w:pPr>
    </w:p>
    <w:bookmarkStart w:id="23" w:name="page24"/>
    <w:bookmarkEnd w:id="23"/>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853"/>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14, 2017</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53"/>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14, 2017</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45"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Stock Purchase Agreement among Ambrell Holdings, LLC, Ambrell Corporation, Graycliff Private Equity Partners</w:t>
      </w:r>
    </w:p>
    <w:p>
      <w:pPr>
        <w:spacing w:after="0" w:line="15" w:lineRule="exact"/>
        <w:rPr>
          <w:sz w:val="20"/>
          <w:szCs w:val="20"/>
          <w:color w:val="auto"/>
        </w:rPr>
      </w:pPr>
    </w:p>
    <w:p>
      <w:pPr>
        <w:ind w:left="1280" w:right="1800" w:firstLine="626"/>
        <w:spacing w:after="0" w:line="278" w:lineRule="auto"/>
        <w:tabs>
          <w:tab w:leader="none" w:pos="2134" w:val="left"/>
        </w:tabs>
        <w:numPr>
          <w:ilvl w:val="1"/>
          <w:numId w:val="6"/>
        </w:numPr>
        <w:rPr>
          <w:rFonts w:ascii="Arial" w:cs="Arial" w:eastAsia="Arial" w:hAnsi="Arial"/>
          <w:sz w:val="18"/>
          <w:szCs w:val="18"/>
          <w:color w:val="auto"/>
        </w:rPr>
      </w:pPr>
      <w:r>
        <w:rPr>
          <w:rFonts w:ascii="Arial" w:cs="Arial" w:eastAsia="Arial" w:hAnsi="Arial"/>
          <w:sz w:val="18"/>
          <w:szCs w:val="18"/>
          <w:color w:val="auto"/>
        </w:rPr>
        <w:t>LP, Hudson River Co-Investment Fund II LP and inTEST Corporation dated as of May 24, 2017 (1) 31.1 Certification of Chief Executive Officer pursuant to Rule 13a-14(a).</w:t>
      </w:r>
    </w:p>
    <w:p>
      <w:pPr>
        <w:ind w:left="1280"/>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Rule 13a-14(a).</w:t>
      </w:r>
    </w:p>
    <w:p>
      <w:pPr>
        <w:spacing w:after="0" w:line="36" w:lineRule="exact"/>
        <w:rPr>
          <w:rFonts w:ascii="Arial" w:cs="Arial" w:eastAsia="Arial" w:hAnsi="Arial"/>
          <w:sz w:val="18"/>
          <w:szCs w:val="18"/>
          <w:color w:val="auto"/>
        </w:rPr>
      </w:pPr>
    </w:p>
    <w:p>
      <w:pPr>
        <w:ind w:left="1900" w:right="960" w:hanging="635"/>
        <w:spacing w:after="0" w:line="266" w:lineRule="auto"/>
        <w:rPr>
          <w:rFonts w:ascii="Arial" w:cs="Arial" w:eastAsia="Arial" w:hAnsi="Arial"/>
          <w:sz w:val="18"/>
          <w:szCs w:val="18"/>
          <w:color w:val="auto"/>
        </w:rPr>
      </w:pPr>
      <w:r>
        <w:rPr>
          <w:rFonts w:ascii="Arial" w:cs="Arial" w:eastAsia="Arial" w:hAnsi="Arial"/>
          <w:sz w:val="18"/>
          <w:szCs w:val="18"/>
          <w:color w:val="auto"/>
        </w:rPr>
        <w:t>32.1Certification of Chief Executive Officer pursuant to 18 U.S.C. Section 1350, as adopted pursuant to Section 906 of the Sarbanes-Oxley Act of 2002.</w:t>
      </w:r>
    </w:p>
    <w:p>
      <w:pPr>
        <w:ind w:left="1900" w:right="1020" w:hanging="635"/>
        <w:spacing w:after="0" w:line="268" w:lineRule="auto"/>
        <w:rPr>
          <w:rFonts w:ascii="Arial" w:cs="Arial" w:eastAsia="Arial" w:hAnsi="Arial"/>
          <w:sz w:val="18"/>
          <w:szCs w:val="18"/>
          <w:color w:val="auto"/>
        </w:rPr>
      </w:pPr>
      <w:r>
        <w:rPr>
          <w:rFonts w:ascii="Arial" w:cs="Arial" w:eastAsia="Arial" w:hAnsi="Arial"/>
          <w:sz w:val="18"/>
          <w:szCs w:val="18"/>
          <w:color w:val="auto"/>
        </w:rPr>
        <w:t>32.2Certification of Chief Financial Officer pursuant to 18 U.S.C. Section 1350, as adopted pursuant to Section 906 of the Sarbanes-Oxley Act of 2002.</w:t>
      </w:r>
    </w:p>
    <w:p>
      <w:pPr>
        <w:spacing w:after="0" w:line="240" w:lineRule="exact"/>
        <w:rPr>
          <w:rFonts w:ascii="Arial" w:cs="Arial" w:eastAsia="Arial" w:hAnsi="Arial"/>
          <w:sz w:val="18"/>
          <w:szCs w:val="18"/>
          <w:color w:val="auto"/>
        </w:rPr>
      </w:pPr>
    </w:p>
    <w:p>
      <w:pPr>
        <w:ind w:left="1900" w:right="1180" w:hanging="629"/>
        <w:spacing w:after="0" w:line="268" w:lineRule="auto"/>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May 24, 2017, File No. 001-36117, filed May 24, 2017, and incorporated herein by reference.</w:t>
      </w:r>
    </w:p>
    <w:p>
      <w:pPr>
        <w:spacing w:after="0" w:line="200" w:lineRule="exact"/>
        <w:rPr>
          <w:rFonts w:ascii="Arial" w:cs="Arial" w:eastAsia="Arial" w:hAnsi="Arial"/>
          <w:sz w:val="18"/>
          <w:szCs w:val="18"/>
          <w:color w:val="auto"/>
        </w:rPr>
      </w:pPr>
    </w:p>
    <w:p>
      <w:pPr>
        <w:spacing w:after="0" w:line="391" w:lineRule="exact"/>
        <w:rPr>
          <w:rFonts w:ascii="Arial" w:cs="Arial" w:eastAsia="Arial" w:hAnsi="Arial"/>
          <w:sz w:val="18"/>
          <w:szCs w:val="18"/>
          <w:color w:val="auto"/>
        </w:rPr>
      </w:pPr>
    </w:p>
    <w:p>
      <w:pPr>
        <w:ind w:left="5620" w:hanging="96"/>
        <w:spacing w:after="0"/>
        <w:tabs>
          <w:tab w:leader="none" w:pos="5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40"/>
          </w:cols>
          <w:pgMar w:left="240" w:top="523" w:right="71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14, 2017</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14, 2017</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June 30, 2017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14, 2017</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June 30, 2017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14, 2017</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
    </w:lvl>
    <w:lvl w:ilvl="1">
      <w:lvlJc w:val="left"/>
      <w:lvlText w:val="%2"/>
      <w:numFmt w:val="upperLetter"/>
      <w:start w:val="61"/>
    </w:lvl>
    <w:lvl w:ilvl="2">
      <w:lvlJc w:val="left"/>
      <w:lvlText w:val="-"/>
      <w:numFmt w:val="bullet"/>
      <w:start w:val="1"/>
    </w:lvl>
  </w:abstractNum>
  <w:abstractNum w:abstractNumId="6">
    <w:nsid w:val="5BD062C2"/>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2019-12-06T06:33:43Z</dcterms:created>
  <dcterms:modified xsi:type="dcterms:W3CDTF">2019-12-06T06:33:43Z</dcterms:modified>
</cp:coreProperties>
</file>