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inTest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Thomas A. Satterfield, Jr.</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7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40,000.00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640"/>
          </w:cols>
          <w:pgMar w:left="320" w:top="111" w:right="779" w:bottom="0" w:gutter="0" w:footer="0" w:header="0"/>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 Based on 12,495,544 shares of common stock of the issuer outstanding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February 27, 2026 as reported by the issuer in its Annual Report on Form 10-K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inTest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804 East Gate Drive, Suite 200, Mt. Laurel, NJ 08054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Thomas A. Satterfield, Jr.</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15 Colley Cove Drive Gulf Breeze, Florida 32561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Incorporated by reference from Item 4 of the Cover Page.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800"/>
          </w:cols>
          <w:pgMar w:left="320" w:top="111" w:right="77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from Item 9 of the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from Item 11 of the Cover Page.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from Item 5 of the Cover Page.</w:t>
      </w:r>
    </w:p>
    <w:p>
      <w:pPr>
        <w:spacing w:after="0" w:line="287" w:lineRule="exact"/>
        <w:rPr>
          <w:sz w:val="20"/>
          <w:szCs w:val="20"/>
          <w:color w:val="auto"/>
        </w:rPr>
      </w:pPr>
    </w:p>
    <w:p>
      <w:pPr>
        <w:ind w:left="920" w:right="5240" w:firstLine="6"/>
        <w:spacing w:after="0" w:line="509" w:lineRule="auto"/>
        <w:tabs>
          <w:tab w:leader="none" w:pos="123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Incorporated by reference from Item 6 of the Cover Page.</w:t>
      </w:r>
    </w:p>
    <w:p>
      <w:pPr>
        <w:spacing w:after="0" w:line="1" w:lineRule="exact"/>
        <w:rPr>
          <w:rFonts w:ascii="Times New Roman" w:cs="Times New Roman" w:eastAsia="Times New Roman" w:hAnsi="Times New Roman"/>
          <w:sz w:val="21"/>
          <w:szCs w:val="21"/>
          <w:color w:val="auto"/>
        </w:rPr>
      </w:pPr>
    </w:p>
    <w:p>
      <w:pPr>
        <w:ind w:left="920" w:right="5240" w:firstLine="6"/>
        <w:spacing w:after="0" w:line="509" w:lineRule="auto"/>
        <w:tabs>
          <w:tab w:leader="none" w:pos="129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Incorporated by reference from Item 7 of the Cover Page.</w:t>
      </w:r>
    </w:p>
    <w:p>
      <w:pPr>
        <w:spacing w:after="0" w:line="1" w:lineRule="exact"/>
        <w:rPr>
          <w:rFonts w:ascii="Times New Roman" w:cs="Times New Roman" w:eastAsia="Times New Roman" w:hAnsi="Times New Roman"/>
          <w:sz w:val="21"/>
          <w:szCs w:val="21"/>
          <w:color w:val="auto"/>
        </w:rPr>
      </w:pPr>
    </w:p>
    <w:p>
      <w:pPr>
        <w:ind w:left="920" w:right="512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Incorporated by reference from Item 8 of the Cover Page.</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22"/>
          <w:szCs w:val="22"/>
          <w:color w:val="auto"/>
        </w:rPr>
        <w:t>With respect to the beneficial ownership reported for Thomas A. Satterfield, Jr., 80,000 shares are held by Tomsat Investment &amp; Trading Co., Inc., a corporation controlled by Mr. Satterfield and of which he serves as President; 180,000 shares are held by A.G. Family L.P., a partnership managed by a general partner controlled by Mr. Satterfield; and 250,000 shares are held by Caldwell Mill Opportunity Fund, LLC, a fund managed by an entity of which Mr. Satterfield owns a 50% interest and serves as Chief Investment Manager.</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Thomas A. Satterfield, Jr.</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A. Satterfield, Jr.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Thomas A. Satterfield, Jr.</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2026-04-29T20:46:46Z</dcterms:created>
  <dcterms:modified xsi:type="dcterms:W3CDTF">2026-04-29T20:46:46Z</dcterms:modified>
</cp:coreProperties>
</file>