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3435350</wp:posOffset>
            </wp:positionH>
            <wp:positionV relativeFrom="paragraph">
              <wp:posOffset>131445</wp:posOffset>
            </wp:positionV>
            <wp:extent cx="39878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8780" cy="342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0000FF"/>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3435350</wp:posOffset>
            </wp:positionH>
            <wp:positionV relativeFrom="paragraph">
              <wp:posOffset>135890</wp:posOffset>
            </wp:positionV>
            <wp:extent cx="39878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8780" cy="342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4"/>
          <w:szCs w:val="14"/>
          <w:i w:val="1"/>
          <w:iCs w:val="1"/>
          <w:color w:val="auto"/>
        </w:rPr>
        <w:t>(Mark One)</w:t>
      </w:r>
    </w:p>
    <w:p>
      <w:pPr>
        <w:spacing w:after="0" w:line="4"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[X]</w:t>
      </w:r>
      <w:r>
        <w:rPr>
          <w:sz w:val="20"/>
          <w:szCs w:val="20"/>
          <w:color w:val="auto"/>
        </w:rPr>
        <w:tab/>
      </w:r>
      <w:r>
        <w:rPr>
          <w:rFonts w:ascii="Arial" w:cs="Arial" w:eastAsia="Arial" w:hAnsi="Arial"/>
          <w:sz w:val="16"/>
          <w:szCs w:val="16"/>
          <w:b w:val="1"/>
          <w:bCs w:val="1"/>
          <w:color w:val="auto"/>
        </w:rPr>
        <w:t>QUARTERLY REPORT PURSUANT TO SECTION 13 OR 15(d) OF THE SECURITIES EXCHANGE ACT OF 1934</w:t>
      </w:r>
    </w:p>
    <w:p>
      <w:pPr>
        <w:spacing w:after="0" w:line="211" w:lineRule="exact"/>
        <w:rPr>
          <w:sz w:val="24"/>
          <w:szCs w:val="24"/>
          <w:color w:val="auto"/>
        </w:rPr>
      </w:pPr>
    </w:p>
    <w:p>
      <w:pPr>
        <w:ind w:left="2160"/>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FF0000"/>
        </w:rPr>
        <w:t>June 30, 2014</w:t>
      </w:r>
      <w:r>
        <w:rPr>
          <w:rFonts w:ascii="Arial" w:cs="Arial" w:eastAsia="Arial" w:hAnsi="Arial"/>
          <w:sz w:val="18"/>
          <w:szCs w:val="18"/>
          <w:color w:val="auto"/>
        </w:rPr>
        <w:t xml:space="preserve"> or</w:t>
      </w:r>
    </w:p>
    <w:p>
      <w:pPr>
        <w:spacing w:after="0" w:line="219" w:lineRule="exact"/>
        <w:rPr>
          <w:sz w:val="24"/>
          <w:szCs w:val="24"/>
          <w:color w:val="auto"/>
        </w:rPr>
      </w:pPr>
    </w:p>
    <w:p>
      <w:pPr>
        <w:ind w:left="2160" w:right="1920" w:hanging="2152"/>
        <w:spacing w:after="0" w:line="478" w:lineRule="auto"/>
        <w:tabs>
          <w:tab w:leader="none" w:pos="18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__________________ to ___________________</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1-36117</w:t>
      </w:r>
    </w:p>
    <w:p>
      <w:pPr>
        <w:spacing w:after="0" w:line="13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0000FF"/>
        </w:rPr>
        <w:t>inTEST Corporation</w:t>
      </w:r>
    </w:p>
    <w:p>
      <w:pPr>
        <w:spacing w:after="0" w:line="18"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(Exact Name of Registrant as Specified in its Charter)</w:t>
      </w:r>
    </w:p>
    <w:p>
      <w:pPr>
        <w:spacing w:after="0" w:line="185" w:lineRule="exact"/>
        <w:rPr>
          <w:sz w:val="24"/>
          <w:szCs w:val="24"/>
          <w:color w:val="auto"/>
        </w:rPr>
      </w:pPr>
    </w:p>
    <w:tbl>
      <w:tblPr>
        <w:tblLayout w:type="fixed"/>
        <w:tblInd w:w="190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2900" w:type="dxa"/>
            <w:vAlign w:val="bottom"/>
            <w:gridSpan w:val="2"/>
          </w:tcPr>
          <w:p>
            <w:pPr>
              <w:jc w:val="center"/>
              <w:ind w:right="2200"/>
              <w:spacing w:after="0"/>
              <w:rPr>
                <w:sz w:val="20"/>
                <w:szCs w:val="20"/>
                <w:color w:val="auto"/>
              </w:rPr>
            </w:pPr>
            <w:r>
              <w:rPr>
                <w:rFonts w:ascii="Arial" w:cs="Arial" w:eastAsia="Arial" w:hAnsi="Arial"/>
                <w:sz w:val="18"/>
                <w:szCs w:val="18"/>
                <w:b w:val="1"/>
                <w:bCs w:val="1"/>
                <w:color w:val="auto"/>
                <w:w w:val="88"/>
              </w:rPr>
              <w:t>Delaware</w:t>
            </w:r>
          </w:p>
        </w:tc>
        <w:tc>
          <w:tcPr>
            <w:tcW w:w="314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22-2370659</w:t>
            </w:r>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4160" w:type="dxa"/>
            <w:vAlign w:val="bottom"/>
            <w:gridSpan w:val="3"/>
          </w:tcPr>
          <w:p>
            <w:pPr>
              <w:jc w:val="center"/>
              <w:ind w:right="940"/>
              <w:spacing w:after="0"/>
              <w:rPr>
                <w:sz w:val="20"/>
                <w:szCs w:val="20"/>
                <w:color w:val="auto"/>
              </w:rPr>
            </w:pPr>
            <w:r>
              <w:rPr>
                <w:rFonts w:ascii="Arial" w:cs="Arial" w:eastAsia="Arial" w:hAnsi="Arial"/>
                <w:sz w:val="14"/>
                <w:szCs w:val="14"/>
                <w:color w:val="auto"/>
                <w:w w:val="89"/>
              </w:rPr>
              <w:t>(State or other jurisdiction of incorporation or organization)</w:t>
            </w:r>
          </w:p>
        </w:tc>
        <w:tc>
          <w:tcPr>
            <w:tcW w:w="3140" w:type="dxa"/>
            <w:vAlign w:val="bottom"/>
            <w:gridSpan w:val="3"/>
          </w:tcPr>
          <w:p>
            <w:pPr>
              <w:jc w:val="center"/>
              <w:ind w:left="862"/>
              <w:spacing w:after="0"/>
              <w:rPr>
                <w:sz w:val="20"/>
                <w:szCs w:val="20"/>
                <w:color w:val="auto"/>
              </w:rPr>
            </w:pPr>
            <w:r>
              <w:rPr>
                <w:rFonts w:ascii="Arial" w:cs="Arial" w:eastAsia="Arial" w:hAnsi="Arial"/>
                <w:sz w:val="14"/>
                <w:szCs w:val="14"/>
                <w:color w:val="auto"/>
                <w:w w:val="90"/>
              </w:rPr>
              <w:t>(I.R.S. Employer Identification Number)</w:t>
            </w:r>
          </w:p>
        </w:tc>
      </w:tr>
    </w:tbl>
    <w:p>
      <w:pPr>
        <w:spacing w:after="0" w:line="202"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804 East Gate Drive, Suite 200</w:t>
      </w:r>
    </w:p>
    <w:p>
      <w:pPr>
        <w:spacing w:after="0" w:line="21" w:lineRule="exact"/>
        <w:rPr>
          <w:sz w:val="24"/>
          <w:szCs w:val="24"/>
          <w:color w:val="auto"/>
        </w:rPr>
      </w:pPr>
    </w:p>
    <w:p>
      <w:pPr>
        <w:ind w:left="4600"/>
        <w:spacing w:after="0"/>
        <w:rPr>
          <w:sz w:val="20"/>
          <w:szCs w:val="20"/>
          <w:color w:val="auto"/>
        </w:rPr>
      </w:pPr>
      <w:r>
        <w:rPr>
          <w:rFonts w:ascii="Arial" w:cs="Arial" w:eastAsia="Arial" w:hAnsi="Arial"/>
          <w:sz w:val="18"/>
          <w:szCs w:val="18"/>
          <w:b w:val="1"/>
          <w:bCs w:val="1"/>
          <w:u w:val="single" w:color="auto"/>
          <w:color w:val="auto"/>
        </w:rPr>
        <w:t>Mt. Laurel, New Jersey 08054</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2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(856) 505-8800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2174875</wp:posOffset>
            </wp:positionH>
            <wp:positionV relativeFrom="paragraph">
              <wp:posOffset>118110</wp:posOffset>
            </wp:positionV>
            <wp:extent cx="2928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28620" cy="342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both"/>
        <w:ind w:right="60"/>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tabs>
          <w:tab w:leader="none" w:pos="80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5"/>
          <w:szCs w:val="15"/>
          <w:color w:val="auto"/>
        </w:rPr>
        <w:t>NO ____</w:t>
      </w:r>
    </w:p>
    <w:p>
      <w:pPr>
        <w:spacing w:after="0" w:line="219" w:lineRule="exact"/>
        <w:rPr>
          <w:sz w:val="24"/>
          <w:szCs w:val="24"/>
          <w:color w:val="auto"/>
        </w:rPr>
      </w:pPr>
    </w:p>
    <w:p>
      <w:pPr>
        <w:spacing w:after="0" w:line="25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(SS 232.405 of this chapter) during the preceding 12 months (or for such shorter period that the registrant was required to submit and post such files).</w:t>
      </w:r>
    </w:p>
    <w:p>
      <w:pPr>
        <w:spacing w:after="0"/>
        <w:tabs>
          <w:tab w:leader="none" w:pos="80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5"/>
          <w:szCs w:val="15"/>
          <w:color w:val="auto"/>
        </w:rPr>
        <w:t>NO ____</w:t>
      </w:r>
    </w:p>
    <w:p>
      <w:pPr>
        <w:spacing w:after="0" w:line="219" w:lineRule="exact"/>
        <w:rPr>
          <w:sz w:val="24"/>
          <w:szCs w:val="24"/>
          <w:color w:val="auto"/>
        </w:rPr>
      </w:pPr>
    </w:p>
    <w:p>
      <w:pPr>
        <w:ind w:right="2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40" w:type="dxa"/>
            <w:vAlign w:val="bottom"/>
            <w:gridSpan w:val="4"/>
          </w:tcPr>
          <w:p>
            <w:pPr>
              <w:ind w:left="540"/>
              <w:spacing w:after="0"/>
              <w:rPr>
                <w:sz w:val="20"/>
                <w:szCs w:val="20"/>
                <w:color w:val="auto"/>
              </w:rPr>
            </w:pPr>
            <w:r>
              <w:rPr>
                <w:rFonts w:ascii="Arial" w:cs="Arial" w:eastAsia="Arial" w:hAnsi="Arial"/>
                <w:sz w:val="18"/>
                <w:szCs w:val="18"/>
                <w:color w:val="auto"/>
                <w:w w:val="88"/>
              </w:rPr>
              <w:t>Large accelerated filer</w:t>
            </w:r>
          </w:p>
        </w:tc>
        <w:tc>
          <w:tcPr>
            <w:tcW w:w="1280" w:type="dxa"/>
            <w:vAlign w:val="bottom"/>
          </w:tcPr>
          <w:p>
            <w:pPr>
              <w:jc w:val="right"/>
              <w:ind w:right="852"/>
              <w:spacing w:after="0"/>
              <w:rPr>
                <w:sz w:val="20"/>
                <w:szCs w:val="20"/>
                <w:color w:val="auto"/>
              </w:rPr>
            </w:pPr>
            <w:r>
              <w:rPr>
                <w:rFonts w:ascii="Arial" w:cs="Arial" w:eastAsia="Arial" w:hAnsi="Arial"/>
                <w:sz w:val="18"/>
                <w:szCs w:val="18"/>
                <w:color w:val="auto"/>
              </w:rPr>
              <w:t>___</w:t>
            </w:r>
          </w:p>
        </w:tc>
        <w:tc>
          <w:tcPr>
            <w:tcW w:w="1740" w:type="dxa"/>
            <w:vAlign w:val="bottom"/>
          </w:tcPr>
          <w:p>
            <w:pPr>
              <w:spacing w:after="0"/>
              <w:rPr>
                <w:sz w:val="18"/>
                <w:szCs w:val="18"/>
                <w:color w:val="auto"/>
              </w:rPr>
            </w:pPr>
          </w:p>
        </w:tc>
        <w:tc>
          <w:tcPr>
            <w:tcW w:w="2860" w:type="dxa"/>
            <w:vAlign w:val="bottom"/>
            <w:gridSpan w:val="2"/>
          </w:tcPr>
          <w:p>
            <w:pPr>
              <w:ind w:left="1300"/>
              <w:spacing w:after="0"/>
              <w:rPr>
                <w:sz w:val="20"/>
                <w:szCs w:val="20"/>
                <w:color w:val="auto"/>
              </w:rPr>
            </w:pPr>
            <w:r>
              <w:rPr>
                <w:rFonts w:ascii="Arial" w:cs="Arial" w:eastAsia="Arial" w:hAnsi="Arial"/>
                <w:sz w:val="18"/>
                <w:szCs w:val="18"/>
                <w:color w:val="auto"/>
                <w:w w:val="93"/>
              </w:rPr>
              <w:t>Accelerated filer ___</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184"/>
        </w:trPr>
        <w:tc>
          <w:tcPr>
            <w:tcW w:w="2140" w:type="dxa"/>
            <w:vAlign w:val="bottom"/>
            <w:gridSpan w:val="4"/>
          </w:tcPr>
          <w:p>
            <w:pPr>
              <w:ind w:left="540"/>
              <w:spacing w:after="0" w:line="184" w:lineRule="exact"/>
              <w:rPr>
                <w:sz w:val="20"/>
                <w:szCs w:val="20"/>
                <w:color w:val="auto"/>
              </w:rPr>
            </w:pPr>
            <w:r>
              <w:rPr>
                <w:rFonts w:ascii="Arial" w:cs="Arial" w:eastAsia="Arial" w:hAnsi="Arial"/>
                <w:sz w:val="18"/>
                <w:szCs w:val="18"/>
                <w:color w:val="auto"/>
                <w:w w:val="95"/>
              </w:rPr>
              <w:t>Non-accelerated filer</w:t>
            </w:r>
          </w:p>
        </w:tc>
        <w:tc>
          <w:tcPr>
            <w:tcW w:w="302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 xml:space="preserve">___ </w:t>
            </w:r>
            <w:r>
              <w:rPr>
                <w:rFonts w:ascii="Arial" w:cs="Arial" w:eastAsia="Arial" w:hAnsi="Arial"/>
                <w:sz w:val="13"/>
                <w:szCs w:val="13"/>
                <w:color w:val="auto"/>
              </w:rPr>
              <w:t>(Do not check if a smaller reporting company)</w:t>
            </w:r>
          </w:p>
        </w:tc>
        <w:tc>
          <w:tcPr>
            <w:tcW w:w="2840" w:type="dxa"/>
            <w:vAlign w:val="bottom"/>
          </w:tcPr>
          <w:p>
            <w:pPr>
              <w:ind w:left="880"/>
              <w:spacing w:after="0" w:line="184" w:lineRule="exact"/>
              <w:rPr>
                <w:sz w:val="20"/>
                <w:szCs w:val="20"/>
                <w:color w:val="auto"/>
              </w:rPr>
            </w:pPr>
            <w:r>
              <w:rPr>
                <w:rFonts w:ascii="Arial" w:cs="Arial" w:eastAsia="Arial" w:hAnsi="Arial"/>
                <w:sz w:val="18"/>
                <w:szCs w:val="18"/>
                <w:color w:val="auto"/>
                <w:w w:val="90"/>
              </w:rPr>
              <w:t>Smaller reporting company</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ind w:left="20"/>
              <w:spacing w:after="0" w:line="184" w:lineRule="exact"/>
              <w:rPr>
                <w:sz w:val="20"/>
                <w:szCs w:val="20"/>
                <w:color w:val="auto"/>
              </w:rPr>
            </w:pPr>
            <w:r>
              <w:rPr>
                <w:rFonts w:ascii="Arial" w:cs="Arial" w:eastAsia="Arial" w:hAnsi="Arial"/>
                <w:sz w:val="18"/>
                <w:szCs w:val="18"/>
                <w:color w:val="auto"/>
              </w:rPr>
              <w:t>X</w:t>
            </w:r>
          </w:p>
        </w:tc>
        <w:tc>
          <w:tcPr>
            <w:tcW w:w="960" w:type="dxa"/>
            <w:vAlign w:val="bottom"/>
            <w:gridSpan w:val="2"/>
          </w:tcPr>
          <w:p>
            <w:pPr>
              <w:spacing w:after="0"/>
              <w:rPr>
                <w:sz w:val="15"/>
                <w:szCs w:val="15"/>
                <w:color w:val="auto"/>
              </w:rPr>
            </w:pPr>
          </w:p>
        </w:tc>
      </w:tr>
      <w:tr>
        <w:trPr>
          <w:trHeight w:val="444"/>
        </w:trPr>
        <w:tc>
          <w:tcPr>
            <w:tcW w:w="8020" w:type="dxa"/>
            <w:vAlign w:val="bottom"/>
            <w:gridSpan w:val="8"/>
          </w:tcPr>
          <w:p>
            <w:pPr>
              <w:spacing w:after="0"/>
              <w:rPr>
                <w:sz w:val="20"/>
                <w:szCs w:val="20"/>
                <w:color w:val="auto"/>
              </w:rPr>
            </w:pPr>
            <w:r>
              <w:rPr>
                <w:rFonts w:ascii="Arial" w:cs="Arial" w:eastAsia="Arial" w:hAnsi="Arial"/>
                <w:sz w:val="18"/>
                <w:szCs w:val="18"/>
                <w:color w:val="auto"/>
                <w:w w:val="88"/>
              </w:rPr>
              <w:t>Indicate by check mark whether the registrant is a shell company (as defined in Rule 12b-2 of the Exchange Act).</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84"/>
        </w:trPr>
        <w:tc>
          <w:tcPr>
            <w:tcW w:w="720" w:type="dxa"/>
            <w:vAlign w:val="bottom"/>
          </w:tcPr>
          <w:p>
            <w:pPr>
              <w:spacing w:after="0" w:line="184" w:lineRule="exact"/>
              <w:rPr>
                <w:sz w:val="20"/>
                <w:szCs w:val="20"/>
                <w:color w:val="auto"/>
              </w:rPr>
            </w:pPr>
            <w:r>
              <w:rPr>
                <w:rFonts w:ascii="Arial" w:cs="Arial" w:eastAsia="Arial" w:hAnsi="Arial"/>
                <w:sz w:val="18"/>
                <w:szCs w:val="18"/>
                <w:color w:val="auto"/>
                <w:w w:val="98"/>
              </w:rPr>
              <w:t>YES ___</w:t>
            </w:r>
          </w:p>
        </w:tc>
        <w:tc>
          <w:tcPr>
            <w:tcW w:w="1420" w:type="dxa"/>
            <w:vAlign w:val="bottom"/>
            <w:gridSpan w:val="3"/>
          </w:tcPr>
          <w:p>
            <w:pPr>
              <w:ind w:left="100"/>
              <w:spacing w:after="0" w:line="184" w:lineRule="exact"/>
              <w:rPr>
                <w:sz w:val="20"/>
                <w:szCs w:val="20"/>
                <w:color w:val="auto"/>
              </w:rPr>
            </w:pPr>
            <w:r>
              <w:rPr>
                <w:rFonts w:ascii="Arial" w:cs="Arial" w:eastAsia="Arial" w:hAnsi="Arial"/>
                <w:sz w:val="18"/>
                <w:szCs w:val="18"/>
                <w:color w:val="auto"/>
              </w:rPr>
              <w:t>NO X</w:t>
            </w:r>
          </w:p>
        </w:tc>
        <w:tc>
          <w:tcPr>
            <w:tcW w:w="12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0"/>
        </w:trPr>
        <w:tc>
          <w:tcPr>
            <w:tcW w:w="112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4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51"/>
        </w:trPr>
        <w:tc>
          <w:tcPr>
            <w:tcW w:w="8020" w:type="dxa"/>
            <w:vAlign w:val="bottom"/>
            <w:gridSpan w:val="8"/>
          </w:tcPr>
          <w:p>
            <w:pPr>
              <w:spacing w:after="0"/>
              <w:rPr>
                <w:sz w:val="20"/>
                <w:szCs w:val="20"/>
                <w:color w:val="auto"/>
              </w:rPr>
            </w:pPr>
            <w:r>
              <w:rPr>
                <w:rFonts w:ascii="Arial" w:cs="Arial" w:eastAsia="Arial" w:hAnsi="Arial"/>
                <w:sz w:val="18"/>
                <w:szCs w:val="18"/>
                <w:color w:val="auto"/>
                <w:w w:val="91"/>
              </w:rPr>
              <w:t>Number of shares of Common Stock, $.01 par value, outstanding as of the close of business on July 31, 2014:</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92"/>
        </w:trPr>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40" w:type="dxa"/>
            <w:vAlign w:val="bottom"/>
          </w:tcPr>
          <w:p>
            <w:pPr>
              <w:jc w:val="center"/>
              <w:ind w:right="1652"/>
              <w:spacing w:after="0"/>
              <w:rPr>
                <w:sz w:val="20"/>
                <w:szCs w:val="20"/>
                <w:color w:val="auto"/>
              </w:rPr>
            </w:pPr>
            <w:r>
              <w:rPr>
                <w:rFonts w:ascii="Arial" w:cs="Arial" w:eastAsia="Arial" w:hAnsi="Arial"/>
                <w:sz w:val="18"/>
                <w:szCs w:val="18"/>
                <w:color w:val="auto"/>
                <w:w w:val="86"/>
              </w:rPr>
              <w:t>10,562,678</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8"/>
        </w:trPr>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580" w:type="dxa"/>
            <w:vAlign w:val="bottom"/>
            <w:tcBorders>
              <w:bottom w:val="single" w:sz="8" w:color="9A9A9A"/>
            </w:tcBorders>
            <w:gridSpan w:val="2"/>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815"/>
        </w:trPr>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6"/>
              </w:rPr>
              <w:t>inTEST CORPORATION</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60" w:type="dxa"/>
            <w:vAlign w:val="bottom"/>
            <w:gridSpan w:val="2"/>
          </w:tcPr>
          <w:p>
            <w:pPr>
              <w:jc w:val="center"/>
              <w:ind w:right="1740"/>
              <w:spacing w:after="0"/>
              <w:rPr>
                <w:sz w:val="20"/>
                <w:szCs w:val="20"/>
                <w:color w:val="auto"/>
              </w:rPr>
            </w:pPr>
            <w:r>
              <w:rPr>
                <w:rFonts w:ascii="Arial" w:cs="Arial" w:eastAsia="Arial" w:hAnsi="Arial"/>
                <w:sz w:val="18"/>
                <w:szCs w:val="18"/>
                <w:b w:val="1"/>
                <w:bCs w:val="1"/>
                <w:color w:val="auto"/>
              </w:rPr>
              <w:t>INDEX</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797"/>
        </w:trPr>
        <w:tc>
          <w:tcPr>
            <w:tcW w:w="5160" w:type="dxa"/>
            <w:vAlign w:val="bottom"/>
            <w:gridSpan w:val="6"/>
          </w:tcPr>
          <w:p>
            <w:pPr>
              <w:ind w:left="20"/>
              <w:spacing w:after="0"/>
              <w:rPr>
                <w:sz w:val="20"/>
                <w:szCs w:val="20"/>
                <w:color w:val="auto"/>
              </w:rPr>
            </w:pPr>
            <w:r>
              <w:rPr>
                <w:rFonts w:ascii="Arial" w:cs="Arial" w:eastAsia="Arial" w:hAnsi="Arial"/>
                <w:sz w:val="18"/>
                <w:szCs w:val="18"/>
                <w:b w:val="1"/>
                <w:bCs w:val="1"/>
                <w:color w:val="auto"/>
              </w:rPr>
              <w:t>PART I.  FINANCIAL INFORMATION</w:t>
            </w: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5"/>
        </w:trPr>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center"/>
              <w:ind w:left="512"/>
              <w:spacing w:after="0" w:line="205" w:lineRule="exact"/>
              <w:rPr>
                <w:sz w:val="20"/>
                <w:szCs w:val="20"/>
                <w:color w:val="auto"/>
              </w:rPr>
            </w:pPr>
            <w:r>
              <w:rPr>
                <w:rFonts w:ascii="Arial" w:cs="Arial" w:eastAsia="Arial" w:hAnsi="Arial"/>
                <w:sz w:val="18"/>
                <w:szCs w:val="18"/>
                <w:b w:val="1"/>
                <w:bCs w:val="1"/>
                <w:color w:val="auto"/>
                <w:w w:val="83"/>
              </w:rPr>
              <w:t>Page</w:t>
            </w:r>
          </w:p>
        </w:tc>
      </w:tr>
      <w:tr>
        <w:trPr>
          <w:trHeight w:val="262"/>
        </w:trPr>
        <w:tc>
          <w:tcPr>
            <w:tcW w:w="7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Item 1.</w:t>
            </w:r>
          </w:p>
        </w:tc>
        <w:tc>
          <w:tcPr>
            <w:tcW w:w="4440" w:type="dxa"/>
            <w:vAlign w:val="bottom"/>
            <w:gridSpan w:val="5"/>
          </w:tcPr>
          <w:p>
            <w:pPr>
              <w:ind w:left="60"/>
              <w:spacing w:after="0"/>
              <w:rPr>
                <w:sz w:val="20"/>
                <w:szCs w:val="20"/>
                <w:color w:val="auto"/>
              </w:rPr>
            </w:pPr>
            <w:r>
              <w:rPr>
                <w:rFonts w:ascii="Arial" w:cs="Arial" w:eastAsia="Arial" w:hAnsi="Arial"/>
                <w:sz w:val="18"/>
                <w:szCs w:val="18"/>
                <w:b w:val="1"/>
                <w:bCs w:val="1"/>
                <w:i w:val="1"/>
                <w:iCs w:val="1"/>
                <w:color w:val="auto"/>
              </w:rPr>
              <w:t>Financial Statements</w:t>
            </w:r>
          </w:p>
        </w:tc>
        <w:tc>
          <w:tcPr>
            <w:tcW w:w="2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r>
      <w:tr>
        <w:trPr>
          <w:trHeight w:val="486"/>
        </w:trPr>
        <w:tc>
          <w:tcPr>
            <w:tcW w:w="720" w:type="dxa"/>
            <w:vAlign w:val="bottom"/>
          </w:tcPr>
          <w:p>
            <w:pPr>
              <w:spacing w:after="0"/>
              <w:rPr>
                <w:sz w:val="24"/>
                <w:szCs w:val="24"/>
                <w:color w:val="auto"/>
              </w:rPr>
            </w:pPr>
          </w:p>
        </w:tc>
        <w:tc>
          <w:tcPr>
            <w:tcW w:w="7300" w:type="dxa"/>
            <w:vAlign w:val="bottom"/>
            <w:gridSpan w:val="7"/>
          </w:tcPr>
          <w:p>
            <w:pPr>
              <w:ind w:left="60"/>
              <w:spacing w:after="0"/>
              <w:rPr>
                <w:sz w:val="20"/>
                <w:szCs w:val="20"/>
                <w:color w:val="auto"/>
              </w:rPr>
            </w:pPr>
            <w:r>
              <w:rPr>
                <w:rFonts w:ascii="Arial" w:cs="Arial" w:eastAsia="Arial" w:hAnsi="Arial"/>
                <w:sz w:val="18"/>
                <w:szCs w:val="18"/>
                <w:color w:val="auto"/>
              </w:rPr>
              <w:t>Consolidated Balance Sheets as of June 30, 2014 (Unaudited) and December 31, 2013</w:t>
            </w:r>
          </w:p>
        </w:tc>
        <w:tc>
          <w:tcPr>
            <w:tcW w:w="1200" w:type="dxa"/>
            <w:vAlign w:val="bottom"/>
            <w:gridSpan w:val="3"/>
          </w:tcPr>
          <w:p>
            <w:pPr>
              <w:jc w:val="center"/>
              <w:ind w:left="752"/>
              <w:spacing w:after="0"/>
              <w:rPr>
                <w:sz w:val="20"/>
                <w:szCs w:val="20"/>
                <w:color w:val="auto"/>
              </w:rPr>
            </w:pPr>
            <w:r>
              <w:rPr>
                <w:rFonts w:ascii="Arial" w:cs="Arial" w:eastAsia="Arial" w:hAnsi="Arial"/>
                <w:sz w:val="18"/>
                <w:szCs w:val="18"/>
                <w:color w:val="auto"/>
                <w:w w:val="79"/>
              </w:rPr>
              <w:t>1</w:t>
            </w:r>
          </w:p>
        </w:tc>
      </w:tr>
      <w:tr>
        <w:trPr>
          <w:trHeight w:val="237"/>
        </w:trPr>
        <w:tc>
          <w:tcPr>
            <w:tcW w:w="720" w:type="dxa"/>
            <w:vAlign w:val="bottom"/>
          </w:tcPr>
          <w:p>
            <w:pPr>
              <w:spacing w:after="0"/>
              <w:rPr>
                <w:sz w:val="20"/>
                <w:szCs w:val="20"/>
                <w:color w:val="auto"/>
              </w:rPr>
            </w:pPr>
          </w:p>
        </w:tc>
        <w:tc>
          <w:tcPr>
            <w:tcW w:w="7300" w:type="dxa"/>
            <w:vAlign w:val="bottom"/>
            <w:gridSpan w:val="7"/>
          </w:tcPr>
          <w:p>
            <w:pPr>
              <w:ind w:left="60"/>
              <w:spacing w:after="0"/>
              <w:rPr>
                <w:sz w:val="20"/>
                <w:szCs w:val="20"/>
                <w:color w:val="auto"/>
              </w:rPr>
            </w:pPr>
            <w:r>
              <w:rPr>
                <w:rFonts w:ascii="Arial" w:cs="Arial" w:eastAsia="Arial" w:hAnsi="Arial"/>
                <w:sz w:val="18"/>
                <w:szCs w:val="18"/>
                <w:color w:val="auto"/>
                <w:w w:val="87"/>
              </w:rPr>
              <w:t>Unaudited Consolidated Statements of Operations for the three months and six months ended June 30,</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22"/>
        </w:trPr>
        <w:tc>
          <w:tcPr>
            <w:tcW w:w="720" w:type="dxa"/>
            <w:vAlign w:val="bottom"/>
          </w:tcPr>
          <w:p>
            <w:pPr>
              <w:spacing w:after="0"/>
              <w:rPr>
                <w:sz w:val="19"/>
                <w:szCs w:val="19"/>
                <w:color w:val="auto"/>
              </w:rPr>
            </w:pPr>
          </w:p>
        </w:tc>
        <w:tc>
          <w:tcPr>
            <w:tcW w:w="1420" w:type="dxa"/>
            <w:vAlign w:val="bottom"/>
            <w:gridSpan w:val="3"/>
          </w:tcPr>
          <w:p>
            <w:pPr>
              <w:ind w:left="180"/>
              <w:spacing w:after="0"/>
              <w:rPr>
                <w:sz w:val="20"/>
                <w:szCs w:val="20"/>
                <w:color w:val="auto"/>
              </w:rPr>
            </w:pPr>
            <w:r>
              <w:rPr>
                <w:rFonts w:ascii="Arial" w:cs="Arial" w:eastAsia="Arial" w:hAnsi="Arial"/>
                <w:sz w:val="18"/>
                <w:szCs w:val="18"/>
                <w:color w:val="auto"/>
              </w:rPr>
              <w:t>2014 and 2013</w:t>
            </w:r>
          </w:p>
        </w:tc>
        <w:tc>
          <w:tcPr>
            <w:tcW w:w="1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3"/>
          </w:tcPr>
          <w:p>
            <w:pPr>
              <w:jc w:val="center"/>
              <w:ind w:left="752"/>
              <w:spacing w:after="0"/>
              <w:rPr>
                <w:sz w:val="20"/>
                <w:szCs w:val="20"/>
                <w:color w:val="auto"/>
              </w:rPr>
            </w:pPr>
            <w:r>
              <w:rPr>
                <w:rFonts w:ascii="Arial" w:cs="Arial" w:eastAsia="Arial" w:hAnsi="Arial"/>
                <w:sz w:val="18"/>
                <w:szCs w:val="18"/>
                <w:color w:val="auto"/>
                <w:w w:val="79"/>
              </w:rPr>
              <w:t>2</w:t>
            </w:r>
          </w:p>
        </w:tc>
      </w:tr>
      <w:tr>
        <w:trPr>
          <w:trHeight w:val="237"/>
        </w:trPr>
        <w:tc>
          <w:tcPr>
            <w:tcW w:w="720" w:type="dxa"/>
            <w:vAlign w:val="bottom"/>
          </w:tcPr>
          <w:p>
            <w:pPr>
              <w:spacing w:after="0"/>
              <w:rPr>
                <w:sz w:val="20"/>
                <w:szCs w:val="20"/>
                <w:color w:val="auto"/>
              </w:rPr>
            </w:pPr>
          </w:p>
        </w:tc>
        <w:tc>
          <w:tcPr>
            <w:tcW w:w="7300" w:type="dxa"/>
            <w:vAlign w:val="bottom"/>
            <w:gridSpan w:val="7"/>
          </w:tcPr>
          <w:p>
            <w:pPr>
              <w:ind w:left="60"/>
              <w:spacing w:after="0"/>
              <w:rPr>
                <w:sz w:val="20"/>
                <w:szCs w:val="20"/>
                <w:color w:val="auto"/>
              </w:rPr>
            </w:pPr>
            <w:r>
              <w:rPr>
                <w:rFonts w:ascii="Arial" w:cs="Arial" w:eastAsia="Arial" w:hAnsi="Arial"/>
                <w:sz w:val="18"/>
                <w:szCs w:val="18"/>
                <w:color w:val="auto"/>
                <w:w w:val="89"/>
              </w:rPr>
              <w:t>Unaudited Consolidated Statements of Comprehensive Earnings for the three months and six months</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22"/>
        </w:trPr>
        <w:tc>
          <w:tcPr>
            <w:tcW w:w="720" w:type="dxa"/>
            <w:vAlign w:val="bottom"/>
          </w:tcPr>
          <w:p>
            <w:pPr>
              <w:spacing w:after="0"/>
              <w:rPr>
                <w:sz w:val="19"/>
                <w:szCs w:val="19"/>
                <w:color w:val="auto"/>
              </w:rPr>
            </w:pPr>
          </w:p>
        </w:tc>
        <w:tc>
          <w:tcPr>
            <w:tcW w:w="4440" w:type="dxa"/>
            <w:vAlign w:val="bottom"/>
            <w:gridSpan w:val="5"/>
          </w:tcPr>
          <w:p>
            <w:pPr>
              <w:ind w:left="180"/>
              <w:spacing w:after="0"/>
              <w:rPr>
                <w:sz w:val="20"/>
                <w:szCs w:val="20"/>
                <w:color w:val="auto"/>
              </w:rPr>
            </w:pPr>
            <w:r>
              <w:rPr>
                <w:rFonts w:ascii="Arial" w:cs="Arial" w:eastAsia="Arial" w:hAnsi="Arial"/>
                <w:sz w:val="18"/>
                <w:szCs w:val="18"/>
                <w:color w:val="auto"/>
              </w:rPr>
              <w:t>ended June 30, 2014 and 2013</w:t>
            </w:r>
          </w:p>
        </w:tc>
        <w:tc>
          <w:tcPr>
            <w:tcW w:w="2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3"/>
          </w:tcPr>
          <w:p>
            <w:pPr>
              <w:jc w:val="center"/>
              <w:ind w:left="752"/>
              <w:spacing w:after="0"/>
              <w:rPr>
                <w:sz w:val="20"/>
                <w:szCs w:val="20"/>
                <w:color w:val="auto"/>
              </w:rPr>
            </w:pPr>
            <w:r>
              <w:rPr>
                <w:rFonts w:ascii="Arial" w:cs="Arial" w:eastAsia="Arial" w:hAnsi="Arial"/>
                <w:sz w:val="18"/>
                <w:szCs w:val="18"/>
                <w:color w:val="auto"/>
                <w:w w:val="79"/>
              </w:rPr>
              <w:t>3</w:t>
            </w:r>
          </w:p>
        </w:tc>
      </w:tr>
      <w:tr>
        <w:trPr>
          <w:trHeight w:val="237"/>
        </w:trPr>
        <w:tc>
          <w:tcPr>
            <w:tcW w:w="720" w:type="dxa"/>
            <w:vAlign w:val="bottom"/>
          </w:tcPr>
          <w:p>
            <w:pPr>
              <w:spacing w:after="0"/>
              <w:rPr>
                <w:sz w:val="20"/>
                <w:szCs w:val="20"/>
                <w:color w:val="auto"/>
              </w:rPr>
            </w:pPr>
          </w:p>
        </w:tc>
        <w:tc>
          <w:tcPr>
            <w:tcW w:w="7300" w:type="dxa"/>
            <w:vAlign w:val="bottom"/>
            <w:gridSpan w:val="7"/>
          </w:tcPr>
          <w:p>
            <w:pPr>
              <w:ind w:left="60"/>
              <w:spacing w:after="0"/>
              <w:rPr>
                <w:sz w:val="20"/>
                <w:szCs w:val="20"/>
                <w:color w:val="auto"/>
              </w:rPr>
            </w:pPr>
            <w:r>
              <w:rPr>
                <w:rFonts w:ascii="Arial" w:cs="Arial" w:eastAsia="Arial" w:hAnsi="Arial"/>
                <w:sz w:val="18"/>
                <w:szCs w:val="18"/>
                <w:color w:val="auto"/>
              </w:rPr>
              <w:t>Unaudited Consolidated Statement of Stockholders' Equity for the six months ended</w:t>
            </w:r>
          </w:p>
        </w:tc>
        <w:tc>
          <w:tcPr>
            <w:tcW w:w="1200" w:type="dxa"/>
            <w:vAlign w:val="bottom"/>
            <w:gridSpan w:val="3"/>
          </w:tcPr>
          <w:p>
            <w:pPr>
              <w:jc w:val="center"/>
              <w:ind w:left="752"/>
              <w:spacing w:after="0"/>
              <w:rPr>
                <w:sz w:val="20"/>
                <w:szCs w:val="20"/>
                <w:color w:val="auto"/>
              </w:rPr>
            </w:pPr>
            <w:r>
              <w:rPr>
                <w:rFonts w:ascii="Arial" w:cs="Arial" w:eastAsia="Arial" w:hAnsi="Arial"/>
                <w:sz w:val="18"/>
                <w:szCs w:val="18"/>
                <w:color w:val="auto"/>
                <w:w w:val="79"/>
              </w:rPr>
              <w:t>3</w:t>
            </w:r>
          </w:p>
        </w:tc>
      </w:tr>
      <w:tr>
        <w:trPr>
          <w:trHeight w:val="222"/>
        </w:trPr>
        <w:tc>
          <w:tcPr>
            <w:tcW w:w="720" w:type="dxa"/>
            <w:vAlign w:val="bottom"/>
          </w:tcPr>
          <w:p>
            <w:pPr>
              <w:spacing w:after="0"/>
              <w:rPr>
                <w:sz w:val="19"/>
                <w:szCs w:val="19"/>
                <w:color w:val="auto"/>
              </w:rPr>
            </w:pPr>
          </w:p>
        </w:tc>
        <w:tc>
          <w:tcPr>
            <w:tcW w:w="1420" w:type="dxa"/>
            <w:vAlign w:val="bottom"/>
            <w:gridSpan w:val="3"/>
          </w:tcPr>
          <w:p>
            <w:pPr>
              <w:ind w:left="180"/>
              <w:spacing w:after="0"/>
              <w:rPr>
                <w:sz w:val="20"/>
                <w:szCs w:val="20"/>
                <w:color w:val="auto"/>
              </w:rPr>
            </w:pPr>
            <w:r>
              <w:rPr>
                <w:rFonts w:ascii="Arial" w:cs="Arial" w:eastAsia="Arial" w:hAnsi="Arial"/>
                <w:sz w:val="18"/>
                <w:szCs w:val="18"/>
                <w:color w:val="auto"/>
              </w:rPr>
              <w:t>June 30, 2014</w:t>
            </w:r>
          </w:p>
        </w:tc>
        <w:tc>
          <w:tcPr>
            <w:tcW w:w="1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5069205</wp:posOffset>
            </wp:positionH>
            <wp:positionV relativeFrom="paragraph">
              <wp:posOffset>-2814955</wp:posOffset>
            </wp:positionV>
            <wp:extent cx="3429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280"/>
          </w:cols>
          <w:pgMar w:left="240" w:top="239" w:right="379" w:bottom="0" w:gutter="0" w:footer="0" w:header="0"/>
        </w:sectPr>
      </w:pPr>
    </w:p>
    <w:p>
      <w:pPr>
        <w:spacing w:after="0" w:line="21" w:lineRule="exact"/>
        <w:rPr>
          <w:sz w:val="24"/>
          <w:szCs w:val="24"/>
          <w:color w:val="auto"/>
        </w:rPr>
      </w:pPr>
    </w:p>
    <w:p>
      <w:pPr>
        <w:ind w:left="900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80"/>
          </w:cols>
          <w:pgMar w:left="240" w:top="239" w:right="379" w:bottom="0" w:gutter="0" w:footer="0" w:header="0"/>
          <w:type w:val="continuous"/>
        </w:sectPr>
      </w:pPr>
    </w:p>
    <w:bookmarkStart w:id="1" w:name="page2"/>
    <w:bookmarkEnd w:id="1"/>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7300" w:type="dxa"/>
            <w:vAlign w:val="bottom"/>
          </w:tcPr>
          <w:p>
            <w:pPr>
              <w:ind w:left="40"/>
              <w:spacing w:after="0"/>
              <w:rPr>
                <w:sz w:val="20"/>
                <w:szCs w:val="20"/>
                <w:color w:val="auto"/>
              </w:rPr>
            </w:pPr>
            <w:r>
              <w:rPr>
                <w:rFonts w:ascii="Arial" w:cs="Arial" w:eastAsia="Arial" w:hAnsi="Arial"/>
                <w:sz w:val="18"/>
                <w:szCs w:val="18"/>
                <w:color w:val="auto"/>
              </w:rPr>
              <w:t>Unaudited Consolidated Statements of Cash Flows for the six months ended</w:t>
            </w:r>
          </w:p>
        </w:tc>
        <w:tc>
          <w:tcPr>
            <w:tcW w:w="1240" w:type="dxa"/>
            <w:vAlign w:val="bottom"/>
          </w:tcPr>
          <w:p>
            <w:pPr>
              <w:spacing w:after="0"/>
              <w:rPr>
                <w:sz w:val="18"/>
                <w:szCs w:val="18"/>
                <w:color w:val="auto"/>
              </w:rPr>
            </w:pPr>
          </w:p>
        </w:tc>
      </w:tr>
      <w:tr>
        <w:trPr>
          <w:trHeight w:val="222"/>
        </w:trPr>
        <w:tc>
          <w:tcPr>
            <w:tcW w:w="720" w:type="dxa"/>
            <w:vAlign w:val="bottom"/>
          </w:tcPr>
          <w:p>
            <w:pPr>
              <w:spacing w:after="0"/>
              <w:rPr>
                <w:sz w:val="19"/>
                <w:szCs w:val="19"/>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June 30, 2014 and 2013</w:t>
            </w:r>
          </w:p>
        </w:tc>
        <w:tc>
          <w:tcPr>
            <w:tcW w:w="1240" w:type="dxa"/>
            <w:vAlign w:val="bottom"/>
          </w:tcPr>
          <w:p>
            <w:pPr>
              <w:spacing w:after="0"/>
              <w:rPr>
                <w:sz w:val="19"/>
                <w:szCs w:val="19"/>
                <w:color w:val="auto"/>
              </w:rPr>
            </w:pPr>
          </w:p>
        </w:tc>
      </w:tr>
      <w:tr>
        <w:trPr>
          <w:trHeight w:val="243"/>
        </w:trPr>
        <w:tc>
          <w:tcPr>
            <w:tcW w:w="720" w:type="dxa"/>
            <w:vAlign w:val="bottom"/>
          </w:tcPr>
          <w:p>
            <w:pPr>
              <w:spacing w:after="0"/>
              <w:rPr>
                <w:sz w:val="21"/>
                <w:szCs w:val="21"/>
                <w:color w:val="auto"/>
              </w:rPr>
            </w:pPr>
          </w:p>
        </w:tc>
        <w:tc>
          <w:tcPr>
            <w:tcW w:w="7300" w:type="dxa"/>
            <w:vAlign w:val="bottom"/>
          </w:tcPr>
          <w:p>
            <w:pPr>
              <w:ind w:left="40"/>
              <w:spacing w:after="0"/>
              <w:rPr>
                <w:sz w:val="20"/>
                <w:szCs w:val="20"/>
                <w:color w:val="auto"/>
              </w:rPr>
            </w:pPr>
            <w:r>
              <w:rPr>
                <w:rFonts w:ascii="Arial" w:cs="Arial" w:eastAsia="Arial" w:hAnsi="Arial"/>
                <w:sz w:val="18"/>
                <w:szCs w:val="18"/>
                <w:color w:val="auto"/>
              </w:rPr>
              <w:t>Notes to Consolidated Financial Statements</w:t>
            </w:r>
          </w:p>
        </w:tc>
        <w:tc>
          <w:tcPr>
            <w:tcW w:w="1240" w:type="dxa"/>
            <w:vAlign w:val="bottom"/>
          </w:tcPr>
          <w:p>
            <w:pPr>
              <w:jc w:val="center"/>
              <w:ind w:left="672"/>
              <w:spacing w:after="0"/>
              <w:rPr>
                <w:sz w:val="20"/>
                <w:szCs w:val="20"/>
                <w:color w:val="auto"/>
              </w:rPr>
            </w:pPr>
            <w:r>
              <w:rPr>
                <w:rFonts w:ascii="Arial" w:cs="Arial" w:eastAsia="Arial" w:hAnsi="Arial"/>
                <w:sz w:val="18"/>
                <w:szCs w:val="18"/>
                <w:color w:val="auto"/>
                <w:w w:val="86"/>
              </w:rPr>
              <w:t>5 - 13</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4"/>
              </w:rPr>
              <w:t>Management's Discussion and Analysis of Financial Condition and Results of Operations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14 - 20</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Quantitative and Qualitative Disclosures About Market Risk</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20</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Controls and Procedures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21</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300" w:type="dxa"/>
            <w:vAlign w:val="bottom"/>
          </w:tcPr>
          <w:p>
            <w:pPr>
              <w:ind w:left="40"/>
              <w:spacing w:after="0"/>
              <w:rPr>
                <w:sz w:val="20"/>
                <w:szCs w:val="20"/>
                <w:color w:val="auto"/>
              </w:rPr>
            </w:pPr>
            <w:r>
              <w:rPr>
                <w:rFonts w:ascii="Arial" w:cs="Arial" w:eastAsia="Arial" w:hAnsi="Arial"/>
                <w:sz w:val="18"/>
                <w:szCs w:val="18"/>
                <w:b w:val="1"/>
                <w:bCs w:val="1"/>
                <w:color w:val="auto"/>
              </w:rPr>
              <w:t>OTHER INFORMATION</w:t>
            </w:r>
          </w:p>
        </w:tc>
        <w:tc>
          <w:tcPr>
            <w:tcW w:w="1240" w:type="dxa"/>
            <w:vAlign w:val="bottom"/>
          </w:tcPr>
          <w:p>
            <w:pPr>
              <w:spacing w:after="0"/>
              <w:rPr>
                <w:sz w:val="24"/>
                <w:szCs w:val="24"/>
                <w:color w:val="auto"/>
              </w:rPr>
            </w:pPr>
          </w:p>
        </w:tc>
      </w:tr>
      <w:tr>
        <w:trPr>
          <w:trHeight w:val="540"/>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1.</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Legal Proceedings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21</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w w:val="99"/>
              </w:rPr>
              <w:t>Item 1A.</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Risk Factors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22</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Unregistered Sales of Equity Securities and Use of Proceeds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22</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Defaults Upon Senior Securities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22</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Mine Safety Disclosures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22</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5.</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Other Information</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22</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6.</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Exhibits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22</w:t>
            </w:r>
          </w:p>
        </w:tc>
      </w:tr>
      <w:tr>
        <w:trPr>
          <w:trHeight w:val="513"/>
        </w:trPr>
        <w:tc>
          <w:tcPr>
            <w:tcW w:w="8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Signatures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23</w:t>
            </w:r>
          </w:p>
        </w:tc>
      </w:tr>
      <w:tr>
        <w:trPr>
          <w:trHeight w:val="243"/>
        </w:trPr>
        <w:tc>
          <w:tcPr>
            <w:tcW w:w="8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Index to Exhibits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PART I. 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thousands, except share and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00" w:type="dxa"/>
            <w:vAlign w:val="bottom"/>
          </w:tcPr>
          <w:p>
            <w:pPr>
              <w:spacing w:after="0"/>
              <w:rPr>
                <w:sz w:val="17"/>
                <w:szCs w:val="17"/>
                <w:color w:val="auto"/>
              </w:rPr>
            </w:pPr>
          </w:p>
        </w:tc>
        <w:tc>
          <w:tcPr>
            <w:tcW w:w="1740" w:type="dxa"/>
            <w:vAlign w:val="bottom"/>
            <w:gridSpan w:val="3"/>
          </w:tcPr>
          <w:p>
            <w:pPr>
              <w:jc w:val="right"/>
              <w:ind w:right="220"/>
              <w:spacing w:after="0"/>
              <w:rPr>
                <w:sz w:val="20"/>
                <w:szCs w:val="20"/>
                <w:color w:val="auto"/>
              </w:rPr>
            </w:pPr>
            <w:r>
              <w:rPr>
                <w:rFonts w:ascii="Courier New" w:cs="Courier New" w:eastAsia="Courier New" w:hAnsi="Courier New"/>
                <w:sz w:val="18"/>
                <w:szCs w:val="18"/>
                <w:color w:val="auto"/>
              </w:rPr>
              <w:t>June 30,</w:t>
            </w:r>
          </w:p>
        </w:tc>
        <w:tc>
          <w:tcPr>
            <w:tcW w:w="9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Dec. 31,</w:t>
            </w:r>
          </w:p>
        </w:tc>
      </w:tr>
      <w:tr>
        <w:trPr>
          <w:trHeight w:val="203"/>
        </w:trPr>
        <w:tc>
          <w:tcPr>
            <w:tcW w:w="660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2014</w:t>
            </w:r>
          </w:p>
        </w:tc>
        <w:tc>
          <w:tcPr>
            <w:tcW w:w="320" w:type="dxa"/>
            <w:vAlign w:val="bottom"/>
          </w:tcPr>
          <w:p>
            <w:pPr>
              <w:spacing w:after="0"/>
              <w:rPr>
                <w:sz w:val="17"/>
                <w:szCs w:val="17"/>
                <w:color w:val="auto"/>
              </w:rPr>
            </w:pPr>
          </w:p>
        </w:tc>
        <w:tc>
          <w:tcPr>
            <w:tcW w:w="8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2013</w:t>
            </w:r>
          </w:p>
        </w:tc>
        <w:tc>
          <w:tcPr>
            <w:tcW w:w="100" w:type="dxa"/>
            <w:vAlign w:val="bottom"/>
          </w:tcPr>
          <w:p>
            <w:pPr>
              <w:spacing w:after="0"/>
              <w:rPr>
                <w:sz w:val="17"/>
                <w:szCs w:val="17"/>
                <w:color w:val="auto"/>
              </w:rPr>
            </w:pPr>
          </w:p>
        </w:tc>
      </w:tr>
      <w:tr>
        <w:trPr>
          <w:trHeight w:val="203"/>
        </w:trPr>
        <w:tc>
          <w:tcPr>
            <w:tcW w:w="6600" w:type="dxa"/>
            <w:vAlign w:val="bottom"/>
          </w:tcPr>
          <w:p>
            <w:pPr>
              <w:spacing w:after="0"/>
              <w:rPr>
                <w:sz w:val="17"/>
                <w:szCs w:val="17"/>
                <w:color w:val="auto"/>
              </w:rPr>
            </w:pPr>
          </w:p>
        </w:tc>
        <w:tc>
          <w:tcPr>
            <w:tcW w:w="1740" w:type="dxa"/>
            <w:vAlign w:val="bottom"/>
            <w:gridSpan w:val="3"/>
          </w:tcPr>
          <w:p>
            <w:pPr>
              <w:jc w:val="right"/>
              <w:ind w:right="22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740" w:type="dxa"/>
            <w:vAlign w:val="bottom"/>
            <w:gridSpan w:val="3"/>
          </w:tcPr>
          <w:p>
            <w:pPr>
              <w:jc w:val="right"/>
              <w:ind w:right="120"/>
              <w:spacing w:after="0" w:line="203" w:lineRule="exact"/>
              <w:rPr>
                <w:sz w:val="20"/>
                <w:szCs w:val="20"/>
                <w:color w:val="auto"/>
              </w:rPr>
            </w:pPr>
            <w:r>
              <w:rPr>
                <w:rFonts w:ascii="Courier New" w:cs="Courier New" w:eastAsia="Courier New" w:hAnsi="Courier New"/>
                <w:sz w:val="18"/>
                <w:szCs w:val="18"/>
                <w:color w:val="auto"/>
              </w:rPr>
              <w:t>(Unaudited)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$19,616</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$19,018</w:t>
            </w:r>
          </w:p>
        </w:tc>
        <w:tc>
          <w:tcPr>
            <w:tcW w:w="100" w:type="dxa"/>
            <w:vAlign w:val="bottom"/>
          </w:tcPr>
          <w:p>
            <w:pPr>
              <w:spacing w:after="0"/>
              <w:rPr>
                <w:sz w:val="17"/>
                <w:szCs w:val="17"/>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Trade accounts receivable, net of allowance for doubtful</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accounts of $147 and $147, respectively</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7,744</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5,748</w:t>
            </w:r>
          </w:p>
        </w:tc>
        <w:tc>
          <w:tcPr>
            <w:tcW w:w="100" w:type="dxa"/>
            <w:vAlign w:val="bottom"/>
          </w:tcPr>
          <w:p>
            <w:pPr>
              <w:spacing w:after="0"/>
              <w:rPr>
                <w:sz w:val="17"/>
                <w:szCs w:val="17"/>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3,873</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3,243</w:t>
            </w:r>
          </w:p>
        </w:tc>
        <w:tc>
          <w:tcPr>
            <w:tcW w:w="100" w:type="dxa"/>
            <w:vAlign w:val="bottom"/>
          </w:tcPr>
          <w:p>
            <w:pPr>
              <w:spacing w:after="0"/>
              <w:rPr>
                <w:sz w:val="17"/>
                <w:szCs w:val="17"/>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tax assets</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717</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701</w:t>
            </w:r>
          </w:p>
        </w:tc>
        <w:tc>
          <w:tcPr>
            <w:tcW w:w="100" w:type="dxa"/>
            <w:vAlign w:val="bottom"/>
          </w:tcPr>
          <w:p>
            <w:pPr>
              <w:spacing w:after="0"/>
              <w:rPr>
                <w:sz w:val="17"/>
                <w:szCs w:val="17"/>
                <w:color w:val="auto"/>
              </w:rPr>
            </w:pPr>
          </w:p>
        </w:tc>
      </w:tr>
      <w:tr>
        <w:trPr>
          <w:trHeight w:val="164"/>
        </w:trPr>
        <w:tc>
          <w:tcPr>
            <w:tcW w:w="660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Prepaid expenses and other current assets</w:t>
            </w:r>
          </w:p>
        </w:tc>
        <w:tc>
          <w:tcPr>
            <w:tcW w:w="68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261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371</w:t>
            </w:r>
          </w:p>
        </w:tc>
        <w:tc>
          <w:tcPr>
            <w:tcW w:w="100" w:type="dxa"/>
            <w:vAlign w:val="bottom"/>
          </w:tcPr>
          <w:p>
            <w:pPr>
              <w:spacing w:after="0"/>
              <w:rPr>
                <w:sz w:val="14"/>
                <w:szCs w:val="14"/>
                <w:color w:val="auto"/>
              </w:rPr>
            </w:pPr>
          </w:p>
        </w:tc>
      </w:tr>
      <w:tr>
        <w:trPr>
          <w:trHeight w:val="183"/>
        </w:trPr>
        <w:tc>
          <w:tcPr>
            <w:tcW w:w="660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assets</w:t>
            </w:r>
          </w:p>
        </w:tc>
        <w:tc>
          <w:tcPr>
            <w:tcW w:w="1420" w:type="dxa"/>
            <w:vAlign w:val="bottom"/>
            <w:gridSpan w:val="2"/>
          </w:tcPr>
          <w:p>
            <w:pPr>
              <w:jc w:val="right"/>
              <w:spacing w:after="0" w:line="182" w:lineRule="exact"/>
              <w:rPr>
                <w:sz w:val="20"/>
                <w:szCs w:val="20"/>
                <w:color w:val="auto"/>
              </w:rPr>
            </w:pPr>
            <w:r>
              <w:rPr>
                <w:rFonts w:ascii="Courier New" w:cs="Courier New" w:eastAsia="Courier New" w:hAnsi="Courier New"/>
                <w:sz w:val="18"/>
                <w:szCs w:val="18"/>
                <w:color w:val="auto"/>
              </w:rPr>
              <w:t>32,211</w:t>
            </w:r>
          </w:p>
        </w:tc>
        <w:tc>
          <w:tcPr>
            <w:tcW w:w="320" w:type="dxa"/>
            <w:vAlign w:val="bottom"/>
          </w:tcPr>
          <w:p>
            <w:pPr>
              <w:spacing w:after="0"/>
              <w:rPr>
                <w:sz w:val="15"/>
                <w:szCs w:val="15"/>
                <w:color w:val="auto"/>
              </w:rPr>
            </w:pPr>
          </w:p>
        </w:tc>
        <w:tc>
          <w:tcPr>
            <w:tcW w:w="940" w:type="dxa"/>
            <w:vAlign w:val="bottom"/>
            <w:gridSpan w:val="3"/>
          </w:tcPr>
          <w:p>
            <w:pPr>
              <w:jc w:val="right"/>
              <w:ind w:right="100"/>
              <w:spacing w:after="0" w:line="182" w:lineRule="exact"/>
              <w:rPr>
                <w:sz w:val="20"/>
                <w:szCs w:val="20"/>
                <w:color w:val="auto"/>
              </w:rPr>
            </w:pPr>
            <w:r>
              <w:rPr>
                <w:rFonts w:ascii="Courier New" w:cs="Courier New" w:eastAsia="Courier New" w:hAnsi="Courier New"/>
                <w:sz w:val="18"/>
                <w:szCs w:val="18"/>
                <w:color w:val="auto"/>
              </w:rPr>
              <w:t>29,081</w:t>
            </w:r>
          </w:p>
        </w:tc>
      </w:tr>
      <w:tr>
        <w:trPr>
          <w:trHeight w:val="221"/>
        </w:trPr>
        <w:tc>
          <w:tcPr>
            <w:tcW w:w="6600" w:type="dxa"/>
            <w:vAlign w:val="bottom"/>
          </w:tcPr>
          <w:p>
            <w:pPr>
              <w:spacing w:after="0"/>
              <w:rPr>
                <w:sz w:val="20"/>
                <w:szCs w:val="20"/>
                <w:color w:val="auto"/>
              </w:rPr>
            </w:pPr>
            <w:r>
              <w:rPr>
                <w:rFonts w:ascii="Courier New" w:cs="Courier New" w:eastAsia="Courier New" w:hAnsi="Courier New"/>
                <w:sz w:val="18"/>
                <w:szCs w:val="18"/>
                <w:color w:val="auto"/>
              </w:rPr>
              <w:t>Property and equipment:</w:t>
            </w:r>
          </w:p>
        </w:tc>
        <w:tc>
          <w:tcPr>
            <w:tcW w:w="6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4,318</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4,190</w:t>
            </w:r>
          </w:p>
        </w:tc>
        <w:tc>
          <w:tcPr>
            <w:tcW w:w="100" w:type="dxa"/>
            <w:vAlign w:val="bottom"/>
          </w:tcPr>
          <w:p>
            <w:pPr>
              <w:spacing w:after="0"/>
              <w:rPr>
                <w:sz w:val="17"/>
                <w:szCs w:val="17"/>
                <w:color w:val="auto"/>
              </w:rPr>
            </w:pPr>
          </w:p>
        </w:tc>
      </w:tr>
      <w:tr>
        <w:trPr>
          <w:trHeight w:val="164"/>
        </w:trPr>
        <w:tc>
          <w:tcPr>
            <w:tcW w:w="660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Leasehold improvements</w:t>
            </w:r>
          </w:p>
        </w:tc>
        <w:tc>
          <w:tcPr>
            <w:tcW w:w="68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594</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594</w:t>
            </w:r>
          </w:p>
        </w:tc>
        <w:tc>
          <w:tcPr>
            <w:tcW w:w="100" w:type="dxa"/>
            <w:vAlign w:val="bottom"/>
          </w:tcPr>
          <w:p>
            <w:pPr>
              <w:spacing w:after="0"/>
              <w:rPr>
                <w:sz w:val="14"/>
                <w:szCs w:val="14"/>
                <w:color w:val="auto"/>
              </w:rPr>
            </w:pPr>
          </w:p>
        </w:tc>
      </w:tr>
      <w:tr>
        <w:trPr>
          <w:trHeight w:val="221"/>
        </w:trPr>
        <w:tc>
          <w:tcPr>
            <w:tcW w:w="6600" w:type="dxa"/>
            <w:vAlign w:val="bottom"/>
          </w:tcPr>
          <w:p>
            <w:pPr>
              <w:ind w:left="540"/>
              <w:spacing w:after="0"/>
              <w:rPr>
                <w:sz w:val="20"/>
                <w:szCs w:val="20"/>
                <w:color w:val="auto"/>
              </w:rPr>
            </w:pPr>
            <w:r>
              <w:rPr>
                <w:rFonts w:ascii="Courier New" w:cs="Courier New" w:eastAsia="Courier New" w:hAnsi="Courier New"/>
                <w:sz w:val="18"/>
                <w:szCs w:val="18"/>
                <w:color w:val="auto"/>
              </w:rPr>
              <w:t>Gross property and equipment</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4,912</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4,784</w:t>
            </w:r>
          </w:p>
        </w:tc>
        <w:tc>
          <w:tcPr>
            <w:tcW w:w="100" w:type="dxa"/>
            <w:vAlign w:val="bottom"/>
          </w:tcPr>
          <w:p>
            <w:pPr>
              <w:spacing w:after="0"/>
              <w:rPr>
                <w:sz w:val="19"/>
                <w:szCs w:val="19"/>
                <w:color w:val="auto"/>
              </w:rPr>
            </w:pPr>
          </w:p>
        </w:tc>
      </w:tr>
      <w:tr>
        <w:trPr>
          <w:trHeight w:val="164"/>
        </w:trPr>
        <w:tc>
          <w:tcPr>
            <w:tcW w:w="660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Less: accumulated depreciation</w:t>
            </w:r>
          </w:p>
        </w:tc>
        <w:tc>
          <w:tcPr>
            <w:tcW w:w="680" w:type="dxa"/>
            <w:vAlign w:val="bottom"/>
          </w:tcPr>
          <w:p>
            <w:pPr>
              <w:spacing w:after="0"/>
              <w:rPr>
                <w:sz w:val="14"/>
                <w:szCs w:val="14"/>
                <w:color w:val="auto"/>
              </w:rPr>
            </w:pPr>
          </w:p>
        </w:tc>
        <w:tc>
          <w:tcPr>
            <w:tcW w:w="1060" w:type="dxa"/>
            <w:vAlign w:val="bottom"/>
            <w:gridSpan w:val="2"/>
          </w:tcPr>
          <w:p>
            <w:pPr>
              <w:jc w:val="right"/>
              <w:ind w:right="220"/>
              <w:spacing w:after="0" w:line="164" w:lineRule="exact"/>
              <w:rPr>
                <w:sz w:val="20"/>
                <w:szCs w:val="20"/>
                <w:color w:val="auto"/>
              </w:rPr>
            </w:pPr>
            <w:r>
              <w:rPr>
                <w:rFonts w:ascii="Courier New" w:cs="Courier New" w:eastAsia="Courier New" w:hAnsi="Courier New"/>
                <w:sz w:val="18"/>
                <w:szCs w:val="18"/>
                <w:color w:val="auto"/>
              </w:rPr>
              <w:t>(3,582)</w:t>
            </w:r>
          </w:p>
        </w:tc>
        <w:tc>
          <w:tcPr>
            <w:tcW w:w="94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(3,530)</w:t>
            </w:r>
          </w:p>
        </w:tc>
      </w:tr>
      <w:tr>
        <w:trPr>
          <w:trHeight w:val="183"/>
        </w:trPr>
        <w:tc>
          <w:tcPr>
            <w:tcW w:w="660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Net property and equipment</w:t>
            </w:r>
          </w:p>
        </w:tc>
        <w:tc>
          <w:tcPr>
            <w:tcW w:w="68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1,330</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1,254</w:t>
            </w:r>
          </w:p>
        </w:tc>
        <w:tc>
          <w:tcPr>
            <w:tcW w:w="100" w:type="dxa"/>
            <w:vAlign w:val="bottom"/>
          </w:tcPr>
          <w:p>
            <w:pPr>
              <w:spacing w:after="0"/>
              <w:rPr>
                <w:sz w:val="15"/>
                <w:szCs w:val="15"/>
                <w:color w:val="auto"/>
              </w:rPr>
            </w:pPr>
          </w:p>
        </w:tc>
      </w:tr>
      <w:tr>
        <w:trPr>
          <w:trHeight w:val="221"/>
        </w:trPr>
        <w:tc>
          <w:tcPr>
            <w:tcW w:w="6600" w:type="dxa"/>
            <w:vAlign w:val="bottom"/>
          </w:tcPr>
          <w:p>
            <w:pPr>
              <w:spacing w:after="0"/>
              <w:rPr>
                <w:sz w:val="20"/>
                <w:szCs w:val="20"/>
                <w:color w:val="auto"/>
              </w:rPr>
            </w:pPr>
            <w:r>
              <w:rPr>
                <w:rFonts w:ascii="Courier New" w:cs="Courier New" w:eastAsia="Courier New" w:hAnsi="Courier New"/>
                <w:sz w:val="18"/>
                <w:szCs w:val="18"/>
                <w:color w:val="auto"/>
              </w:rPr>
              <w:t>Deferred tax assets</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924</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1,030</w:t>
            </w:r>
          </w:p>
        </w:tc>
        <w:tc>
          <w:tcPr>
            <w:tcW w:w="100" w:type="dxa"/>
            <w:vAlign w:val="bottom"/>
          </w:tcPr>
          <w:p>
            <w:pPr>
              <w:spacing w:after="0"/>
              <w:rPr>
                <w:sz w:val="19"/>
                <w:szCs w:val="19"/>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1,706</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1,706</w:t>
            </w:r>
          </w:p>
        </w:tc>
        <w:tc>
          <w:tcPr>
            <w:tcW w:w="100" w:type="dxa"/>
            <w:vAlign w:val="bottom"/>
          </w:tcPr>
          <w:p>
            <w:pPr>
              <w:spacing w:after="0"/>
              <w:rPr>
                <w:sz w:val="17"/>
                <w:szCs w:val="17"/>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1,563</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1,748</w:t>
            </w:r>
          </w:p>
        </w:tc>
        <w:tc>
          <w:tcPr>
            <w:tcW w:w="100" w:type="dxa"/>
            <w:vAlign w:val="bottom"/>
          </w:tcPr>
          <w:p>
            <w:pPr>
              <w:spacing w:after="0"/>
              <w:rPr>
                <w:sz w:val="17"/>
                <w:szCs w:val="17"/>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Restricted certificates of deposit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450</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450</w:t>
            </w:r>
          </w:p>
        </w:tc>
        <w:tc>
          <w:tcPr>
            <w:tcW w:w="100" w:type="dxa"/>
            <w:vAlign w:val="bottom"/>
          </w:tcPr>
          <w:p>
            <w:pPr>
              <w:spacing w:after="0"/>
              <w:rPr>
                <w:sz w:val="17"/>
                <w:szCs w:val="17"/>
                <w:color w:val="auto"/>
              </w:rPr>
            </w:pPr>
          </w:p>
        </w:tc>
      </w:tr>
      <w:tr>
        <w:trPr>
          <w:trHeight w:val="164"/>
        </w:trPr>
        <w:tc>
          <w:tcPr>
            <w:tcW w:w="6600" w:type="dxa"/>
            <w:vAlign w:val="bottom"/>
          </w:tcPr>
          <w:p>
            <w:pPr>
              <w:spacing w:after="0" w:line="164" w:lineRule="exact"/>
              <w:rPr>
                <w:sz w:val="20"/>
                <w:szCs w:val="20"/>
                <w:color w:val="auto"/>
              </w:rPr>
            </w:pPr>
            <w:r>
              <w:rPr>
                <w:rFonts w:ascii="Courier New" w:cs="Courier New" w:eastAsia="Courier New" w:hAnsi="Courier New"/>
                <w:sz w:val="18"/>
                <w:szCs w:val="18"/>
                <w:color w:val="auto"/>
              </w:rPr>
              <w:t>Other assets</w:t>
            </w:r>
          </w:p>
        </w:tc>
        <w:tc>
          <w:tcPr>
            <w:tcW w:w="68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211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212</w:t>
            </w:r>
          </w:p>
        </w:tc>
        <w:tc>
          <w:tcPr>
            <w:tcW w:w="100" w:type="dxa"/>
            <w:vAlign w:val="bottom"/>
          </w:tcPr>
          <w:p>
            <w:pPr>
              <w:spacing w:after="0"/>
              <w:rPr>
                <w:sz w:val="14"/>
                <w:szCs w:val="14"/>
                <w:color w:val="auto"/>
              </w:rPr>
            </w:pPr>
          </w:p>
        </w:tc>
      </w:tr>
      <w:tr>
        <w:trPr>
          <w:trHeight w:val="221"/>
        </w:trPr>
        <w:tc>
          <w:tcPr>
            <w:tcW w:w="6600" w:type="dxa"/>
            <w:vAlign w:val="bottom"/>
          </w:tcPr>
          <w:p>
            <w:pPr>
              <w:ind w:left="540"/>
              <w:spacing w:after="0"/>
              <w:rPr>
                <w:sz w:val="20"/>
                <w:szCs w:val="20"/>
                <w:color w:val="auto"/>
              </w:rPr>
            </w:pPr>
            <w:r>
              <w:rPr>
                <w:rFonts w:ascii="Courier New" w:cs="Courier New" w:eastAsia="Courier New" w:hAnsi="Courier New"/>
                <w:sz w:val="18"/>
                <w:szCs w:val="18"/>
                <w:color w:val="auto"/>
              </w:rPr>
              <w:t>Total assets</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$38,395</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$35,481</w:t>
            </w:r>
          </w:p>
        </w:tc>
        <w:tc>
          <w:tcPr>
            <w:tcW w:w="100" w:type="dxa"/>
            <w:vAlign w:val="bottom"/>
          </w:tcPr>
          <w:p>
            <w:pPr>
              <w:spacing w:after="0"/>
              <w:rPr>
                <w:sz w:val="19"/>
                <w:szCs w:val="19"/>
                <w:color w:val="auto"/>
              </w:rPr>
            </w:pPr>
          </w:p>
        </w:tc>
      </w:tr>
      <w:tr>
        <w:trPr>
          <w:trHeight w:val="203"/>
        </w:trPr>
        <w:tc>
          <w:tcPr>
            <w:tcW w:w="6600" w:type="dxa"/>
            <w:vAlign w:val="bottom"/>
          </w:tcPr>
          <w:p>
            <w:pPr>
              <w:spacing w:after="0"/>
              <w:rPr>
                <w:sz w:val="17"/>
                <w:szCs w:val="17"/>
                <w:color w:val="auto"/>
              </w:rPr>
            </w:pP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405"/>
        </w:trPr>
        <w:tc>
          <w:tcPr>
            <w:tcW w:w="660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$ 1,713</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$ 1,064</w:t>
            </w:r>
          </w:p>
        </w:tc>
        <w:tc>
          <w:tcPr>
            <w:tcW w:w="100" w:type="dxa"/>
            <w:vAlign w:val="bottom"/>
          </w:tcPr>
          <w:p>
            <w:pPr>
              <w:spacing w:after="0"/>
              <w:rPr>
                <w:sz w:val="17"/>
                <w:szCs w:val="17"/>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wages and benefits</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1,443</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1,635</w:t>
            </w:r>
          </w:p>
        </w:tc>
        <w:tc>
          <w:tcPr>
            <w:tcW w:w="100" w:type="dxa"/>
            <w:vAlign w:val="bottom"/>
          </w:tcPr>
          <w:p>
            <w:pPr>
              <w:spacing w:after="0"/>
              <w:rPr>
                <w:sz w:val="17"/>
                <w:szCs w:val="17"/>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rent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593</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577</w:t>
            </w:r>
          </w:p>
        </w:tc>
        <w:tc>
          <w:tcPr>
            <w:tcW w:w="100" w:type="dxa"/>
            <w:vAlign w:val="bottom"/>
          </w:tcPr>
          <w:p>
            <w:pPr>
              <w:spacing w:after="0"/>
              <w:rPr>
                <w:sz w:val="17"/>
                <w:szCs w:val="17"/>
                <w:color w:val="auto"/>
              </w:rPr>
            </w:pPr>
          </w:p>
        </w:tc>
      </w:tr>
    </w:tbl>
    <w:p>
      <w:pPr>
        <w:sectPr>
          <w:pgSz w:w="11900" w:h="16909" w:orient="portrait"/>
          <w:cols w:equalWidth="0" w:num="1">
            <w:col w:w="10219"/>
          </w:cols>
          <w:pgMar w:left="240" w:top="131"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60" w:type="dxa"/>
            <w:vAlign w:val="bottom"/>
          </w:tcPr>
          <w:p>
            <w:pPr>
              <w:ind w:left="220"/>
              <w:spacing w:after="0"/>
              <w:rPr>
                <w:sz w:val="20"/>
                <w:szCs w:val="20"/>
                <w:color w:val="auto"/>
              </w:rPr>
            </w:pPr>
            <w:r>
              <w:rPr>
                <w:rFonts w:ascii="Courier New" w:cs="Courier New" w:eastAsia="Courier New" w:hAnsi="Courier New"/>
                <w:sz w:val="18"/>
                <w:szCs w:val="18"/>
                <w:color w:val="auto"/>
              </w:rPr>
              <w:t>Accrued professional fees</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329</w:t>
            </w:r>
          </w:p>
        </w:tc>
        <w:tc>
          <w:tcPr>
            <w:tcW w:w="2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367</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sales commissions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432</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305</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Domestic and foreign income taxes payable</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617</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83</w:t>
            </w:r>
          </w:p>
        </w:tc>
        <w:tc>
          <w:tcPr>
            <w:tcW w:w="100" w:type="dxa"/>
            <w:vAlign w:val="bottom"/>
          </w:tcPr>
          <w:p>
            <w:pPr>
              <w:spacing w:after="0"/>
              <w:rPr>
                <w:sz w:val="17"/>
                <w:szCs w:val="17"/>
                <w:color w:val="auto"/>
              </w:rPr>
            </w:pPr>
          </w:p>
        </w:tc>
      </w:tr>
      <w:tr>
        <w:trPr>
          <w:trHeight w:val="164"/>
        </w:trPr>
        <w:tc>
          <w:tcPr>
            <w:tcW w:w="706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Other current liabilities</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413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301</w:t>
            </w:r>
          </w:p>
        </w:tc>
        <w:tc>
          <w:tcPr>
            <w:tcW w:w="100" w:type="dxa"/>
            <w:vAlign w:val="bottom"/>
          </w:tcPr>
          <w:p>
            <w:pPr>
              <w:spacing w:after="0"/>
              <w:rPr>
                <w:sz w:val="14"/>
                <w:szCs w:val="14"/>
                <w:color w:val="auto"/>
              </w:rPr>
            </w:pPr>
          </w:p>
        </w:tc>
      </w:tr>
      <w:tr>
        <w:trPr>
          <w:trHeight w:val="183"/>
        </w:trPr>
        <w:tc>
          <w:tcPr>
            <w:tcW w:w="70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liabilities</w:t>
            </w:r>
          </w:p>
        </w:tc>
        <w:tc>
          <w:tcPr>
            <w:tcW w:w="960" w:type="dxa"/>
            <w:vAlign w:val="bottom"/>
            <w:gridSpan w:val="2"/>
          </w:tcPr>
          <w:p>
            <w:pPr>
              <w:jc w:val="right"/>
              <w:spacing w:after="0" w:line="182" w:lineRule="exact"/>
              <w:rPr>
                <w:sz w:val="20"/>
                <w:szCs w:val="20"/>
                <w:color w:val="auto"/>
              </w:rPr>
            </w:pPr>
            <w:r>
              <w:rPr>
                <w:rFonts w:ascii="Courier New" w:cs="Courier New" w:eastAsia="Courier New" w:hAnsi="Courier New"/>
                <w:sz w:val="18"/>
                <w:szCs w:val="18"/>
                <w:color w:val="auto"/>
              </w:rPr>
              <w:t>5,540</w:t>
            </w:r>
          </w:p>
        </w:tc>
        <w:tc>
          <w:tcPr>
            <w:tcW w:w="260" w:type="dxa"/>
            <w:vAlign w:val="bottom"/>
          </w:tcPr>
          <w:p>
            <w:pPr>
              <w:spacing w:after="0"/>
              <w:rPr>
                <w:sz w:val="15"/>
                <w:szCs w:val="15"/>
                <w:color w:val="auto"/>
              </w:rPr>
            </w:pPr>
          </w:p>
        </w:tc>
        <w:tc>
          <w:tcPr>
            <w:tcW w:w="1000" w:type="dxa"/>
            <w:vAlign w:val="bottom"/>
            <w:gridSpan w:val="3"/>
          </w:tcPr>
          <w:p>
            <w:pPr>
              <w:jc w:val="right"/>
              <w:ind w:right="100"/>
              <w:spacing w:after="0" w:line="182" w:lineRule="exact"/>
              <w:rPr>
                <w:sz w:val="20"/>
                <w:szCs w:val="20"/>
                <w:color w:val="auto"/>
              </w:rPr>
            </w:pPr>
            <w:r>
              <w:rPr>
                <w:rFonts w:ascii="Courier New" w:cs="Courier New" w:eastAsia="Courier New" w:hAnsi="Courier New"/>
                <w:sz w:val="18"/>
                <w:szCs w:val="18"/>
                <w:color w:val="auto"/>
              </w:rPr>
              <w:t>4,332</w:t>
            </w:r>
          </w:p>
        </w:tc>
      </w:tr>
      <w:tr>
        <w:trPr>
          <w:trHeight w:val="424"/>
        </w:trPr>
        <w:tc>
          <w:tcPr>
            <w:tcW w:w="706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2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$0.01 par value; 5,000,000 shares authorized;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no shares issued or outstanding</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$0.01 par value; 20,000,000 shares authorized;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10,595,755 and 10,590,755 shares issued</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106</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106</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26,261</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26,187</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5,356</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3,713</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other comprehensive earnings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1,336</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1,347</w:t>
            </w:r>
          </w:p>
        </w:tc>
        <w:tc>
          <w:tcPr>
            <w:tcW w:w="100" w:type="dxa"/>
            <w:vAlign w:val="bottom"/>
          </w:tcPr>
          <w:p>
            <w:pPr>
              <w:spacing w:after="0"/>
              <w:rPr>
                <w:sz w:val="17"/>
                <w:szCs w:val="17"/>
                <w:color w:val="auto"/>
              </w:rPr>
            </w:pPr>
          </w:p>
        </w:tc>
      </w:tr>
      <w:tr>
        <w:trPr>
          <w:trHeight w:val="164"/>
        </w:trPr>
        <w:tc>
          <w:tcPr>
            <w:tcW w:w="706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Treasury stock, at cost; 33,077 and 33,077 shares, respectively</w:t>
            </w:r>
          </w:p>
        </w:tc>
        <w:tc>
          <w:tcPr>
            <w:tcW w:w="220" w:type="dxa"/>
            <w:vAlign w:val="bottom"/>
          </w:tcPr>
          <w:p>
            <w:pPr>
              <w:spacing w:after="0"/>
              <w:rPr>
                <w:sz w:val="14"/>
                <w:szCs w:val="14"/>
                <w:color w:val="auto"/>
              </w:rPr>
            </w:pPr>
          </w:p>
        </w:tc>
        <w:tc>
          <w:tcPr>
            <w:tcW w:w="1000" w:type="dxa"/>
            <w:vAlign w:val="bottom"/>
            <w:gridSpan w:val="2"/>
          </w:tcPr>
          <w:p>
            <w:pPr>
              <w:jc w:val="right"/>
              <w:ind w:right="160"/>
              <w:spacing w:after="0" w:line="164" w:lineRule="exact"/>
              <w:rPr>
                <w:sz w:val="20"/>
                <w:szCs w:val="20"/>
                <w:color w:val="auto"/>
              </w:rPr>
            </w:pPr>
            <w:r>
              <w:rPr>
                <w:rFonts w:ascii="Courier New" w:cs="Courier New" w:eastAsia="Courier New" w:hAnsi="Courier New"/>
                <w:sz w:val="18"/>
                <w:szCs w:val="18"/>
                <w:color w:val="auto"/>
              </w:rPr>
              <w:t>(204)</w:t>
            </w:r>
          </w:p>
        </w:tc>
        <w:tc>
          <w:tcPr>
            <w:tcW w:w="100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(204)</w:t>
            </w:r>
          </w:p>
        </w:tc>
      </w:tr>
      <w:tr>
        <w:trPr>
          <w:trHeight w:val="183"/>
        </w:trPr>
        <w:tc>
          <w:tcPr>
            <w:tcW w:w="70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stockholders' equity</w:t>
            </w:r>
          </w:p>
        </w:tc>
        <w:tc>
          <w:tcPr>
            <w:tcW w:w="22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32,855</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31,149</w:t>
            </w:r>
          </w:p>
        </w:tc>
        <w:tc>
          <w:tcPr>
            <w:tcW w:w="100" w:type="dxa"/>
            <w:vAlign w:val="bottom"/>
          </w:tcPr>
          <w:p>
            <w:pPr>
              <w:spacing w:after="0"/>
              <w:rPr>
                <w:sz w:val="15"/>
                <w:szCs w:val="15"/>
                <w:color w:val="auto"/>
              </w:rPr>
            </w:pPr>
          </w:p>
        </w:tc>
      </w:tr>
      <w:tr>
        <w:trPr>
          <w:trHeight w:val="221"/>
        </w:trPr>
        <w:tc>
          <w:tcPr>
            <w:tcW w:w="7060" w:type="dxa"/>
            <w:vAlign w:val="bottom"/>
          </w:tcPr>
          <w:p>
            <w:pPr>
              <w:ind w:left="540"/>
              <w:spacing w:after="0"/>
              <w:rPr>
                <w:sz w:val="20"/>
                <w:szCs w:val="20"/>
                <w:color w:val="auto"/>
              </w:rPr>
            </w:pPr>
            <w:r>
              <w:rPr>
                <w:rFonts w:ascii="Courier New" w:cs="Courier New" w:eastAsia="Courier New" w:hAnsi="Courier New"/>
                <w:sz w:val="18"/>
                <w:szCs w:val="18"/>
                <w:color w:val="auto"/>
              </w:rPr>
              <w:t>Total liabilities and stockholders' equity</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$38,395</w:t>
            </w:r>
          </w:p>
        </w:tc>
        <w:tc>
          <w:tcPr>
            <w:tcW w:w="2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$35,481</w:t>
            </w:r>
          </w:p>
        </w:tc>
        <w:tc>
          <w:tcPr>
            <w:tcW w:w="100" w:type="dxa"/>
            <w:vAlign w:val="bottom"/>
          </w:tcPr>
          <w:p>
            <w:pPr>
              <w:spacing w:after="0"/>
              <w:rPr>
                <w:sz w:val="19"/>
                <w:szCs w:val="19"/>
                <w:color w:val="auto"/>
              </w:rPr>
            </w:pPr>
          </w:p>
        </w:tc>
      </w:tr>
      <w:tr>
        <w:trPr>
          <w:trHeight w:val="203"/>
        </w:trPr>
        <w:tc>
          <w:tcPr>
            <w:tcW w:w="706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bl>
    <w:p>
      <w:pPr>
        <w:spacing w:after="0" w:line="16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- 1 -</w:t>
      </w:r>
    </w:p>
    <w:p>
      <w:pPr>
        <w:spacing w:after="0" w:line="17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17"/>
                <w:szCs w:val="17"/>
                <w:color w:val="auto"/>
              </w:rPr>
            </w:pPr>
          </w:p>
        </w:tc>
        <w:tc>
          <w:tcPr>
            <w:tcW w:w="26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Three Months Ended</w:t>
            </w:r>
          </w:p>
        </w:tc>
        <w:tc>
          <w:tcPr>
            <w:tcW w:w="206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4480" w:type="dxa"/>
            <w:vAlign w:val="bottom"/>
          </w:tcPr>
          <w:p>
            <w:pPr>
              <w:spacing w:after="0"/>
              <w:rPr>
                <w:sz w:val="17"/>
                <w:szCs w:val="17"/>
                <w:color w:val="auto"/>
              </w:rPr>
            </w:pPr>
          </w:p>
        </w:tc>
        <w:tc>
          <w:tcPr>
            <w:tcW w:w="264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rPr>
              <w:t>June 30,</w:t>
            </w:r>
          </w:p>
        </w:tc>
        <w:tc>
          <w:tcPr>
            <w:tcW w:w="206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4480" w:type="dxa"/>
            <w:vAlign w:val="bottom"/>
          </w:tcPr>
          <w:p>
            <w:pPr>
              <w:spacing w:after="0"/>
              <w:rPr>
                <w:sz w:val="17"/>
                <w:szCs w:val="17"/>
                <w:color w:val="auto"/>
              </w:rPr>
            </w:pPr>
          </w:p>
        </w:tc>
        <w:tc>
          <w:tcPr>
            <w:tcW w:w="2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2014</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2013</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2014</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2013</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$12,343</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$11,218</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$21,140</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$20,191</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revenues</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6,261</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5,753</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10,873</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10,621</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Gross margin</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6,082</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5,465</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10,267</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9,570</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expense</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1,530</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1,528</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2,856</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2,717</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Engineering and product development</w:t>
            </w: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expense</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887</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925</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1,810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1,921</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General and administrative expense</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1,621</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1,523</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3,153</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3,079</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4,038</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3,976</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7,819</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7,717</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2,044</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1,489</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2,448</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1,853</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Earnings before income tax expense</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2,054</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1,487</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2,465</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1,857</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expense</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697</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484</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822</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562</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earnings</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$ 1,357</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$ 1,003</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$ 1,643</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$ 1,295</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Net earnings per common share - basic</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$0.13</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$0.10</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$0.16</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$0.13</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w:t>
            </w: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 - basic</w:t>
            </w:r>
          </w:p>
        </w:tc>
        <w:tc>
          <w:tcPr>
            <w:tcW w:w="47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10,436,730 10,371,716 10,415,461 10,349,695</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Net earnings per common share - diluted</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$0.13</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$0.10</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$0.16</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$0.13</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and common</w:t>
            </w: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 equivalents outstanding - diluted</w:t>
            </w:r>
          </w:p>
        </w:tc>
        <w:tc>
          <w:tcPr>
            <w:tcW w:w="47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10,456,183 10,394,094 10,452,567 10,380,279</w:t>
            </w:r>
          </w:p>
        </w:tc>
      </w:tr>
    </w:tbl>
    <w:p>
      <w:pPr>
        <w:sectPr>
          <w:pgSz w:w="11900" w:h="16838" w:orient="portrait"/>
          <w:cols w:equalWidth="0" w:num="1">
            <w:col w:w="10219"/>
          </w:cols>
          <w:pgMar w:left="240" w:top="136" w:right="1440" w:bottom="1440" w:gutter="0" w:footer="0" w:header="0"/>
        </w:sectPr>
      </w:pPr>
    </w:p>
    <w:bookmarkStart w:id="3" w:name="page4"/>
    <w:bookmarkEnd w:id="3"/>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540" w:type="dxa"/>
            <w:vAlign w:val="bottom"/>
            <w:gridSpan w:val="5"/>
          </w:tcPr>
          <w:p>
            <w:pPr>
              <w:jc w:val="center"/>
              <w:ind w:left="2812"/>
              <w:spacing w:after="0"/>
              <w:rPr>
                <w:sz w:val="20"/>
                <w:szCs w:val="20"/>
                <w:color w:val="auto"/>
              </w:rPr>
            </w:pPr>
            <w:r>
              <w:rPr>
                <w:rFonts w:ascii="Arial" w:cs="Arial" w:eastAsia="Arial" w:hAnsi="Arial"/>
                <w:sz w:val="18"/>
                <w:szCs w:val="18"/>
                <w:color w:val="auto"/>
                <w:w w:val="87"/>
              </w:rPr>
              <w:t>See accompanying Notes to Consolidated Financial Statements.</w:t>
            </w:r>
          </w:p>
        </w:tc>
      </w:tr>
      <w:tr>
        <w:trPr>
          <w:trHeight w:val="432"/>
        </w:trPr>
        <w:tc>
          <w:tcPr>
            <w:tcW w:w="4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jc w:val="center"/>
              <w:ind w:right="492"/>
              <w:spacing w:after="0"/>
              <w:rPr>
                <w:sz w:val="20"/>
                <w:szCs w:val="20"/>
                <w:color w:val="auto"/>
              </w:rPr>
            </w:pPr>
            <w:r>
              <w:rPr>
                <w:rFonts w:ascii="Arial" w:cs="Arial" w:eastAsia="Arial" w:hAnsi="Arial"/>
                <w:sz w:val="18"/>
                <w:szCs w:val="18"/>
                <w:color w:val="auto"/>
                <w:w w:val="93"/>
              </w:rPr>
              <w:t>- 2 -</w:t>
            </w: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771"/>
        </w:trPr>
        <w:tc>
          <w:tcPr>
            <w:tcW w:w="4320" w:type="dxa"/>
            <w:vAlign w:val="bottom"/>
          </w:tcPr>
          <w:p>
            <w:pPr>
              <w:spacing w:after="0"/>
              <w:rPr>
                <w:sz w:val="24"/>
                <w:szCs w:val="24"/>
                <w:color w:val="auto"/>
              </w:rPr>
            </w:pPr>
          </w:p>
        </w:tc>
        <w:tc>
          <w:tcPr>
            <w:tcW w:w="3320" w:type="dxa"/>
            <w:vAlign w:val="bottom"/>
            <w:gridSpan w:val="3"/>
          </w:tcPr>
          <w:p>
            <w:pPr>
              <w:jc w:val="center"/>
              <w:ind w:right="432"/>
              <w:spacing w:after="0"/>
              <w:rPr>
                <w:sz w:val="20"/>
                <w:szCs w:val="20"/>
                <w:color w:val="auto"/>
              </w:rPr>
            </w:pPr>
            <w:r>
              <w:rPr>
                <w:rFonts w:ascii="Arial" w:cs="Arial" w:eastAsia="Arial" w:hAnsi="Arial"/>
                <w:sz w:val="18"/>
                <w:szCs w:val="18"/>
                <w:b w:val="1"/>
                <w:bCs w:val="1"/>
                <w:color w:val="auto"/>
                <w:w w:val="96"/>
              </w:rPr>
              <w:t>inTEST CORPORATION</w:t>
            </w:r>
          </w:p>
        </w:tc>
        <w:tc>
          <w:tcPr>
            <w:tcW w:w="900" w:type="dxa"/>
            <w:vAlign w:val="bottom"/>
          </w:tcPr>
          <w:p>
            <w:pPr>
              <w:spacing w:after="0"/>
              <w:rPr>
                <w:sz w:val="24"/>
                <w:szCs w:val="24"/>
                <w:color w:val="auto"/>
              </w:rPr>
            </w:pPr>
          </w:p>
        </w:tc>
      </w:tr>
      <w:tr>
        <w:trPr>
          <w:trHeight w:val="222"/>
        </w:trPr>
        <w:tc>
          <w:tcPr>
            <w:tcW w:w="8540" w:type="dxa"/>
            <w:vAlign w:val="bottom"/>
            <w:gridSpan w:val="5"/>
          </w:tcPr>
          <w:p>
            <w:pPr>
              <w:jc w:val="center"/>
              <w:ind w:left="2792"/>
              <w:spacing w:after="0"/>
              <w:rPr>
                <w:sz w:val="20"/>
                <w:szCs w:val="20"/>
                <w:color w:val="auto"/>
              </w:rPr>
            </w:pPr>
            <w:r>
              <w:rPr>
                <w:rFonts w:ascii="Arial" w:cs="Arial" w:eastAsia="Arial" w:hAnsi="Arial"/>
                <w:sz w:val="18"/>
                <w:szCs w:val="18"/>
                <w:b w:val="1"/>
                <w:bCs w:val="1"/>
                <w:color w:val="auto"/>
                <w:w w:val="97"/>
              </w:rPr>
              <w:t>CONSOLIDATED STATEMENTS OF COMPREHENSIVE EARNINGS</w:t>
            </w:r>
          </w:p>
        </w:tc>
      </w:tr>
      <w:tr>
        <w:trPr>
          <w:trHeight w:val="216"/>
        </w:trPr>
        <w:tc>
          <w:tcPr>
            <w:tcW w:w="4320" w:type="dxa"/>
            <w:vAlign w:val="bottom"/>
          </w:tcPr>
          <w:p>
            <w:pPr>
              <w:spacing w:after="0"/>
              <w:rPr>
                <w:sz w:val="18"/>
                <w:szCs w:val="18"/>
                <w:color w:val="auto"/>
              </w:rPr>
            </w:pPr>
          </w:p>
        </w:tc>
        <w:tc>
          <w:tcPr>
            <w:tcW w:w="2160" w:type="dxa"/>
            <w:vAlign w:val="bottom"/>
            <w:gridSpan w:val="2"/>
          </w:tcPr>
          <w:p>
            <w:pPr>
              <w:jc w:val="center"/>
              <w:ind w:left="532"/>
              <w:spacing w:after="0"/>
              <w:rPr>
                <w:sz w:val="20"/>
                <w:szCs w:val="20"/>
                <w:color w:val="auto"/>
              </w:rPr>
            </w:pPr>
            <w:r>
              <w:rPr>
                <w:rFonts w:ascii="Arial" w:cs="Arial" w:eastAsia="Arial" w:hAnsi="Arial"/>
                <w:sz w:val="18"/>
                <w:szCs w:val="18"/>
                <w:color w:val="auto"/>
                <w:w w:val="88"/>
              </w:rPr>
              <w:t>(In thousands)</w:t>
            </w:r>
          </w:p>
        </w:tc>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20" w:type="dxa"/>
            <w:vAlign w:val="bottom"/>
          </w:tcPr>
          <w:p>
            <w:pPr>
              <w:spacing w:after="0"/>
              <w:rPr>
                <w:sz w:val="19"/>
                <w:szCs w:val="19"/>
                <w:color w:val="auto"/>
              </w:rPr>
            </w:pPr>
          </w:p>
        </w:tc>
        <w:tc>
          <w:tcPr>
            <w:tcW w:w="2160" w:type="dxa"/>
            <w:vAlign w:val="bottom"/>
            <w:gridSpan w:val="2"/>
          </w:tcPr>
          <w:p>
            <w:pPr>
              <w:jc w:val="center"/>
              <w:ind w:left="532"/>
              <w:spacing w:after="0"/>
              <w:rPr>
                <w:sz w:val="20"/>
                <w:szCs w:val="20"/>
                <w:color w:val="auto"/>
              </w:rPr>
            </w:pPr>
            <w:r>
              <w:rPr>
                <w:rFonts w:ascii="Arial" w:cs="Arial" w:eastAsia="Arial" w:hAnsi="Arial"/>
                <w:sz w:val="18"/>
                <w:szCs w:val="18"/>
                <w:color w:val="auto"/>
                <w:w w:val="91"/>
              </w:rPr>
              <w:t>(Unaudited)</w:t>
            </w:r>
          </w:p>
        </w:tc>
        <w:tc>
          <w:tcPr>
            <w:tcW w:w="11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581"/>
        </w:trPr>
        <w:tc>
          <w:tcPr>
            <w:tcW w:w="4320" w:type="dxa"/>
            <w:vAlign w:val="bottom"/>
          </w:tcPr>
          <w:p>
            <w:pPr>
              <w:spacing w:after="0"/>
              <w:rPr>
                <w:sz w:val="24"/>
                <w:szCs w:val="24"/>
                <w:color w:val="auto"/>
              </w:rPr>
            </w:pPr>
          </w:p>
        </w:tc>
        <w:tc>
          <w:tcPr>
            <w:tcW w:w="21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Three Months Ended</w:t>
            </w:r>
          </w:p>
        </w:tc>
        <w:tc>
          <w:tcPr>
            <w:tcW w:w="20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43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w:t>
            </w:r>
          </w:p>
        </w:tc>
        <w:tc>
          <w:tcPr>
            <w:tcW w:w="9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w:t>
            </w:r>
          </w:p>
        </w:tc>
        <w:tc>
          <w:tcPr>
            <w:tcW w:w="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4320" w:type="dxa"/>
            <w:vAlign w:val="bottom"/>
          </w:tcPr>
          <w:p>
            <w:pPr>
              <w:spacing w:after="0"/>
              <w:rPr>
                <w:sz w:val="17"/>
                <w:szCs w:val="17"/>
                <w:color w:val="auto"/>
              </w:rPr>
            </w:pPr>
          </w:p>
        </w:tc>
        <w:tc>
          <w:tcPr>
            <w:tcW w:w="2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2014</w:t>
            </w:r>
          </w:p>
        </w:tc>
        <w:tc>
          <w:tcPr>
            <w:tcW w:w="9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2013</w:t>
            </w:r>
          </w:p>
        </w:tc>
        <w:tc>
          <w:tcPr>
            <w:tcW w:w="11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2014</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2013</w:t>
            </w:r>
          </w:p>
        </w:tc>
      </w:tr>
      <w:tr>
        <w:trPr>
          <w:trHeight w:val="203"/>
        </w:trPr>
        <w:tc>
          <w:tcPr>
            <w:tcW w:w="4320" w:type="dxa"/>
            <w:vAlign w:val="bottom"/>
          </w:tcPr>
          <w:p>
            <w:pPr>
              <w:spacing w:after="0"/>
              <w:rPr>
                <w:sz w:val="17"/>
                <w:szCs w:val="17"/>
                <w:color w:val="auto"/>
              </w:rPr>
            </w:pPr>
          </w:p>
        </w:tc>
        <w:tc>
          <w:tcPr>
            <w:tcW w:w="1200" w:type="dxa"/>
            <w:vAlign w:val="bottom"/>
          </w:tcPr>
          <w:p>
            <w:pPr>
              <w:jc w:val="right"/>
              <w:ind w:right="15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Net earnings</w:t>
            </w:r>
          </w:p>
        </w:tc>
        <w:tc>
          <w:tcPr>
            <w:tcW w:w="1200" w:type="dxa"/>
            <w:vAlign w:val="bottom"/>
          </w:tcPr>
          <w:p>
            <w:pPr>
              <w:jc w:val="right"/>
              <w:ind w:right="152"/>
              <w:spacing w:after="0"/>
              <w:rPr>
                <w:sz w:val="20"/>
                <w:szCs w:val="20"/>
                <w:color w:val="auto"/>
              </w:rPr>
            </w:pPr>
            <w:r>
              <w:rPr>
                <w:rFonts w:ascii="Courier New" w:cs="Courier New" w:eastAsia="Courier New" w:hAnsi="Courier New"/>
                <w:sz w:val="18"/>
                <w:szCs w:val="18"/>
                <w:color w:val="auto"/>
              </w:rPr>
              <w:t>$ 1,357</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$ 1,003</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$ 1,643</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$ 1,295</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w w:val="99"/>
              </w:rPr>
              <w:t>Foreign currency translation adjustments</w:t>
            </w:r>
          </w:p>
        </w:tc>
        <w:tc>
          <w:tcPr>
            <w:tcW w:w="1200" w:type="dxa"/>
            <w:vAlign w:val="bottom"/>
          </w:tcPr>
          <w:p>
            <w:pPr>
              <w:jc w:val="right"/>
              <w:ind w:right="52"/>
              <w:spacing w:after="0"/>
              <w:rPr>
                <w:sz w:val="20"/>
                <w:szCs w:val="20"/>
                <w:color w:val="auto"/>
              </w:rPr>
            </w:pPr>
            <w:r>
              <w:rPr>
                <w:rFonts w:ascii="Courier New" w:cs="Courier New" w:eastAsia="Courier New" w:hAnsi="Courier New"/>
                <w:sz w:val="18"/>
                <w:szCs w:val="18"/>
                <w:color w:val="auto"/>
              </w:rPr>
              <w:t>(15)</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30</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(11)</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(32)</w:t>
            </w:r>
          </w:p>
        </w:tc>
      </w:tr>
      <w:tr>
        <w:trPr>
          <w:trHeight w:val="203"/>
        </w:trPr>
        <w:tc>
          <w:tcPr>
            <w:tcW w:w="4320" w:type="dxa"/>
            <w:vAlign w:val="bottom"/>
          </w:tcPr>
          <w:p>
            <w:pPr>
              <w:spacing w:after="0"/>
              <w:rPr>
                <w:sz w:val="17"/>
                <w:szCs w:val="17"/>
                <w:color w:val="auto"/>
              </w:rPr>
            </w:pPr>
          </w:p>
        </w:tc>
        <w:tc>
          <w:tcPr>
            <w:tcW w:w="1200" w:type="dxa"/>
            <w:vAlign w:val="bottom"/>
          </w:tcPr>
          <w:p>
            <w:pPr>
              <w:jc w:val="right"/>
              <w:ind w:right="15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Comprehensive earnings</w:t>
            </w:r>
          </w:p>
        </w:tc>
        <w:tc>
          <w:tcPr>
            <w:tcW w:w="1200" w:type="dxa"/>
            <w:vAlign w:val="bottom"/>
          </w:tcPr>
          <w:p>
            <w:pPr>
              <w:jc w:val="right"/>
              <w:ind w:right="152"/>
              <w:spacing w:after="0"/>
              <w:rPr>
                <w:sz w:val="20"/>
                <w:szCs w:val="20"/>
                <w:color w:val="auto"/>
              </w:rPr>
            </w:pPr>
            <w:r>
              <w:rPr>
                <w:rFonts w:ascii="Courier New" w:cs="Courier New" w:eastAsia="Courier New" w:hAnsi="Courier New"/>
                <w:sz w:val="18"/>
                <w:szCs w:val="18"/>
                <w:color w:val="auto"/>
              </w:rPr>
              <w:t>$ 1,342</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$ 1,033</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$ 1,632</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$ 1,263</w:t>
            </w:r>
          </w:p>
        </w:tc>
      </w:tr>
      <w:tr>
        <w:trPr>
          <w:trHeight w:val="203"/>
        </w:trPr>
        <w:tc>
          <w:tcPr>
            <w:tcW w:w="4320" w:type="dxa"/>
            <w:vAlign w:val="bottom"/>
          </w:tcPr>
          <w:p>
            <w:pPr>
              <w:spacing w:after="0"/>
              <w:rPr>
                <w:sz w:val="17"/>
                <w:szCs w:val="17"/>
                <w:color w:val="auto"/>
              </w:rPr>
            </w:pPr>
          </w:p>
        </w:tc>
        <w:tc>
          <w:tcPr>
            <w:tcW w:w="1200" w:type="dxa"/>
            <w:vAlign w:val="bottom"/>
          </w:tcPr>
          <w:p>
            <w:pPr>
              <w:jc w:val="right"/>
              <w:ind w:right="15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385"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(Unaudited)</w:t>
      </w:r>
    </w:p>
    <w:p>
      <w:pPr>
        <w:spacing w:after="0" w:line="179" w:lineRule="exact"/>
        <w:rPr>
          <w:sz w:val="20"/>
          <w:szCs w:val="20"/>
          <w:color w:val="auto"/>
        </w:rPr>
      </w:pPr>
    </w:p>
    <w:p>
      <w:pPr>
        <w:ind w:left="4680"/>
        <w:spacing w:after="0"/>
        <w:rPr>
          <w:sz w:val="20"/>
          <w:szCs w:val="20"/>
          <w:color w:val="auto"/>
        </w:rPr>
      </w:pPr>
      <w:r>
        <w:rPr>
          <w:rFonts w:ascii="Courier New" w:cs="Courier New" w:eastAsia="Courier New" w:hAnsi="Courier New"/>
          <w:sz w:val="12"/>
          <w:szCs w:val="12"/>
          <w:color w:val="auto"/>
        </w:rPr>
        <w:t>Accumulated</w:t>
      </w:r>
    </w:p>
    <w:p>
      <w:pPr>
        <w:ind w:left="2060"/>
        <w:spacing w:after="0"/>
        <w:tabs>
          <w:tab w:leader="none" w:pos="3120" w:val="left"/>
          <w:tab w:leader="none" w:pos="4800" w:val="left"/>
          <w:tab w:leader="none" w:pos="6480" w:val="left"/>
        </w:tabs>
        <w:rPr>
          <w:sz w:val="20"/>
          <w:szCs w:val="20"/>
          <w:color w:val="auto"/>
        </w:rPr>
      </w:pPr>
      <w:r>
        <w:rPr>
          <w:rFonts w:ascii="Courier New" w:cs="Courier New" w:eastAsia="Courier New" w:hAnsi="Courier New"/>
          <w:sz w:val="12"/>
          <w:szCs w:val="12"/>
          <w:color w:val="auto"/>
        </w:rPr>
        <w:t>Common Stock</w:t>
      </w:r>
      <w:r>
        <w:rPr>
          <w:sz w:val="20"/>
          <w:szCs w:val="20"/>
          <w:color w:val="auto"/>
        </w:rPr>
        <w:tab/>
      </w:r>
      <w:r>
        <w:rPr>
          <w:rFonts w:ascii="Courier New" w:cs="Courier New" w:eastAsia="Courier New" w:hAnsi="Courier New"/>
          <w:sz w:val="12"/>
          <w:szCs w:val="12"/>
          <w:color w:val="auto"/>
        </w:rPr>
        <w:t>Additional</w:t>
      </w:r>
      <w:r>
        <w:rPr>
          <w:sz w:val="20"/>
          <w:szCs w:val="20"/>
          <w:color w:val="auto"/>
        </w:rPr>
        <w:tab/>
      </w:r>
      <w:r>
        <w:rPr>
          <w:rFonts w:ascii="Courier New" w:cs="Courier New" w:eastAsia="Courier New" w:hAnsi="Courier New"/>
          <w:sz w:val="12"/>
          <w:szCs w:val="12"/>
          <w:color w:val="auto"/>
        </w:rPr>
        <w:t>Other</w:t>
      </w:r>
      <w:r>
        <w:rPr>
          <w:sz w:val="20"/>
          <w:szCs w:val="20"/>
          <w:color w:val="auto"/>
        </w:rPr>
        <w:tab/>
      </w:r>
      <w:r>
        <w:rPr>
          <w:rFonts w:ascii="Courier New" w:cs="Courier New" w:eastAsia="Courier New" w:hAnsi="Courier New"/>
          <w:sz w:val="11"/>
          <w:szCs w:val="11"/>
          <w:color w:val="auto"/>
        </w:rPr>
        <w:t>Total</w:t>
      </w:r>
    </w:p>
    <w:p>
      <w:pPr>
        <w:ind w:left="1840"/>
        <w:spacing w:after="0"/>
        <w:tabs>
          <w:tab w:leader="none" w:pos="3200" w:val="left"/>
          <w:tab w:leader="none" w:pos="3920" w:val="left"/>
        </w:tabs>
        <w:rPr>
          <w:sz w:val="20"/>
          <w:szCs w:val="20"/>
          <w:color w:val="auto"/>
        </w:rPr>
      </w:pPr>
      <w:r>
        <w:rPr>
          <w:rFonts w:ascii="Courier New" w:cs="Courier New" w:eastAsia="Courier New" w:hAnsi="Courier New"/>
          <w:sz w:val="12"/>
          <w:szCs w:val="12"/>
          <w:color w:val="auto"/>
        </w:rPr>
        <w:t>-----------------</w:t>
        <w:tab/>
        <w:t>Paid-In</w:t>
      </w:r>
      <w:r>
        <w:rPr>
          <w:sz w:val="20"/>
          <w:szCs w:val="20"/>
          <w:color w:val="auto"/>
        </w:rPr>
        <w:tab/>
      </w:r>
      <w:r>
        <w:rPr>
          <w:rFonts w:ascii="Courier New" w:cs="Courier New" w:eastAsia="Courier New" w:hAnsi="Courier New"/>
          <w:sz w:val="12"/>
          <w:szCs w:val="12"/>
          <w:color w:val="auto"/>
        </w:rPr>
        <w:t>Retained Comprehensive Treasury Stockholders'</w:t>
      </w:r>
    </w:p>
    <w:p>
      <w:pPr>
        <w:ind w:left="1980"/>
        <w:spacing w:after="0"/>
        <w:tabs>
          <w:tab w:leader="none" w:pos="2620" w:val="left"/>
          <w:tab w:leader="none" w:pos="3200" w:val="left"/>
          <w:tab w:leader="none" w:pos="3920" w:val="left"/>
          <w:tab w:leader="none" w:pos="4720" w:val="left"/>
          <w:tab w:leader="none" w:pos="5680" w:val="left"/>
          <w:tab w:leader="none" w:pos="6480" w:val="left"/>
        </w:tabs>
        <w:rPr>
          <w:sz w:val="20"/>
          <w:szCs w:val="20"/>
          <w:color w:val="auto"/>
        </w:rPr>
      </w:pPr>
      <w:r>
        <w:rPr>
          <w:rFonts w:ascii="Courier New" w:cs="Courier New" w:eastAsia="Courier New" w:hAnsi="Courier New"/>
          <w:sz w:val="12"/>
          <w:szCs w:val="12"/>
          <w:color w:val="auto"/>
        </w:rPr>
        <w:t>Shares</w:t>
      </w:r>
      <w:r>
        <w:rPr>
          <w:sz w:val="20"/>
          <w:szCs w:val="20"/>
          <w:color w:val="auto"/>
        </w:rPr>
        <w:tab/>
      </w:r>
      <w:r>
        <w:rPr>
          <w:rFonts w:ascii="Courier New" w:cs="Courier New" w:eastAsia="Courier New" w:hAnsi="Courier New"/>
          <w:sz w:val="12"/>
          <w:szCs w:val="12"/>
          <w:color w:val="auto"/>
        </w:rPr>
        <w:t>Amount</w:t>
        <w:tab/>
        <w:t>Capital</w:t>
      </w:r>
      <w:r>
        <w:rPr>
          <w:sz w:val="20"/>
          <w:szCs w:val="20"/>
          <w:color w:val="auto"/>
        </w:rPr>
        <w:tab/>
      </w:r>
      <w:r>
        <w:rPr>
          <w:rFonts w:ascii="Courier New" w:cs="Courier New" w:eastAsia="Courier New" w:hAnsi="Courier New"/>
          <w:sz w:val="12"/>
          <w:szCs w:val="12"/>
          <w:color w:val="auto"/>
        </w:rPr>
        <w:t>Earnings</w:t>
      </w:r>
      <w:r>
        <w:rPr>
          <w:sz w:val="20"/>
          <w:szCs w:val="20"/>
          <w:color w:val="auto"/>
        </w:rPr>
        <w:tab/>
      </w:r>
      <w:r>
        <w:rPr>
          <w:rFonts w:ascii="Courier New" w:cs="Courier New" w:eastAsia="Courier New" w:hAnsi="Courier New"/>
          <w:sz w:val="12"/>
          <w:szCs w:val="12"/>
          <w:color w:val="auto"/>
        </w:rPr>
        <w:t>Earnings</w:t>
      </w:r>
      <w:r>
        <w:rPr>
          <w:sz w:val="20"/>
          <w:szCs w:val="20"/>
          <w:color w:val="auto"/>
        </w:rPr>
        <w:tab/>
      </w:r>
      <w:r>
        <w:rPr>
          <w:rFonts w:ascii="Courier New" w:cs="Courier New" w:eastAsia="Courier New" w:hAnsi="Courier New"/>
          <w:sz w:val="12"/>
          <w:szCs w:val="12"/>
          <w:color w:val="auto"/>
        </w:rPr>
        <w:t>Stock</w:t>
      </w:r>
      <w:r>
        <w:rPr>
          <w:sz w:val="20"/>
          <w:szCs w:val="20"/>
          <w:color w:val="auto"/>
        </w:rPr>
        <w:tab/>
      </w:r>
      <w:r>
        <w:rPr>
          <w:rFonts w:ascii="Courier New" w:cs="Courier New" w:eastAsia="Courier New" w:hAnsi="Courier New"/>
          <w:sz w:val="12"/>
          <w:szCs w:val="12"/>
          <w:color w:val="auto"/>
        </w:rPr>
        <w:t>Equity</w:t>
      </w:r>
    </w:p>
    <w:p>
      <w:pPr>
        <w:ind w:left="1840"/>
        <w:spacing w:after="0"/>
        <w:rPr>
          <w:sz w:val="20"/>
          <w:szCs w:val="20"/>
          <w:color w:val="auto"/>
        </w:rPr>
      </w:pPr>
      <w:r>
        <w:rPr>
          <w:rFonts w:ascii="Courier New" w:cs="Courier New" w:eastAsia="Courier New" w:hAnsi="Courier New"/>
          <w:sz w:val="12"/>
          <w:szCs w:val="12"/>
          <w:color w:val="auto"/>
        </w:rPr>
        <w:t>---------- ------ ---------- -------- ------------- -------- -------------</w:t>
      </w:r>
    </w:p>
    <w:p>
      <w:pPr>
        <w:sectPr>
          <w:pgSz w:w="11900" w:h="16893" w:orient="portrait"/>
          <w:cols w:equalWidth="0" w:num="1">
            <w:col w:w="10219"/>
          </w:cols>
          <w:pgMar w:left="240" w:top="131" w:right="1440" w:bottom="0" w:gutter="0" w:footer="0" w:header="0"/>
        </w:sectPr>
      </w:pP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Balance, January 1, 2014 10,590,755</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2"/>
          <w:szCs w:val="12"/>
          <w:color w:val="auto"/>
        </w:rPr>
        <w:t>$ 106</w:t>
        <w:tab/>
        <w:t>$26,187</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$3,713</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center"/>
        <w:spacing w:after="0"/>
        <w:rPr>
          <w:sz w:val="20"/>
          <w:szCs w:val="20"/>
          <w:color w:val="auto"/>
        </w:rPr>
      </w:pPr>
      <w:r>
        <w:rPr>
          <w:rFonts w:ascii="Courier New" w:cs="Courier New" w:eastAsia="Courier New" w:hAnsi="Courier New"/>
          <w:sz w:val="12"/>
          <w:szCs w:val="12"/>
          <w:color w:val="auto"/>
        </w:rPr>
        <w:t>$1,347</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$(204)</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$31,149</w:t>
      </w:r>
    </w:p>
    <w:p>
      <w:pPr>
        <w:spacing w:after="0" w:line="134" w:lineRule="exact"/>
        <w:rPr>
          <w:sz w:val="20"/>
          <w:szCs w:val="20"/>
          <w:color w:val="auto"/>
        </w:rPr>
      </w:pPr>
    </w:p>
    <w:p>
      <w:pPr>
        <w:sectPr>
          <w:pgSz w:w="11900" w:h="16893" w:orient="portrait"/>
          <w:cols w:equalWidth="0" w:num="6">
            <w:col w:w="2560" w:space="140"/>
            <w:col w:w="1100" w:space="220"/>
            <w:col w:w="440" w:space="440"/>
            <w:col w:w="440" w:space="420"/>
            <w:col w:w="440" w:space="220"/>
            <w:col w:w="3799"/>
          </w:cols>
          <w:pgMar w:left="240" w:top="131" w:right="1440" w:bottom="0" w:gutter="0" w:footer="0" w:header="0"/>
          <w:type w:val="continuous"/>
        </w:sectPr>
      </w:pPr>
    </w:p>
    <w:p>
      <w:pPr>
        <w:spacing w:after="0"/>
        <w:rPr>
          <w:sz w:val="20"/>
          <w:szCs w:val="20"/>
          <w:color w:val="auto"/>
        </w:rPr>
      </w:pPr>
      <w:r>
        <w:rPr>
          <w:rFonts w:ascii="Courier New" w:cs="Courier New" w:eastAsia="Courier New" w:hAnsi="Courier New"/>
          <w:sz w:val="12"/>
          <w:szCs w:val="12"/>
          <w:color w:val="auto"/>
        </w:rPr>
        <w:t>Net earnings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1,643</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1,643</w:t>
      </w:r>
    </w:p>
    <w:p>
      <w:pPr>
        <w:spacing w:after="0" w:line="145" w:lineRule="exact"/>
        <w:rPr>
          <w:sz w:val="20"/>
          <w:szCs w:val="20"/>
          <w:color w:val="auto"/>
        </w:rPr>
      </w:pPr>
    </w:p>
    <w:p>
      <w:pPr>
        <w:sectPr>
          <w:pgSz w:w="11900" w:h="16893" w:orient="portrait"/>
          <w:cols w:equalWidth="0" w:num="8">
            <w:col w:w="1760" w:space="720"/>
            <w:col w:w="80" w:space="440"/>
            <w:col w:w="80" w:space="640"/>
            <w:col w:w="80" w:space="300"/>
            <w:col w:w="440" w:space="720"/>
            <w:col w:w="80" w:space="720"/>
            <w:col w:w="80" w:space="440"/>
            <w:col w:w="3639"/>
          </w:cols>
          <w:pgMar w:left="240" w:top="131" w:right="1440" w:bottom="0" w:gutter="0" w:footer="0" w:header="0"/>
          <w:type w:val="continuous"/>
        </w:sectPr>
      </w:pPr>
    </w:p>
    <w:p>
      <w:pPr>
        <w:spacing w:after="0"/>
        <w:rPr>
          <w:sz w:val="20"/>
          <w:szCs w:val="20"/>
          <w:color w:val="auto"/>
        </w:rPr>
      </w:pPr>
      <w:r>
        <w:rPr>
          <w:rFonts w:ascii="Courier New" w:cs="Courier New" w:eastAsia="Courier New" w:hAnsi="Courier New"/>
          <w:sz w:val="12"/>
          <w:szCs w:val="12"/>
          <w:color w:val="auto"/>
        </w:rPr>
        <w:t>Other comprehensive</w:t>
      </w:r>
    </w:p>
    <w:p>
      <w:pPr>
        <w:sectPr>
          <w:pgSz w:w="11900" w:h="16893" w:orient="portrait"/>
          <w:cols w:equalWidth="0" w:num="1">
            <w:col w:w="10219"/>
          </w:cols>
          <w:pgMar w:left="240" w:top="131" w:right="1440" w:bottom="0" w:gutter="0" w:footer="0" w:header="0"/>
          <w:type w:val="continuous"/>
        </w:sectPr>
      </w:pPr>
    </w:p>
    <w:p>
      <w:pPr>
        <w:ind w:left="160"/>
        <w:spacing w:after="0"/>
        <w:rPr>
          <w:sz w:val="20"/>
          <w:szCs w:val="20"/>
          <w:color w:val="auto"/>
        </w:rPr>
      </w:pPr>
      <w:r>
        <w:rPr>
          <w:rFonts w:ascii="Courier New" w:cs="Courier New" w:eastAsia="Courier New" w:hAnsi="Courier New"/>
          <w:sz w:val="12"/>
          <w:szCs w:val="12"/>
          <w:color w:val="auto"/>
        </w:rPr>
        <w:t>earnings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tabs>
          <w:tab w:leader="none" w:pos="920" w:val="left"/>
        </w:tabs>
        <w:rPr>
          <w:sz w:val="20"/>
          <w:szCs w:val="20"/>
          <w:color w:val="auto"/>
        </w:rPr>
      </w:pPr>
      <w:r>
        <w:rPr>
          <w:rFonts w:ascii="Courier New" w:cs="Courier New" w:eastAsia="Courier New" w:hAnsi="Courier New"/>
          <w:sz w:val="12"/>
          <w:szCs w:val="12"/>
          <w:color w:val="auto"/>
        </w:rPr>
        <w:t>(11)</w:t>
      </w:r>
      <w:r>
        <w:rPr>
          <w:sz w:val="20"/>
          <w:szCs w:val="20"/>
          <w:color w:val="auto"/>
        </w:rPr>
        <w:tab/>
      </w: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(11)</w:t>
      </w:r>
    </w:p>
    <w:p>
      <w:pPr>
        <w:spacing w:after="0" w:line="142" w:lineRule="exact"/>
        <w:rPr>
          <w:sz w:val="20"/>
          <w:szCs w:val="20"/>
          <w:color w:val="auto"/>
        </w:rPr>
      </w:pPr>
    </w:p>
    <w:p>
      <w:pPr>
        <w:sectPr>
          <w:pgSz w:w="11900" w:h="16893" w:orient="portrait"/>
          <w:cols w:equalWidth="0" w:num="7">
            <w:col w:w="1760" w:space="720"/>
            <w:col w:w="80" w:space="440"/>
            <w:col w:w="80" w:space="640"/>
            <w:col w:w="80" w:space="580"/>
            <w:col w:w="80" w:space="660"/>
            <w:col w:w="1020" w:space="580"/>
            <w:col w:w="3499"/>
          </w:cols>
          <w:pgMar w:left="240" w:top="131" w:right="1440" w:bottom="0" w:gutter="0" w:footer="0" w:header="0"/>
          <w:type w:val="continuous"/>
        </w:sectPr>
      </w:pPr>
    </w:p>
    <w:p>
      <w:pPr>
        <w:jc w:val="center"/>
        <w:ind w:right="8459"/>
        <w:spacing w:after="0"/>
        <w:rPr>
          <w:sz w:val="20"/>
          <w:szCs w:val="20"/>
          <w:color w:val="auto"/>
        </w:rPr>
      </w:pPr>
      <w:r>
        <w:rPr>
          <w:rFonts w:ascii="Courier New" w:cs="Courier New" w:eastAsia="Courier New" w:hAnsi="Courier New"/>
          <w:sz w:val="12"/>
          <w:szCs w:val="12"/>
          <w:color w:val="auto"/>
        </w:rPr>
        <w:t>Amortization of deferred</w:t>
      </w:r>
    </w:p>
    <w:p>
      <w:pPr>
        <w:jc w:val="center"/>
        <w:ind w:right="8459"/>
        <w:spacing w:after="0"/>
        <w:rPr>
          <w:sz w:val="20"/>
          <w:szCs w:val="20"/>
          <w:color w:val="auto"/>
        </w:rPr>
      </w:pPr>
      <w:r>
        <w:rPr>
          <w:rFonts w:ascii="Courier New" w:cs="Courier New" w:eastAsia="Courier New" w:hAnsi="Courier New"/>
          <w:sz w:val="12"/>
          <w:szCs w:val="12"/>
          <w:color w:val="auto"/>
        </w:rPr>
        <w:t>compensation related</w:t>
      </w:r>
    </w:p>
    <w:p>
      <w:pPr>
        <w:sectPr>
          <w:pgSz w:w="11900" w:h="16893" w:orient="portrait"/>
          <w:cols w:equalWidth="0" w:num="1">
            <w:col w:w="10219"/>
          </w:cols>
          <w:pgMar w:left="240" w:top="131" w:right="1440" w:bottom="0" w:gutter="0" w:footer="0" w:header="0"/>
          <w:type w:val="continuous"/>
        </w:sectPr>
      </w:pPr>
    </w:p>
    <w:p>
      <w:pPr>
        <w:ind w:left="160"/>
        <w:spacing w:after="0"/>
        <w:rPr>
          <w:sz w:val="20"/>
          <w:szCs w:val="20"/>
          <w:color w:val="auto"/>
        </w:rPr>
      </w:pPr>
      <w:r>
        <w:rPr>
          <w:rFonts w:ascii="Courier New" w:cs="Courier New" w:eastAsia="Courier New" w:hAnsi="Courier New"/>
          <w:sz w:val="12"/>
          <w:szCs w:val="12"/>
          <w:color w:val="auto"/>
        </w:rPr>
        <w:t>to restricted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1"/>
          <w:szCs w:val="11"/>
          <w:color w:val="auto"/>
        </w:rPr>
        <w:t>74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74</w:t>
      </w:r>
    </w:p>
    <w:p>
      <w:pPr>
        <w:spacing w:after="0" w:line="142" w:lineRule="exact"/>
        <w:rPr>
          <w:sz w:val="20"/>
          <w:szCs w:val="20"/>
          <w:color w:val="auto"/>
        </w:rPr>
      </w:pPr>
    </w:p>
    <w:p>
      <w:pPr>
        <w:sectPr>
          <w:pgSz w:w="11900" w:h="16893" w:orient="portrait"/>
          <w:cols w:equalWidth="0" w:num="8">
            <w:col w:w="1760" w:space="720"/>
            <w:col w:w="80" w:space="440"/>
            <w:col w:w="80" w:space="580"/>
            <w:col w:w="140" w:space="580"/>
            <w:col w:w="160" w:space="720"/>
            <w:col w:w="80" w:space="720"/>
            <w:col w:w="80" w:space="660"/>
            <w:col w:w="3419"/>
          </w:cols>
          <w:pgMar w:left="240" w:top="131" w:right="1440" w:bottom="0" w:gutter="0" w:footer="0" w:header="0"/>
          <w:type w:val="continuous"/>
        </w:sectPr>
      </w:pPr>
    </w:p>
    <w:p>
      <w:pPr>
        <w:jc w:val="center"/>
        <w:ind w:right="8459"/>
        <w:spacing w:after="0"/>
        <w:rPr>
          <w:sz w:val="20"/>
          <w:szCs w:val="20"/>
          <w:color w:val="auto"/>
        </w:rPr>
      </w:pPr>
      <w:r>
        <w:rPr>
          <w:rFonts w:ascii="Courier New" w:cs="Courier New" w:eastAsia="Courier New" w:hAnsi="Courier New"/>
          <w:sz w:val="12"/>
          <w:szCs w:val="12"/>
          <w:color w:val="auto"/>
        </w:rPr>
        <w:t>Forfeiture of non-vested</w:t>
      </w:r>
    </w:p>
    <w:p>
      <w:pPr>
        <w:jc w:val="center"/>
        <w:ind w:right="8459"/>
        <w:spacing w:after="0"/>
        <w:rPr>
          <w:sz w:val="20"/>
          <w:szCs w:val="20"/>
          <w:color w:val="auto"/>
        </w:rPr>
      </w:pPr>
      <w:r>
        <w:rPr>
          <w:rFonts w:ascii="Courier New" w:cs="Courier New" w:eastAsia="Courier New" w:hAnsi="Courier New"/>
          <w:sz w:val="12"/>
          <w:szCs w:val="12"/>
          <w:color w:val="auto"/>
        </w:rPr>
        <w:t>shares of restricted</w:t>
      </w:r>
    </w:p>
    <w:p>
      <w:pPr>
        <w:sectPr>
          <w:pgSz w:w="11900" w:h="16893" w:orient="portrait"/>
          <w:cols w:equalWidth="0" w:num="1">
            <w:col w:w="10219"/>
          </w:cols>
          <w:pgMar w:left="240" w:top="131" w:right="1440" w:bottom="0" w:gutter="0" w:footer="0" w:header="0"/>
          <w:type w:val="continuous"/>
        </w:sectPr>
      </w:pP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1"/>
          <w:szCs w:val="11"/>
          <w:color w:val="auto"/>
        </w:rPr>
        <w:t>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(5,000)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132" w:lineRule="exact"/>
        <w:rPr>
          <w:sz w:val="20"/>
          <w:szCs w:val="20"/>
          <w:color w:val="auto"/>
        </w:rPr>
      </w:pPr>
    </w:p>
    <w:p>
      <w:pPr>
        <w:sectPr>
          <w:pgSz w:w="11900" w:h="16893" w:orient="portrait"/>
          <w:cols w:equalWidth="0" w:num="8">
            <w:col w:w="1400" w:space="720"/>
            <w:col w:w="520" w:space="360"/>
            <w:col w:w="80" w:space="640"/>
            <w:col w:w="80" w:space="580"/>
            <w:col w:w="160" w:space="720"/>
            <w:col w:w="80" w:space="720"/>
            <w:col w:w="80" w:space="720"/>
            <w:col w:w="3359"/>
          </w:cols>
          <w:pgMar w:left="240" w:top="131" w:right="1440" w:bottom="0" w:gutter="0" w:footer="0" w:header="0"/>
          <w:type w:val="continuous"/>
        </w:sectPr>
      </w:pPr>
    </w:p>
    <w:p>
      <w:pPr>
        <w:jc w:val="right"/>
        <w:ind w:right="8599"/>
        <w:spacing w:after="0"/>
        <w:rPr>
          <w:sz w:val="20"/>
          <w:szCs w:val="20"/>
          <w:color w:val="auto"/>
        </w:rPr>
      </w:pPr>
      <w:r>
        <w:rPr>
          <w:rFonts w:ascii="Courier New" w:cs="Courier New" w:eastAsia="Courier New" w:hAnsi="Courier New"/>
          <w:sz w:val="12"/>
          <w:szCs w:val="12"/>
          <w:color w:val="auto"/>
        </w:rPr>
        <w:t>Issuance of non-vested</w:t>
      </w:r>
    </w:p>
    <w:p>
      <w:pPr>
        <w:jc w:val="right"/>
        <w:ind w:right="8599"/>
        <w:spacing w:after="0"/>
        <w:rPr>
          <w:sz w:val="20"/>
          <w:szCs w:val="20"/>
          <w:color w:val="auto"/>
        </w:rPr>
      </w:pPr>
      <w:r>
        <w:rPr>
          <w:rFonts w:ascii="Courier New" w:cs="Courier New" w:eastAsia="Courier New" w:hAnsi="Courier New"/>
          <w:sz w:val="12"/>
          <w:szCs w:val="12"/>
          <w:color w:val="auto"/>
        </w:rPr>
        <w:t>shares of restricted</w:t>
      </w:r>
    </w:p>
    <w:p>
      <w:pPr>
        <w:sectPr>
          <w:pgSz w:w="11900" w:h="16893" w:orient="portrait"/>
          <w:cols w:equalWidth="0" w:num="1">
            <w:col w:w="10219"/>
          </w:cols>
          <w:pgMar w:left="240" w:top="131" w:right="1440" w:bottom="0" w:gutter="0" w:footer="0" w:header="0"/>
          <w:type w:val="continuous"/>
        </w:sectPr>
      </w:pP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1"/>
          <w:szCs w:val="11"/>
          <w:color w:val="auto"/>
        </w:rPr>
        <w:t>stock</w:t>
      </w:r>
    </w:p>
    <w:p>
      <w:pPr>
        <w:spacing w:after="0" w:line="20" w:lineRule="exact"/>
        <w:rPr>
          <w:sz w:val="20"/>
          <w:szCs w:val="20"/>
          <w:color w:val="auto"/>
        </w:rPr>
      </w:pPr>
      <w:r>
        <w:rPr>
          <w:sz w:val="20"/>
          <w:szCs w:val="20"/>
          <w:color w:val="auto"/>
        </w:rPr>
        <w:br w:type="column"/>
      </w:r>
    </w:p>
    <w:p>
      <w:pPr>
        <w:jc w:val="right"/>
        <w:spacing w:after="0" w:line="236" w:lineRule="auto"/>
        <w:rPr>
          <w:sz w:val="20"/>
          <w:szCs w:val="20"/>
          <w:color w:val="auto"/>
        </w:rPr>
      </w:pPr>
      <w:r>
        <w:rPr>
          <w:rFonts w:ascii="Courier New" w:cs="Courier New" w:eastAsia="Courier New" w:hAnsi="Courier New"/>
          <w:sz w:val="12"/>
          <w:szCs w:val="12"/>
          <w:color w:val="auto"/>
        </w:rPr>
        <w:t>10,000</w:t>
      </w:r>
    </w:p>
    <w:p>
      <w:pPr>
        <w:spacing w:after="0" w:line="1" w:lineRule="exact"/>
        <w:rPr>
          <w:sz w:val="20"/>
          <w:szCs w:val="20"/>
          <w:color w:val="auto"/>
        </w:rPr>
      </w:pPr>
    </w:p>
    <w:p>
      <w:pPr>
        <w:jc w:val="right"/>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ind w:firstLine="292"/>
        <w:spacing w:after="0" w:line="238" w:lineRule="auto"/>
        <w:rPr>
          <w:sz w:val="20"/>
          <w:szCs w:val="20"/>
          <w:color w:val="auto"/>
        </w:rPr>
      </w:pPr>
      <w:r>
        <w:rPr>
          <w:rFonts w:ascii="Courier New" w:cs="Courier New" w:eastAsia="Courier New" w:hAnsi="Courier New"/>
          <w:sz w:val="12"/>
          <w:szCs w:val="12"/>
          <w:color w:val="auto"/>
        </w:rPr>
        <w:t>- - ----- -------</w:t>
      </w:r>
    </w:p>
    <w:p>
      <w:pPr>
        <w:spacing w:after="0" w:line="20" w:lineRule="exact"/>
        <w:rPr>
          <w:sz w:val="20"/>
          <w:szCs w:val="20"/>
          <w:color w:val="auto"/>
        </w:rPr>
      </w:pPr>
      <w:r>
        <w:rPr>
          <w:sz w:val="20"/>
          <w:szCs w:val="20"/>
          <w:color w:val="auto"/>
        </w:rPr>
        <w:br w:type="column"/>
      </w:r>
    </w:p>
    <w:p>
      <w:pPr>
        <w:jc w:val="right"/>
        <w:spacing w:after="0" w:line="236" w:lineRule="auto"/>
        <w:rPr>
          <w:sz w:val="20"/>
          <w:szCs w:val="20"/>
          <w:color w:val="auto"/>
        </w:rPr>
      </w:pPr>
      <w:r>
        <w:rPr>
          <w:rFonts w:ascii="Courier New" w:cs="Courier New" w:eastAsia="Courier New" w:hAnsi="Courier New"/>
          <w:sz w:val="12"/>
          <w:szCs w:val="12"/>
          <w:color w:val="auto"/>
        </w:rPr>
        <w:t>-</w:t>
      </w:r>
    </w:p>
    <w:p>
      <w:pPr>
        <w:spacing w:after="0" w:line="1" w:lineRule="exact"/>
        <w:rPr>
          <w:sz w:val="20"/>
          <w:szCs w:val="20"/>
          <w:color w:val="auto"/>
        </w:rPr>
      </w:pPr>
    </w:p>
    <w:p>
      <w:pPr>
        <w:jc w:val="right"/>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jc w:val="right"/>
        <w:spacing w:after="0" w:line="236" w:lineRule="auto"/>
        <w:rPr>
          <w:sz w:val="20"/>
          <w:szCs w:val="20"/>
          <w:color w:val="auto"/>
        </w:rPr>
      </w:pPr>
      <w:r>
        <w:rPr>
          <w:rFonts w:ascii="Courier New" w:cs="Courier New" w:eastAsia="Courier New" w:hAnsi="Courier New"/>
          <w:sz w:val="12"/>
          <w:szCs w:val="12"/>
          <w:color w:val="auto"/>
        </w:rPr>
        <w:t>-</w:t>
      </w:r>
    </w:p>
    <w:p>
      <w:pPr>
        <w:spacing w:after="0" w:line="1" w:lineRule="exact"/>
        <w:rPr>
          <w:sz w:val="20"/>
          <w:szCs w:val="20"/>
          <w:color w:val="auto"/>
        </w:rPr>
      </w:pPr>
    </w:p>
    <w:p>
      <w:pPr>
        <w:jc w:val="right"/>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ind w:left="300"/>
        <w:spacing w:after="0" w:line="236" w:lineRule="auto"/>
        <w:tabs>
          <w:tab w:leader="none" w:pos="108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p>
    <w:p>
      <w:pPr>
        <w:spacing w:after="0" w:line="1" w:lineRule="exact"/>
        <w:rPr>
          <w:sz w:val="20"/>
          <w:szCs w:val="20"/>
          <w:color w:val="auto"/>
        </w:rPr>
      </w:pPr>
    </w:p>
    <w:p>
      <w:pPr>
        <w:spacing w:after="0"/>
        <w:tabs>
          <w:tab w:leader="none" w:pos="64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p>
    <w:p>
      <w:pPr>
        <w:spacing w:after="0" w:line="132" w:lineRule="exact"/>
        <w:rPr>
          <w:sz w:val="20"/>
          <w:szCs w:val="20"/>
          <w:color w:val="auto"/>
        </w:rPr>
      </w:pPr>
    </w:p>
    <w:p>
      <w:pPr>
        <w:sectPr>
          <w:pgSz w:w="11900" w:h="16893" w:orient="portrait"/>
          <w:cols w:equalWidth="0" w:num="6">
            <w:col w:w="1120" w:space="720"/>
            <w:col w:w="720" w:space="140"/>
            <w:col w:w="1100" w:space="220"/>
            <w:col w:w="440" w:space="440"/>
            <w:col w:w="440" w:space="420"/>
            <w:col w:w="4459"/>
          </w:cols>
          <w:pgMar w:left="240" w:top="131"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Balance, June 30, 2014</w:t>
      </w:r>
    </w:p>
    <w:p>
      <w:pPr>
        <w:spacing w:after="0" w:line="20" w:lineRule="exact"/>
        <w:rPr>
          <w:sz w:val="20"/>
          <w:szCs w:val="20"/>
          <w:color w:val="auto"/>
        </w:rPr>
      </w:pPr>
      <w:r>
        <w:rPr>
          <w:sz w:val="20"/>
          <w:szCs w:val="20"/>
          <w:color w:val="auto"/>
        </w:rPr>
        <w:br w:type="column"/>
      </w:r>
    </w:p>
    <w:p>
      <w:pPr>
        <w:spacing w:after="0" w:line="284" w:lineRule="auto"/>
        <w:rPr>
          <w:sz w:val="20"/>
          <w:szCs w:val="20"/>
          <w:color w:val="auto"/>
        </w:rPr>
      </w:pPr>
      <w:r>
        <w:rPr>
          <w:rFonts w:ascii="Courier New" w:cs="Courier New" w:eastAsia="Courier New" w:hAnsi="Courier New"/>
          <w:sz w:val="11"/>
          <w:szCs w:val="11"/>
          <w:color w:val="auto"/>
        </w:rPr>
        <w:t>10,595,755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$ 106 $26,261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$5,356</w:t>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$1,336</w:t>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$(204)</w:t>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$32,855</w:t>
      </w:r>
    </w:p>
    <w:p>
      <w:pPr>
        <w:spacing w:after="0"/>
        <w:rPr>
          <w:sz w:val="20"/>
          <w:szCs w:val="20"/>
          <w:color w:val="auto"/>
        </w:rPr>
      </w:pPr>
      <w:r>
        <w:rPr>
          <w:rFonts w:ascii="Courier New" w:cs="Courier New" w:eastAsia="Courier New" w:hAnsi="Courier New"/>
          <w:sz w:val="12"/>
          <w:szCs w:val="12"/>
          <w:color w:val="auto"/>
        </w:rPr>
        <w:t>=======</w:t>
      </w:r>
    </w:p>
    <w:p>
      <w:pPr>
        <w:spacing w:after="0" w:line="223" w:lineRule="exact"/>
        <w:rPr>
          <w:sz w:val="20"/>
          <w:szCs w:val="20"/>
          <w:color w:val="auto"/>
        </w:rPr>
      </w:pPr>
    </w:p>
    <w:p>
      <w:pPr>
        <w:sectPr>
          <w:pgSz w:w="11900" w:h="16893" w:orient="portrait"/>
          <w:cols w:equalWidth="0" w:num="7">
            <w:col w:w="1620" w:space="220"/>
            <w:col w:w="720" w:space="140"/>
            <w:col w:w="1100" w:space="220"/>
            <w:col w:w="440" w:space="440"/>
            <w:col w:w="440" w:space="420"/>
            <w:col w:w="440" w:space="220"/>
            <w:col w:w="3799"/>
          </w:cols>
          <w:pgMar w:left="240" w:top="131" w:right="1440" w:bottom="0" w:gutter="0" w:footer="0" w:header="0"/>
          <w:type w:val="continuous"/>
        </w:sectPr>
      </w:pPr>
    </w:p>
    <w:p>
      <w:pPr>
        <w:spacing w:after="0" w:line="165"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2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- 3 -</w:t>
      </w:r>
    </w:p>
    <w:p>
      <w:pPr>
        <w:sectPr>
          <w:pgSz w:w="11900" w:h="16893" w:orient="portrait"/>
          <w:cols w:equalWidth="0" w:num="1">
            <w:col w:w="10219"/>
          </w:cols>
          <w:pgMar w:left="240" w:top="131" w:right="1440" w:bottom="0" w:gutter="0" w:footer="0" w:header="0"/>
          <w:type w:val="continuous"/>
        </w:sect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gridSpan w:val="2"/>
          </w:tcPr>
          <w:p>
            <w:pPr>
              <w:jc w:val="center"/>
              <w:ind w:left="4675"/>
              <w:spacing w:after="0"/>
              <w:rPr>
                <w:sz w:val="20"/>
                <w:szCs w:val="20"/>
                <w:color w:val="auto"/>
              </w:rPr>
            </w:pPr>
            <w:r>
              <w:rPr>
                <w:rFonts w:ascii="Arial" w:cs="Arial" w:eastAsia="Arial" w:hAnsi="Arial"/>
                <w:sz w:val="18"/>
                <w:szCs w:val="18"/>
                <w:b w:val="1"/>
                <w:bCs w:val="1"/>
                <w:color w:val="auto"/>
                <w:w w:val="96"/>
              </w:rPr>
              <w:t>inTEST CORPORATION</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80" w:type="dxa"/>
            <w:vAlign w:val="bottom"/>
            <w:gridSpan w:val="3"/>
          </w:tcPr>
          <w:p>
            <w:pPr>
              <w:jc w:val="center"/>
              <w:ind w:left="3595"/>
              <w:spacing w:after="0"/>
              <w:rPr>
                <w:sz w:val="20"/>
                <w:szCs w:val="20"/>
                <w:color w:val="auto"/>
              </w:rPr>
            </w:pPr>
            <w:r>
              <w:rPr>
                <w:rFonts w:ascii="Arial" w:cs="Arial" w:eastAsia="Arial" w:hAnsi="Arial"/>
                <w:sz w:val="18"/>
                <w:szCs w:val="18"/>
                <w:b w:val="1"/>
                <w:bCs w:val="1"/>
                <w:color w:val="auto"/>
                <w:w w:val="96"/>
              </w:rPr>
              <w:t>CONSOLIDATED STATEMENTS OF CASH FLOWS</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1640" w:type="dxa"/>
            <w:vAlign w:val="bottom"/>
          </w:tcPr>
          <w:p>
            <w:pPr>
              <w:jc w:val="center"/>
              <w:ind w:right="275"/>
              <w:spacing w:after="0"/>
              <w:rPr>
                <w:sz w:val="20"/>
                <w:szCs w:val="20"/>
                <w:color w:val="auto"/>
              </w:rPr>
            </w:pPr>
            <w:r>
              <w:rPr>
                <w:rFonts w:ascii="Arial" w:cs="Arial" w:eastAsia="Arial" w:hAnsi="Arial"/>
                <w:sz w:val="18"/>
                <w:szCs w:val="18"/>
                <w:color w:val="auto"/>
                <w:w w:val="88"/>
              </w:rPr>
              <w:t>(In thousands)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60" w:type="dxa"/>
            <w:vAlign w:val="bottom"/>
          </w:tcPr>
          <w:p>
            <w:pPr>
              <w:spacing w:after="0"/>
              <w:rPr>
                <w:sz w:val="19"/>
                <w:szCs w:val="19"/>
                <w:color w:val="auto"/>
              </w:rPr>
            </w:pPr>
          </w:p>
        </w:tc>
        <w:tc>
          <w:tcPr>
            <w:tcW w:w="1640" w:type="dxa"/>
            <w:vAlign w:val="bottom"/>
          </w:tcPr>
          <w:p>
            <w:pPr>
              <w:jc w:val="right"/>
              <w:ind w:right="535"/>
              <w:spacing w:after="0"/>
              <w:rPr>
                <w:sz w:val="20"/>
                <w:szCs w:val="20"/>
                <w:color w:val="auto"/>
              </w:rPr>
            </w:pPr>
            <w:r>
              <w:rPr>
                <w:rFonts w:ascii="Arial" w:cs="Arial" w:eastAsia="Arial" w:hAnsi="Arial"/>
                <w:sz w:val="18"/>
                <w:szCs w:val="18"/>
                <w:color w:val="auto"/>
              </w:rPr>
              <w:t>(Unaudited)</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1"/>
        </w:trPr>
        <w:tc>
          <w:tcPr>
            <w:tcW w:w="5060" w:type="dxa"/>
            <w:vAlign w:val="bottom"/>
          </w:tcPr>
          <w:p>
            <w:pPr>
              <w:spacing w:after="0"/>
              <w:rPr>
                <w:sz w:val="24"/>
                <w:szCs w:val="24"/>
                <w:color w:val="auto"/>
              </w:rPr>
            </w:pPr>
          </w:p>
        </w:tc>
        <w:tc>
          <w:tcPr>
            <w:tcW w:w="2720" w:type="dxa"/>
            <w:vAlign w:val="bottom"/>
            <w:gridSpan w:val="2"/>
          </w:tcPr>
          <w:p>
            <w:pPr>
              <w:jc w:val="right"/>
              <w:ind w:right="559"/>
              <w:spacing w:after="0"/>
              <w:rPr>
                <w:sz w:val="20"/>
                <w:szCs w:val="20"/>
                <w:color w:val="auto"/>
              </w:rPr>
            </w:pPr>
            <w:r>
              <w:rPr>
                <w:rFonts w:ascii="Courier New" w:cs="Courier New" w:eastAsia="Courier New" w:hAnsi="Courier New"/>
                <w:sz w:val="12"/>
                <w:szCs w:val="12"/>
                <w:color w:val="auto"/>
              </w:rPr>
              <w:t>Six Months Ended</w:t>
            </w:r>
          </w:p>
        </w:tc>
        <w:tc>
          <w:tcPr>
            <w:tcW w:w="0" w:type="dxa"/>
            <w:vAlign w:val="bottom"/>
          </w:tcPr>
          <w:p>
            <w:pPr>
              <w:spacing w:after="0"/>
              <w:rPr>
                <w:sz w:val="1"/>
                <w:szCs w:val="1"/>
                <w:color w:val="auto"/>
              </w:rPr>
            </w:pPr>
          </w:p>
        </w:tc>
      </w:tr>
      <w:tr>
        <w:trPr>
          <w:trHeight w:val="135"/>
        </w:trPr>
        <w:tc>
          <w:tcPr>
            <w:tcW w:w="5060" w:type="dxa"/>
            <w:vAlign w:val="bottom"/>
          </w:tcPr>
          <w:p>
            <w:pPr>
              <w:spacing w:after="0"/>
              <w:rPr>
                <w:sz w:val="11"/>
                <w:szCs w:val="11"/>
                <w:color w:val="auto"/>
              </w:rPr>
            </w:pPr>
          </w:p>
        </w:tc>
        <w:tc>
          <w:tcPr>
            <w:tcW w:w="2720" w:type="dxa"/>
            <w:vAlign w:val="bottom"/>
            <w:gridSpan w:val="2"/>
          </w:tcPr>
          <w:p>
            <w:pPr>
              <w:jc w:val="right"/>
              <w:ind w:right="779"/>
              <w:spacing w:after="0"/>
              <w:rPr>
                <w:sz w:val="20"/>
                <w:szCs w:val="20"/>
                <w:color w:val="auto"/>
              </w:rPr>
            </w:pPr>
            <w:r>
              <w:rPr>
                <w:rFonts w:ascii="Courier New" w:cs="Courier New" w:eastAsia="Courier New" w:hAnsi="Courier New"/>
                <w:sz w:val="12"/>
                <w:szCs w:val="12"/>
                <w:color w:val="auto"/>
              </w:rPr>
              <w:t>June 30,</w:t>
            </w:r>
          </w:p>
        </w:tc>
        <w:tc>
          <w:tcPr>
            <w:tcW w:w="0" w:type="dxa"/>
            <w:vAlign w:val="bottom"/>
          </w:tcPr>
          <w:p>
            <w:pPr>
              <w:spacing w:after="0"/>
              <w:rPr>
                <w:sz w:val="1"/>
                <w:szCs w:val="1"/>
                <w:color w:val="auto"/>
              </w:rPr>
            </w:pPr>
          </w:p>
        </w:tc>
      </w:tr>
      <w:tr>
        <w:trPr>
          <w:trHeight w:val="135"/>
        </w:trPr>
        <w:tc>
          <w:tcPr>
            <w:tcW w:w="5060" w:type="dxa"/>
            <w:vAlign w:val="bottom"/>
          </w:tcPr>
          <w:p>
            <w:pPr>
              <w:spacing w:after="0"/>
              <w:rPr>
                <w:sz w:val="11"/>
                <w:szCs w:val="11"/>
                <w:color w:val="auto"/>
              </w:rPr>
            </w:pPr>
          </w:p>
        </w:tc>
        <w:tc>
          <w:tcPr>
            <w:tcW w:w="2720" w:type="dxa"/>
            <w:vAlign w:val="bottom"/>
            <w:gridSpan w:val="2"/>
          </w:tcPr>
          <w:p>
            <w:pPr>
              <w:jc w:val="right"/>
              <w:ind w:right="49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060" w:type="dxa"/>
            <w:vAlign w:val="bottom"/>
          </w:tcPr>
          <w:p>
            <w:pPr>
              <w:spacing w:after="0"/>
              <w:rPr>
                <w:sz w:val="11"/>
                <w:szCs w:val="11"/>
                <w:color w:val="auto"/>
              </w:rPr>
            </w:pPr>
          </w:p>
        </w:tc>
        <w:tc>
          <w:tcPr>
            <w:tcW w:w="1640" w:type="dxa"/>
            <w:vAlign w:val="bottom"/>
          </w:tcPr>
          <w:p>
            <w:pPr>
              <w:jc w:val="right"/>
              <w:ind w:right="275"/>
              <w:spacing w:after="0"/>
              <w:rPr>
                <w:sz w:val="20"/>
                <w:szCs w:val="20"/>
                <w:color w:val="auto"/>
              </w:rPr>
            </w:pPr>
            <w:r>
              <w:rPr>
                <w:rFonts w:ascii="Courier New" w:cs="Courier New" w:eastAsia="Courier New" w:hAnsi="Courier New"/>
                <w:sz w:val="12"/>
                <w:szCs w:val="12"/>
                <w:color w:val="auto"/>
              </w:rPr>
              <w:t>2014</w:t>
            </w:r>
          </w:p>
        </w:tc>
        <w:tc>
          <w:tcPr>
            <w:tcW w:w="108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2013</w:t>
            </w:r>
          </w:p>
        </w:tc>
        <w:tc>
          <w:tcPr>
            <w:tcW w:w="0" w:type="dxa"/>
            <w:vAlign w:val="bottom"/>
          </w:tcPr>
          <w:p>
            <w:pPr>
              <w:spacing w:after="0"/>
              <w:rPr>
                <w:sz w:val="1"/>
                <w:szCs w:val="1"/>
                <w:color w:val="auto"/>
              </w:rPr>
            </w:pPr>
          </w:p>
        </w:tc>
      </w:tr>
      <w:tr>
        <w:trPr>
          <w:trHeight w:val="137"/>
        </w:trPr>
        <w:tc>
          <w:tcPr>
            <w:tcW w:w="5060" w:type="dxa"/>
            <w:vAlign w:val="bottom"/>
            <w:vMerge w:val="restart"/>
          </w:tcPr>
          <w:p>
            <w:pPr>
              <w:spacing w:after="0"/>
              <w:rPr>
                <w:sz w:val="20"/>
                <w:szCs w:val="20"/>
                <w:color w:val="auto"/>
              </w:rPr>
            </w:pPr>
            <w:r>
              <w:rPr>
                <w:rFonts w:ascii="Courier New" w:cs="Courier New" w:eastAsia="Courier New" w:hAnsi="Courier New"/>
                <w:sz w:val="12"/>
                <w:szCs w:val="12"/>
                <w:color w:val="auto"/>
              </w:rPr>
              <w:t>CASH FLOWS FROM OPERATING ACTIVITIES</w:t>
            </w:r>
          </w:p>
        </w:tc>
        <w:tc>
          <w:tcPr>
            <w:tcW w:w="1640" w:type="dxa"/>
            <w:vAlign w:val="bottom"/>
          </w:tcPr>
          <w:p>
            <w:pPr>
              <w:jc w:val="right"/>
              <w:ind w:right="215"/>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499"/>
              <w:spacing w:after="0"/>
              <w:rPr>
                <w:sz w:val="20"/>
                <w:szCs w:val="20"/>
                <w:color w:val="auto"/>
              </w:rPr>
            </w:pPr>
            <w:r>
              <w:rPr>
                <w:rFonts w:ascii="Courier New" w:cs="Courier New" w:eastAsia="Courier New" w:hAnsi="Courier New"/>
                <w:sz w:val="12"/>
                <w:szCs w:val="12"/>
                <w:color w:val="auto"/>
                <w:w w:val="99"/>
              </w:rPr>
              <w:t>-------</w:t>
            </w:r>
          </w:p>
        </w:tc>
        <w:tc>
          <w:tcPr>
            <w:tcW w:w="0" w:type="dxa"/>
            <w:vAlign w:val="bottom"/>
          </w:tcPr>
          <w:p>
            <w:pPr>
              <w:spacing w:after="0"/>
              <w:rPr>
                <w:sz w:val="1"/>
                <w:szCs w:val="1"/>
                <w:color w:val="auto"/>
              </w:rPr>
            </w:pPr>
          </w:p>
        </w:tc>
      </w:tr>
      <w:tr>
        <w:trPr>
          <w:trHeight w:val="133"/>
        </w:trPr>
        <w:tc>
          <w:tcPr>
            <w:tcW w:w="5060" w:type="dxa"/>
            <w:vAlign w:val="bottom"/>
            <w:vMerge w:val="continue"/>
          </w:tcPr>
          <w:p>
            <w:pPr>
              <w:spacing w:after="0"/>
              <w:rPr>
                <w:sz w:val="11"/>
                <w:szCs w:val="11"/>
                <w:color w:val="auto"/>
              </w:rPr>
            </w:pPr>
          </w:p>
        </w:tc>
        <w:tc>
          <w:tcPr>
            <w:tcW w:w="16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60" w:type="dxa"/>
            <w:vAlign w:val="bottom"/>
          </w:tcPr>
          <w:p>
            <w:pPr>
              <w:spacing w:after="0"/>
              <w:rPr>
                <w:sz w:val="20"/>
                <w:szCs w:val="20"/>
                <w:color w:val="auto"/>
              </w:rPr>
            </w:pPr>
            <w:r>
              <w:rPr>
                <w:rFonts w:ascii="Courier New" w:cs="Courier New" w:eastAsia="Courier New" w:hAnsi="Courier New"/>
                <w:sz w:val="12"/>
                <w:szCs w:val="12"/>
                <w:color w:val="auto"/>
              </w:rPr>
              <w:t>Net earnings</w:t>
            </w:r>
          </w:p>
        </w:tc>
        <w:tc>
          <w:tcPr>
            <w:tcW w:w="1640" w:type="dxa"/>
            <w:vAlign w:val="bottom"/>
          </w:tcPr>
          <w:p>
            <w:pPr>
              <w:jc w:val="right"/>
              <w:ind w:right="215"/>
              <w:spacing w:after="0"/>
              <w:rPr>
                <w:sz w:val="20"/>
                <w:szCs w:val="20"/>
                <w:color w:val="auto"/>
              </w:rPr>
            </w:pPr>
            <w:r>
              <w:rPr>
                <w:rFonts w:ascii="Courier New" w:cs="Courier New" w:eastAsia="Courier New" w:hAnsi="Courier New"/>
                <w:sz w:val="12"/>
                <w:szCs w:val="12"/>
                <w:color w:val="auto"/>
              </w:rPr>
              <w:t>$ 1,643</w:t>
            </w:r>
          </w:p>
        </w:tc>
        <w:tc>
          <w:tcPr>
            <w:tcW w:w="1080" w:type="dxa"/>
            <w:vAlign w:val="bottom"/>
          </w:tcPr>
          <w:p>
            <w:pPr>
              <w:jc w:val="right"/>
              <w:ind w:right="499"/>
              <w:spacing w:after="0"/>
              <w:rPr>
                <w:sz w:val="20"/>
                <w:szCs w:val="20"/>
                <w:color w:val="auto"/>
              </w:rPr>
            </w:pPr>
            <w:r>
              <w:rPr>
                <w:rFonts w:ascii="Courier New" w:cs="Courier New" w:eastAsia="Courier New" w:hAnsi="Courier New"/>
                <w:sz w:val="12"/>
                <w:szCs w:val="12"/>
                <w:color w:val="auto"/>
                <w:w w:val="99"/>
              </w:rPr>
              <w:t>$ 1,295</w:t>
            </w:r>
          </w:p>
        </w:tc>
        <w:tc>
          <w:tcPr>
            <w:tcW w:w="0" w:type="dxa"/>
            <w:vAlign w:val="bottom"/>
          </w:tcPr>
          <w:p>
            <w:pPr>
              <w:spacing w:after="0"/>
              <w:rPr>
                <w:sz w:val="1"/>
                <w:szCs w:val="1"/>
                <w:color w:val="auto"/>
              </w:rPr>
            </w:pPr>
          </w:p>
        </w:tc>
      </w:tr>
      <w:tr>
        <w:trPr>
          <w:trHeight w:val="135"/>
        </w:trPr>
        <w:tc>
          <w:tcPr>
            <w:tcW w:w="5060" w:type="dxa"/>
            <w:vAlign w:val="bottom"/>
          </w:tcPr>
          <w:p>
            <w:pPr>
              <w:spacing w:after="0"/>
              <w:rPr>
                <w:sz w:val="20"/>
                <w:szCs w:val="20"/>
                <w:color w:val="auto"/>
              </w:rPr>
            </w:pPr>
            <w:r>
              <w:rPr>
                <w:rFonts w:ascii="Courier New" w:cs="Courier New" w:eastAsia="Courier New" w:hAnsi="Courier New"/>
                <w:sz w:val="12"/>
                <w:szCs w:val="12"/>
                <w:color w:val="auto"/>
              </w:rPr>
              <w:t>Adjustments to reconcile net earnings to net cash provided by</w:t>
            </w:r>
          </w:p>
        </w:tc>
        <w:tc>
          <w:tcPr>
            <w:tcW w:w="16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60" w:type="dxa"/>
            <w:vAlign w:val="bottom"/>
          </w:tcPr>
          <w:p>
            <w:pPr>
              <w:ind w:left="80"/>
              <w:spacing w:after="0"/>
              <w:rPr>
                <w:sz w:val="20"/>
                <w:szCs w:val="20"/>
                <w:color w:val="auto"/>
              </w:rPr>
            </w:pPr>
            <w:r>
              <w:rPr>
                <w:rFonts w:ascii="Courier New" w:cs="Courier New" w:eastAsia="Courier New" w:hAnsi="Courier New"/>
                <w:sz w:val="12"/>
                <w:szCs w:val="12"/>
                <w:color w:val="auto"/>
              </w:rPr>
              <w:t>operating activities:</w:t>
            </w:r>
          </w:p>
        </w:tc>
        <w:tc>
          <w:tcPr>
            <w:tcW w:w="16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60" w:type="dxa"/>
            <w:vAlign w:val="bottom"/>
          </w:tcPr>
          <w:p>
            <w:pPr>
              <w:ind w:left="160"/>
              <w:spacing w:after="0"/>
              <w:rPr>
                <w:sz w:val="20"/>
                <w:szCs w:val="20"/>
                <w:color w:val="auto"/>
              </w:rPr>
            </w:pPr>
            <w:r>
              <w:rPr>
                <w:rFonts w:ascii="Courier New" w:cs="Courier New" w:eastAsia="Courier New" w:hAnsi="Courier New"/>
                <w:sz w:val="12"/>
                <w:szCs w:val="12"/>
                <w:color w:val="auto"/>
              </w:rPr>
              <w:t>Depreciation and amortization</w:t>
            </w:r>
          </w:p>
        </w:tc>
        <w:tc>
          <w:tcPr>
            <w:tcW w:w="1640" w:type="dxa"/>
            <w:vAlign w:val="bottom"/>
          </w:tcPr>
          <w:p>
            <w:pPr>
              <w:jc w:val="right"/>
              <w:ind w:right="215"/>
              <w:spacing w:after="0"/>
              <w:rPr>
                <w:sz w:val="20"/>
                <w:szCs w:val="20"/>
                <w:color w:val="auto"/>
              </w:rPr>
            </w:pPr>
            <w:r>
              <w:rPr>
                <w:rFonts w:ascii="Courier New" w:cs="Courier New" w:eastAsia="Courier New" w:hAnsi="Courier New"/>
                <w:sz w:val="12"/>
                <w:szCs w:val="12"/>
                <w:color w:val="auto"/>
              </w:rPr>
              <w:t>438</w:t>
            </w:r>
          </w:p>
        </w:tc>
        <w:tc>
          <w:tcPr>
            <w:tcW w:w="108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426</w:t>
            </w:r>
          </w:p>
        </w:tc>
        <w:tc>
          <w:tcPr>
            <w:tcW w:w="0" w:type="dxa"/>
            <w:vAlign w:val="bottom"/>
          </w:tcPr>
          <w:p>
            <w:pPr>
              <w:spacing w:after="0"/>
              <w:rPr>
                <w:sz w:val="1"/>
                <w:szCs w:val="1"/>
                <w:color w:val="auto"/>
              </w:rPr>
            </w:pPr>
          </w:p>
        </w:tc>
      </w:tr>
      <w:tr>
        <w:trPr>
          <w:trHeight w:val="135"/>
        </w:trPr>
        <w:tc>
          <w:tcPr>
            <w:tcW w:w="5060" w:type="dxa"/>
            <w:vAlign w:val="bottom"/>
          </w:tcPr>
          <w:p>
            <w:pPr>
              <w:ind w:left="160"/>
              <w:spacing w:after="0"/>
              <w:rPr>
                <w:sz w:val="20"/>
                <w:szCs w:val="20"/>
                <w:color w:val="auto"/>
              </w:rPr>
            </w:pPr>
            <w:r>
              <w:rPr>
                <w:rFonts w:ascii="Courier New" w:cs="Courier New" w:eastAsia="Courier New" w:hAnsi="Courier New"/>
                <w:sz w:val="12"/>
                <w:szCs w:val="12"/>
                <w:color w:val="auto"/>
              </w:rPr>
              <w:t>Provision for excess and obsolete inventory</w:t>
            </w:r>
          </w:p>
        </w:tc>
        <w:tc>
          <w:tcPr>
            <w:tcW w:w="1640" w:type="dxa"/>
            <w:vAlign w:val="bottom"/>
          </w:tcPr>
          <w:p>
            <w:pPr>
              <w:jc w:val="right"/>
              <w:ind w:right="215"/>
              <w:spacing w:after="0"/>
              <w:rPr>
                <w:sz w:val="20"/>
                <w:szCs w:val="20"/>
                <w:color w:val="auto"/>
              </w:rPr>
            </w:pPr>
            <w:r>
              <w:rPr>
                <w:rFonts w:ascii="Courier New" w:cs="Courier New" w:eastAsia="Courier New" w:hAnsi="Courier New"/>
                <w:sz w:val="12"/>
                <w:szCs w:val="12"/>
                <w:color w:val="auto"/>
              </w:rPr>
              <w:t>138</w:t>
            </w:r>
          </w:p>
        </w:tc>
        <w:tc>
          <w:tcPr>
            <w:tcW w:w="108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197</w:t>
            </w:r>
          </w:p>
        </w:tc>
        <w:tc>
          <w:tcPr>
            <w:tcW w:w="0" w:type="dxa"/>
            <w:vAlign w:val="bottom"/>
          </w:tcPr>
          <w:p>
            <w:pPr>
              <w:spacing w:after="0"/>
              <w:rPr>
                <w:sz w:val="1"/>
                <w:szCs w:val="1"/>
                <w:color w:val="auto"/>
              </w:rPr>
            </w:pPr>
          </w:p>
        </w:tc>
      </w:tr>
      <w:tr>
        <w:trPr>
          <w:trHeight w:val="135"/>
        </w:trPr>
        <w:tc>
          <w:tcPr>
            <w:tcW w:w="5060" w:type="dxa"/>
            <w:vAlign w:val="bottom"/>
          </w:tcPr>
          <w:p>
            <w:pPr>
              <w:ind w:left="160"/>
              <w:spacing w:after="0"/>
              <w:rPr>
                <w:sz w:val="20"/>
                <w:szCs w:val="20"/>
                <w:color w:val="auto"/>
              </w:rPr>
            </w:pPr>
            <w:r>
              <w:rPr>
                <w:rFonts w:ascii="Courier New" w:cs="Courier New" w:eastAsia="Courier New" w:hAnsi="Courier New"/>
                <w:sz w:val="12"/>
                <w:szCs w:val="12"/>
                <w:color w:val="auto"/>
              </w:rPr>
              <w:t>Foreign exchange loss</w:t>
            </w:r>
          </w:p>
        </w:tc>
        <w:tc>
          <w:tcPr>
            <w:tcW w:w="1640" w:type="dxa"/>
            <w:vAlign w:val="bottom"/>
          </w:tcPr>
          <w:p>
            <w:pPr>
              <w:jc w:val="right"/>
              <w:ind w:right="215"/>
              <w:spacing w:after="0"/>
              <w:rPr>
                <w:sz w:val="20"/>
                <w:szCs w:val="20"/>
                <w:color w:val="auto"/>
              </w:rPr>
            </w:pPr>
            <w:r>
              <w:rPr>
                <w:rFonts w:ascii="Courier New" w:cs="Courier New" w:eastAsia="Courier New" w:hAnsi="Courier New"/>
                <w:sz w:val="12"/>
                <w:szCs w:val="12"/>
                <w:color w:val="auto"/>
              </w:rPr>
              <w:t>1</w:t>
            </w:r>
          </w:p>
        </w:tc>
        <w:tc>
          <w:tcPr>
            <w:tcW w:w="108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14</w:t>
            </w:r>
          </w:p>
        </w:tc>
        <w:tc>
          <w:tcPr>
            <w:tcW w:w="0" w:type="dxa"/>
            <w:vAlign w:val="bottom"/>
          </w:tcPr>
          <w:p>
            <w:pPr>
              <w:spacing w:after="0"/>
              <w:rPr>
                <w:sz w:val="1"/>
                <w:szCs w:val="1"/>
                <w:color w:val="auto"/>
              </w:rPr>
            </w:pPr>
          </w:p>
        </w:tc>
      </w:tr>
      <w:tr>
        <w:trPr>
          <w:trHeight w:val="135"/>
        </w:trPr>
        <w:tc>
          <w:tcPr>
            <w:tcW w:w="5060" w:type="dxa"/>
            <w:vAlign w:val="bottom"/>
          </w:tcPr>
          <w:p>
            <w:pPr>
              <w:ind w:left="160"/>
              <w:spacing w:after="0"/>
              <w:rPr>
                <w:sz w:val="20"/>
                <w:szCs w:val="20"/>
                <w:color w:val="auto"/>
              </w:rPr>
            </w:pPr>
            <w:r>
              <w:rPr>
                <w:rFonts w:ascii="Courier New" w:cs="Courier New" w:eastAsia="Courier New" w:hAnsi="Courier New"/>
                <w:sz w:val="12"/>
                <w:szCs w:val="12"/>
                <w:color w:val="auto"/>
              </w:rPr>
              <w:t>Amortization of deferred compensation related to restricted stock</w:t>
            </w:r>
          </w:p>
        </w:tc>
        <w:tc>
          <w:tcPr>
            <w:tcW w:w="1640" w:type="dxa"/>
            <w:vAlign w:val="bottom"/>
          </w:tcPr>
          <w:p>
            <w:pPr>
              <w:jc w:val="right"/>
              <w:ind w:right="215"/>
              <w:spacing w:after="0"/>
              <w:rPr>
                <w:sz w:val="20"/>
                <w:szCs w:val="20"/>
                <w:color w:val="auto"/>
              </w:rPr>
            </w:pPr>
            <w:r>
              <w:rPr>
                <w:rFonts w:ascii="Courier New" w:cs="Courier New" w:eastAsia="Courier New" w:hAnsi="Courier New"/>
                <w:sz w:val="12"/>
                <w:szCs w:val="12"/>
                <w:color w:val="auto"/>
              </w:rPr>
              <w:t>74</w:t>
            </w:r>
          </w:p>
        </w:tc>
        <w:tc>
          <w:tcPr>
            <w:tcW w:w="108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58</w:t>
            </w:r>
          </w:p>
        </w:tc>
        <w:tc>
          <w:tcPr>
            <w:tcW w:w="0" w:type="dxa"/>
            <w:vAlign w:val="bottom"/>
          </w:tcPr>
          <w:p>
            <w:pPr>
              <w:spacing w:after="0"/>
              <w:rPr>
                <w:sz w:val="1"/>
                <w:szCs w:val="1"/>
                <w:color w:val="auto"/>
              </w:rPr>
            </w:pPr>
          </w:p>
        </w:tc>
      </w:tr>
      <w:tr>
        <w:trPr>
          <w:trHeight w:val="135"/>
        </w:trPr>
        <w:tc>
          <w:tcPr>
            <w:tcW w:w="5060" w:type="dxa"/>
            <w:vAlign w:val="bottom"/>
          </w:tcPr>
          <w:p>
            <w:pPr>
              <w:ind w:left="160"/>
              <w:spacing w:after="0"/>
              <w:rPr>
                <w:sz w:val="20"/>
                <w:szCs w:val="20"/>
                <w:color w:val="auto"/>
              </w:rPr>
            </w:pPr>
            <w:r>
              <w:rPr>
                <w:rFonts w:ascii="Courier New" w:cs="Courier New" w:eastAsia="Courier New" w:hAnsi="Courier New"/>
                <w:sz w:val="12"/>
                <w:szCs w:val="12"/>
                <w:color w:val="auto"/>
              </w:rPr>
              <w:t>Loss on sale of property and equipment</w:t>
            </w:r>
          </w:p>
        </w:tc>
        <w:tc>
          <w:tcPr>
            <w:tcW w:w="1640" w:type="dxa"/>
            <w:vAlign w:val="bottom"/>
          </w:tcPr>
          <w:p>
            <w:pPr>
              <w:jc w:val="right"/>
              <w:ind w:right="215"/>
              <w:spacing w:after="0"/>
              <w:rPr>
                <w:sz w:val="20"/>
                <w:szCs w:val="20"/>
                <w:color w:val="auto"/>
              </w:rPr>
            </w:pPr>
            <w:r>
              <w:rPr>
                <w:rFonts w:ascii="Courier New" w:cs="Courier New" w:eastAsia="Courier New" w:hAnsi="Courier New"/>
                <w:sz w:val="12"/>
                <w:szCs w:val="12"/>
                <w:color w:val="auto"/>
              </w:rPr>
              <w:t>20</w:t>
            </w:r>
          </w:p>
        </w:tc>
        <w:tc>
          <w:tcPr>
            <w:tcW w:w="108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6</w:t>
            </w:r>
          </w:p>
        </w:tc>
        <w:tc>
          <w:tcPr>
            <w:tcW w:w="0" w:type="dxa"/>
            <w:vAlign w:val="bottom"/>
          </w:tcPr>
          <w:p>
            <w:pPr>
              <w:spacing w:after="0"/>
              <w:rPr>
                <w:sz w:val="1"/>
                <w:szCs w:val="1"/>
                <w:color w:val="auto"/>
              </w:rPr>
            </w:pPr>
          </w:p>
        </w:tc>
      </w:tr>
      <w:tr>
        <w:trPr>
          <w:trHeight w:val="137"/>
        </w:trPr>
        <w:tc>
          <w:tcPr>
            <w:tcW w:w="5060" w:type="dxa"/>
            <w:vAlign w:val="bottom"/>
          </w:tcPr>
          <w:p>
            <w:pPr>
              <w:ind w:left="160"/>
              <w:spacing w:after="0"/>
              <w:rPr>
                <w:sz w:val="20"/>
                <w:szCs w:val="20"/>
                <w:color w:val="auto"/>
              </w:rPr>
            </w:pPr>
            <w:r>
              <w:rPr>
                <w:rFonts w:ascii="Courier New" w:cs="Courier New" w:eastAsia="Courier New" w:hAnsi="Courier New"/>
                <w:sz w:val="12"/>
                <w:szCs w:val="12"/>
                <w:color w:val="auto"/>
              </w:rPr>
              <w:t>Proceeds from sale of demonstration equipment, net of gain</w:t>
            </w:r>
          </w:p>
        </w:tc>
        <w:tc>
          <w:tcPr>
            <w:tcW w:w="1640" w:type="dxa"/>
            <w:vAlign w:val="bottom"/>
          </w:tcPr>
          <w:p>
            <w:pPr>
              <w:jc w:val="right"/>
              <w:ind w:right="215"/>
              <w:spacing w:after="0"/>
              <w:rPr>
                <w:sz w:val="20"/>
                <w:szCs w:val="20"/>
                <w:color w:val="auto"/>
              </w:rPr>
            </w:pPr>
            <w:r>
              <w:rPr>
                <w:rFonts w:ascii="Courier New" w:cs="Courier New" w:eastAsia="Courier New" w:hAnsi="Courier New"/>
                <w:sz w:val="12"/>
                <w:szCs w:val="12"/>
                <w:color w:val="auto"/>
              </w:rPr>
              <w:t>65</w:t>
            </w:r>
          </w:p>
        </w:tc>
        <w:tc>
          <w:tcPr>
            <w:tcW w:w="108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3</w:t>
            </w:r>
          </w:p>
        </w:tc>
        <w:tc>
          <w:tcPr>
            <w:tcW w:w="0" w:type="dxa"/>
            <w:vAlign w:val="bottom"/>
          </w:tcPr>
          <w:p>
            <w:pPr>
              <w:spacing w:after="0"/>
              <w:rPr>
                <w:sz w:val="1"/>
                <w:szCs w:val="1"/>
                <w:color w:val="auto"/>
              </w:rPr>
            </w:pPr>
          </w:p>
        </w:tc>
      </w:tr>
    </w:tbl>
    <w:p>
      <w:pPr>
        <w:sectPr>
          <w:pgSz w:w="11900" w:h="16893" w:orient="portrait"/>
          <w:cols w:equalWidth="0" w:num="1">
            <w:col w:w="10219"/>
          </w:cols>
          <w:pgMar w:left="240" w:top="131" w:right="1440" w:bottom="0" w:gutter="0" w:footer="0" w:header="0"/>
          <w:type w:val="continuous"/>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560" w:type="dxa"/>
            <w:vAlign w:val="bottom"/>
          </w:tcPr>
          <w:p>
            <w:pPr>
              <w:ind w:left="160"/>
              <w:spacing w:after="0"/>
              <w:rPr>
                <w:sz w:val="20"/>
                <w:szCs w:val="20"/>
                <w:color w:val="auto"/>
              </w:rPr>
            </w:pPr>
            <w:r>
              <w:rPr>
                <w:rFonts w:ascii="Courier New" w:cs="Courier New" w:eastAsia="Courier New" w:hAnsi="Courier New"/>
                <w:sz w:val="12"/>
                <w:szCs w:val="12"/>
                <w:color w:val="auto"/>
              </w:rPr>
              <w:t>Deferred income tax expense</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90</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170</w:t>
            </w:r>
          </w:p>
        </w:tc>
      </w:tr>
      <w:tr>
        <w:trPr>
          <w:trHeight w:val="135"/>
        </w:trPr>
        <w:tc>
          <w:tcPr>
            <w:tcW w:w="5560" w:type="dxa"/>
            <w:vAlign w:val="bottom"/>
          </w:tcPr>
          <w:p>
            <w:pPr>
              <w:ind w:left="160"/>
              <w:spacing w:after="0"/>
              <w:rPr>
                <w:sz w:val="20"/>
                <w:szCs w:val="20"/>
                <w:color w:val="auto"/>
              </w:rPr>
            </w:pPr>
            <w:r>
              <w:rPr>
                <w:rFonts w:ascii="Courier New" w:cs="Courier New" w:eastAsia="Courier New" w:hAnsi="Courier New"/>
                <w:sz w:val="12"/>
                <w:szCs w:val="12"/>
                <w:color w:val="auto"/>
              </w:rPr>
              <w:t>Changes in assets and liabilities:</w:t>
            </w: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Trade accounts receivable</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w w:val="99"/>
              </w:rPr>
              <w:t>(1,999)</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w w:val="95"/>
              </w:rPr>
              <w:t>(1,753)</w:t>
            </w: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Inventories</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(768)</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(423)</w:t>
            </w: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Prepaid expenses and other current assets</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110</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116</w:t>
            </w: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Other assets</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Accounts payable</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649</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287</w:t>
            </w: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Accrued wages and benefits</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(191)</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(238)</w:t>
            </w: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Accrued rent</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16</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29</w:t>
            </w: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Accrued professional fees</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(38)</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w:t>
            </w: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Accrued sales commissions</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127</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194</w:t>
            </w: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Domestic and foreign income taxes payable</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534</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255</w:t>
            </w: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Other current liabilities</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112</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(96)</w:t>
            </w:r>
          </w:p>
        </w:tc>
      </w:tr>
      <w:tr>
        <w:trPr>
          <w:trHeight w:val="135"/>
        </w:trPr>
        <w:tc>
          <w:tcPr>
            <w:tcW w:w="5560" w:type="dxa"/>
            <w:vAlign w:val="bottom"/>
          </w:tcPr>
          <w:p>
            <w:pPr>
              <w:spacing w:after="0"/>
              <w:rPr>
                <w:sz w:val="11"/>
                <w:szCs w:val="11"/>
                <w:color w:val="auto"/>
              </w:rPr>
            </w:pP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Net cash provided by operating activities</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1,020</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541</w:t>
            </w:r>
          </w:p>
        </w:tc>
      </w:tr>
      <w:tr>
        <w:trPr>
          <w:trHeight w:val="137"/>
        </w:trPr>
        <w:tc>
          <w:tcPr>
            <w:tcW w:w="5560" w:type="dxa"/>
            <w:vAlign w:val="bottom"/>
          </w:tcPr>
          <w:p>
            <w:pPr>
              <w:spacing w:after="0"/>
              <w:rPr>
                <w:sz w:val="11"/>
                <w:szCs w:val="11"/>
                <w:color w:val="auto"/>
              </w:rPr>
            </w:pP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68"/>
        </w:trPr>
        <w:tc>
          <w:tcPr>
            <w:tcW w:w="5560" w:type="dxa"/>
            <w:vAlign w:val="bottom"/>
          </w:tcPr>
          <w:p>
            <w:pPr>
              <w:spacing w:after="0"/>
              <w:rPr>
                <w:sz w:val="20"/>
                <w:szCs w:val="20"/>
                <w:color w:val="auto"/>
              </w:rPr>
            </w:pPr>
            <w:r>
              <w:rPr>
                <w:rFonts w:ascii="Courier New" w:cs="Courier New" w:eastAsia="Courier New" w:hAnsi="Courier New"/>
                <w:sz w:val="12"/>
                <w:szCs w:val="12"/>
                <w:color w:val="auto"/>
              </w:rPr>
              <w:t>CASH FLOWS FROM INVESTING ACTIVITIES</w:t>
            </w: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Purchase of property and equipment</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(424)</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(95)</w:t>
            </w: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Proceeds from sale of property and equipment</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8</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560" w:type="dxa"/>
            <w:vAlign w:val="bottom"/>
          </w:tcPr>
          <w:p>
            <w:pPr>
              <w:spacing w:after="0"/>
              <w:rPr>
                <w:sz w:val="11"/>
                <w:szCs w:val="11"/>
                <w:color w:val="auto"/>
              </w:rPr>
            </w:pP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Net cash used in investing activities</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(416)</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(95)</w:t>
            </w:r>
          </w:p>
        </w:tc>
      </w:tr>
      <w:tr>
        <w:trPr>
          <w:trHeight w:val="137"/>
        </w:trPr>
        <w:tc>
          <w:tcPr>
            <w:tcW w:w="5560" w:type="dxa"/>
            <w:vAlign w:val="bottom"/>
          </w:tcPr>
          <w:p>
            <w:pPr>
              <w:spacing w:after="0"/>
              <w:rPr>
                <w:sz w:val="11"/>
                <w:szCs w:val="11"/>
                <w:color w:val="auto"/>
              </w:rPr>
            </w:pP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68"/>
        </w:trPr>
        <w:tc>
          <w:tcPr>
            <w:tcW w:w="5560" w:type="dxa"/>
            <w:vAlign w:val="bottom"/>
          </w:tcPr>
          <w:p>
            <w:pPr>
              <w:spacing w:after="0"/>
              <w:rPr>
                <w:sz w:val="20"/>
                <w:szCs w:val="20"/>
                <w:color w:val="auto"/>
              </w:rPr>
            </w:pPr>
            <w:r>
              <w:rPr>
                <w:rFonts w:ascii="Courier New" w:cs="Courier New" w:eastAsia="Courier New" w:hAnsi="Courier New"/>
                <w:sz w:val="12"/>
                <w:szCs w:val="12"/>
                <w:color w:val="auto"/>
              </w:rPr>
              <w:t>CASH FLOWS FROM FINANCING ACTIVITIES</w:t>
            </w: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Proceeds from stock options exercised</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30</w:t>
            </w:r>
          </w:p>
        </w:tc>
      </w:tr>
      <w:tr>
        <w:trPr>
          <w:trHeight w:val="135"/>
        </w:trPr>
        <w:tc>
          <w:tcPr>
            <w:tcW w:w="5560" w:type="dxa"/>
            <w:vAlign w:val="bottom"/>
          </w:tcPr>
          <w:p>
            <w:pPr>
              <w:spacing w:after="0"/>
              <w:rPr>
                <w:sz w:val="11"/>
                <w:szCs w:val="11"/>
                <w:color w:val="auto"/>
              </w:rPr>
            </w:pP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Net cash provided by financing activities</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30</w:t>
            </w:r>
          </w:p>
        </w:tc>
      </w:tr>
      <w:tr>
        <w:trPr>
          <w:trHeight w:val="135"/>
        </w:trPr>
        <w:tc>
          <w:tcPr>
            <w:tcW w:w="5560" w:type="dxa"/>
            <w:vAlign w:val="bottom"/>
          </w:tcPr>
          <w:p>
            <w:pPr>
              <w:spacing w:after="0"/>
              <w:rPr>
                <w:sz w:val="11"/>
                <w:szCs w:val="11"/>
                <w:color w:val="auto"/>
              </w:rPr>
            </w:pP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Effects of exchange rates on cash</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(6)</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(20)</w:t>
            </w:r>
          </w:p>
        </w:tc>
      </w:tr>
      <w:tr>
        <w:trPr>
          <w:trHeight w:val="135"/>
        </w:trPr>
        <w:tc>
          <w:tcPr>
            <w:tcW w:w="5560" w:type="dxa"/>
            <w:vAlign w:val="bottom"/>
          </w:tcPr>
          <w:p>
            <w:pPr>
              <w:spacing w:after="0"/>
              <w:rPr>
                <w:sz w:val="11"/>
                <w:szCs w:val="11"/>
                <w:color w:val="auto"/>
              </w:rPr>
            </w:pP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Net cash provided by all activities</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598</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456</w:t>
            </w: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beginning of period</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w w:val="97"/>
              </w:rPr>
              <w:t>19,018</w:t>
            </w:r>
          </w:p>
        </w:tc>
        <w:tc>
          <w:tcPr>
            <w:tcW w:w="20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2"/>
              </w:rPr>
              <w:t>15,576</w:t>
            </w:r>
          </w:p>
        </w:tc>
      </w:tr>
      <w:tr>
        <w:trPr>
          <w:trHeight w:val="135"/>
        </w:trPr>
        <w:tc>
          <w:tcPr>
            <w:tcW w:w="5560" w:type="dxa"/>
            <w:vAlign w:val="bottom"/>
          </w:tcPr>
          <w:p>
            <w:pPr>
              <w:spacing w:after="0"/>
              <w:rPr>
                <w:sz w:val="11"/>
                <w:szCs w:val="11"/>
                <w:color w:val="auto"/>
              </w:rPr>
            </w:pP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end of period</w:t>
            </w: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$19,616</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$16,032</w:t>
            </w:r>
          </w:p>
        </w:tc>
      </w:tr>
      <w:tr>
        <w:trPr>
          <w:trHeight w:val="137"/>
        </w:trPr>
        <w:tc>
          <w:tcPr>
            <w:tcW w:w="5560" w:type="dxa"/>
            <w:vAlign w:val="bottom"/>
          </w:tcPr>
          <w:p>
            <w:pPr>
              <w:spacing w:after="0"/>
              <w:rPr>
                <w:sz w:val="11"/>
                <w:szCs w:val="11"/>
                <w:color w:val="auto"/>
              </w:rPr>
            </w:pP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68"/>
        </w:trPr>
        <w:tc>
          <w:tcPr>
            <w:tcW w:w="5560" w:type="dxa"/>
            <w:vAlign w:val="bottom"/>
          </w:tcPr>
          <w:p>
            <w:pPr>
              <w:spacing w:after="0"/>
              <w:rPr>
                <w:sz w:val="20"/>
                <w:szCs w:val="20"/>
                <w:color w:val="auto"/>
              </w:rPr>
            </w:pPr>
            <w:r>
              <w:rPr>
                <w:rFonts w:ascii="Courier New" w:cs="Courier New" w:eastAsia="Courier New" w:hAnsi="Courier New"/>
                <w:sz w:val="12"/>
                <w:szCs w:val="12"/>
                <w:color w:val="auto"/>
              </w:rPr>
              <w:t>Cash payments for:</w:t>
            </w: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135"/>
        </w:trPr>
        <w:tc>
          <w:tcPr>
            <w:tcW w:w="5560" w:type="dxa"/>
            <w:vAlign w:val="bottom"/>
          </w:tcPr>
          <w:p>
            <w:pPr>
              <w:ind w:left="160"/>
              <w:spacing w:after="0"/>
              <w:rPr>
                <w:sz w:val="20"/>
                <w:szCs w:val="20"/>
                <w:color w:val="auto"/>
              </w:rPr>
            </w:pPr>
            <w:r>
              <w:rPr>
                <w:rFonts w:ascii="Courier New" w:cs="Courier New" w:eastAsia="Courier New" w:hAnsi="Courier New"/>
                <w:sz w:val="12"/>
                <w:szCs w:val="12"/>
                <w:color w:val="auto"/>
              </w:rPr>
              <w:t>Domestic and foreign income taxes</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199</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137</w:t>
            </w:r>
          </w:p>
        </w:tc>
      </w:tr>
      <w:tr>
        <w:trPr>
          <w:trHeight w:val="137"/>
        </w:trPr>
        <w:tc>
          <w:tcPr>
            <w:tcW w:w="5560" w:type="dxa"/>
            <w:vAlign w:val="bottom"/>
          </w:tcPr>
          <w:p>
            <w:pPr>
              <w:ind w:left="160"/>
              <w:spacing w:after="0"/>
              <w:rPr>
                <w:sz w:val="20"/>
                <w:szCs w:val="20"/>
                <w:color w:val="auto"/>
              </w:rPr>
            </w:pPr>
            <w:r>
              <w:rPr>
                <w:rFonts w:ascii="Courier New" w:cs="Courier New" w:eastAsia="Courier New" w:hAnsi="Courier New"/>
                <w:sz w:val="12"/>
                <w:szCs w:val="12"/>
                <w:color w:val="auto"/>
              </w:rPr>
              <w:t>Interest</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68"/>
        </w:trPr>
        <w:tc>
          <w:tcPr>
            <w:tcW w:w="5560" w:type="dxa"/>
            <w:vAlign w:val="bottom"/>
          </w:tcPr>
          <w:p>
            <w:pPr>
              <w:spacing w:after="0"/>
              <w:rPr>
                <w:sz w:val="20"/>
                <w:szCs w:val="20"/>
                <w:color w:val="auto"/>
              </w:rPr>
            </w:pPr>
            <w:r>
              <w:rPr>
                <w:rFonts w:ascii="Courier New" w:cs="Courier New" w:eastAsia="Courier New" w:hAnsi="Courier New"/>
                <w:sz w:val="12"/>
                <w:szCs w:val="12"/>
                <w:color w:val="auto"/>
              </w:rPr>
              <w:t>SUPPLEMENTAL DISCLOSURE OF NON-CASH INVESTING AND FINANCING ACTIVITIES:</w:t>
            </w: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Issuance of non-vested shares of restricted stock</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41</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124</w:t>
            </w:r>
          </w:p>
        </w:tc>
      </w:tr>
      <w:tr>
        <w:trPr>
          <w:trHeight w:val="137"/>
        </w:trPr>
        <w:tc>
          <w:tcPr>
            <w:tcW w:w="5560" w:type="dxa"/>
            <w:vAlign w:val="bottom"/>
          </w:tcPr>
          <w:p>
            <w:pPr>
              <w:spacing w:after="0"/>
              <w:rPr>
                <w:sz w:val="20"/>
                <w:szCs w:val="20"/>
                <w:color w:val="auto"/>
              </w:rPr>
            </w:pPr>
            <w:r>
              <w:rPr>
                <w:rFonts w:ascii="Courier New" w:cs="Courier New" w:eastAsia="Courier New" w:hAnsi="Courier New"/>
                <w:sz w:val="12"/>
                <w:szCs w:val="12"/>
                <w:color w:val="auto"/>
              </w:rPr>
              <w:t>Forfeiture of non-vested shares of restricted stock</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(20)</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91" w:lineRule="exact"/>
        <w:rPr>
          <w:sz w:val="20"/>
          <w:szCs w:val="20"/>
          <w:color w:val="auto"/>
        </w:rPr>
      </w:pPr>
    </w:p>
    <w:p>
      <w:pPr>
        <w:ind w:left="540" w:right="440"/>
        <w:spacing w:after="0" w:line="256" w:lineRule="auto"/>
        <w:rPr>
          <w:sz w:val="20"/>
          <w:szCs w:val="20"/>
          <w:color w:val="auto"/>
        </w:rPr>
      </w:pPr>
      <w:r>
        <w:rPr>
          <w:rFonts w:ascii="Arial" w:cs="Arial" w:eastAsia="Arial" w:hAnsi="Arial"/>
          <w:sz w:val="18"/>
          <w:szCs w:val="18"/>
          <w:color w:val="auto"/>
        </w:rPr>
        <w:t>We are an independent designer, manufacturer and marketer of thermal, mechanical and electrical products that are primarily used by semiconductor manufacturers in conjunction with automatic test equipment ("ATE") in the testing of integrated circuits ("ICs" or "semiconductors"). In addition, in recent years we have begun marketing our thermal products in markets outside the ATE market, such as the automotive, consumer electronics, defense/aerospace, energy, industrial and telecommunications markets.</w:t>
      </w:r>
    </w:p>
    <w:p>
      <w:pPr>
        <w:spacing w:after="0" w:line="197" w:lineRule="exact"/>
        <w:rPr>
          <w:sz w:val="20"/>
          <w:szCs w:val="20"/>
          <w:color w:val="auto"/>
        </w:rPr>
      </w:pPr>
    </w:p>
    <w:p>
      <w:pPr>
        <w:ind w:left="540" w:right="60"/>
        <w:spacing w:after="0" w:line="259" w:lineRule="auto"/>
        <w:rPr>
          <w:sz w:val="20"/>
          <w:szCs w:val="20"/>
          <w:color w:val="auto"/>
        </w:rPr>
      </w:pPr>
      <w:r>
        <w:rPr>
          <w:rFonts w:ascii="Arial" w:cs="Arial" w:eastAsia="Arial" w:hAnsi="Arial"/>
          <w:sz w:val="18"/>
          <w:szCs w:val="18"/>
          <w:color w:val="auto"/>
        </w:rPr>
        <w:t>The consolidated entity is comprised of inTEST Corporation (parent) and our wholly-owned subsidiaries. We have three reportable segments which are also our reporting units: Thermal Products, Mechanical Products and Electrical Products. We manufacture our products in the U.S. Marketing and support activities are conducted worldwide from our facilities in the U.S., Germany and Singapore.</w:t>
      </w:r>
    </w:p>
    <w:p>
      <w:pPr>
        <w:spacing w:after="0" w:line="194"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The semiconductor market in which we operate is characterized by rapid technological change, competitive pricing pressures and cyclical market patterns. This market is subject to significant economic downturns at various times. Our financial results are affected by a wide variety of factors, including, but not limited to, general economic conditions worldwide and in the markets in which we operate, economic conditions specific to the semiconductor market and the other markets we serve, our ability to safeguard patented technology and intellectual property in a rapidly evolving market, downward pricing pressures from customers, and our reliance on a relatively few number of customers for a significant portion of our sales. In addition, we are exposed to the risk of obsolescence of our inventory depending on the mix of future business and technological changes within the markets that we serve. As a result of these or other factors, we may experience significant period-to-period fluctuations in future operating results.</w:t>
      </w:r>
    </w:p>
    <w:p>
      <w:pPr>
        <w:spacing w:after="0" w:line="342" w:lineRule="exact"/>
        <w:rPr>
          <w:sz w:val="20"/>
          <w:szCs w:val="20"/>
          <w:color w:val="auto"/>
        </w:rPr>
      </w:pPr>
    </w:p>
    <w:p>
      <w:pPr>
        <w:ind w:left="540" w:right="6540" w:hanging="532"/>
        <w:spacing w:after="0" w:line="541" w:lineRule="auto"/>
        <w:tabs>
          <w:tab w:leader="none" w:pos="292"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b w:val="1"/>
          <w:bCs w:val="1"/>
          <w:i w:val="1"/>
          <w:iCs w:val="1"/>
          <w:u w:val="single" w:color="auto"/>
          <w:color w:val="auto"/>
        </w:rPr>
        <w:t>Basis of Presentation and Use of Estimates</w:t>
      </w:r>
    </w:p>
    <w:p>
      <w:pPr>
        <w:ind w:left="540"/>
        <w:spacing w:after="0" w:line="314" w:lineRule="auto"/>
        <w:rPr>
          <w:sz w:val="20"/>
          <w:szCs w:val="20"/>
          <w:color w:val="auto"/>
        </w:rPr>
      </w:pPr>
      <w:r>
        <w:rPr>
          <w:rFonts w:ascii="Arial" w:cs="Arial" w:eastAsia="Arial" w:hAnsi="Arial"/>
          <w:sz w:val="15"/>
          <w:szCs w:val="15"/>
          <w:color w:val="auto"/>
        </w:rPr>
        <w:t>The accompanying consolidated financial statements include our accounts and those of our wholly-owned subsidiaries. All significant intercompany accounts and transactions have been eliminated upon consolidation. The preparation of financial statements in conformity with accounting principles generally accepted in the United States of America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deferred tax assets and liabilities including related valuation allowances and product warranty reserves, are particularly impacted by estimates.</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In the opinion of management, the accompanying unaudited consolidated financial statements include all adjustments (consisting only of normal recurring</w:t>
      </w:r>
    </w:p>
    <w:p>
      <w:pPr>
        <w:sectPr>
          <w:pgSz w:w="11900" w:h="16838" w:orient="portrait"/>
          <w:cols w:equalWidth="0" w:num="1">
            <w:col w:w="11420"/>
          </w:cols>
          <w:pgMar w:left="240" w:top="132" w:right="239" w:bottom="0" w:gutter="0" w:footer="0" w:header="0"/>
        </w:sectPr>
      </w:pPr>
    </w:p>
    <w:bookmarkStart w:id="5" w:name="page6"/>
    <w:bookmarkEnd w:id="5"/>
    <w:p>
      <w:pPr>
        <w:ind w:left="540" w:right="180"/>
        <w:spacing w:after="0" w:line="298" w:lineRule="auto"/>
        <w:rPr>
          <w:sz w:val="20"/>
          <w:szCs w:val="20"/>
          <w:color w:val="auto"/>
        </w:rPr>
      </w:pPr>
      <w:r>
        <w:rPr>
          <w:rFonts w:ascii="Arial" w:cs="Arial" w:eastAsia="Arial" w:hAnsi="Arial"/>
          <w:sz w:val="16"/>
          <w:szCs w:val="16"/>
          <w:color w:val="auto"/>
        </w:rPr>
        <w:t>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Annual Report on Form 10-K for the year ended December 31, 2013 filed with the Securities and Exchange Commission on March 27, 2014 (the "2013 Form 10-K").</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Reclassification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Certain prior period amounts have been reclassified to be comparable with the current period's presentation.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Inventories</w:t>
      </w:r>
    </w:p>
    <w:p>
      <w:pPr>
        <w:spacing w:after="0" w:line="225" w:lineRule="exact"/>
        <w:rPr>
          <w:sz w:val="20"/>
          <w:szCs w:val="20"/>
          <w:color w:val="auto"/>
        </w:rPr>
      </w:pPr>
    </w:p>
    <w:p>
      <w:pPr>
        <w:ind w:left="540" w:right="60"/>
        <w:spacing w:after="0" w:line="290" w:lineRule="auto"/>
        <w:rPr>
          <w:sz w:val="20"/>
          <w:szCs w:val="20"/>
          <w:color w:val="auto"/>
        </w:rPr>
      </w:pPr>
      <w:r>
        <w:rPr>
          <w:rFonts w:ascii="Arial" w:cs="Arial" w:eastAsia="Arial" w:hAnsi="Arial"/>
          <w:sz w:val="16"/>
          <w:szCs w:val="16"/>
          <w:color w:val="auto"/>
        </w:rPr>
        <w:t>Inventories are valued at cost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We incurred excess and obsolete inventory charges of $138 and $197 for the six months ended June 30, 2014 and 2013, respectively.</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5" w:lineRule="exact"/>
        <w:rPr>
          <w:sz w:val="20"/>
          <w:szCs w:val="20"/>
          <w:color w:val="auto"/>
        </w:rPr>
      </w:pPr>
    </w:p>
    <w:p>
      <w:pPr>
        <w:ind w:left="540" w:right="220"/>
        <w:spacing w:after="0" w:line="289" w:lineRule="auto"/>
        <w:rPr>
          <w:sz w:val="20"/>
          <w:szCs w:val="20"/>
          <w:color w:val="auto"/>
        </w:rPr>
      </w:pPr>
      <w:r>
        <w:rPr>
          <w:rFonts w:ascii="Arial" w:cs="Arial" w:eastAsia="Arial" w:hAnsi="Arial"/>
          <w:sz w:val="16"/>
          <w:szCs w:val="16"/>
          <w:color w:val="auto"/>
        </w:rPr>
        <w:t>We account for goodwill and intangible assets in accordance with Accounting Standards Codification ("ASC") Topic 350 (Intangibles - Goodwill and Other). Finite-lived intangible assets are amortized over their estimated useful economic life and are carried at cost less accumulated amortization. Goodwill is assessed for impairment at least annually in the fourth quarter, on a reporting unit basis, or more frequently when events and circumstances occur indicating that the recorded goodwill may be impaired. As a part of the goodwill impairment assessment, we have the option to perform a qualitative assessment to determine whether it is more-likely-than-not that the fair value of a reporting unit is less than its carrying amount. If we determine this is the case, we are required to perform a two-step goodwill impairment test to identify potential goodwill impairment and measure the amount of goodwill impairment loss to be recognized. The two-step test is discussed below. If we determine that it is more-likely-than-not that the fair value of the reporting unit is greater than its carrying amounts, the two-step goodwill impairment test is not required.</w:t>
      </w:r>
    </w:p>
    <w:p>
      <w:pPr>
        <w:spacing w:after="0" w:line="172"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color w:val="auto"/>
        </w:rPr>
        <w:t>If we determine it is more-likely-than-not that the fair value of a reporting unit is less than its carrying amount as a result of our qualitative assessment, we will perform a quantitative two-step goodwill impairment test. In the Step I test, the fair value of a reporting unit is computed and compared with its book value. If the book value of a reporting unit exceeds its fair value, a Step II test is performed in which the implied fair value of goodwill is compared with the carrying amount of goodwill. If the carrying amount of goodwill exceeds the implied fair value, an impairment loss is recorded in an amount equal to that excess. The two-step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changes in working capital, depreciation, amortization and capital expenditures. Changes in assumptions concerning future financial results or other underlying assumptions would have a significant impact on either the fair value of the reporting unit or the amount of the goodwill impairment charge.</w:t>
      </w:r>
    </w:p>
    <w:p>
      <w:pPr>
        <w:spacing w:after="0" w:line="181" w:lineRule="exact"/>
        <w:rPr>
          <w:sz w:val="20"/>
          <w:szCs w:val="20"/>
          <w:color w:val="auto"/>
        </w:rPr>
      </w:pPr>
    </w:p>
    <w:p>
      <w:pPr>
        <w:ind w:left="540"/>
        <w:spacing w:after="0" w:line="253" w:lineRule="auto"/>
        <w:rPr>
          <w:sz w:val="20"/>
          <w:szCs w:val="20"/>
          <w:color w:val="auto"/>
        </w:rPr>
      </w:pPr>
      <w:r>
        <w:rPr>
          <w:rFonts w:ascii="Arial" w:cs="Arial" w:eastAsia="Arial" w:hAnsi="Arial"/>
          <w:sz w:val="18"/>
          <w:szCs w:val="18"/>
          <w:color w:val="auto"/>
        </w:rPr>
        <w:t>Indefinite-lived intangible assets are assessed for impairment at least annually in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p>
      <w:pPr>
        <w:sectPr>
          <w:pgSz w:w="11900" w:h="16838" w:orient="portrait"/>
          <w:cols w:equalWidth="0" w:num="1">
            <w:col w:w="11400"/>
          </w:cols>
          <w:pgMar w:left="240" w:top="131" w:right="259" w:bottom="0" w:gutter="0" w:footer="0" w:header="0"/>
        </w:sectPr>
      </w:pPr>
    </w:p>
    <w:bookmarkStart w:id="6" w:name="page7"/>
    <w:bookmarkEnd w:id="6"/>
    <w:p>
      <w:pPr>
        <w:ind w:left="532" w:right="100"/>
        <w:spacing w:after="0" w:line="294" w:lineRule="auto"/>
        <w:rPr>
          <w:sz w:val="20"/>
          <w:szCs w:val="20"/>
          <w:color w:val="auto"/>
        </w:rPr>
      </w:pPr>
      <w:r>
        <w:rPr>
          <w:rFonts w:ascii="Arial" w:cs="Arial" w:eastAsia="Arial" w:hAnsi="Arial"/>
          <w:sz w:val="16"/>
          <w:szCs w:val="16"/>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70"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225" w:lineRule="exact"/>
        <w:rPr>
          <w:sz w:val="20"/>
          <w:szCs w:val="20"/>
          <w:color w:val="auto"/>
        </w:rPr>
      </w:pPr>
    </w:p>
    <w:p>
      <w:pPr>
        <w:ind w:left="532" w:right="20"/>
        <w:spacing w:after="0" w:line="256" w:lineRule="auto"/>
        <w:rPr>
          <w:sz w:val="20"/>
          <w:szCs w:val="20"/>
          <w:color w:val="auto"/>
        </w:rPr>
      </w:pPr>
      <w:r>
        <w:rPr>
          <w:rFonts w:ascii="Arial" w:cs="Arial" w:eastAsia="Arial" w:hAnsi="Arial"/>
          <w:sz w:val="18"/>
          <w:szCs w:val="18"/>
          <w:color w:val="auto"/>
        </w:rPr>
        <w:t>We account for stock-based compensation in accordance with ASC Topic 718 (Compensation - Stock Compensation) which requires that employee share-based equity awards be accounted for under the fair value method and requires the use of an option pricing model for estimating fair value of stock options granted, which is then amortized to expense over the service periods. See further disclosures related to our stock-based compensation plan in Note 7.</w:t>
      </w:r>
    </w:p>
    <w:p>
      <w:pPr>
        <w:spacing w:after="0" w:line="197"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225" w:lineRule="exact"/>
        <w:rPr>
          <w:sz w:val="20"/>
          <w:szCs w:val="20"/>
          <w:color w:val="auto"/>
        </w:rPr>
      </w:pPr>
    </w:p>
    <w:p>
      <w:pPr>
        <w:ind w:left="532"/>
        <w:spacing w:after="0" w:line="268" w:lineRule="auto"/>
        <w:rPr>
          <w:sz w:val="20"/>
          <w:szCs w:val="20"/>
          <w:color w:val="auto"/>
        </w:rPr>
      </w:pPr>
      <w:r>
        <w:rPr>
          <w:rFonts w:ascii="Arial" w:cs="Arial" w:eastAsia="Arial" w:hAnsi="Arial"/>
          <w:sz w:val="18"/>
          <w:szCs w:val="18"/>
          <w:color w:val="auto"/>
        </w:rPr>
        <w:t>We have made an assessment of our operations and determined that there were no material subsequent events requiring adjustment to, or disclosure in, our consolidated financial statements for the six months ended June 30, 2014.</w:t>
      </w:r>
    </w:p>
    <w:p>
      <w:pPr>
        <w:spacing w:after="0" w:line="186"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sz w:val="20"/>
          <w:szCs w:val="20"/>
          <w:color w:val="auto"/>
        </w:rPr>
      </w:pPr>
    </w:p>
    <w:p>
      <w:pPr>
        <w:ind w:left="532" w:right="60"/>
        <w:spacing w:after="0" w:line="290" w:lineRule="auto"/>
        <w:rPr>
          <w:sz w:val="20"/>
          <w:szCs w:val="20"/>
          <w:color w:val="auto"/>
        </w:rPr>
      </w:pPr>
      <w:r>
        <w:rPr>
          <w:rFonts w:ascii="Arial" w:cs="Arial" w:eastAsia="Arial" w:hAnsi="Arial"/>
          <w:sz w:val="16"/>
          <w:szCs w:val="16"/>
          <w:color w:val="auto"/>
        </w:rPr>
        <w:t>We recognize revenue when persuasive evidence of an arrangement exists, delivery has occurred or services have been rendered, the price is fixed or determinable, and collection of the related receivable is reasonably assured. Sales of our products are made through our sales employees, third-party sales representatives and distributors. There are no differences in revenue recognition policies based on the sales channel. We do not provide our customers with rights of return or exchanges. Revenue is generally recognized upon product shipment. Our customers' purchase orders do not typically contain any customer-specific acceptance criteria, other than that the product performs within the agreed upon specifications. We test all products manufactured as part of our quality assurance process to determine that they comply with specifications prior to shipment to a customer. To the extent that any customer purchase order contains customer-specific acceptance criteria, revenue recognition is deferred until customer acceptance.</w:t>
      </w:r>
    </w:p>
    <w:p>
      <w:pPr>
        <w:spacing w:after="0" w:line="172" w:lineRule="exact"/>
        <w:rPr>
          <w:sz w:val="20"/>
          <w:szCs w:val="20"/>
          <w:color w:val="auto"/>
        </w:rPr>
      </w:pPr>
    </w:p>
    <w:p>
      <w:pPr>
        <w:ind w:left="532"/>
        <w:spacing w:after="0"/>
        <w:rPr>
          <w:sz w:val="20"/>
          <w:szCs w:val="20"/>
          <w:color w:val="auto"/>
        </w:rPr>
      </w:pPr>
      <w:r>
        <w:rPr>
          <w:rFonts w:ascii="Arial" w:cs="Arial" w:eastAsia="Arial" w:hAnsi="Arial"/>
          <w:sz w:val="16"/>
          <w:szCs w:val="16"/>
          <w:color w:val="auto"/>
        </w:rPr>
        <w:t>In addition, in our Thermal and Mechanical Products segments, we lease certain of our equipment to customers under non-cancellable operating leases.</w:t>
      </w:r>
    </w:p>
    <w:p>
      <w:pPr>
        <w:spacing w:after="0" w:line="38" w:lineRule="exact"/>
        <w:rPr>
          <w:sz w:val="20"/>
          <w:szCs w:val="20"/>
          <w:color w:val="auto"/>
        </w:rPr>
      </w:pPr>
    </w:p>
    <w:p>
      <w:pPr>
        <w:ind w:left="532"/>
        <w:spacing w:after="0"/>
        <w:rPr>
          <w:sz w:val="20"/>
          <w:szCs w:val="20"/>
          <w:color w:val="auto"/>
        </w:rPr>
      </w:pPr>
      <w:r>
        <w:rPr>
          <w:rFonts w:ascii="Arial" w:cs="Arial" w:eastAsia="Arial" w:hAnsi="Arial"/>
          <w:sz w:val="16"/>
          <w:szCs w:val="16"/>
          <w:color w:val="auto"/>
        </w:rPr>
        <w:t>These leases generally have an initial term of six months. We recognize revenue for these leases on a straight-line basis over the term of the lease.</w:t>
      </w:r>
    </w:p>
    <w:p>
      <w:pPr>
        <w:spacing w:after="0" w:line="242" w:lineRule="exact"/>
        <w:rPr>
          <w:sz w:val="20"/>
          <w:szCs w:val="20"/>
          <w:color w:val="auto"/>
        </w:rPr>
      </w:pPr>
    </w:p>
    <w:p>
      <w:pPr>
        <w:ind w:left="532" w:right="280"/>
        <w:spacing w:after="0" w:line="332" w:lineRule="auto"/>
        <w:rPr>
          <w:sz w:val="20"/>
          <w:szCs w:val="20"/>
          <w:color w:val="auto"/>
        </w:rPr>
      </w:pPr>
      <w:r>
        <w:rPr>
          <w:rFonts w:ascii="Arial" w:cs="Arial" w:eastAsia="Arial" w:hAnsi="Arial"/>
          <w:sz w:val="16"/>
          <w:szCs w:val="16"/>
          <w:color w:val="auto"/>
        </w:rPr>
        <w:t>With respect to sales tax collected from customers and remitted to governmental authorities, we use a net presentation in our consolidated statement of operations. As a result, there are no amounts included in either our net revenues or cost of revenues related to sales tax.</w:t>
      </w:r>
    </w:p>
    <w:p>
      <w:pPr>
        <w:spacing w:after="0" w:line="139"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Product Warranties</w:t>
      </w:r>
    </w:p>
    <w:p>
      <w:pPr>
        <w:spacing w:after="0" w:line="225" w:lineRule="exact"/>
        <w:rPr>
          <w:sz w:val="20"/>
          <w:szCs w:val="20"/>
          <w:color w:val="auto"/>
        </w:rPr>
      </w:pPr>
    </w:p>
    <w:p>
      <w:pPr>
        <w:ind w:left="532" w:right="340"/>
        <w:spacing w:after="0" w:line="268" w:lineRule="auto"/>
        <w:rPr>
          <w:sz w:val="20"/>
          <w:szCs w:val="20"/>
          <w:color w:val="auto"/>
        </w:rPr>
      </w:pPr>
      <w:r>
        <w:rPr>
          <w:rFonts w:ascii="Arial" w:cs="Arial" w:eastAsia="Arial" w:hAnsi="Arial"/>
          <w:sz w:val="18"/>
          <w:szCs w:val="18"/>
          <w:color w:val="auto"/>
        </w:rPr>
        <w:t>We generally provide product warranties and record estimated warranty expense at the time of sale based upon historical claims experience. Warranty expense is included in selling expense in the consolidated financial statements.</w:t>
      </w:r>
    </w:p>
    <w:p>
      <w:pPr>
        <w:spacing w:after="0" w:line="186"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25" w:lineRule="exact"/>
        <w:rPr>
          <w:sz w:val="20"/>
          <w:szCs w:val="20"/>
          <w:color w:val="auto"/>
        </w:rPr>
      </w:pPr>
    </w:p>
    <w:p>
      <w:pPr>
        <w:ind w:left="532" w:right="40"/>
        <w:spacing w:after="0" w:line="291" w:lineRule="auto"/>
        <w:rPr>
          <w:sz w:val="20"/>
          <w:szCs w:val="20"/>
          <w:color w:val="auto"/>
        </w:rPr>
      </w:pPr>
      <w:r>
        <w:rPr>
          <w:rFonts w:ascii="Arial" w:cs="Arial" w:eastAsia="Arial" w:hAnsi="Arial"/>
          <w:sz w:val="16"/>
          <w:szCs w:val="16"/>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periods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3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- 7 -</w:t>
      </w:r>
    </w:p>
    <w:p>
      <w:pPr>
        <w:spacing w:after="0" w:line="17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ind w:left="292" w:hanging="292"/>
        <w:spacing w:after="0"/>
        <w:tabs>
          <w:tab w:leader="none" w:pos="29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3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Net Earnings Per Common Share</w:t>
      </w:r>
    </w:p>
    <w:p>
      <w:pPr>
        <w:spacing w:after="0" w:line="225" w:lineRule="exact"/>
        <w:rPr>
          <w:sz w:val="20"/>
          <w:szCs w:val="20"/>
          <w:color w:val="auto"/>
        </w:rPr>
      </w:pPr>
    </w:p>
    <w:p>
      <w:pPr>
        <w:ind w:left="532" w:right="80"/>
        <w:spacing w:after="0" w:line="298" w:lineRule="auto"/>
        <w:rPr>
          <w:sz w:val="20"/>
          <w:szCs w:val="20"/>
          <w:color w:val="auto"/>
        </w:rPr>
      </w:pPr>
      <w:r>
        <w:rPr>
          <w:rFonts w:ascii="Arial" w:cs="Arial" w:eastAsia="Arial" w:hAnsi="Arial"/>
          <w:sz w:val="16"/>
          <w:szCs w:val="16"/>
          <w:color w:val="auto"/>
        </w:rPr>
        <w:t>Net earnings per common share - basic is computed by dividing net earnings by the weighted average number of common shares outstanding during each period. Net earnings per common share - diluted is computed by dividing net earnings by the weighted average number of common shares and common share equivalents outstanding during each period. Common share equivalents represent stock options and unvested shares of restricted stock and are calculated using the treasury stock method. Common share equivalents are excluded from the calculation if their effect is anti-dilutive.</w:t>
      </w:r>
    </w:p>
    <w:p>
      <w:pPr>
        <w:spacing w:after="0" w:line="167" w:lineRule="exact"/>
        <w:rPr>
          <w:sz w:val="20"/>
          <w:szCs w:val="20"/>
          <w:color w:val="auto"/>
        </w:rPr>
      </w:pPr>
    </w:p>
    <w:p>
      <w:pPr>
        <w:ind w:left="532" w:right="40"/>
        <w:spacing w:after="0" w:line="259" w:lineRule="auto"/>
        <w:rPr>
          <w:sz w:val="20"/>
          <w:szCs w:val="20"/>
          <w:color w:val="auto"/>
        </w:rPr>
      </w:pPr>
      <w:r>
        <w:rPr>
          <w:rFonts w:ascii="Arial" w:cs="Arial" w:eastAsia="Arial" w:hAnsi="Arial"/>
          <w:sz w:val="18"/>
          <w:szCs w:val="18"/>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per share because their effect was anti-dilutive:</w:t>
      </w:r>
    </w:p>
    <w:p>
      <w:pPr>
        <w:spacing w:after="0" w:line="152" w:lineRule="exact"/>
        <w:rPr>
          <w:sz w:val="20"/>
          <w:szCs w:val="20"/>
          <w:color w:val="auto"/>
        </w:rPr>
      </w:pPr>
    </w:p>
    <w:tbl>
      <w:tblPr>
        <w:tblLayout w:type="fixed"/>
        <w:tblInd w:w="552"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8"/>
          </w:tcPr>
          <w:p>
            <w:pPr>
              <w:ind w:left="20"/>
              <w:spacing w:after="0"/>
              <w:rPr>
                <w:sz w:val="20"/>
                <w:szCs w:val="20"/>
                <w:color w:val="auto"/>
              </w:rPr>
            </w:pPr>
            <w:r>
              <w:rPr>
                <w:rFonts w:ascii="Arial" w:cs="Arial" w:eastAsia="Arial" w:hAnsi="Arial"/>
                <w:sz w:val="14"/>
                <w:szCs w:val="14"/>
                <w:b w:val="1"/>
                <w:bCs w:val="1"/>
                <w:i w:val="1"/>
                <w:iCs w:val="1"/>
                <w:color w:val="auto"/>
              </w:rPr>
              <w:t>Three Months Ended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9"/>
          </w:tcPr>
          <w:p>
            <w:pPr>
              <w:jc w:val="center"/>
              <w:ind w:right="340"/>
              <w:spacing w:after="0"/>
              <w:rPr>
                <w:sz w:val="20"/>
                <w:szCs w:val="20"/>
                <w:color w:val="auto"/>
              </w:rPr>
            </w:pPr>
            <w:r>
              <w:rPr>
                <w:rFonts w:ascii="Arial" w:cs="Arial" w:eastAsia="Arial" w:hAnsi="Arial"/>
                <w:sz w:val="14"/>
                <w:szCs w:val="14"/>
                <w:b w:val="1"/>
                <w:bCs w:val="1"/>
                <w:i w:val="1"/>
                <w:iCs w:val="1"/>
                <w:color w:val="auto"/>
                <w:w w:val="85"/>
              </w:rPr>
              <w:t>Six Months Ended</w:t>
            </w:r>
          </w:p>
        </w:tc>
      </w:tr>
      <w:tr>
        <w:trPr>
          <w:trHeight w:val="146"/>
        </w:trPr>
        <w:tc>
          <w:tcPr>
            <w:tcW w:w="4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4"/>
          </w:tcPr>
          <w:p>
            <w:pPr>
              <w:ind w:left="60"/>
              <w:spacing w:after="0" w:line="146" w:lineRule="exact"/>
              <w:rPr>
                <w:sz w:val="20"/>
                <w:szCs w:val="20"/>
                <w:color w:val="auto"/>
              </w:rPr>
            </w:pPr>
            <w:r>
              <w:rPr>
                <w:rFonts w:ascii="Arial" w:cs="Arial" w:eastAsia="Arial" w:hAnsi="Arial"/>
                <w:sz w:val="14"/>
                <w:szCs w:val="14"/>
                <w:b w:val="1"/>
                <w:bCs w:val="1"/>
                <w:i w:val="1"/>
                <w:iCs w:val="1"/>
                <w:color w:val="auto"/>
              </w:rPr>
              <w:t>June 30,</w:t>
            </w:r>
          </w:p>
        </w:tc>
        <w:tc>
          <w:tcPr>
            <w:tcW w:w="38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5"/>
          </w:tcPr>
          <w:p>
            <w:pPr>
              <w:jc w:val="center"/>
              <w:ind w:right="180"/>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420" w:type="dxa"/>
            <w:vAlign w:val="bottom"/>
            <w:gridSpan w:val="2"/>
          </w:tcPr>
          <w:p>
            <w:pPr>
              <w:spacing w:after="0"/>
              <w:rPr>
                <w:sz w:val="12"/>
                <w:szCs w:val="12"/>
                <w:color w:val="auto"/>
              </w:rPr>
            </w:pPr>
          </w:p>
        </w:tc>
      </w:tr>
      <w:tr>
        <w:trPr>
          <w:trHeight w:val="156"/>
        </w:trPr>
        <w:tc>
          <w:tcPr>
            <w:tcW w:w="490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280" w:type="dxa"/>
            <w:vAlign w:val="bottom"/>
            <w:gridSpan w:val="2"/>
          </w:tcPr>
          <w:p>
            <w:pPr>
              <w:spacing w:after="0" w:line="155" w:lineRule="exact"/>
              <w:rPr>
                <w:sz w:val="20"/>
                <w:szCs w:val="20"/>
                <w:color w:val="auto"/>
              </w:rPr>
            </w:pPr>
            <w:r>
              <w:rPr>
                <w:rFonts w:ascii="Arial" w:cs="Arial" w:eastAsia="Arial" w:hAnsi="Arial"/>
                <w:sz w:val="14"/>
                <w:szCs w:val="14"/>
                <w:b w:val="1"/>
                <w:bCs w:val="1"/>
                <w:i w:val="1"/>
                <w:iCs w:val="1"/>
                <w:color w:val="auto"/>
                <w:w w:val="83"/>
              </w:rPr>
              <w:t>2014</w:t>
            </w:r>
          </w:p>
        </w:tc>
        <w:tc>
          <w:tcPr>
            <w:tcW w:w="320" w:type="dxa"/>
            <w:vAlign w:val="bottom"/>
          </w:tcPr>
          <w:p>
            <w:pPr>
              <w:spacing w:after="0"/>
              <w:rPr>
                <w:sz w:val="13"/>
                <w:szCs w:val="13"/>
                <w:color w:val="auto"/>
              </w:rPr>
            </w:pPr>
          </w:p>
        </w:tc>
        <w:tc>
          <w:tcPr>
            <w:tcW w:w="920" w:type="dxa"/>
            <w:vAlign w:val="bottom"/>
            <w:gridSpan w:val="5"/>
          </w:tcPr>
          <w:p>
            <w:pPr>
              <w:jc w:val="right"/>
              <w:ind w:right="320"/>
              <w:spacing w:after="0" w:line="155" w:lineRule="exact"/>
              <w:rPr>
                <w:sz w:val="20"/>
                <w:szCs w:val="20"/>
                <w:color w:val="auto"/>
              </w:rPr>
            </w:pPr>
            <w:r>
              <w:rPr>
                <w:rFonts w:ascii="Arial" w:cs="Arial" w:eastAsia="Arial" w:hAnsi="Arial"/>
                <w:sz w:val="14"/>
                <w:szCs w:val="14"/>
                <w:b w:val="1"/>
                <w:bCs w:val="1"/>
                <w:i w:val="1"/>
                <w:iCs w:val="1"/>
                <w:color w:val="auto"/>
              </w:rPr>
              <w:t>2013</w:t>
            </w:r>
          </w:p>
        </w:tc>
        <w:tc>
          <w:tcPr>
            <w:tcW w:w="920" w:type="dxa"/>
            <w:vAlign w:val="bottom"/>
            <w:gridSpan w:val="5"/>
          </w:tcPr>
          <w:p>
            <w:pPr>
              <w:jc w:val="right"/>
              <w:ind w:right="252"/>
              <w:spacing w:after="0" w:line="155" w:lineRule="exact"/>
              <w:rPr>
                <w:sz w:val="20"/>
                <w:szCs w:val="20"/>
                <w:color w:val="auto"/>
              </w:rPr>
            </w:pPr>
            <w:r>
              <w:rPr>
                <w:rFonts w:ascii="Arial" w:cs="Arial" w:eastAsia="Arial" w:hAnsi="Arial"/>
                <w:sz w:val="14"/>
                <w:szCs w:val="14"/>
                <w:b w:val="1"/>
                <w:bCs w:val="1"/>
                <w:i w:val="1"/>
                <w:iCs w:val="1"/>
                <w:color w:val="auto"/>
              </w:rPr>
              <w:t>2014</w:t>
            </w:r>
          </w:p>
        </w:tc>
        <w:tc>
          <w:tcPr>
            <w:tcW w:w="60" w:type="dxa"/>
            <w:vAlign w:val="bottom"/>
          </w:tcPr>
          <w:p>
            <w:pPr>
              <w:spacing w:after="0"/>
              <w:rPr>
                <w:sz w:val="13"/>
                <w:szCs w:val="13"/>
                <w:color w:val="auto"/>
              </w:rPr>
            </w:pPr>
          </w:p>
        </w:tc>
        <w:tc>
          <w:tcPr>
            <w:tcW w:w="540" w:type="dxa"/>
            <w:vAlign w:val="bottom"/>
            <w:gridSpan w:val="4"/>
          </w:tcPr>
          <w:p>
            <w:pPr>
              <w:jc w:val="right"/>
              <w:spacing w:after="0" w:line="155" w:lineRule="exact"/>
              <w:rPr>
                <w:sz w:val="20"/>
                <w:szCs w:val="20"/>
                <w:color w:val="auto"/>
              </w:rPr>
            </w:pPr>
            <w:r>
              <w:rPr>
                <w:rFonts w:ascii="Arial" w:cs="Arial" w:eastAsia="Arial" w:hAnsi="Arial"/>
                <w:sz w:val="14"/>
                <w:szCs w:val="14"/>
                <w:b w:val="1"/>
                <w:bCs w:val="1"/>
                <w:i w:val="1"/>
                <w:iCs w:val="1"/>
                <w:color w:val="auto"/>
              </w:rPr>
              <w:t>2013</w:t>
            </w:r>
          </w:p>
        </w:tc>
        <w:tc>
          <w:tcPr>
            <w:tcW w:w="320" w:type="dxa"/>
            <w:vAlign w:val="bottom"/>
          </w:tcPr>
          <w:p>
            <w:pPr>
              <w:spacing w:after="0"/>
              <w:rPr>
                <w:sz w:val="13"/>
                <w:szCs w:val="13"/>
                <w:color w:val="auto"/>
              </w:rPr>
            </w:pPr>
          </w:p>
        </w:tc>
      </w:tr>
      <w:tr>
        <w:trPr>
          <w:trHeight w:val="20"/>
        </w:trPr>
        <w:tc>
          <w:tcPr>
            <w:tcW w:w="4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5"/>
        </w:trPr>
        <w:tc>
          <w:tcPr>
            <w:tcW w:w="490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10,436,730</w:t>
            </w:r>
          </w:p>
        </w:tc>
        <w:tc>
          <w:tcPr>
            <w:tcW w:w="920" w:type="dxa"/>
            <w:vAlign w:val="bottom"/>
            <w:gridSpan w:val="5"/>
          </w:tcPr>
          <w:p>
            <w:pPr>
              <w:jc w:val="right"/>
              <w:spacing w:after="0"/>
              <w:rPr>
                <w:sz w:val="20"/>
                <w:szCs w:val="20"/>
                <w:color w:val="auto"/>
              </w:rPr>
            </w:pPr>
            <w:r>
              <w:rPr>
                <w:rFonts w:ascii="Arial" w:cs="Arial" w:eastAsia="Arial" w:hAnsi="Arial"/>
                <w:sz w:val="18"/>
                <w:szCs w:val="18"/>
                <w:color w:val="auto"/>
                <w:w w:val="99"/>
              </w:rPr>
              <w:t>10,371,716</w:t>
            </w:r>
          </w:p>
        </w:tc>
        <w:tc>
          <w:tcPr>
            <w:tcW w:w="980" w:type="dxa"/>
            <w:vAlign w:val="bottom"/>
            <w:gridSpan w:val="6"/>
          </w:tcPr>
          <w:p>
            <w:pPr>
              <w:jc w:val="right"/>
              <w:ind w:right="60"/>
              <w:spacing w:after="0"/>
              <w:rPr>
                <w:sz w:val="20"/>
                <w:szCs w:val="20"/>
                <w:color w:val="auto"/>
              </w:rPr>
            </w:pPr>
            <w:r>
              <w:rPr>
                <w:rFonts w:ascii="Arial" w:cs="Arial" w:eastAsia="Arial" w:hAnsi="Arial"/>
                <w:sz w:val="18"/>
                <w:szCs w:val="18"/>
                <w:color w:val="auto"/>
                <w:w w:val="99"/>
              </w:rPr>
              <w:t>10,415,461</w:t>
            </w:r>
          </w:p>
        </w:tc>
        <w:tc>
          <w:tcPr>
            <w:tcW w:w="860" w:type="dxa"/>
            <w:vAlign w:val="bottom"/>
            <w:gridSpan w:val="5"/>
          </w:tcPr>
          <w:p>
            <w:pPr>
              <w:jc w:val="right"/>
              <w:spacing w:after="0"/>
              <w:rPr>
                <w:sz w:val="20"/>
                <w:szCs w:val="20"/>
                <w:color w:val="auto"/>
              </w:rPr>
            </w:pPr>
            <w:r>
              <w:rPr>
                <w:rFonts w:ascii="Arial" w:cs="Arial" w:eastAsia="Arial" w:hAnsi="Arial"/>
                <w:sz w:val="18"/>
                <w:szCs w:val="18"/>
                <w:color w:val="auto"/>
                <w:w w:val="93"/>
              </w:rPr>
              <w:t>10,349,695</w:t>
            </w:r>
          </w:p>
        </w:tc>
      </w:tr>
      <w:tr>
        <w:trPr>
          <w:trHeight w:val="459"/>
        </w:trPr>
        <w:tc>
          <w:tcPr>
            <w:tcW w:w="490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21"/>
        </w:trPr>
        <w:tc>
          <w:tcPr>
            <w:tcW w:w="4900" w:type="dxa"/>
            <w:vAlign w:val="bottom"/>
          </w:tcPr>
          <w:p>
            <w:pPr>
              <w:ind w:left="220"/>
              <w:spacing w:after="0"/>
              <w:rPr>
                <w:sz w:val="20"/>
                <w:szCs w:val="20"/>
                <w:color w:val="auto"/>
              </w:rPr>
            </w:pPr>
            <w:r>
              <w:rPr>
                <w:rFonts w:ascii="Arial" w:cs="Arial" w:eastAsia="Arial" w:hAnsi="Arial"/>
                <w:sz w:val="18"/>
                <w:szCs w:val="18"/>
                <w:color w:val="auto"/>
                <w:w w:val="91"/>
              </w:rPr>
              <w:t>Employee stock options and unvested shares of restricted stock</w:t>
            </w:r>
          </w:p>
        </w:tc>
        <w:tc>
          <w:tcPr>
            <w:tcW w:w="280" w:type="dxa"/>
            <w:vAlign w:val="bottom"/>
          </w:tcPr>
          <w:p>
            <w:pPr>
              <w:spacing w:after="0"/>
              <w:rPr>
                <w:sz w:val="24"/>
                <w:szCs w:val="24"/>
                <w:color w:val="auto"/>
              </w:rPr>
            </w:pPr>
          </w:p>
        </w:tc>
        <w:tc>
          <w:tcPr>
            <w:tcW w:w="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19,453</w:t>
            </w:r>
          </w:p>
        </w:tc>
        <w:tc>
          <w:tcPr>
            <w:tcW w:w="160" w:type="dxa"/>
            <w:vAlign w:val="bottom"/>
          </w:tcPr>
          <w:p>
            <w:pPr>
              <w:spacing w:after="0"/>
              <w:rPr>
                <w:sz w:val="24"/>
                <w:szCs w:val="24"/>
                <w:color w:val="auto"/>
              </w:rPr>
            </w:pPr>
          </w:p>
        </w:tc>
        <w:tc>
          <w:tcPr>
            <w:tcW w:w="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22,378</w:t>
            </w:r>
          </w:p>
        </w:tc>
        <w:tc>
          <w:tcPr>
            <w:tcW w:w="160" w:type="dxa"/>
            <w:vAlign w:val="bottom"/>
          </w:tcPr>
          <w:p>
            <w:pPr>
              <w:spacing w:after="0"/>
              <w:rPr>
                <w:sz w:val="24"/>
                <w:szCs w:val="24"/>
                <w:color w:val="auto"/>
              </w:rPr>
            </w:pPr>
          </w:p>
        </w:tc>
        <w:tc>
          <w:tcPr>
            <w:tcW w:w="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37,106</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30,584</w:t>
            </w:r>
          </w:p>
        </w:tc>
      </w:tr>
    </w:tbl>
    <w:p>
      <w:pPr>
        <w:sectPr>
          <w:pgSz w:w="11900" w:h="16838" w:orient="portrait"/>
          <w:cols w:equalWidth="0" w:num="1">
            <w:col w:w="11392"/>
          </w:cols>
          <w:pgMar w:left="248" w:top="131" w:right="259" w:bottom="0" w:gutter="0" w:footer="0" w:header="0"/>
        </w:sectPr>
      </w:pPr>
    </w:p>
    <w:bookmarkStart w:id="7" w:name="page8"/>
    <w:bookmarkEnd w:id="7"/>
    <w:p>
      <w:pPr>
        <w:spacing w:after="0" w:line="59"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Weighted average common shares and common share</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84"/>
        </w:trPr>
        <w:tc>
          <w:tcPr>
            <w:tcW w:w="5120" w:type="dxa"/>
            <w:vAlign w:val="bottom"/>
          </w:tcPr>
          <w:p>
            <w:pPr>
              <w:ind w:left="80"/>
              <w:spacing w:after="0" w:line="184" w:lineRule="exact"/>
              <w:rPr>
                <w:sz w:val="20"/>
                <w:szCs w:val="20"/>
                <w:color w:val="auto"/>
              </w:rPr>
            </w:pPr>
            <w:r>
              <w:rPr>
                <w:rFonts w:ascii="Arial" w:cs="Arial" w:eastAsia="Arial" w:hAnsi="Arial"/>
                <w:sz w:val="18"/>
                <w:szCs w:val="18"/>
                <w:color w:val="auto"/>
              </w:rPr>
              <w:t>equivalents outstanding - diluted</w:t>
            </w:r>
          </w:p>
        </w:tc>
        <w:tc>
          <w:tcPr>
            <w:tcW w:w="800" w:type="dxa"/>
            <w:vAlign w:val="bottom"/>
          </w:tcPr>
          <w:p>
            <w:pPr>
              <w:jc w:val="right"/>
              <w:spacing w:after="0" w:line="184" w:lineRule="exact"/>
              <w:rPr>
                <w:sz w:val="20"/>
                <w:szCs w:val="20"/>
                <w:color w:val="auto"/>
              </w:rPr>
            </w:pPr>
            <w:r>
              <w:rPr>
                <w:rFonts w:ascii="Arial" w:cs="Arial" w:eastAsia="Arial" w:hAnsi="Arial"/>
                <w:sz w:val="18"/>
                <w:szCs w:val="18"/>
                <w:color w:val="auto"/>
                <w:w w:val="86"/>
              </w:rPr>
              <w:t>10,456,183</w:t>
            </w:r>
          </w:p>
        </w:tc>
        <w:tc>
          <w:tcPr>
            <w:tcW w:w="920" w:type="dxa"/>
            <w:vAlign w:val="bottom"/>
            <w:gridSpan w:val="2"/>
          </w:tcPr>
          <w:p>
            <w:pPr>
              <w:jc w:val="right"/>
              <w:spacing w:after="0" w:line="184" w:lineRule="exact"/>
              <w:rPr>
                <w:sz w:val="20"/>
                <w:szCs w:val="20"/>
                <w:color w:val="auto"/>
              </w:rPr>
            </w:pPr>
            <w:r>
              <w:rPr>
                <w:rFonts w:ascii="Arial" w:cs="Arial" w:eastAsia="Arial" w:hAnsi="Arial"/>
                <w:sz w:val="18"/>
                <w:szCs w:val="18"/>
                <w:color w:val="auto"/>
                <w:w w:val="99"/>
              </w:rPr>
              <w:t>10,394,094</w:t>
            </w:r>
          </w:p>
        </w:tc>
        <w:tc>
          <w:tcPr>
            <w:tcW w:w="980" w:type="dxa"/>
            <w:vAlign w:val="bottom"/>
            <w:gridSpan w:val="3"/>
          </w:tcPr>
          <w:p>
            <w:pPr>
              <w:jc w:val="right"/>
              <w:ind w:right="60"/>
              <w:spacing w:after="0" w:line="184" w:lineRule="exact"/>
              <w:rPr>
                <w:sz w:val="20"/>
                <w:szCs w:val="20"/>
                <w:color w:val="auto"/>
              </w:rPr>
            </w:pPr>
            <w:r>
              <w:rPr>
                <w:rFonts w:ascii="Arial" w:cs="Arial" w:eastAsia="Arial" w:hAnsi="Arial"/>
                <w:sz w:val="18"/>
                <w:szCs w:val="18"/>
                <w:color w:val="auto"/>
                <w:w w:val="99"/>
              </w:rPr>
              <w:t>10,452,567</w:t>
            </w:r>
          </w:p>
        </w:tc>
        <w:tc>
          <w:tcPr>
            <w:tcW w:w="860" w:type="dxa"/>
            <w:vAlign w:val="bottom"/>
            <w:gridSpan w:val="2"/>
          </w:tcPr>
          <w:p>
            <w:pPr>
              <w:jc w:val="right"/>
              <w:spacing w:after="0" w:line="184" w:lineRule="exact"/>
              <w:rPr>
                <w:sz w:val="20"/>
                <w:szCs w:val="20"/>
                <w:color w:val="auto"/>
              </w:rPr>
            </w:pPr>
            <w:r>
              <w:rPr>
                <w:rFonts w:ascii="Arial" w:cs="Arial" w:eastAsia="Arial" w:hAnsi="Arial"/>
                <w:sz w:val="18"/>
                <w:szCs w:val="18"/>
                <w:color w:val="auto"/>
                <w:w w:val="93"/>
              </w:rPr>
              <w:t>10,380,279</w:t>
            </w:r>
          </w:p>
        </w:tc>
      </w:tr>
      <w:tr>
        <w:trPr>
          <w:trHeight w:val="931"/>
        </w:trPr>
        <w:tc>
          <w:tcPr>
            <w:tcW w:w="5120" w:type="dxa"/>
            <w:vAlign w:val="bottom"/>
          </w:tcPr>
          <w:p>
            <w:pPr>
              <w:spacing w:after="0"/>
              <w:rPr>
                <w:sz w:val="20"/>
                <w:szCs w:val="20"/>
                <w:color w:val="auto"/>
              </w:rPr>
            </w:pPr>
            <w:r>
              <w:rPr>
                <w:rFonts w:ascii="Arial" w:cs="Arial" w:eastAsia="Arial" w:hAnsi="Arial"/>
                <w:sz w:val="18"/>
                <w:szCs w:val="18"/>
                <w:color w:val="auto"/>
              </w:rPr>
              <w:t>Average number of potentially dilutive securities excluded</w:t>
            </w: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222"/>
        </w:trPr>
        <w:tc>
          <w:tcPr>
            <w:tcW w:w="5120" w:type="dxa"/>
            <w:vAlign w:val="bottom"/>
          </w:tcPr>
          <w:p>
            <w:pPr>
              <w:ind w:left="140"/>
              <w:spacing w:after="0"/>
              <w:rPr>
                <w:sz w:val="20"/>
                <w:szCs w:val="20"/>
                <w:color w:val="auto"/>
              </w:rPr>
            </w:pPr>
            <w:r>
              <w:rPr>
                <w:rFonts w:ascii="Arial" w:cs="Arial" w:eastAsia="Arial" w:hAnsi="Arial"/>
                <w:sz w:val="18"/>
                <w:szCs w:val="18"/>
                <w:color w:val="auto"/>
              </w:rPr>
              <w:t>from calculation</w:t>
            </w:r>
          </w:p>
        </w:tc>
        <w:tc>
          <w:tcPr>
            <w:tcW w:w="800" w:type="dxa"/>
            <w:vAlign w:val="bottom"/>
          </w:tcPr>
          <w:p>
            <w:pPr>
              <w:jc w:val="right"/>
              <w:spacing w:after="0"/>
              <w:rPr>
                <w:sz w:val="20"/>
                <w:szCs w:val="20"/>
                <w:color w:val="auto"/>
              </w:rPr>
            </w:pPr>
            <w:r>
              <w:rPr>
                <w:rFonts w:ascii="Arial" w:cs="Arial" w:eastAsia="Arial" w:hAnsi="Arial"/>
                <w:sz w:val="18"/>
                <w:szCs w:val="18"/>
                <w:color w:val="auto"/>
              </w:rPr>
              <w:t>94,807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18,462</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96,037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28,605</w:t>
            </w: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Effect of Recently Issued Amendments to Authoritative Accounting Guidance</w:t>
      </w:r>
    </w:p>
    <w:p>
      <w:pPr>
        <w:spacing w:after="0" w:line="225" w:lineRule="exact"/>
        <w:rPr>
          <w:sz w:val="20"/>
          <w:szCs w:val="20"/>
          <w:color w:val="auto"/>
        </w:rPr>
      </w:pPr>
    </w:p>
    <w:p>
      <w:pPr>
        <w:jc w:val="both"/>
        <w:ind w:left="540" w:right="120"/>
        <w:spacing w:after="0" w:line="303" w:lineRule="auto"/>
        <w:rPr>
          <w:sz w:val="20"/>
          <w:szCs w:val="20"/>
          <w:color w:val="auto"/>
        </w:rPr>
      </w:pPr>
      <w:r>
        <w:rPr>
          <w:rFonts w:ascii="Arial" w:cs="Arial" w:eastAsia="Arial" w:hAnsi="Arial"/>
          <w:sz w:val="15"/>
          <w:szCs w:val="15"/>
          <w:color w:val="auto"/>
        </w:rPr>
        <w:t>In May 2014, the FASB issued new guidance on the recognition of revenue from contracts with customers. This guidance is presented in ASC Topic 606 (Revenue from Contracts with Customers). This new guidance will replace most existing revenue recognition guidance in U.S. GAAP when it becomes effective. Companies can use either the retrospective or cumulative effect transition method. This new guidance is effective for us on January 1, 2017.</w:t>
      </w:r>
    </w:p>
    <w:p>
      <w:pPr>
        <w:spacing w:after="0" w:line="1" w:lineRule="exact"/>
        <w:rPr>
          <w:sz w:val="20"/>
          <w:szCs w:val="20"/>
          <w:color w:val="auto"/>
        </w:rPr>
      </w:pPr>
    </w:p>
    <w:p>
      <w:pPr>
        <w:ind w:left="540" w:right="220"/>
        <w:spacing w:after="0" w:line="261" w:lineRule="auto"/>
        <w:rPr>
          <w:sz w:val="20"/>
          <w:szCs w:val="20"/>
          <w:color w:val="auto"/>
        </w:rPr>
      </w:pPr>
      <w:r>
        <w:rPr>
          <w:rFonts w:ascii="Arial" w:cs="Arial" w:eastAsia="Arial" w:hAnsi="Arial"/>
          <w:sz w:val="18"/>
          <w:szCs w:val="18"/>
          <w:color w:val="auto"/>
        </w:rPr>
        <w:t>Early application is not permitted. We have not yet selected a transition method and we are still evaluating the effect that this guidance will have on our consolidated financial statements and related disclosures.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191" w:lineRule="exact"/>
        <w:rPr>
          <w:sz w:val="20"/>
          <w:szCs w:val="20"/>
          <w:color w:val="auto"/>
        </w:rPr>
      </w:pPr>
    </w:p>
    <w:p>
      <w:pPr>
        <w:ind w:left="540" w:right="860"/>
        <w:spacing w:after="0" w:line="268" w:lineRule="auto"/>
        <w:rPr>
          <w:sz w:val="20"/>
          <w:szCs w:val="20"/>
          <w:color w:val="auto"/>
        </w:rPr>
      </w:pPr>
      <w:r>
        <w:rPr>
          <w:rFonts w:ascii="Arial" w:cs="Arial" w:eastAsia="Arial" w:hAnsi="Arial"/>
          <w:sz w:val="18"/>
          <w:szCs w:val="18"/>
          <w:color w:val="auto"/>
        </w:rPr>
        <w:t>Goodwill and intangible assets on our balance sheets are the result of our acquisitions of Sigma Systems Corp. ("Sigma") in October 2008 and Thermonics, Inc. ("Thermonics"), a division of Test Enterprises, Inc. in January 2012.</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Goodwill</w:t>
      </w:r>
    </w:p>
    <w:p>
      <w:pPr>
        <w:spacing w:after="0" w:line="225"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All of our goodwill is allocated to our Thermal Products segment. There was no change in the amount of the carrying value of goodwill for the six months ended June 30, 2014.</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Intangible Assets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tables provide further detail about our intangible assets as of June 30, 2014 and December 31, 2013:</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00" w:type="dxa"/>
            <w:vAlign w:val="bottom"/>
          </w:tcPr>
          <w:p>
            <w:pPr>
              <w:spacing w:after="0"/>
              <w:rPr>
                <w:sz w:val="19"/>
                <w:szCs w:val="19"/>
                <w:color w:val="auto"/>
              </w:rPr>
            </w:pPr>
          </w:p>
        </w:tc>
        <w:tc>
          <w:tcPr>
            <w:tcW w:w="1520" w:type="dxa"/>
            <w:vAlign w:val="bottom"/>
            <w:gridSpan w:val="7"/>
          </w:tcPr>
          <w:p>
            <w:pPr>
              <w:jc w:val="center"/>
              <w:ind w:left="616"/>
              <w:spacing w:after="0"/>
              <w:rPr>
                <w:sz w:val="20"/>
                <w:szCs w:val="20"/>
                <w:color w:val="auto"/>
              </w:rPr>
            </w:pPr>
            <w:r>
              <w:rPr>
                <w:rFonts w:ascii="Arial" w:cs="Arial" w:eastAsia="Arial" w:hAnsi="Arial"/>
                <w:sz w:val="18"/>
                <w:szCs w:val="18"/>
                <w:color w:val="auto"/>
                <w:w w:val="93"/>
              </w:rPr>
              <w:t>- 8 -</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771"/>
        </w:trPr>
        <w:tc>
          <w:tcPr>
            <w:tcW w:w="4600" w:type="dxa"/>
            <w:vAlign w:val="bottom"/>
          </w:tcPr>
          <w:p>
            <w:pPr>
              <w:spacing w:after="0"/>
              <w:rPr>
                <w:sz w:val="24"/>
                <w:szCs w:val="24"/>
                <w:color w:val="auto"/>
              </w:rPr>
            </w:pPr>
          </w:p>
        </w:tc>
        <w:tc>
          <w:tcPr>
            <w:tcW w:w="2120" w:type="dxa"/>
            <w:vAlign w:val="bottom"/>
            <w:gridSpan w:val="10"/>
          </w:tcPr>
          <w:p>
            <w:pPr>
              <w:jc w:val="center"/>
              <w:ind w:left="36"/>
              <w:spacing w:after="0"/>
              <w:rPr>
                <w:sz w:val="20"/>
                <w:szCs w:val="20"/>
                <w:color w:val="auto"/>
              </w:rPr>
            </w:pPr>
            <w:r>
              <w:rPr>
                <w:rFonts w:ascii="Arial" w:cs="Arial" w:eastAsia="Arial" w:hAnsi="Arial"/>
                <w:sz w:val="18"/>
                <w:szCs w:val="18"/>
                <w:b w:val="1"/>
                <w:bCs w:val="1"/>
                <w:color w:val="auto"/>
                <w:w w:val="96"/>
              </w:rPr>
              <w:t>inTEST CORPORATION</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22"/>
        </w:trPr>
        <w:tc>
          <w:tcPr>
            <w:tcW w:w="8020" w:type="dxa"/>
            <w:vAlign w:val="bottom"/>
            <w:gridSpan w:val="16"/>
          </w:tcPr>
          <w:p>
            <w:pPr>
              <w:jc w:val="center"/>
              <w:ind w:left="3332"/>
              <w:spacing w:after="0"/>
              <w:rPr>
                <w:sz w:val="20"/>
                <w:szCs w:val="20"/>
                <w:color w:val="auto"/>
              </w:rPr>
            </w:pPr>
            <w:r>
              <w:rPr>
                <w:rFonts w:ascii="Arial" w:cs="Arial" w:eastAsia="Arial" w:hAnsi="Arial"/>
                <w:sz w:val="18"/>
                <w:szCs w:val="18"/>
                <w:b w:val="1"/>
                <w:bCs w:val="1"/>
                <w:color w:val="auto"/>
                <w:w w:val="97"/>
              </w:rPr>
              <w:t>NOTES TO CONSOLIDATED FINANCIAL STATEMENTS</w:t>
            </w:r>
          </w:p>
        </w:tc>
      </w:tr>
      <w:tr>
        <w:trPr>
          <w:trHeight w:val="216"/>
        </w:trPr>
        <w:tc>
          <w:tcPr>
            <w:tcW w:w="4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8"/>
          </w:tcPr>
          <w:p>
            <w:pPr>
              <w:jc w:val="center"/>
              <w:ind w:right="560"/>
              <w:spacing w:after="0"/>
              <w:rPr>
                <w:sz w:val="20"/>
                <w:szCs w:val="20"/>
                <w:color w:val="auto"/>
              </w:rPr>
            </w:pPr>
            <w:r>
              <w:rPr>
                <w:rFonts w:ascii="Arial" w:cs="Arial" w:eastAsia="Arial" w:hAnsi="Arial"/>
                <w:sz w:val="18"/>
                <w:szCs w:val="18"/>
                <w:color w:val="auto"/>
                <w:w w:val="91"/>
              </w:rPr>
              <w:t>(Unaudited)</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2"/>
        </w:trPr>
        <w:tc>
          <w:tcPr>
            <w:tcW w:w="8020" w:type="dxa"/>
            <w:vAlign w:val="bottom"/>
            <w:gridSpan w:val="16"/>
          </w:tcPr>
          <w:p>
            <w:pPr>
              <w:jc w:val="center"/>
              <w:ind w:left="3332"/>
              <w:spacing w:after="0"/>
              <w:rPr>
                <w:sz w:val="20"/>
                <w:szCs w:val="20"/>
                <w:color w:val="auto"/>
              </w:rPr>
            </w:pPr>
            <w:r>
              <w:rPr>
                <w:rFonts w:ascii="Arial" w:cs="Arial" w:eastAsia="Arial" w:hAnsi="Arial"/>
                <w:sz w:val="18"/>
                <w:szCs w:val="18"/>
                <w:color w:val="auto"/>
                <w:w w:val="85"/>
              </w:rPr>
              <w:t>(In thousands, except share and per share data)</w:t>
            </w:r>
          </w:p>
        </w:tc>
      </w:tr>
      <w:tr>
        <w:trPr>
          <w:trHeight w:val="608"/>
        </w:trPr>
        <w:tc>
          <w:tcPr>
            <w:tcW w:w="4600" w:type="dxa"/>
            <w:vAlign w:val="bottom"/>
          </w:tcPr>
          <w:p>
            <w:pPr>
              <w:spacing w:after="0"/>
              <w:rPr>
                <w:sz w:val="20"/>
                <w:szCs w:val="20"/>
                <w:color w:val="auto"/>
              </w:rPr>
            </w:pPr>
            <w:r>
              <w:rPr>
                <w:rFonts w:ascii="Arial" w:cs="Arial" w:eastAsia="Arial" w:hAnsi="Arial"/>
                <w:sz w:val="18"/>
                <w:szCs w:val="18"/>
                <w:b w:val="1"/>
                <w:bCs w:val="1"/>
                <w:color w:val="auto"/>
                <w:w w:val="99"/>
              </w:rPr>
              <w:t xml:space="preserve">(3) GOODWILL AND INTANGIBLE ASSETS </w:t>
            </w:r>
            <w:r>
              <w:rPr>
                <w:rFonts w:ascii="Arial" w:cs="Arial" w:eastAsia="Arial" w:hAnsi="Arial"/>
                <w:sz w:val="18"/>
                <w:szCs w:val="18"/>
                <w:color w:val="auto"/>
                <w:w w:val="99"/>
              </w:rPr>
              <w:t>(Continued)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26"/>
        </w:trPr>
        <w:tc>
          <w:tcPr>
            <w:tcW w:w="4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i w:val="1"/>
                <w:iCs w:val="1"/>
                <w:color w:val="auto"/>
                <w:w w:val="90"/>
              </w:rPr>
              <w:t>June 30, 2014</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58"/>
        </w:trPr>
        <w:tc>
          <w:tcPr>
            <w:tcW w:w="4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gridSpan w:val="3"/>
          </w:tcPr>
          <w:p>
            <w:pPr>
              <w:jc w:val="center"/>
              <w:ind w:right="160"/>
              <w:spacing w:after="0"/>
              <w:rPr>
                <w:sz w:val="20"/>
                <w:szCs w:val="20"/>
                <w:color w:val="auto"/>
              </w:rPr>
            </w:pPr>
            <w:r>
              <w:rPr>
                <w:rFonts w:ascii="Arial" w:cs="Arial" w:eastAsia="Arial" w:hAnsi="Arial"/>
                <w:sz w:val="12"/>
                <w:szCs w:val="12"/>
                <w:b w:val="1"/>
                <w:bCs w:val="1"/>
                <w:i w:val="1"/>
                <w:iCs w:val="1"/>
                <w:color w:val="auto"/>
                <w:w w:val="80"/>
              </w:rPr>
              <w:t>Gross</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3"/>
          </w:tcPr>
          <w:p>
            <w:pPr>
              <w:jc w:val="center"/>
              <w:ind w:right="940"/>
              <w:spacing w:after="0" w:line="158" w:lineRule="exact"/>
              <w:rPr>
                <w:sz w:val="20"/>
                <w:szCs w:val="20"/>
                <w:color w:val="auto"/>
              </w:rPr>
            </w:pPr>
            <w:r>
              <w:rPr>
                <w:rFonts w:ascii="Arial" w:cs="Arial" w:eastAsia="Arial" w:hAnsi="Arial"/>
                <w:sz w:val="14"/>
                <w:szCs w:val="14"/>
                <w:b w:val="1"/>
                <w:bCs w:val="1"/>
                <w:i w:val="1"/>
                <w:iCs w:val="1"/>
                <w:color w:val="auto"/>
                <w:w w:val="79"/>
              </w:rPr>
              <w:t>Net</w:t>
            </w:r>
          </w:p>
        </w:tc>
      </w:tr>
      <w:tr>
        <w:trPr>
          <w:trHeight w:val="149"/>
        </w:trPr>
        <w:tc>
          <w:tcPr>
            <w:tcW w:w="4600" w:type="dxa"/>
            <w:vAlign w:val="bottom"/>
          </w:tcPr>
          <w:p>
            <w:pPr>
              <w:spacing w:after="0"/>
              <w:rPr>
                <w:sz w:val="12"/>
                <w:szCs w:val="12"/>
                <w:color w:val="auto"/>
              </w:rPr>
            </w:pPr>
          </w:p>
        </w:tc>
        <w:tc>
          <w:tcPr>
            <w:tcW w:w="1100" w:type="dxa"/>
            <w:vAlign w:val="bottom"/>
            <w:gridSpan w:val="5"/>
          </w:tcPr>
          <w:p>
            <w:pPr>
              <w:jc w:val="center"/>
              <w:ind w:left="356"/>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c>
          <w:tcPr>
            <w:tcW w:w="1020" w:type="dxa"/>
            <w:vAlign w:val="bottom"/>
            <w:gridSpan w:val="5"/>
          </w:tcPr>
          <w:p>
            <w:pPr>
              <w:jc w:val="right"/>
              <w:ind w:right="180"/>
              <w:spacing w:after="0" w:line="149" w:lineRule="exact"/>
              <w:rPr>
                <w:sz w:val="20"/>
                <w:szCs w:val="20"/>
                <w:color w:val="auto"/>
              </w:rPr>
            </w:pPr>
            <w:r>
              <w:rPr>
                <w:rFonts w:ascii="Arial" w:cs="Arial" w:eastAsia="Arial" w:hAnsi="Arial"/>
                <w:sz w:val="14"/>
                <w:szCs w:val="14"/>
                <w:b w:val="1"/>
                <w:bCs w:val="1"/>
                <w:i w:val="1"/>
                <w:iCs w:val="1"/>
                <w:color w:val="auto"/>
                <w:w w:val="93"/>
              </w:rPr>
              <w:t>Accumulated</w:t>
            </w:r>
          </w:p>
        </w:tc>
        <w:tc>
          <w:tcPr>
            <w:tcW w:w="1300" w:type="dxa"/>
            <w:vAlign w:val="bottom"/>
            <w:gridSpan w:val="5"/>
          </w:tcPr>
          <w:p>
            <w:pPr>
              <w:jc w:val="center"/>
              <w:ind w:right="800"/>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r>
      <w:tr>
        <w:trPr>
          <w:trHeight w:val="146"/>
        </w:trPr>
        <w:tc>
          <w:tcPr>
            <w:tcW w:w="4600" w:type="dxa"/>
            <w:vAlign w:val="bottom"/>
          </w:tcPr>
          <w:p>
            <w:pPr>
              <w:spacing w:after="0"/>
              <w:rPr>
                <w:sz w:val="12"/>
                <w:szCs w:val="12"/>
                <w:color w:val="auto"/>
              </w:rPr>
            </w:pPr>
          </w:p>
        </w:tc>
        <w:tc>
          <w:tcPr>
            <w:tcW w:w="1100" w:type="dxa"/>
            <w:vAlign w:val="bottom"/>
            <w:gridSpan w:val="5"/>
          </w:tcPr>
          <w:p>
            <w:pPr>
              <w:jc w:val="center"/>
              <w:ind w:left="376"/>
              <w:spacing w:after="0" w:line="146" w:lineRule="exact"/>
              <w:rPr>
                <w:sz w:val="20"/>
                <w:szCs w:val="20"/>
                <w:color w:val="auto"/>
              </w:rPr>
            </w:pPr>
            <w:r>
              <w:rPr>
                <w:rFonts w:ascii="Arial" w:cs="Arial" w:eastAsia="Arial" w:hAnsi="Arial"/>
                <w:sz w:val="14"/>
                <w:szCs w:val="14"/>
                <w:b w:val="1"/>
                <w:bCs w:val="1"/>
                <w:i w:val="1"/>
                <w:iCs w:val="1"/>
                <w:color w:val="auto"/>
                <w:w w:val="83"/>
              </w:rPr>
              <w:t>Amount</w:t>
            </w:r>
          </w:p>
        </w:tc>
        <w:tc>
          <w:tcPr>
            <w:tcW w:w="120" w:type="dxa"/>
            <w:vAlign w:val="bottom"/>
          </w:tcPr>
          <w:p>
            <w:pPr>
              <w:spacing w:after="0"/>
              <w:rPr>
                <w:sz w:val="12"/>
                <w:szCs w:val="12"/>
                <w:color w:val="auto"/>
              </w:rPr>
            </w:pPr>
          </w:p>
        </w:tc>
        <w:tc>
          <w:tcPr>
            <w:tcW w:w="900" w:type="dxa"/>
            <w:vAlign w:val="bottom"/>
            <w:gridSpan w:val="4"/>
          </w:tcPr>
          <w:p>
            <w:pPr>
              <w:jc w:val="right"/>
              <w:ind w:right="180"/>
              <w:spacing w:after="0" w:line="146" w:lineRule="exact"/>
              <w:rPr>
                <w:sz w:val="20"/>
                <w:szCs w:val="20"/>
                <w:color w:val="auto"/>
              </w:rPr>
            </w:pPr>
            <w:r>
              <w:rPr>
                <w:rFonts w:ascii="Arial" w:cs="Arial" w:eastAsia="Arial" w:hAnsi="Arial"/>
                <w:sz w:val="14"/>
                <w:szCs w:val="14"/>
                <w:b w:val="1"/>
                <w:bCs w:val="1"/>
                <w:i w:val="1"/>
                <w:iCs w:val="1"/>
                <w:color w:val="auto"/>
                <w:w w:val="81"/>
              </w:rPr>
              <w:t>Amortization</w:t>
            </w:r>
          </w:p>
        </w:tc>
        <w:tc>
          <w:tcPr>
            <w:tcW w:w="40" w:type="dxa"/>
            <w:vAlign w:val="bottom"/>
          </w:tcPr>
          <w:p>
            <w:pPr>
              <w:spacing w:after="0"/>
              <w:rPr>
                <w:sz w:val="12"/>
                <w:szCs w:val="12"/>
                <w:color w:val="auto"/>
              </w:rPr>
            </w:pPr>
          </w:p>
        </w:tc>
        <w:tc>
          <w:tcPr>
            <w:tcW w:w="1260" w:type="dxa"/>
            <w:vAlign w:val="bottom"/>
            <w:gridSpan w:val="4"/>
          </w:tcPr>
          <w:p>
            <w:pPr>
              <w:jc w:val="center"/>
              <w:ind w:right="820"/>
              <w:spacing w:after="0" w:line="146" w:lineRule="exact"/>
              <w:rPr>
                <w:sz w:val="20"/>
                <w:szCs w:val="20"/>
                <w:color w:val="auto"/>
              </w:rPr>
            </w:pPr>
            <w:r>
              <w:rPr>
                <w:rFonts w:ascii="Arial" w:cs="Arial" w:eastAsia="Arial" w:hAnsi="Arial"/>
                <w:sz w:val="14"/>
                <w:szCs w:val="14"/>
                <w:b w:val="1"/>
                <w:bCs w:val="1"/>
                <w:i w:val="1"/>
                <w:iCs w:val="1"/>
                <w:color w:val="auto"/>
                <w:w w:val="83"/>
              </w:rPr>
              <w:t>Amount</w:t>
            </w:r>
          </w:p>
        </w:tc>
      </w:tr>
      <w:tr>
        <w:trPr>
          <w:trHeight w:val="235"/>
        </w:trPr>
        <w:tc>
          <w:tcPr>
            <w:tcW w:w="4600" w:type="dxa"/>
            <w:vAlign w:val="bottom"/>
          </w:tcPr>
          <w:p>
            <w:pPr>
              <w:ind w:left="1100"/>
              <w:spacing w:after="0"/>
              <w:rPr>
                <w:sz w:val="20"/>
                <w:szCs w:val="20"/>
                <w:color w:val="auto"/>
              </w:rPr>
            </w:pPr>
            <w:r>
              <w:rPr>
                <w:rFonts w:ascii="Arial" w:cs="Arial" w:eastAsia="Arial" w:hAnsi="Arial"/>
                <w:sz w:val="18"/>
                <w:szCs w:val="18"/>
                <w:color w:val="auto"/>
              </w:rPr>
              <w:t>Finite-lived intangible assets:</w:t>
            </w:r>
          </w:p>
        </w:tc>
        <w:tc>
          <w:tcPr>
            <w:tcW w:w="5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59"/>
        </w:trPr>
        <w:tc>
          <w:tcPr>
            <w:tcW w:w="4600" w:type="dxa"/>
            <w:vAlign w:val="bottom"/>
          </w:tcPr>
          <w:p>
            <w:pPr>
              <w:ind w:left="1240"/>
              <w:spacing w:after="0"/>
              <w:rPr>
                <w:sz w:val="20"/>
                <w:szCs w:val="20"/>
                <w:color w:val="auto"/>
              </w:rPr>
            </w:pPr>
            <w:r>
              <w:rPr>
                <w:rFonts w:ascii="Arial" w:cs="Arial" w:eastAsia="Arial" w:hAnsi="Arial"/>
                <w:sz w:val="18"/>
                <w:szCs w:val="18"/>
                <w:color w:val="auto"/>
              </w:rPr>
              <w:t>Customer relationships</w:t>
            </w:r>
          </w:p>
        </w:tc>
        <w:tc>
          <w:tcPr>
            <w:tcW w:w="1100" w:type="dxa"/>
            <w:vAlign w:val="bottom"/>
            <w:gridSpan w:val="5"/>
          </w:tcPr>
          <w:p>
            <w:pPr>
              <w:jc w:val="right"/>
              <w:spacing w:after="0"/>
              <w:rPr>
                <w:sz w:val="20"/>
                <w:szCs w:val="20"/>
                <w:color w:val="auto"/>
              </w:rPr>
            </w:pPr>
            <w:r>
              <w:rPr>
                <w:rFonts w:ascii="Arial" w:cs="Arial" w:eastAsia="Arial" w:hAnsi="Arial"/>
                <w:sz w:val="18"/>
                <w:szCs w:val="18"/>
                <w:color w:val="auto"/>
              </w:rPr>
              <w:t>$1,480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860</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740"/>
              <w:spacing w:after="0"/>
              <w:rPr>
                <w:sz w:val="20"/>
                <w:szCs w:val="20"/>
                <w:color w:val="auto"/>
              </w:rPr>
            </w:pPr>
            <w:r>
              <w:rPr>
                <w:rFonts w:ascii="Arial" w:cs="Arial" w:eastAsia="Arial" w:hAnsi="Arial"/>
                <w:sz w:val="18"/>
                <w:szCs w:val="18"/>
                <w:color w:val="auto"/>
              </w:rPr>
              <w:t>620</w:t>
            </w:r>
          </w:p>
        </w:tc>
      </w:tr>
      <w:tr>
        <w:trPr>
          <w:trHeight w:val="459"/>
        </w:trPr>
        <w:tc>
          <w:tcPr>
            <w:tcW w:w="4600" w:type="dxa"/>
            <w:vAlign w:val="bottom"/>
          </w:tcPr>
          <w:p>
            <w:pPr>
              <w:ind w:left="1240"/>
              <w:spacing w:after="0"/>
              <w:rPr>
                <w:sz w:val="20"/>
                <w:szCs w:val="20"/>
                <w:color w:val="auto"/>
              </w:rPr>
            </w:pPr>
            <w:r>
              <w:rPr>
                <w:rFonts w:ascii="Arial" w:cs="Arial" w:eastAsia="Arial" w:hAnsi="Arial"/>
                <w:sz w:val="18"/>
                <w:szCs w:val="18"/>
                <w:color w:val="auto"/>
              </w:rPr>
              <w:t>Patented technology</w:t>
            </w:r>
          </w:p>
        </w:tc>
        <w:tc>
          <w:tcPr>
            <w:tcW w:w="1100" w:type="dxa"/>
            <w:vAlign w:val="bottom"/>
            <w:gridSpan w:val="5"/>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326</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3"/>
          </w:tcPr>
          <w:p>
            <w:pPr>
              <w:jc w:val="right"/>
              <w:ind w:right="740"/>
              <w:spacing w:after="0"/>
              <w:rPr>
                <w:sz w:val="20"/>
                <w:szCs w:val="20"/>
                <w:color w:val="auto"/>
              </w:rPr>
            </w:pPr>
            <w:r>
              <w:rPr>
                <w:rFonts w:ascii="Arial" w:cs="Arial" w:eastAsia="Arial" w:hAnsi="Arial"/>
                <w:sz w:val="18"/>
                <w:szCs w:val="18"/>
                <w:color w:val="auto"/>
              </w:rPr>
              <w:t>264</w:t>
            </w:r>
          </w:p>
        </w:tc>
      </w:tr>
      <w:tr>
        <w:trPr>
          <w:trHeight w:val="459"/>
        </w:trPr>
        <w:tc>
          <w:tcPr>
            <w:tcW w:w="4600" w:type="dxa"/>
            <w:vAlign w:val="bottom"/>
          </w:tcPr>
          <w:p>
            <w:pPr>
              <w:ind w:left="1240"/>
              <w:spacing w:after="0"/>
              <w:rPr>
                <w:sz w:val="20"/>
                <w:szCs w:val="20"/>
                <w:color w:val="auto"/>
              </w:rPr>
            </w:pPr>
            <w:r>
              <w:rPr>
                <w:rFonts w:ascii="Arial" w:cs="Arial" w:eastAsia="Arial" w:hAnsi="Arial"/>
                <w:sz w:val="18"/>
                <w:szCs w:val="18"/>
                <w:color w:val="auto"/>
              </w:rPr>
              <w:t>Software</w:t>
            </w:r>
          </w:p>
        </w:tc>
        <w:tc>
          <w:tcPr>
            <w:tcW w:w="1100" w:type="dxa"/>
            <w:vAlign w:val="bottom"/>
            <w:gridSpan w:val="5"/>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155</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3"/>
          </w:tcPr>
          <w:p>
            <w:pPr>
              <w:jc w:val="right"/>
              <w:ind w:right="740"/>
              <w:spacing w:after="0"/>
              <w:rPr>
                <w:sz w:val="20"/>
                <w:szCs w:val="20"/>
                <w:color w:val="auto"/>
              </w:rPr>
            </w:pPr>
            <w:r>
              <w:rPr>
                <w:rFonts w:ascii="Arial" w:cs="Arial" w:eastAsia="Arial" w:hAnsi="Arial"/>
                <w:sz w:val="18"/>
                <w:szCs w:val="18"/>
                <w:color w:val="auto"/>
              </w:rPr>
              <w:t>115</w:t>
            </w:r>
          </w:p>
        </w:tc>
      </w:tr>
      <w:tr>
        <w:trPr>
          <w:trHeight w:val="459"/>
        </w:trPr>
        <w:tc>
          <w:tcPr>
            <w:tcW w:w="4600" w:type="dxa"/>
            <w:vAlign w:val="bottom"/>
          </w:tcPr>
          <w:p>
            <w:pPr>
              <w:ind w:left="1240"/>
              <w:spacing w:after="0"/>
              <w:rPr>
                <w:sz w:val="20"/>
                <w:szCs w:val="20"/>
                <w:color w:val="auto"/>
              </w:rPr>
            </w:pPr>
            <w:r>
              <w:rPr>
                <w:rFonts w:ascii="Arial" w:cs="Arial" w:eastAsia="Arial" w:hAnsi="Arial"/>
                <w:sz w:val="18"/>
                <w:szCs w:val="18"/>
                <w:color w:val="auto"/>
              </w:rPr>
              <w:t>Trade name</w:t>
            </w:r>
          </w:p>
        </w:tc>
        <w:tc>
          <w:tcPr>
            <w:tcW w:w="1100" w:type="dxa"/>
            <w:vAlign w:val="bottom"/>
            <w:gridSpan w:val="5"/>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3"/>
          </w:tcPr>
          <w:p>
            <w:pPr>
              <w:jc w:val="right"/>
              <w:ind w:right="740"/>
              <w:spacing w:after="0"/>
              <w:rPr>
                <w:sz w:val="20"/>
                <w:szCs w:val="20"/>
                <w:color w:val="auto"/>
              </w:rPr>
            </w:pPr>
            <w:r>
              <w:rPr>
                <w:rFonts w:ascii="Arial" w:cs="Arial" w:eastAsia="Arial" w:hAnsi="Arial"/>
                <w:sz w:val="18"/>
                <w:szCs w:val="18"/>
                <w:color w:val="auto"/>
              </w:rPr>
              <w:t>54</w:t>
            </w:r>
          </w:p>
        </w:tc>
      </w:tr>
      <w:tr>
        <w:trPr>
          <w:trHeight w:val="459"/>
        </w:trPr>
        <w:tc>
          <w:tcPr>
            <w:tcW w:w="4600" w:type="dxa"/>
            <w:vAlign w:val="bottom"/>
          </w:tcPr>
          <w:p>
            <w:pPr>
              <w:ind w:left="1240"/>
              <w:spacing w:after="0"/>
              <w:rPr>
                <w:sz w:val="20"/>
                <w:szCs w:val="20"/>
                <w:color w:val="auto"/>
              </w:rPr>
            </w:pPr>
            <w:r>
              <w:rPr>
                <w:rFonts w:ascii="Arial" w:cs="Arial" w:eastAsia="Arial" w:hAnsi="Arial"/>
                <w:sz w:val="18"/>
                <w:szCs w:val="18"/>
                <w:color w:val="auto"/>
              </w:rPr>
              <w:t>Customer backlog</w:t>
            </w:r>
          </w:p>
        </w:tc>
        <w:tc>
          <w:tcPr>
            <w:tcW w:w="1100" w:type="dxa"/>
            <w:vAlign w:val="bottom"/>
            <w:gridSpan w:val="5"/>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r>
      <w:tr>
        <w:trPr>
          <w:trHeight w:val="421"/>
        </w:trPr>
        <w:tc>
          <w:tcPr>
            <w:tcW w:w="4600" w:type="dxa"/>
            <w:vAlign w:val="bottom"/>
          </w:tcPr>
          <w:p>
            <w:pPr>
              <w:ind w:left="1240"/>
              <w:spacing w:after="0"/>
              <w:rPr>
                <w:sz w:val="20"/>
                <w:szCs w:val="20"/>
                <w:color w:val="auto"/>
              </w:rPr>
            </w:pPr>
            <w:r>
              <w:rPr>
                <w:rFonts w:ascii="Arial" w:cs="Arial" w:eastAsia="Arial" w:hAnsi="Arial"/>
                <w:sz w:val="18"/>
                <w:szCs w:val="18"/>
                <w:color w:val="auto"/>
              </w:rPr>
              <w:t>Non-compete/non-solicitation agreement</w:t>
            </w:r>
          </w:p>
        </w:tc>
        <w:tc>
          <w:tcPr>
            <w:tcW w:w="660" w:type="dxa"/>
            <w:vAlign w:val="bottom"/>
            <w:gridSpan w:val="2"/>
          </w:tcPr>
          <w:p>
            <w:pPr>
              <w:spacing w:after="0"/>
              <w:rPr>
                <w:sz w:val="24"/>
                <w:szCs w:val="24"/>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r>
      <w:tr>
        <w:trPr>
          <w:trHeight w:val="20"/>
        </w:trPr>
        <w:tc>
          <w:tcPr>
            <w:tcW w:w="46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39"/>
        </w:trPr>
        <w:tc>
          <w:tcPr>
            <w:tcW w:w="4600" w:type="dxa"/>
            <w:vAlign w:val="bottom"/>
          </w:tcPr>
          <w:p>
            <w:pPr>
              <w:ind w:left="1100"/>
              <w:spacing w:after="0"/>
              <w:rPr>
                <w:sz w:val="20"/>
                <w:szCs w:val="20"/>
                <w:color w:val="auto"/>
              </w:rPr>
            </w:pPr>
            <w:r>
              <w:rPr>
                <w:rFonts w:ascii="Arial" w:cs="Arial" w:eastAsia="Arial" w:hAnsi="Arial"/>
                <w:sz w:val="18"/>
                <w:szCs w:val="18"/>
                <w:color w:val="auto"/>
              </w:rPr>
              <w:t>Total finite-lived intangible assets</w:t>
            </w:r>
          </w:p>
        </w:tc>
        <w:tc>
          <w:tcPr>
            <w:tcW w:w="660" w:type="dxa"/>
            <w:vAlign w:val="bottom"/>
            <w:gridSpan w:val="2"/>
          </w:tcPr>
          <w:p>
            <w:pPr>
              <w:spacing w:after="0"/>
              <w:rPr>
                <w:sz w:val="24"/>
                <w:szCs w:val="24"/>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3"/>
              </w:rPr>
              <w:t>2,598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79"/>
              </w:rPr>
              <w:t>1,545</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3"/>
          </w:tcPr>
          <w:p>
            <w:pPr>
              <w:jc w:val="right"/>
              <w:ind w:right="740"/>
              <w:spacing w:after="0"/>
              <w:rPr>
                <w:sz w:val="20"/>
                <w:szCs w:val="20"/>
                <w:color w:val="auto"/>
              </w:rPr>
            </w:pPr>
            <w:r>
              <w:rPr>
                <w:rFonts w:ascii="Arial" w:cs="Arial" w:eastAsia="Arial" w:hAnsi="Arial"/>
                <w:sz w:val="18"/>
                <w:szCs w:val="18"/>
                <w:color w:val="auto"/>
                <w:w w:val="79"/>
              </w:rPr>
              <w:t>1,053</w:t>
            </w:r>
          </w:p>
        </w:tc>
      </w:tr>
      <w:tr>
        <w:trPr>
          <w:trHeight w:val="478"/>
        </w:trPr>
        <w:tc>
          <w:tcPr>
            <w:tcW w:w="4600" w:type="dxa"/>
            <w:vAlign w:val="bottom"/>
          </w:tcPr>
          <w:p>
            <w:pPr>
              <w:ind w:left="1100"/>
              <w:spacing w:after="0"/>
              <w:rPr>
                <w:sz w:val="20"/>
                <w:szCs w:val="20"/>
                <w:color w:val="auto"/>
              </w:rPr>
            </w:pPr>
            <w:r>
              <w:rPr>
                <w:rFonts w:ascii="Arial" w:cs="Arial" w:eastAsia="Arial" w:hAnsi="Arial"/>
                <w:sz w:val="18"/>
                <w:szCs w:val="18"/>
                <w:color w:val="auto"/>
              </w:rPr>
              <w:t>Indefinite-lived intangible assets: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r>
      <w:tr>
        <w:trPr>
          <w:trHeight w:val="421"/>
        </w:trPr>
        <w:tc>
          <w:tcPr>
            <w:tcW w:w="4600" w:type="dxa"/>
            <w:vAlign w:val="bottom"/>
          </w:tcPr>
          <w:p>
            <w:pPr>
              <w:ind w:left="1240"/>
              <w:spacing w:after="0"/>
              <w:rPr>
                <w:sz w:val="20"/>
                <w:szCs w:val="20"/>
                <w:color w:val="auto"/>
              </w:rPr>
            </w:pPr>
            <w:r>
              <w:rPr>
                <w:rFonts w:ascii="Arial" w:cs="Arial" w:eastAsia="Arial" w:hAnsi="Arial"/>
                <w:sz w:val="18"/>
                <w:szCs w:val="18"/>
                <w:color w:val="auto"/>
              </w:rPr>
              <w:t>Sigma trademark</w:t>
            </w:r>
          </w:p>
        </w:tc>
        <w:tc>
          <w:tcPr>
            <w:tcW w:w="660" w:type="dxa"/>
            <w:vAlign w:val="bottom"/>
            <w:gridSpan w:val="2"/>
          </w:tcPr>
          <w:p>
            <w:pPr>
              <w:spacing w:after="0"/>
              <w:rPr>
                <w:sz w:val="24"/>
                <w:szCs w:val="24"/>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3"/>
          </w:tcPr>
          <w:p>
            <w:pPr>
              <w:jc w:val="right"/>
              <w:ind w:right="740"/>
              <w:spacing w:after="0"/>
              <w:rPr>
                <w:sz w:val="20"/>
                <w:szCs w:val="20"/>
                <w:color w:val="auto"/>
              </w:rPr>
            </w:pPr>
            <w:r>
              <w:rPr>
                <w:rFonts w:ascii="Arial" w:cs="Arial" w:eastAsia="Arial" w:hAnsi="Arial"/>
                <w:sz w:val="18"/>
                <w:szCs w:val="18"/>
                <w:color w:val="auto"/>
              </w:rPr>
              <w:t>510</w:t>
            </w:r>
          </w:p>
        </w:tc>
      </w:tr>
      <w:tr>
        <w:trPr>
          <w:trHeight w:val="20"/>
        </w:trPr>
        <w:tc>
          <w:tcPr>
            <w:tcW w:w="46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420" w:type="dxa"/>
            <w:vAlign w:val="bottom"/>
            <w:tcBorders>
              <w:right w:val="single" w:sz="8" w:color="auto"/>
            </w:tcBorders>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auto"/>
            </w:tcBorders>
            <w:gridSpan w:val="2"/>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39"/>
        </w:trPr>
        <w:tc>
          <w:tcPr>
            <w:tcW w:w="4600" w:type="dxa"/>
            <w:vAlign w:val="bottom"/>
          </w:tcPr>
          <w:p>
            <w:pPr>
              <w:ind w:left="1100"/>
              <w:spacing w:after="0"/>
              <w:rPr>
                <w:sz w:val="20"/>
                <w:szCs w:val="20"/>
                <w:color w:val="auto"/>
              </w:rPr>
            </w:pPr>
            <w:r>
              <w:rPr>
                <w:rFonts w:ascii="Arial" w:cs="Arial" w:eastAsia="Arial" w:hAnsi="Arial"/>
                <w:sz w:val="18"/>
                <w:szCs w:val="18"/>
                <w:color w:val="auto"/>
              </w:rPr>
              <w:t>Total intangible assets</w:t>
            </w:r>
          </w:p>
        </w:tc>
        <w:tc>
          <w:tcPr>
            <w:tcW w:w="110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3,108</w:t>
            </w:r>
          </w:p>
        </w:tc>
        <w:tc>
          <w:tcPr>
            <w:tcW w:w="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79"/>
              </w:rPr>
              <w:t>1,545</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3"/>
          </w:tcPr>
          <w:p>
            <w:pPr>
              <w:jc w:val="right"/>
              <w:ind w:right="740"/>
              <w:spacing w:after="0"/>
              <w:rPr>
                <w:sz w:val="20"/>
                <w:szCs w:val="20"/>
                <w:color w:val="auto"/>
              </w:rPr>
            </w:pPr>
            <w:r>
              <w:rPr>
                <w:rFonts w:ascii="Arial" w:cs="Arial" w:eastAsia="Arial" w:hAnsi="Arial"/>
                <w:sz w:val="18"/>
                <w:szCs w:val="18"/>
                <w:color w:val="auto"/>
                <w:w w:val="79"/>
              </w:rPr>
              <w:t>1,563</w:t>
            </w:r>
          </w:p>
        </w:tc>
      </w:tr>
      <w:tr>
        <w:trPr>
          <w:trHeight w:val="20"/>
        </w:trPr>
        <w:tc>
          <w:tcPr>
            <w:tcW w:w="4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4"/>
          <w:szCs w:val="14"/>
          <w:b w:val="1"/>
          <w:bCs w:val="1"/>
          <w:i w:val="1"/>
          <w:iCs w:val="1"/>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3473450</wp:posOffset>
            </wp:positionH>
            <wp:positionV relativeFrom="paragraph">
              <wp:posOffset>-8890</wp:posOffset>
            </wp:positionV>
            <wp:extent cx="8928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92810" cy="8890"/>
                    </a:xfrm>
                    <a:prstGeom prst="rect">
                      <a:avLst/>
                    </a:prstGeom>
                    <a:noFill/>
                  </pic:spPr>
                </pic:pic>
              </a:graphicData>
            </a:graphic>
          </wp:anchor>
        </w:drawing>
      </w:r>
    </w:p>
    <w:p>
      <w:pPr>
        <w:sectPr>
          <w:pgSz w:w="11900" w:h="16898" w:orient="portrait"/>
          <w:cols w:equalWidth="0" w:num="1">
            <w:col w:w="11400"/>
          </w:cols>
          <w:pgMar w:left="240" w:top="158" w:right="259" w:bottom="0" w:gutter="0" w:footer="0" w:header="0"/>
        </w:sectPr>
      </w:pPr>
    </w:p>
    <w:p>
      <w:pPr>
        <w:spacing w:after="0" w:line="14" w:lineRule="exact"/>
        <w:rPr>
          <w:sz w:val="20"/>
          <w:szCs w:val="20"/>
          <w:color w:val="auto"/>
        </w:rPr>
      </w:pPr>
    </w:p>
    <w:p>
      <w:pPr>
        <w:ind w:left="5220"/>
        <w:spacing w:after="0"/>
        <w:tabs>
          <w:tab w:leader="none" w:pos="6860" w:val="left"/>
        </w:tabs>
        <w:rPr>
          <w:sz w:val="20"/>
          <w:szCs w:val="20"/>
          <w:color w:val="auto"/>
        </w:rPr>
      </w:pPr>
      <w:r>
        <w:rPr>
          <w:rFonts w:ascii="Arial" w:cs="Arial" w:eastAsia="Arial" w:hAnsi="Arial"/>
          <w:sz w:val="14"/>
          <w:szCs w:val="14"/>
          <w:b w:val="1"/>
          <w:bCs w:val="1"/>
          <w:i w:val="1"/>
          <w:iCs w:val="1"/>
          <w:color w:val="auto"/>
        </w:rPr>
        <w:t>Gross</w:t>
      </w:r>
      <w:r>
        <w:rPr>
          <w:sz w:val="20"/>
          <w:szCs w:val="20"/>
          <w:color w:val="auto"/>
        </w:rPr>
        <w:tab/>
      </w:r>
      <w:r>
        <w:rPr>
          <w:rFonts w:ascii="Arial" w:cs="Arial" w:eastAsia="Arial" w:hAnsi="Arial"/>
          <w:sz w:val="14"/>
          <w:szCs w:val="14"/>
          <w:b w:val="1"/>
          <w:bCs w:val="1"/>
          <w:i w:val="1"/>
          <w:iCs w:val="1"/>
          <w:color w:val="auto"/>
        </w:rPr>
        <w:t>Net</w:t>
      </w:r>
    </w:p>
    <w:p>
      <w:pPr>
        <w:ind w:left="5120"/>
        <w:spacing w:after="0"/>
        <w:tabs>
          <w:tab w:leader="none" w:pos="5800" w:val="left"/>
          <w:tab w:leader="none" w:pos="6700" w:val="left"/>
        </w:tabs>
        <w:rPr>
          <w:sz w:val="20"/>
          <w:szCs w:val="20"/>
          <w:color w:val="auto"/>
        </w:rPr>
      </w:pPr>
      <w:r>
        <w:rPr>
          <w:rFonts w:ascii="Arial" w:cs="Arial" w:eastAsia="Arial" w:hAnsi="Arial"/>
          <w:sz w:val="14"/>
          <w:szCs w:val="14"/>
          <w:b w:val="1"/>
          <w:bCs w:val="1"/>
          <w:i w:val="1"/>
          <w:iCs w:val="1"/>
          <w:color w:val="auto"/>
        </w:rPr>
        <w:t>Carrying</w:t>
        <w:tab/>
        <w:t>Accumulated</w:t>
      </w:r>
      <w:r>
        <w:rPr>
          <w:sz w:val="20"/>
          <w:szCs w:val="20"/>
          <w:color w:val="auto"/>
        </w:rPr>
        <w:tab/>
      </w:r>
      <w:r>
        <w:rPr>
          <w:rFonts w:ascii="Arial" w:cs="Arial" w:eastAsia="Arial" w:hAnsi="Arial"/>
          <w:sz w:val="12"/>
          <w:szCs w:val="12"/>
          <w:b w:val="1"/>
          <w:bCs w:val="1"/>
          <w:i w:val="1"/>
          <w:iCs w:val="1"/>
          <w:color w:val="auto"/>
        </w:rPr>
        <w:t>Carrying</w:t>
      </w:r>
    </w:p>
    <w:p>
      <w:pPr>
        <w:sectPr>
          <w:pgSz w:w="11900" w:h="16898" w:orient="portrait"/>
          <w:cols w:equalWidth="0" w:num="1">
            <w:col w:w="11400"/>
          </w:cols>
          <w:pgMar w:left="240" w:top="158" w:right="259" w:bottom="0" w:gutter="0" w:footer="0" w:header="0"/>
          <w:type w:val="continuous"/>
        </w:sectPr>
      </w:pPr>
    </w:p>
    <w:bookmarkStart w:id="8" w:name="page9"/>
    <w:bookmarkEnd w:id="8"/>
    <w:tbl>
      <w:tblPr>
        <w:tblLayout w:type="fixed"/>
        <w:tblInd w:w="110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180" w:type="dxa"/>
            <w:vAlign w:val="bottom"/>
            <w:gridSpan w:val="5"/>
          </w:tcPr>
          <w:p>
            <w:pPr>
              <w:ind w:left="520"/>
              <w:spacing w:after="0"/>
              <w:rPr>
                <w:sz w:val="20"/>
                <w:szCs w:val="20"/>
                <w:color w:val="auto"/>
              </w:rPr>
            </w:pPr>
            <w:r>
              <w:rPr>
                <w:rFonts w:ascii="Arial" w:cs="Arial" w:eastAsia="Arial" w:hAnsi="Arial"/>
                <w:sz w:val="14"/>
                <w:szCs w:val="14"/>
                <w:b w:val="1"/>
                <w:bCs w:val="1"/>
                <w:i w:val="1"/>
                <w:iCs w:val="1"/>
                <w:color w:val="auto"/>
              </w:rPr>
              <w:t>Amount</w:t>
            </w:r>
          </w:p>
        </w:tc>
        <w:tc>
          <w:tcPr>
            <w:tcW w:w="94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Amortization</w:t>
            </w:r>
          </w:p>
        </w:tc>
        <w:tc>
          <w:tcPr>
            <w:tcW w:w="520" w:type="dxa"/>
            <w:vAlign w:val="bottom"/>
            <w:gridSpan w:val="4"/>
          </w:tcPr>
          <w:p>
            <w:pPr>
              <w:jc w:val="right"/>
              <w:ind w:right="80"/>
              <w:spacing w:after="0"/>
              <w:rPr>
                <w:sz w:val="20"/>
                <w:szCs w:val="20"/>
                <w:color w:val="auto"/>
              </w:rPr>
            </w:pPr>
            <w:r>
              <w:rPr>
                <w:rFonts w:ascii="Arial" w:cs="Arial" w:eastAsia="Arial" w:hAnsi="Arial"/>
                <w:sz w:val="14"/>
                <w:szCs w:val="14"/>
                <w:b w:val="1"/>
                <w:bCs w:val="1"/>
                <w:i w:val="1"/>
                <w:iCs w:val="1"/>
                <w:color w:val="auto"/>
                <w:w w:val="79"/>
              </w:rPr>
              <w:t>Amount</w:t>
            </w:r>
          </w:p>
        </w:tc>
      </w:tr>
      <w:tr>
        <w:trPr>
          <w:trHeight w:val="235"/>
        </w:trPr>
        <w:tc>
          <w:tcPr>
            <w:tcW w:w="3540" w:type="dxa"/>
            <w:vAlign w:val="bottom"/>
          </w:tcPr>
          <w:p>
            <w:pPr>
              <w:spacing w:after="0"/>
              <w:rPr>
                <w:sz w:val="20"/>
                <w:szCs w:val="20"/>
                <w:color w:val="auto"/>
              </w:rPr>
            </w:pPr>
            <w:r>
              <w:rPr>
                <w:rFonts w:ascii="Arial" w:cs="Arial" w:eastAsia="Arial" w:hAnsi="Arial"/>
                <w:sz w:val="18"/>
                <w:szCs w:val="18"/>
                <w:color w:val="auto"/>
              </w:rPr>
              <w:t>Finite-lived intangible assets:</w:t>
            </w:r>
          </w:p>
        </w:tc>
        <w:tc>
          <w:tcPr>
            <w:tcW w:w="5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354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$1,480</w:t>
            </w:r>
          </w:p>
        </w:tc>
        <w:tc>
          <w:tcPr>
            <w:tcW w:w="1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725</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755</w:t>
            </w:r>
          </w:p>
        </w:tc>
      </w:tr>
      <w:tr>
        <w:trPr>
          <w:trHeight w:val="459"/>
        </w:trPr>
        <w:tc>
          <w:tcPr>
            <w:tcW w:w="3540" w:type="dxa"/>
            <w:vAlign w:val="bottom"/>
          </w:tcPr>
          <w:p>
            <w:pPr>
              <w:ind w:left="140"/>
              <w:spacing w:after="0"/>
              <w:rPr>
                <w:sz w:val="20"/>
                <w:szCs w:val="20"/>
                <w:color w:val="auto"/>
              </w:rPr>
            </w:pPr>
            <w:r>
              <w:rPr>
                <w:rFonts w:ascii="Arial" w:cs="Arial" w:eastAsia="Arial" w:hAnsi="Arial"/>
                <w:sz w:val="18"/>
                <w:szCs w:val="18"/>
                <w:color w:val="auto"/>
              </w:rPr>
              <w:t>Patented technology</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307</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283</w:t>
            </w:r>
          </w:p>
        </w:tc>
      </w:tr>
      <w:tr>
        <w:trPr>
          <w:trHeight w:val="459"/>
        </w:trPr>
        <w:tc>
          <w:tcPr>
            <w:tcW w:w="3540" w:type="dxa"/>
            <w:vAlign w:val="bottom"/>
          </w:tcPr>
          <w:p>
            <w:pPr>
              <w:ind w:left="140"/>
              <w:spacing w:after="0"/>
              <w:rPr>
                <w:sz w:val="20"/>
                <w:szCs w:val="20"/>
                <w:color w:val="auto"/>
              </w:rPr>
            </w:pPr>
            <w:r>
              <w:rPr>
                <w:rFonts w:ascii="Arial" w:cs="Arial" w:eastAsia="Arial" w:hAnsi="Arial"/>
                <w:sz w:val="18"/>
                <w:szCs w:val="18"/>
                <w:color w:val="auto"/>
              </w:rPr>
              <w:t>Software</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142</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128</w:t>
            </w:r>
          </w:p>
        </w:tc>
      </w:tr>
      <w:tr>
        <w:trPr>
          <w:trHeight w:val="459"/>
        </w:trPr>
        <w:tc>
          <w:tcPr>
            <w:tcW w:w="3540" w:type="dxa"/>
            <w:vAlign w:val="bottom"/>
          </w:tcPr>
          <w:p>
            <w:pPr>
              <w:ind w:left="140"/>
              <w:spacing w:after="0"/>
              <w:rPr>
                <w:sz w:val="20"/>
                <w:szCs w:val="20"/>
                <w:color w:val="auto"/>
              </w:rPr>
            </w:pPr>
            <w:r>
              <w:rPr>
                <w:rFonts w:ascii="Arial" w:cs="Arial" w:eastAsia="Arial" w:hAnsi="Arial"/>
                <w:sz w:val="18"/>
                <w:szCs w:val="18"/>
                <w:color w:val="auto"/>
              </w:rPr>
              <w:t>Trade name</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72</w:t>
            </w:r>
          </w:p>
        </w:tc>
      </w:tr>
      <w:tr>
        <w:trPr>
          <w:trHeight w:val="459"/>
        </w:trPr>
        <w:tc>
          <w:tcPr>
            <w:tcW w:w="3540" w:type="dxa"/>
            <w:vAlign w:val="bottom"/>
          </w:tcPr>
          <w:p>
            <w:pPr>
              <w:ind w:left="140"/>
              <w:spacing w:after="0"/>
              <w:rPr>
                <w:sz w:val="20"/>
                <w:szCs w:val="20"/>
                <w:color w:val="auto"/>
              </w:rPr>
            </w:pPr>
            <w:r>
              <w:rPr>
                <w:rFonts w:ascii="Arial" w:cs="Arial" w:eastAsia="Arial" w:hAnsi="Arial"/>
                <w:sz w:val="18"/>
                <w:szCs w:val="18"/>
                <w:color w:val="auto"/>
              </w:rPr>
              <w:t>Customer backlog</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421"/>
        </w:trPr>
        <w:tc>
          <w:tcPr>
            <w:tcW w:w="3540" w:type="dxa"/>
            <w:vAlign w:val="bottom"/>
          </w:tcPr>
          <w:p>
            <w:pPr>
              <w:ind w:left="140"/>
              <w:spacing w:after="0"/>
              <w:rPr>
                <w:sz w:val="20"/>
                <w:szCs w:val="20"/>
                <w:color w:val="auto"/>
              </w:rPr>
            </w:pPr>
            <w:r>
              <w:rPr>
                <w:rFonts w:ascii="Arial" w:cs="Arial" w:eastAsia="Arial" w:hAnsi="Arial"/>
                <w:sz w:val="18"/>
                <w:szCs w:val="18"/>
                <w:color w:val="auto"/>
              </w:rPr>
              <w:t>Non-compete/non-solicitation agreement</w:t>
            </w:r>
          </w:p>
        </w:tc>
        <w:tc>
          <w:tcPr>
            <w:tcW w:w="620" w:type="dxa"/>
            <w:vAlign w:val="bottom"/>
            <w:gridSpan w:val="2"/>
          </w:tcPr>
          <w:p>
            <w:pPr>
              <w:spacing w:after="0"/>
              <w:rPr>
                <w:sz w:val="24"/>
                <w:szCs w:val="2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r>
      <w:tr>
        <w:trPr>
          <w:trHeight w:val="439"/>
        </w:trPr>
        <w:tc>
          <w:tcPr>
            <w:tcW w:w="354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2,598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79"/>
              </w:rPr>
              <w:t>1,360</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79"/>
              </w:rPr>
              <w:t>1,238</w:t>
            </w:r>
          </w:p>
        </w:tc>
      </w:tr>
      <w:tr>
        <w:trPr>
          <w:trHeight w:val="478"/>
        </w:trPr>
        <w:tc>
          <w:tcPr>
            <w:tcW w:w="354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r>
      <w:tr>
        <w:trPr>
          <w:trHeight w:val="421"/>
        </w:trPr>
        <w:tc>
          <w:tcPr>
            <w:tcW w:w="3540" w:type="dxa"/>
            <w:vAlign w:val="bottom"/>
          </w:tcPr>
          <w:p>
            <w:pPr>
              <w:ind w:left="140"/>
              <w:spacing w:after="0"/>
              <w:rPr>
                <w:sz w:val="20"/>
                <w:szCs w:val="20"/>
                <w:color w:val="auto"/>
              </w:rPr>
            </w:pPr>
            <w:r>
              <w:rPr>
                <w:rFonts w:ascii="Arial" w:cs="Arial" w:eastAsia="Arial" w:hAnsi="Arial"/>
                <w:sz w:val="18"/>
                <w:szCs w:val="18"/>
                <w:color w:val="auto"/>
              </w:rPr>
              <w:t>Sigma trademark</w:t>
            </w:r>
          </w:p>
        </w:tc>
        <w:tc>
          <w:tcPr>
            <w:tcW w:w="620" w:type="dxa"/>
            <w:vAlign w:val="bottom"/>
            <w:gridSpan w:val="2"/>
          </w:tcPr>
          <w:p>
            <w:pPr>
              <w:spacing w:after="0"/>
              <w:rPr>
                <w:sz w:val="24"/>
                <w:szCs w:val="2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510</w:t>
            </w:r>
          </w:p>
        </w:tc>
      </w:tr>
      <w:tr>
        <w:trPr>
          <w:trHeight w:val="439"/>
        </w:trPr>
        <w:tc>
          <w:tcPr>
            <w:tcW w:w="354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0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3,108</w:t>
            </w:r>
          </w:p>
        </w:tc>
        <w:tc>
          <w:tcPr>
            <w:tcW w:w="1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79"/>
              </w:rPr>
              <w:t>1,360</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79"/>
              </w:rPr>
              <w:t>1,748</w:t>
            </w:r>
          </w:p>
        </w:tc>
      </w:tr>
      <w:tr>
        <w:trPr>
          <w:trHeight w:val="20"/>
        </w:trPr>
        <w:tc>
          <w:tcPr>
            <w:tcW w:w="3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540" w:right="140"/>
        <w:spacing w:after="0" w:line="259" w:lineRule="auto"/>
        <w:rPr>
          <w:sz w:val="20"/>
          <w:szCs w:val="20"/>
          <w:color w:val="auto"/>
        </w:rPr>
      </w:pPr>
      <w:r>
        <w:rPr>
          <w:rFonts w:ascii="Arial" w:cs="Arial" w:eastAsia="Arial" w:hAnsi="Arial"/>
          <w:sz w:val="18"/>
          <w:szCs w:val="18"/>
          <w:color w:val="auto"/>
        </w:rPr>
        <w:t>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 None of our intangible assets have any residual value.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sets forth changes in the amount of the carrying value of intangible assets for the six months ended June 30, 2014:</w:t>
      </w:r>
    </w:p>
    <w:p>
      <w:pPr>
        <w:spacing w:after="0" w:line="239"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3760" w:type="dxa"/>
            <w:vAlign w:val="bottom"/>
          </w:tcPr>
          <w:p>
            <w:pPr>
              <w:spacing w:after="0"/>
              <w:rPr>
                <w:sz w:val="20"/>
                <w:szCs w:val="20"/>
                <w:color w:val="auto"/>
              </w:rPr>
            </w:pPr>
            <w:r>
              <w:rPr>
                <w:rFonts w:ascii="Arial" w:cs="Arial" w:eastAsia="Arial" w:hAnsi="Arial"/>
                <w:sz w:val="18"/>
                <w:szCs w:val="18"/>
                <w:color w:val="auto"/>
              </w:rPr>
              <w:t>Balance - January 1, 2014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$1,748</w:t>
            </w:r>
          </w:p>
        </w:tc>
        <w:tc>
          <w:tcPr>
            <w:tcW w:w="40" w:type="dxa"/>
            <w:vAlign w:val="bottom"/>
          </w:tcPr>
          <w:p>
            <w:pPr>
              <w:spacing w:after="0"/>
              <w:rPr>
                <w:sz w:val="19"/>
                <w:szCs w:val="19"/>
                <w:color w:val="auto"/>
              </w:rPr>
            </w:pPr>
          </w:p>
        </w:tc>
      </w:tr>
      <w:tr>
        <w:trPr>
          <w:trHeight w:val="421"/>
        </w:trPr>
        <w:tc>
          <w:tcPr>
            <w:tcW w:w="3760" w:type="dxa"/>
            <w:vAlign w:val="bottom"/>
          </w:tcPr>
          <w:p>
            <w:pPr>
              <w:spacing w:after="0"/>
              <w:rPr>
                <w:sz w:val="20"/>
                <w:szCs w:val="20"/>
                <w:color w:val="auto"/>
              </w:rPr>
            </w:pPr>
            <w:r>
              <w:rPr>
                <w:rFonts w:ascii="Arial" w:cs="Arial" w:eastAsia="Arial" w:hAnsi="Arial"/>
                <w:sz w:val="18"/>
                <w:szCs w:val="18"/>
                <w:color w:val="auto"/>
              </w:rPr>
              <w:t>Amortization</w:t>
            </w:r>
          </w:p>
        </w:tc>
        <w:tc>
          <w:tcPr>
            <w:tcW w:w="2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(185)</w:t>
            </w:r>
          </w:p>
        </w:tc>
      </w:tr>
      <w:tr>
        <w:trPr>
          <w:trHeight w:val="20"/>
        </w:trPr>
        <w:tc>
          <w:tcPr>
            <w:tcW w:w="3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3760" w:type="dxa"/>
            <w:vAlign w:val="bottom"/>
          </w:tcPr>
          <w:p>
            <w:pPr>
              <w:spacing w:after="0"/>
              <w:rPr>
                <w:sz w:val="20"/>
                <w:szCs w:val="20"/>
                <w:color w:val="auto"/>
              </w:rPr>
            </w:pPr>
            <w:r>
              <w:rPr>
                <w:rFonts w:ascii="Arial" w:cs="Arial" w:eastAsia="Arial" w:hAnsi="Arial"/>
                <w:sz w:val="18"/>
                <w:szCs w:val="18"/>
                <w:color w:val="auto"/>
              </w:rPr>
              <w:t>Balance - June 30, 2014</w:t>
            </w: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1,563</w:t>
            </w: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 GOODWILL AND INTANGIBLE ASSETS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Total amortization expense for the six months ended June 30, 2014 and 2013 was $185 and $232, respectively. The following table sets forth the estimated annual amortization expense for our finite-lived intangible assets for each of the next five years:</w:t>
      </w:r>
    </w:p>
    <w:p>
      <w:pPr>
        <w:spacing w:after="0" w:line="159" w:lineRule="exact"/>
        <w:rPr>
          <w:sz w:val="20"/>
          <w:szCs w:val="20"/>
          <w:color w:val="auto"/>
        </w:rPr>
      </w:pPr>
    </w:p>
    <w:tbl>
      <w:tblPr>
        <w:tblLayout w:type="fixed"/>
        <w:tblInd w:w="2180" w:type="dxa"/>
        <w:tblCellMar>
          <w:top w:w="0" w:type="dxa"/>
          <w:left w:w="0" w:type="dxa"/>
          <w:bottom w:w="0" w:type="dxa"/>
          <w:right w:w="0" w:type="dxa"/>
        </w:tblCellMar>
      </w:tblPr>
      <w:tr>
        <w:trPr>
          <w:trHeight w:val="222"/>
        </w:trPr>
        <w:tc>
          <w:tcPr>
            <w:tcW w:w="1920" w:type="dxa"/>
            <w:vAlign w:val="bottom"/>
          </w:tcPr>
          <w:p>
            <w:pPr>
              <w:spacing w:after="0"/>
              <w:rPr>
                <w:sz w:val="20"/>
                <w:szCs w:val="20"/>
                <w:color w:val="auto"/>
              </w:rPr>
            </w:pPr>
            <w:r>
              <w:rPr>
                <w:rFonts w:ascii="Arial" w:cs="Arial" w:eastAsia="Arial" w:hAnsi="Arial"/>
                <w:sz w:val="18"/>
                <w:szCs w:val="18"/>
                <w:color w:val="auto"/>
              </w:rPr>
              <w:t>2014 (remainder)</w:t>
            </w:r>
          </w:p>
        </w:tc>
        <w:tc>
          <w:tcPr>
            <w:tcW w:w="102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459"/>
        </w:trPr>
        <w:tc>
          <w:tcPr>
            <w:tcW w:w="1920" w:type="dxa"/>
            <w:vAlign w:val="bottom"/>
          </w:tcPr>
          <w:p>
            <w:pPr>
              <w:spacing w:after="0"/>
              <w:rPr>
                <w:sz w:val="20"/>
                <w:szCs w:val="20"/>
                <w:color w:val="auto"/>
              </w:rPr>
            </w:pPr>
            <w:r>
              <w:rPr>
                <w:rFonts w:ascii="Arial" w:cs="Arial" w:eastAsia="Arial" w:hAnsi="Arial"/>
                <w:sz w:val="18"/>
                <w:szCs w:val="18"/>
                <w:color w:val="auto"/>
              </w:rPr>
              <w:t>2015</w:t>
            </w:r>
          </w:p>
        </w:tc>
        <w:tc>
          <w:tcPr>
            <w:tcW w:w="102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459"/>
        </w:trPr>
        <w:tc>
          <w:tcPr>
            <w:tcW w:w="1920" w:type="dxa"/>
            <w:vAlign w:val="bottom"/>
          </w:tcPr>
          <w:p>
            <w:pPr>
              <w:spacing w:after="0"/>
              <w:rPr>
                <w:sz w:val="20"/>
                <w:szCs w:val="20"/>
                <w:color w:val="auto"/>
              </w:rPr>
            </w:pPr>
            <w:r>
              <w:rPr>
                <w:rFonts w:ascii="Arial" w:cs="Arial" w:eastAsia="Arial" w:hAnsi="Arial"/>
                <w:sz w:val="18"/>
                <w:szCs w:val="18"/>
                <w:color w:val="auto"/>
              </w:rPr>
              <w:t>2016</w:t>
            </w:r>
          </w:p>
        </w:tc>
        <w:tc>
          <w:tcPr>
            <w:tcW w:w="102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459"/>
        </w:trPr>
        <w:tc>
          <w:tcPr>
            <w:tcW w:w="1920" w:type="dxa"/>
            <w:vAlign w:val="bottom"/>
          </w:tcPr>
          <w:p>
            <w:pPr>
              <w:spacing w:after="0"/>
              <w:rPr>
                <w:sz w:val="20"/>
                <w:szCs w:val="20"/>
                <w:color w:val="auto"/>
              </w:rPr>
            </w:pPr>
            <w:r>
              <w:rPr>
                <w:rFonts w:ascii="Arial" w:cs="Arial" w:eastAsia="Arial" w:hAnsi="Arial"/>
                <w:sz w:val="18"/>
                <w:szCs w:val="18"/>
                <w:color w:val="auto"/>
              </w:rPr>
              <w:t>2017</w:t>
            </w:r>
          </w:p>
        </w:tc>
        <w:tc>
          <w:tcPr>
            <w:tcW w:w="102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459"/>
        </w:trPr>
        <w:tc>
          <w:tcPr>
            <w:tcW w:w="1920" w:type="dxa"/>
            <w:vAlign w:val="bottom"/>
          </w:tcPr>
          <w:p>
            <w:pPr>
              <w:spacing w:after="0"/>
              <w:rPr>
                <w:sz w:val="20"/>
                <w:szCs w:val="20"/>
                <w:color w:val="auto"/>
              </w:rPr>
            </w:pPr>
            <w:r>
              <w:rPr>
                <w:rFonts w:ascii="Arial" w:cs="Arial" w:eastAsia="Arial" w:hAnsi="Arial"/>
                <w:sz w:val="18"/>
                <w:szCs w:val="18"/>
                <w:color w:val="auto"/>
              </w:rPr>
              <w:t>2018</w:t>
            </w:r>
          </w:p>
        </w:tc>
        <w:tc>
          <w:tcPr>
            <w:tcW w:w="1020" w:type="dxa"/>
            <w:vAlign w:val="bottom"/>
          </w:tcPr>
          <w:p>
            <w:pPr>
              <w:jc w:val="right"/>
              <w:spacing w:after="0"/>
              <w:rPr>
                <w:sz w:val="20"/>
                <w:szCs w:val="20"/>
                <w:color w:val="auto"/>
              </w:rPr>
            </w:pPr>
            <w:r>
              <w:rPr>
                <w:rFonts w:ascii="Arial" w:cs="Arial" w:eastAsia="Arial" w:hAnsi="Arial"/>
                <w:sz w:val="18"/>
                <w:szCs w:val="18"/>
                <w:color w:val="auto"/>
              </w:rPr>
              <w:t>$ 65</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MAJOR CUSTOMERS</w:t>
      </w:r>
    </w:p>
    <w:p>
      <w:pPr>
        <w:spacing w:after="0" w:line="191" w:lineRule="exact"/>
        <w:rPr>
          <w:sz w:val="20"/>
          <w:szCs w:val="20"/>
          <w:color w:val="auto"/>
        </w:rPr>
      </w:pPr>
    </w:p>
    <w:p>
      <w:pPr>
        <w:ind w:left="540" w:right="160"/>
        <w:spacing w:after="0" w:line="294" w:lineRule="auto"/>
        <w:rPr>
          <w:sz w:val="20"/>
          <w:szCs w:val="20"/>
          <w:color w:val="auto"/>
        </w:rPr>
      </w:pPr>
      <w:r>
        <w:rPr>
          <w:rFonts w:ascii="Arial" w:cs="Arial" w:eastAsia="Arial" w:hAnsi="Arial"/>
          <w:sz w:val="16"/>
          <w:szCs w:val="16"/>
          <w:color w:val="auto"/>
        </w:rPr>
        <w:t>During the six months ended June 30, 2014 and 2013, Texas Instruments Incorporated accounted for 13% and 11%, respectively, of our consolidated net revenues. While all three of our operating segments sold products to this customer, these revenues were primarily generated by our Mechanical Products and our Electrical Products segments. During the six months ended June 30, 2014, Hakuto Co., Ltd., one of our distributors, accounted for 11% of our consolidated net revenues. These revenues were generated by our Thermal Products segment. No other customers accounted for 10% or more of our consolidated net revenues during the six months ended June 30, 2014 and 2013.</w:t>
      </w:r>
    </w:p>
    <w:p>
      <w:pPr>
        <w:sectPr>
          <w:pgSz w:w="11900" w:h="16838" w:orient="portrait"/>
          <w:cols w:equalWidth="0" w:num="1">
            <w:col w:w="11420"/>
          </w:cols>
          <w:pgMar w:left="240" w:top="114" w:right="239" w:bottom="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ectPr>
          <w:pgSz w:w="11900" w:h="16838" w:orient="portrait"/>
          <w:cols w:equalWidth="0" w:num="1">
            <w:col w:w="11420"/>
          </w:cols>
          <w:pgMar w:left="240" w:top="114" w:right="239" w:bottom="0" w:gutter="0" w:footer="0" w:header="0"/>
          <w:type w:val="continuous"/>
        </w:sectPr>
      </w:pPr>
    </w:p>
    <w:bookmarkStart w:id="9" w:name="page10"/>
    <w:bookmarkEnd w:id="9"/>
    <w:p>
      <w:pPr>
        <w:ind w:left="540"/>
        <w:spacing w:after="0"/>
        <w:rPr>
          <w:sz w:val="20"/>
          <w:szCs w:val="20"/>
          <w:color w:val="auto"/>
        </w:rPr>
      </w:pPr>
      <w:r>
        <w:rPr>
          <w:rFonts w:ascii="Arial" w:cs="Arial" w:eastAsia="Arial" w:hAnsi="Arial"/>
          <w:sz w:val="18"/>
          <w:szCs w:val="18"/>
          <w:color w:val="auto"/>
        </w:rPr>
        <w:t>Inventories held at June 30, 2014 and December 31, 2013 were comprised of the following:</w:t>
      </w:r>
    </w:p>
    <w:p>
      <w:pPr>
        <w:spacing w:after="0" w:line="183"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180" w:type="dxa"/>
            <w:vAlign w:val="bottom"/>
            <w:gridSpan w:val="4"/>
          </w:tcPr>
          <w:p>
            <w:pPr>
              <w:ind w:left="420"/>
              <w:spacing w:after="0"/>
              <w:rPr>
                <w:sz w:val="20"/>
                <w:szCs w:val="20"/>
                <w:color w:val="auto"/>
              </w:rPr>
            </w:pPr>
            <w:r>
              <w:rPr>
                <w:rFonts w:ascii="Arial" w:cs="Arial" w:eastAsia="Arial" w:hAnsi="Arial"/>
                <w:sz w:val="14"/>
                <w:szCs w:val="14"/>
                <w:b w:val="1"/>
                <w:bCs w:val="1"/>
                <w:i w:val="1"/>
                <w:iCs w:val="1"/>
                <w:color w:val="auto"/>
              </w:rPr>
              <w:t>June 30,</w:t>
            </w:r>
          </w:p>
        </w:tc>
        <w:tc>
          <w:tcPr>
            <w:tcW w:w="540" w:type="dxa"/>
            <w:vAlign w:val="bottom"/>
            <w:gridSpan w:val="3"/>
          </w:tcPr>
          <w:p>
            <w:pPr>
              <w:jc w:val="center"/>
              <w:ind w:right="40"/>
              <w:spacing w:after="0"/>
              <w:rPr>
                <w:sz w:val="20"/>
                <w:szCs w:val="20"/>
                <w:color w:val="auto"/>
              </w:rPr>
            </w:pPr>
            <w:r>
              <w:rPr>
                <w:rFonts w:ascii="Arial" w:cs="Arial" w:eastAsia="Arial" w:hAnsi="Arial"/>
                <w:sz w:val="14"/>
                <w:szCs w:val="14"/>
                <w:b w:val="1"/>
                <w:bCs w:val="1"/>
                <w:i w:val="1"/>
                <w:iCs w:val="1"/>
                <w:color w:val="auto"/>
                <w:w w:val="86"/>
              </w:rPr>
              <w:t>Dec. 31,</w:t>
            </w:r>
          </w:p>
        </w:tc>
      </w:tr>
      <w:tr>
        <w:trPr>
          <w:trHeight w:val="146"/>
        </w:trPr>
        <w:tc>
          <w:tcPr>
            <w:tcW w:w="2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Borders>
              <w:bottom w:val="single" w:sz="8" w:color="auto"/>
            </w:tcBorders>
            <w:gridSpan w:val="2"/>
          </w:tcPr>
          <w:p>
            <w:pPr>
              <w:jc w:val="right"/>
              <w:ind w:right="72"/>
              <w:spacing w:after="0" w:line="146" w:lineRule="exact"/>
              <w:rPr>
                <w:sz w:val="20"/>
                <w:szCs w:val="20"/>
                <w:color w:val="auto"/>
              </w:rPr>
            </w:pPr>
            <w:r>
              <w:rPr>
                <w:rFonts w:ascii="Arial" w:cs="Arial" w:eastAsia="Arial" w:hAnsi="Arial"/>
                <w:sz w:val="14"/>
                <w:szCs w:val="14"/>
                <w:b w:val="1"/>
                <w:bCs w:val="1"/>
                <w:i w:val="1"/>
                <w:iCs w:val="1"/>
                <w:color w:val="auto"/>
              </w:rPr>
              <w:t>2014</w:t>
            </w:r>
          </w:p>
        </w:tc>
        <w:tc>
          <w:tcPr>
            <w:tcW w:w="220" w:type="dxa"/>
            <w:vAlign w:val="bottom"/>
          </w:tcPr>
          <w:p>
            <w:pPr>
              <w:spacing w:after="0"/>
              <w:rPr>
                <w:sz w:val="12"/>
                <w:szCs w:val="12"/>
                <w:color w:val="auto"/>
              </w:rPr>
            </w:pPr>
          </w:p>
        </w:tc>
        <w:tc>
          <w:tcPr>
            <w:tcW w:w="480" w:type="dxa"/>
            <w:vAlign w:val="bottom"/>
            <w:tcBorders>
              <w:bottom w:val="single" w:sz="8" w:color="auto"/>
            </w:tcBorders>
            <w:gridSpan w:val="2"/>
          </w:tcPr>
          <w:p>
            <w:pPr>
              <w:jc w:val="right"/>
              <w:ind w:right="12"/>
              <w:spacing w:after="0" w:line="146" w:lineRule="exact"/>
              <w:rPr>
                <w:sz w:val="20"/>
                <w:szCs w:val="20"/>
                <w:color w:val="auto"/>
              </w:rPr>
            </w:pPr>
            <w:r>
              <w:rPr>
                <w:rFonts w:ascii="Arial" w:cs="Arial" w:eastAsia="Arial" w:hAnsi="Arial"/>
                <w:sz w:val="14"/>
                <w:szCs w:val="14"/>
                <w:b w:val="1"/>
                <w:bCs w:val="1"/>
                <w:i w:val="1"/>
                <w:iCs w:val="1"/>
                <w:color w:val="auto"/>
              </w:rPr>
              <w:t>2013</w:t>
            </w:r>
          </w:p>
        </w:tc>
        <w:tc>
          <w:tcPr>
            <w:tcW w:w="60" w:type="dxa"/>
            <w:vAlign w:val="bottom"/>
          </w:tcPr>
          <w:p>
            <w:pPr>
              <w:spacing w:after="0"/>
              <w:rPr>
                <w:sz w:val="12"/>
                <w:szCs w:val="12"/>
                <w:color w:val="auto"/>
              </w:rPr>
            </w:pPr>
          </w:p>
        </w:tc>
      </w:tr>
      <w:tr>
        <w:trPr>
          <w:trHeight w:val="235"/>
        </w:trPr>
        <w:tc>
          <w:tcPr>
            <w:tcW w:w="2500" w:type="dxa"/>
            <w:vAlign w:val="bottom"/>
          </w:tcPr>
          <w:p>
            <w:pPr>
              <w:spacing w:after="0"/>
              <w:rPr>
                <w:sz w:val="20"/>
                <w:szCs w:val="20"/>
                <w:color w:val="auto"/>
              </w:rPr>
            </w:pPr>
            <w:r>
              <w:rPr>
                <w:rFonts w:ascii="Arial" w:cs="Arial" w:eastAsia="Arial" w:hAnsi="Arial"/>
                <w:sz w:val="18"/>
                <w:szCs w:val="18"/>
                <w:color w:val="auto"/>
              </w:rPr>
              <w:t>Raw materials</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$2,876</w:t>
            </w:r>
          </w:p>
        </w:tc>
        <w:tc>
          <w:tcPr>
            <w:tcW w:w="22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4"/>
              </w:rPr>
              <w:t>$2,753</w:t>
            </w:r>
          </w:p>
        </w:tc>
      </w:tr>
      <w:tr>
        <w:trPr>
          <w:trHeight w:val="459"/>
        </w:trPr>
        <w:tc>
          <w:tcPr>
            <w:tcW w:w="2500" w:type="dxa"/>
            <w:vAlign w:val="bottom"/>
          </w:tcPr>
          <w:p>
            <w:pPr>
              <w:spacing w:after="0"/>
              <w:rPr>
                <w:sz w:val="20"/>
                <w:szCs w:val="20"/>
                <w:color w:val="auto"/>
              </w:rPr>
            </w:pPr>
            <w:r>
              <w:rPr>
                <w:rFonts w:ascii="Arial" w:cs="Arial" w:eastAsia="Arial" w:hAnsi="Arial"/>
                <w:sz w:val="18"/>
                <w:szCs w:val="18"/>
                <w:color w:val="auto"/>
              </w:rPr>
              <w:t>Work in process</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371</w:t>
            </w:r>
          </w:p>
        </w:tc>
        <w:tc>
          <w:tcPr>
            <w:tcW w:w="22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222</w:t>
            </w:r>
          </w:p>
        </w:tc>
      </w:tr>
      <w:tr>
        <w:trPr>
          <w:trHeight w:val="459"/>
        </w:trPr>
        <w:tc>
          <w:tcPr>
            <w:tcW w:w="2500" w:type="dxa"/>
            <w:vAlign w:val="bottom"/>
          </w:tcPr>
          <w:p>
            <w:pPr>
              <w:spacing w:after="0"/>
              <w:rPr>
                <w:sz w:val="20"/>
                <w:szCs w:val="20"/>
                <w:color w:val="auto"/>
              </w:rPr>
            </w:pPr>
            <w:r>
              <w:rPr>
                <w:rFonts w:ascii="Arial" w:cs="Arial" w:eastAsia="Arial" w:hAnsi="Arial"/>
                <w:sz w:val="18"/>
                <w:szCs w:val="18"/>
                <w:color w:val="auto"/>
              </w:rPr>
              <w:t>Inventory consigned to others</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94</w:t>
            </w:r>
          </w:p>
        </w:tc>
      </w:tr>
      <w:tr>
        <w:trPr>
          <w:trHeight w:val="421"/>
        </w:trPr>
        <w:tc>
          <w:tcPr>
            <w:tcW w:w="2500" w:type="dxa"/>
            <w:vAlign w:val="bottom"/>
          </w:tcPr>
          <w:p>
            <w:pPr>
              <w:spacing w:after="0"/>
              <w:rPr>
                <w:sz w:val="20"/>
                <w:szCs w:val="20"/>
                <w:color w:val="auto"/>
              </w:rPr>
            </w:pPr>
            <w:r>
              <w:rPr>
                <w:rFonts w:ascii="Arial" w:cs="Arial" w:eastAsia="Arial" w:hAnsi="Arial"/>
                <w:sz w:val="18"/>
                <w:szCs w:val="18"/>
                <w:color w:val="auto"/>
              </w:rPr>
              <w:t>Finished goods</w:t>
            </w:r>
          </w:p>
        </w:tc>
        <w:tc>
          <w:tcPr>
            <w:tcW w:w="520" w:type="dxa"/>
            <w:vAlign w:val="bottom"/>
            <w:gridSpan w:val="2"/>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174</w:t>
            </w:r>
          </w:p>
        </w:tc>
      </w:tr>
      <w:tr>
        <w:trPr>
          <w:trHeight w:val="439"/>
        </w:trPr>
        <w:tc>
          <w:tcPr>
            <w:tcW w:w="250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3,873</w:t>
            </w:r>
          </w:p>
        </w:tc>
        <w:tc>
          <w:tcPr>
            <w:tcW w:w="22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3,243</w:t>
            </w:r>
          </w:p>
        </w:tc>
      </w:tr>
      <w:tr>
        <w:trPr>
          <w:trHeight w:val="20"/>
        </w:trPr>
        <w:tc>
          <w:tcPr>
            <w:tcW w:w="2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Letters of Credit</w:t>
      </w:r>
    </w:p>
    <w:p>
      <w:pPr>
        <w:spacing w:after="0" w:line="225"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We have issued letters of credit as the security deposits for certain of our domestic leases. These letters of credit are secured by pledged certificates of deposit which are classified as Restricted Certificates of Deposit on our balance sheet. The terms of our leases require us to renew these letters of credit at least 30 days prior to their expiration dates for successive terms of not less than one year until lease expiration. Our outstanding letters of credit at June 30, 2014 and December 31, 2013 consisted of the following:</w:t>
      </w:r>
    </w:p>
    <w:p>
      <w:pPr>
        <w:spacing w:after="0" w:line="155"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6"/>
          </w:tcPr>
          <w:p>
            <w:pPr>
              <w:jc w:val="right"/>
              <w:ind w:right="260"/>
              <w:spacing w:after="0"/>
              <w:rPr>
                <w:sz w:val="20"/>
                <w:szCs w:val="20"/>
                <w:color w:val="auto"/>
              </w:rPr>
            </w:pPr>
            <w:r>
              <w:rPr>
                <w:rFonts w:ascii="Arial" w:cs="Arial" w:eastAsia="Arial" w:hAnsi="Arial"/>
                <w:sz w:val="14"/>
                <w:szCs w:val="14"/>
                <w:b w:val="1"/>
                <w:bCs w:val="1"/>
                <w:i w:val="1"/>
                <w:iCs w:val="1"/>
                <w:color w:val="auto"/>
                <w:w w:val="85"/>
              </w:rPr>
              <w:t>Letters of Credit</w:t>
            </w:r>
          </w:p>
        </w:tc>
      </w:tr>
      <w:tr>
        <w:trPr>
          <w:trHeight w:val="146"/>
        </w:trPr>
        <w:tc>
          <w:tcPr>
            <w:tcW w:w="1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480"/>
              <w:spacing w:after="0" w:line="146" w:lineRule="exact"/>
              <w:rPr>
                <w:sz w:val="20"/>
                <w:szCs w:val="20"/>
                <w:color w:val="auto"/>
              </w:rPr>
            </w:pPr>
            <w:r>
              <w:rPr>
                <w:rFonts w:ascii="Arial" w:cs="Arial" w:eastAsia="Arial" w:hAnsi="Arial"/>
                <w:sz w:val="14"/>
                <w:szCs w:val="14"/>
                <w:b w:val="1"/>
                <w:bCs w:val="1"/>
                <w:i w:val="1"/>
                <w:iCs w:val="1"/>
                <w:color w:val="auto"/>
                <w:w w:val="88"/>
              </w:rPr>
              <w:t>L/C</w:t>
            </w:r>
          </w:p>
        </w:tc>
        <w:tc>
          <w:tcPr>
            <w:tcW w:w="200" w:type="dxa"/>
            <w:vAlign w:val="bottom"/>
          </w:tcPr>
          <w:p>
            <w:pPr>
              <w:spacing w:after="0"/>
              <w:rPr>
                <w:sz w:val="12"/>
                <w:szCs w:val="12"/>
                <w:color w:val="auto"/>
              </w:rPr>
            </w:pPr>
          </w:p>
        </w:tc>
        <w:tc>
          <w:tcPr>
            <w:tcW w:w="1000" w:type="dxa"/>
            <w:vAlign w:val="bottom"/>
            <w:gridSpan w:val="2"/>
          </w:tcPr>
          <w:p>
            <w:pPr>
              <w:jc w:val="center"/>
              <w:ind w:right="480"/>
              <w:spacing w:after="0" w:line="146" w:lineRule="exact"/>
              <w:rPr>
                <w:sz w:val="20"/>
                <w:szCs w:val="20"/>
                <w:color w:val="auto"/>
              </w:rPr>
            </w:pPr>
            <w:r>
              <w:rPr>
                <w:rFonts w:ascii="Arial" w:cs="Arial" w:eastAsia="Arial" w:hAnsi="Arial"/>
                <w:sz w:val="14"/>
                <w:szCs w:val="14"/>
                <w:b w:val="1"/>
                <w:bCs w:val="1"/>
                <w:i w:val="1"/>
                <w:iCs w:val="1"/>
                <w:color w:val="auto"/>
                <w:w w:val="80"/>
              </w:rPr>
              <w:t>Lease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tcBorders>
              <w:bottom w:val="single" w:sz="8" w:color="auto"/>
            </w:tcBorders>
            <w:gridSpan w:val="6"/>
          </w:tcPr>
          <w:p>
            <w:pPr>
              <w:jc w:val="right"/>
              <w:spacing w:after="0" w:line="146" w:lineRule="exact"/>
              <w:rPr>
                <w:sz w:val="20"/>
                <w:szCs w:val="20"/>
                <w:color w:val="auto"/>
              </w:rPr>
            </w:pPr>
            <w:r>
              <w:rPr>
                <w:rFonts w:ascii="Arial" w:cs="Arial" w:eastAsia="Arial" w:hAnsi="Arial"/>
                <w:sz w:val="14"/>
                <w:szCs w:val="14"/>
                <w:b w:val="1"/>
                <w:bCs w:val="1"/>
                <w:i w:val="1"/>
                <w:iCs w:val="1"/>
                <w:color w:val="auto"/>
                <w:w w:val="87"/>
              </w:rPr>
              <w:t>Amount Outstanding</w:t>
            </w:r>
          </w:p>
        </w:tc>
        <w:tc>
          <w:tcPr>
            <w:tcW w:w="60" w:type="dxa"/>
            <w:vAlign w:val="bottom"/>
          </w:tcPr>
          <w:p>
            <w:pPr>
              <w:spacing w:after="0"/>
              <w:rPr>
                <w:sz w:val="12"/>
                <w:szCs w:val="12"/>
                <w:color w:val="auto"/>
              </w:rPr>
            </w:pPr>
          </w:p>
        </w:tc>
      </w:tr>
      <w:tr>
        <w:trPr>
          <w:trHeight w:val="158"/>
        </w:trPr>
        <w:tc>
          <w:tcPr>
            <w:tcW w:w="1940" w:type="dxa"/>
            <w:vAlign w:val="bottom"/>
          </w:tcPr>
          <w:p>
            <w:pPr>
              <w:spacing w:after="0"/>
              <w:rPr>
                <w:sz w:val="13"/>
                <w:szCs w:val="13"/>
                <w:color w:val="auto"/>
              </w:rPr>
            </w:pPr>
          </w:p>
        </w:tc>
        <w:tc>
          <w:tcPr>
            <w:tcW w:w="1860" w:type="dxa"/>
            <w:vAlign w:val="bottom"/>
            <w:gridSpan w:val="3"/>
          </w:tcPr>
          <w:p>
            <w:pPr>
              <w:jc w:val="center"/>
              <w:ind w:left="499"/>
              <w:spacing w:after="0" w:line="158" w:lineRule="exact"/>
              <w:rPr>
                <w:sz w:val="20"/>
                <w:szCs w:val="20"/>
                <w:color w:val="auto"/>
              </w:rPr>
            </w:pPr>
            <w:r>
              <w:rPr>
                <w:rFonts w:ascii="Arial" w:cs="Arial" w:eastAsia="Arial" w:hAnsi="Arial"/>
                <w:sz w:val="14"/>
                <w:szCs w:val="14"/>
                <w:b w:val="1"/>
                <w:bCs w:val="1"/>
                <w:i w:val="1"/>
                <w:iCs w:val="1"/>
                <w:color w:val="auto"/>
                <w:w w:val="90"/>
              </w:rPr>
              <w:t>Original L/C</w:t>
            </w:r>
          </w:p>
        </w:tc>
        <w:tc>
          <w:tcPr>
            <w:tcW w:w="1240" w:type="dxa"/>
            <w:vAlign w:val="bottom"/>
            <w:gridSpan w:val="3"/>
          </w:tcPr>
          <w:p>
            <w:pPr>
              <w:jc w:val="center"/>
              <w:ind w:right="240"/>
              <w:spacing w:after="0" w:line="158" w:lineRule="exact"/>
              <w:rPr>
                <w:sz w:val="20"/>
                <w:szCs w:val="20"/>
                <w:color w:val="auto"/>
              </w:rPr>
            </w:pPr>
            <w:r>
              <w:rPr>
                <w:rFonts w:ascii="Arial" w:cs="Arial" w:eastAsia="Arial" w:hAnsi="Arial"/>
                <w:sz w:val="14"/>
                <w:szCs w:val="14"/>
                <w:b w:val="1"/>
                <w:bCs w:val="1"/>
                <w:i w:val="1"/>
                <w:iCs w:val="1"/>
                <w:color w:val="auto"/>
                <w:w w:val="87"/>
              </w:rPr>
              <w:t>Expiration</w:t>
            </w:r>
          </w:p>
        </w:tc>
        <w:tc>
          <w:tcPr>
            <w:tcW w:w="1200" w:type="dxa"/>
            <w:vAlign w:val="bottom"/>
            <w:gridSpan w:val="3"/>
          </w:tcPr>
          <w:p>
            <w:pPr>
              <w:jc w:val="center"/>
              <w:ind w:right="280"/>
              <w:spacing w:after="0" w:line="158" w:lineRule="exact"/>
              <w:rPr>
                <w:sz w:val="20"/>
                <w:szCs w:val="20"/>
                <w:color w:val="auto"/>
              </w:rPr>
            </w:pPr>
            <w:r>
              <w:rPr>
                <w:rFonts w:ascii="Arial" w:cs="Arial" w:eastAsia="Arial" w:hAnsi="Arial"/>
                <w:sz w:val="14"/>
                <w:szCs w:val="14"/>
                <w:b w:val="1"/>
                <w:bCs w:val="1"/>
                <w:i w:val="1"/>
                <w:iCs w:val="1"/>
                <w:color w:val="auto"/>
                <w:w w:val="87"/>
              </w:rPr>
              <w:t>Expiration</w:t>
            </w:r>
          </w:p>
        </w:tc>
        <w:tc>
          <w:tcPr>
            <w:tcW w:w="1020" w:type="dxa"/>
            <w:vAlign w:val="bottom"/>
            <w:gridSpan w:val="6"/>
          </w:tcPr>
          <w:p>
            <w:pPr>
              <w:jc w:val="center"/>
              <w:ind w:right="300"/>
              <w:spacing w:after="0" w:line="158" w:lineRule="exact"/>
              <w:rPr>
                <w:sz w:val="20"/>
                <w:szCs w:val="20"/>
                <w:color w:val="auto"/>
              </w:rPr>
            </w:pPr>
            <w:r>
              <w:rPr>
                <w:rFonts w:ascii="Arial" w:cs="Arial" w:eastAsia="Arial" w:hAnsi="Arial"/>
                <w:sz w:val="14"/>
                <w:szCs w:val="14"/>
                <w:b w:val="1"/>
                <w:bCs w:val="1"/>
                <w:i w:val="1"/>
                <w:iCs w:val="1"/>
                <w:color w:val="auto"/>
                <w:w w:val="85"/>
              </w:rPr>
              <w:t>June 30,</w:t>
            </w:r>
          </w:p>
        </w:tc>
        <w:tc>
          <w:tcPr>
            <w:tcW w:w="480" w:type="dxa"/>
            <w:vAlign w:val="bottom"/>
            <w:gridSpan w:val="3"/>
          </w:tcPr>
          <w:p>
            <w:pPr>
              <w:jc w:val="right"/>
              <w:spacing w:after="0" w:line="158" w:lineRule="exact"/>
              <w:rPr>
                <w:sz w:val="20"/>
                <w:szCs w:val="20"/>
                <w:color w:val="auto"/>
              </w:rPr>
            </w:pPr>
            <w:r>
              <w:rPr>
                <w:rFonts w:ascii="Arial" w:cs="Arial" w:eastAsia="Arial" w:hAnsi="Arial"/>
                <w:sz w:val="14"/>
                <w:szCs w:val="14"/>
                <w:b w:val="1"/>
                <w:bCs w:val="1"/>
                <w:i w:val="1"/>
                <w:iCs w:val="1"/>
                <w:color w:val="auto"/>
                <w:w w:val="86"/>
              </w:rPr>
              <w:t>Dec. 31,</w:t>
            </w:r>
          </w:p>
        </w:tc>
      </w:tr>
      <w:tr>
        <w:trPr>
          <w:trHeight w:val="146"/>
        </w:trPr>
        <w:tc>
          <w:tcPr>
            <w:tcW w:w="1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Issue Date</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Date</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Date</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bottom w:val="single" w:sz="8" w:color="auto"/>
            </w:tcBorders>
            <w:gridSpan w:val="3"/>
          </w:tcPr>
          <w:p>
            <w:pPr>
              <w:jc w:val="right"/>
              <w:ind w:right="22"/>
              <w:spacing w:after="0" w:line="146" w:lineRule="exact"/>
              <w:rPr>
                <w:sz w:val="20"/>
                <w:szCs w:val="20"/>
                <w:color w:val="auto"/>
              </w:rPr>
            </w:pPr>
            <w:r>
              <w:rPr>
                <w:rFonts w:ascii="Arial" w:cs="Arial" w:eastAsia="Arial" w:hAnsi="Arial"/>
                <w:sz w:val="14"/>
                <w:szCs w:val="14"/>
                <w:b w:val="1"/>
                <w:bCs w:val="1"/>
                <w:i w:val="1"/>
                <w:iCs w:val="1"/>
                <w:color w:val="auto"/>
              </w:rPr>
              <w:t>2014</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Borders>
              <w:bottom w:val="single" w:sz="8" w:color="auto"/>
            </w:tcBorders>
            <w:gridSpan w:val="2"/>
          </w:tcPr>
          <w:p>
            <w:pPr>
              <w:jc w:val="right"/>
              <w:spacing w:after="0" w:line="146" w:lineRule="exact"/>
              <w:rPr>
                <w:sz w:val="20"/>
                <w:szCs w:val="20"/>
                <w:color w:val="auto"/>
              </w:rPr>
            </w:pPr>
            <w:r>
              <w:rPr>
                <w:rFonts w:ascii="Arial" w:cs="Arial" w:eastAsia="Arial" w:hAnsi="Arial"/>
                <w:sz w:val="14"/>
                <w:szCs w:val="14"/>
                <w:b w:val="1"/>
                <w:bCs w:val="1"/>
                <w:i w:val="1"/>
                <w:iCs w:val="1"/>
                <w:color w:val="auto"/>
              </w:rPr>
              <w:t>2013</w:t>
            </w:r>
          </w:p>
        </w:tc>
        <w:tc>
          <w:tcPr>
            <w:tcW w:w="60" w:type="dxa"/>
            <w:vAlign w:val="bottom"/>
            <w:tcBorders>
              <w:bottom w:val="single" w:sz="8" w:color="auto"/>
            </w:tcBorders>
          </w:tcPr>
          <w:p>
            <w:pPr>
              <w:spacing w:after="0"/>
              <w:rPr>
                <w:sz w:val="12"/>
                <w:szCs w:val="12"/>
                <w:color w:val="auto"/>
              </w:rPr>
            </w:pPr>
          </w:p>
        </w:tc>
      </w:tr>
      <w:tr>
        <w:trPr>
          <w:trHeight w:val="235"/>
        </w:trPr>
        <w:tc>
          <w:tcPr>
            <w:tcW w:w="1940" w:type="dxa"/>
            <w:vAlign w:val="bottom"/>
          </w:tcPr>
          <w:p>
            <w:pPr>
              <w:spacing w:after="0"/>
              <w:rPr>
                <w:sz w:val="20"/>
                <w:szCs w:val="20"/>
                <w:color w:val="auto"/>
              </w:rPr>
            </w:pPr>
            <w:r>
              <w:rPr>
                <w:rFonts w:ascii="Arial" w:cs="Arial" w:eastAsia="Arial" w:hAnsi="Arial"/>
                <w:sz w:val="18"/>
                <w:szCs w:val="18"/>
                <w:color w:val="auto"/>
              </w:rPr>
              <w:t>Mt. Laurel, NJ</w:t>
            </w:r>
          </w:p>
        </w:tc>
        <w:tc>
          <w:tcPr>
            <w:tcW w:w="1860" w:type="dxa"/>
            <w:vAlign w:val="bottom"/>
            <w:gridSpan w:val="3"/>
          </w:tcPr>
          <w:p>
            <w:pPr>
              <w:jc w:val="right"/>
              <w:ind w:right="80"/>
              <w:spacing w:after="0"/>
              <w:rPr>
                <w:sz w:val="20"/>
                <w:szCs w:val="20"/>
                <w:color w:val="auto"/>
              </w:rPr>
            </w:pPr>
            <w:r>
              <w:rPr>
                <w:rFonts w:ascii="Arial" w:cs="Arial" w:eastAsia="Arial" w:hAnsi="Arial"/>
                <w:sz w:val="18"/>
                <w:szCs w:val="18"/>
                <w:color w:val="auto"/>
              </w:rPr>
              <w:t>3/29/2010</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3/31/2015</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4/30/2021</w:t>
            </w: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$250</w:t>
            </w:r>
          </w:p>
        </w:tc>
        <w:tc>
          <w:tcPr>
            <w:tcW w:w="380" w:type="dxa"/>
            <w:vAlign w:val="bottom"/>
          </w:tcPr>
          <w:p>
            <w:pPr>
              <w:spacing w:after="0"/>
              <w:rPr>
                <w:sz w:val="20"/>
                <w:szCs w:val="20"/>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$250</w:t>
            </w:r>
          </w:p>
        </w:tc>
      </w:tr>
      <w:tr>
        <w:trPr>
          <w:trHeight w:val="421"/>
        </w:trPr>
        <w:tc>
          <w:tcPr>
            <w:tcW w:w="1940" w:type="dxa"/>
            <w:vAlign w:val="bottom"/>
          </w:tcPr>
          <w:p>
            <w:pPr>
              <w:spacing w:after="0"/>
              <w:rPr>
                <w:sz w:val="20"/>
                <w:szCs w:val="20"/>
                <w:color w:val="auto"/>
              </w:rPr>
            </w:pPr>
            <w:r>
              <w:rPr>
                <w:rFonts w:ascii="Arial" w:cs="Arial" w:eastAsia="Arial" w:hAnsi="Arial"/>
                <w:sz w:val="18"/>
                <w:szCs w:val="18"/>
                <w:color w:val="auto"/>
              </w:rPr>
              <w:t>Mansfield, MA</w:t>
            </w:r>
          </w:p>
        </w:tc>
        <w:tc>
          <w:tcPr>
            <w:tcW w:w="1860" w:type="dxa"/>
            <w:vAlign w:val="bottom"/>
            <w:gridSpan w:val="3"/>
          </w:tcPr>
          <w:p>
            <w:pPr>
              <w:jc w:val="right"/>
              <w:ind w:right="80"/>
              <w:spacing w:after="0"/>
              <w:rPr>
                <w:sz w:val="20"/>
                <w:szCs w:val="20"/>
                <w:color w:val="auto"/>
              </w:rPr>
            </w:pPr>
            <w:r>
              <w:rPr>
                <w:rFonts w:ascii="Arial" w:cs="Arial" w:eastAsia="Arial" w:hAnsi="Arial"/>
                <w:sz w:val="18"/>
                <w:szCs w:val="18"/>
                <w:color w:val="auto"/>
              </w:rPr>
              <w:t>10/27/2010</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11/08/2014</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8/23/2021</w:t>
            </w:r>
          </w:p>
        </w:tc>
        <w:tc>
          <w:tcPr>
            <w:tcW w:w="300" w:type="dxa"/>
            <w:vAlign w:val="bottom"/>
            <w:gridSpan w:val="3"/>
          </w:tcPr>
          <w:p>
            <w:pPr>
              <w:spacing w:after="0"/>
              <w:rPr>
                <w:sz w:val="24"/>
                <w:szCs w:val="24"/>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w:t>
            </w:r>
          </w:p>
        </w:tc>
      </w:tr>
      <w:tr>
        <w:trPr>
          <w:trHeight w:val="439"/>
        </w:trPr>
        <w:tc>
          <w:tcPr>
            <w:tcW w:w="1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450</w:t>
            </w:r>
          </w:p>
        </w:tc>
        <w:tc>
          <w:tcPr>
            <w:tcW w:w="38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450</w:t>
            </w:r>
          </w:p>
        </w:tc>
      </w:tr>
      <w:tr>
        <w:trPr>
          <w:trHeight w:val="424"/>
        </w:trPr>
        <w:tc>
          <w:tcPr>
            <w:tcW w:w="1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gridSpan w:val="2"/>
          </w:tcPr>
          <w:p>
            <w:pPr>
              <w:jc w:val="right"/>
              <w:ind w:right="232"/>
              <w:spacing w:after="0"/>
              <w:rPr>
                <w:sz w:val="20"/>
                <w:szCs w:val="20"/>
                <w:color w:val="auto"/>
              </w:rPr>
            </w:pPr>
            <w:r>
              <w:rPr>
                <w:rFonts w:ascii="Arial" w:cs="Arial" w:eastAsia="Arial" w:hAnsi="Arial"/>
                <w:sz w:val="18"/>
                <w:szCs w:val="18"/>
                <w:color w:val="auto"/>
              </w:rPr>
              <w:t>- 10 -</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r>
    </w:tbl>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191" w:lineRule="exact"/>
        <w:rPr>
          <w:sz w:val="20"/>
          <w:szCs w:val="20"/>
          <w:color w:val="auto"/>
        </w:rPr>
      </w:pPr>
    </w:p>
    <w:p>
      <w:pPr>
        <w:ind w:left="540" w:right="260"/>
        <w:spacing w:after="0" w:line="268" w:lineRule="auto"/>
        <w:rPr>
          <w:sz w:val="20"/>
          <w:szCs w:val="20"/>
          <w:color w:val="auto"/>
        </w:rPr>
      </w:pPr>
      <w:r>
        <w:rPr>
          <w:rFonts w:ascii="Arial" w:cs="Arial" w:eastAsia="Arial" w:hAnsi="Arial"/>
          <w:sz w:val="18"/>
          <w:szCs w:val="18"/>
          <w:color w:val="auto"/>
        </w:rPr>
        <w:t>As of June 30, 2014, we had unvested restricted stock awards granted under stock-based employee compensation plans that are described more fully in Note 14 to the consolidated financial statements in our 2013 Form 10-K.</w:t>
      </w:r>
    </w:p>
    <w:p>
      <w:pPr>
        <w:spacing w:after="0" w:line="186" w:lineRule="exact"/>
        <w:rPr>
          <w:sz w:val="20"/>
          <w:szCs w:val="20"/>
          <w:color w:val="auto"/>
        </w:rPr>
      </w:pPr>
    </w:p>
    <w:p>
      <w:pPr>
        <w:jc w:val="both"/>
        <w:ind w:left="540" w:right="220"/>
        <w:spacing w:after="0" w:line="259" w:lineRule="auto"/>
        <w:rPr>
          <w:sz w:val="20"/>
          <w:szCs w:val="20"/>
          <w:color w:val="auto"/>
        </w:rPr>
      </w:pPr>
      <w:r>
        <w:rPr>
          <w:rFonts w:ascii="Arial" w:cs="Arial" w:eastAsia="Arial" w:hAnsi="Arial"/>
          <w:sz w:val="18"/>
          <w:szCs w:val="18"/>
          <w:color w:val="auto"/>
        </w:rPr>
        <w:t>In addition, at our annual meeting on June 25, 2014, our stockholders approved the inTEST Corporation 2014 Stock Plan (the "2014 Stock Plan"). The 2014 Stock Plan permits the granting of stock options, restricted stock, stock appreciation rights or restricted stock units for up to 500,000 shares of our common stock to directors, officers, other key employees and consultants.</w:t>
      </w:r>
    </w:p>
    <w:p>
      <w:pPr>
        <w:spacing w:after="0" w:line="194" w:lineRule="exact"/>
        <w:rPr>
          <w:sz w:val="20"/>
          <w:szCs w:val="20"/>
          <w:color w:val="auto"/>
        </w:rPr>
      </w:pPr>
    </w:p>
    <w:p>
      <w:pPr>
        <w:ind w:left="540" w:right="280"/>
        <w:spacing w:after="0" w:line="268" w:lineRule="auto"/>
        <w:rPr>
          <w:sz w:val="20"/>
          <w:szCs w:val="20"/>
          <w:color w:val="auto"/>
        </w:rPr>
      </w:pPr>
      <w:r>
        <w:rPr>
          <w:rFonts w:ascii="Arial" w:cs="Arial" w:eastAsia="Arial" w:hAnsi="Arial"/>
          <w:sz w:val="18"/>
          <w:szCs w:val="18"/>
          <w:color w:val="auto"/>
        </w:rPr>
        <w:t>As of June 30, 2014, total compensation expense to be recognized in future periods was $386. The weighted average period over which this expense is expected to be recognized is 3.2 years.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Restricted Stock Awards</w:t>
      </w:r>
    </w:p>
    <w:p>
      <w:pPr>
        <w:spacing w:after="0" w:line="225" w:lineRule="exact"/>
        <w:rPr>
          <w:sz w:val="20"/>
          <w:szCs w:val="20"/>
          <w:color w:val="auto"/>
        </w:rPr>
      </w:pPr>
    </w:p>
    <w:p>
      <w:pPr>
        <w:ind w:left="540" w:right="440"/>
        <w:spacing w:after="0" w:line="335" w:lineRule="auto"/>
        <w:rPr>
          <w:sz w:val="20"/>
          <w:szCs w:val="20"/>
          <w:color w:val="auto"/>
        </w:rPr>
      </w:pPr>
      <w:r>
        <w:rPr>
          <w:rFonts w:ascii="Arial" w:cs="Arial" w:eastAsia="Arial" w:hAnsi="Arial"/>
          <w:sz w:val="15"/>
          <w:szCs w:val="15"/>
          <w:color w:val="auto"/>
        </w:rPr>
        <w:t>We record compensation expense for restricted stock awards (nonvested shares) based on the quoted market price of our stock at the grant date and amortize the expense over the vesting period. Restricted stock awards generally vest over four years. The following table shows the allocation of the compensation expense we recorded during the three and six months ended June 30, 2014 and 2013, respectively, related to nonvested shares:</w:t>
      </w:r>
    </w:p>
    <w:p>
      <w:pPr>
        <w:spacing w:after="0" w:line="100"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780" w:type="dxa"/>
            <w:vAlign w:val="bottom"/>
            <w:gridSpan w:val="9"/>
          </w:tcPr>
          <w:p>
            <w:pPr>
              <w:jc w:val="center"/>
              <w:ind w:left="2"/>
              <w:spacing w:after="0"/>
              <w:rPr>
                <w:sz w:val="20"/>
                <w:szCs w:val="20"/>
                <w:color w:val="auto"/>
              </w:rPr>
            </w:pPr>
            <w:r>
              <w:rPr>
                <w:rFonts w:ascii="Arial" w:cs="Arial" w:eastAsia="Arial" w:hAnsi="Arial"/>
                <w:sz w:val="14"/>
                <w:szCs w:val="14"/>
                <w:b w:val="1"/>
                <w:bCs w:val="1"/>
                <w:i w:val="1"/>
                <w:iCs w:val="1"/>
                <w:color w:val="auto"/>
                <w:w w:val="85"/>
              </w:rPr>
              <w:t>Three Months Ended</w:t>
            </w:r>
          </w:p>
        </w:tc>
        <w:tc>
          <w:tcPr>
            <w:tcW w:w="240" w:type="dxa"/>
            <w:vAlign w:val="bottom"/>
          </w:tcPr>
          <w:p>
            <w:pPr>
              <w:spacing w:after="0"/>
              <w:rPr>
                <w:sz w:val="14"/>
                <w:szCs w:val="14"/>
                <w:color w:val="auto"/>
              </w:rPr>
            </w:pPr>
          </w:p>
        </w:tc>
        <w:tc>
          <w:tcPr>
            <w:tcW w:w="1160" w:type="dxa"/>
            <w:vAlign w:val="bottom"/>
            <w:gridSpan w:val="8"/>
          </w:tcPr>
          <w:p>
            <w:pPr>
              <w:jc w:val="center"/>
              <w:ind w:right="140"/>
              <w:spacing w:after="0"/>
              <w:rPr>
                <w:sz w:val="20"/>
                <w:szCs w:val="20"/>
                <w:color w:val="auto"/>
              </w:rPr>
            </w:pPr>
            <w:r>
              <w:rPr>
                <w:rFonts w:ascii="Arial" w:cs="Arial" w:eastAsia="Arial" w:hAnsi="Arial"/>
                <w:sz w:val="14"/>
                <w:szCs w:val="14"/>
                <w:b w:val="1"/>
                <w:bCs w:val="1"/>
                <w:i w:val="1"/>
                <w:iCs w:val="1"/>
                <w:color w:val="auto"/>
                <w:w w:val="84"/>
              </w:rPr>
              <w:t>Six Months Ended</w:t>
            </w:r>
          </w:p>
        </w:tc>
      </w:tr>
      <w:tr>
        <w:trPr>
          <w:trHeight w:val="146"/>
        </w:trPr>
        <w:tc>
          <w:tcPr>
            <w:tcW w:w="3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center"/>
              <w:ind w:right="20"/>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center"/>
              <w:ind w:right="20"/>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23"/>
        </w:trPr>
        <w:tc>
          <w:tcPr>
            <w:tcW w:w="3020" w:type="dxa"/>
            <w:vAlign w:val="bottom"/>
          </w:tcPr>
          <w:p>
            <w:pPr>
              <w:spacing w:after="0"/>
              <w:rPr>
                <w:sz w:val="19"/>
                <w:szCs w:val="19"/>
                <w:color w:val="auto"/>
              </w:rPr>
            </w:pPr>
          </w:p>
        </w:tc>
        <w:tc>
          <w:tcPr>
            <w:tcW w:w="780" w:type="dxa"/>
            <w:vAlign w:val="bottom"/>
            <w:gridSpan w:val="3"/>
          </w:tcPr>
          <w:p>
            <w:pPr>
              <w:jc w:val="right"/>
              <w:ind w:right="52"/>
              <w:spacing w:after="0"/>
              <w:rPr>
                <w:sz w:val="20"/>
                <w:szCs w:val="20"/>
                <w:color w:val="auto"/>
              </w:rPr>
            </w:pPr>
            <w:r>
              <w:rPr>
                <w:rFonts w:ascii="Arial" w:cs="Arial" w:eastAsia="Arial" w:hAnsi="Arial"/>
                <w:sz w:val="14"/>
                <w:szCs w:val="14"/>
                <w:b w:val="1"/>
                <w:bCs w:val="1"/>
                <w:i w:val="1"/>
                <w:iCs w:val="1"/>
                <w:color w:val="auto"/>
              </w:rPr>
              <w:t>2014</w:t>
            </w:r>
          </w:p>
        </w:tc>
        <w:tc>
          <w:tcPr>
            <w:tcW w:w="380" w:type="dxa"/>
            <w:vAlign w:val="bottom"/>
          </w:tcPr>
          <w:p>
            <w:pPr>
              <w:spacing w:after="0"/>
              <w:rPr>
                <w:sz w:val="19"/>
                <w:szCs w:val="19"/>
                <w:color w:val="auto"/>
              </w:rPr>
            </w:pPr>
          </w:p>
        </w:tc>
        <w:tc>
          <w:tcPr>
            <w:tcW w:w="420" w:type="dxa"/>
            <w:vAlign w:val="bottom"/>
            <w:gridSpan w:val="4"/>
          </w:tcPr>
          <w:p>
            <w:pPr>
              <w:jc w:val="right"/>
              <w:ind w:right="120"/>
              <w:spacing w:after="0"/>
              <w:rPr>
                <w:sz w:val="20"/>
                <w:szCs w:val="20"/>
                <w:color w:val="auto"/>
              </w:rPr>
            </w:pPr>
            <w:r>
              <w:rPr>
                <w:rFonts w:ascii="Arial" w:cs="Arial" w:eastAsia="Arial" w:hAnsi="Arial"/>
                <w:sz w:val="14"/>
                <w:szCs w:val="14"/>
                <w:b w:val="1"/>
                <w:bCs w:val="1"/>
                <w:i w:val="1"/>
                <w:iCs w:val="1"/>
                <w:color w:val="auto"/>
                <w:w w:val="89"/>
              </w:rPr>
              <w:t>2013</w:t>
            </w:r>
          </w:p>
        </w:tc>
        <w:tc>
          <w:tcPr>
            <w:tcW w:w="200" w:type="dxa"/>
            <w:vAlign w:val="bottom"/>
          </w:tcPr>
          <w:p>
            <w:pPr>
              <w:spacing w:after="0"/>
              <w:rPr>
                <w:sz w:val="19"/>
                <w:szCs w:val="19"/>
                <w:color w:val="auto"/>
              </w:rPr>
            </w:pPr>
          </w:p>
        </w:tc>
        <w:tc>
          <w:tcPr>
            <w:tcW w:w="600" w:type="dxa"/>
            <w:vAlign w:val="bottom"/>
            <w:gridSpan w:val="4"/>
          </w:tcPr>
          <w:p>
            <w:pPr>
              <w:jc w:val="right"/>
              <w:ind w:right="52"/>
              <w:spacing w:after="0"/>
              <w:rPr>
                <w:sz w:val="20"/>
                <w:szCs w:val="20"/>
                <w:color w:val="auto"/>
              </w:rPr>
            </w:pPr>
            <w:r>
              <w:rPr>
                <w:rFonts w:ascii="Arial" w:cs="Arial" w:eastAsia="Arial" w:hAnsi="Arial"/>
                <w:sz w:val="14"/>
                <w:szCs w:val="14"/>
                <w:b w:val="1"/>
                <w:bCs w:val="1"/>
                <w:i w:val="1"/>
                <w:iCs w:val="1"/>
                <w:color w:val="auto"/>
              </w:rPr>
              <w:t>2014</w:t>
            </w:r>
          </w:p>
        </w:tc>
        <w:tc>
          <w:tcPr>
            <w:tcW w:w="380" w:type="dxa"/>
            <w:vAlign w:val="bottom"/>
          </w:tcPr>
          <w:p>
            <w:pPr>
              <w:spacing w:after="0"/>
              <w:rPr>
                <w:sz w:val="19"/>
                <w:szCs w:val="19"/>
                <w:color w:val="auto"/>
              </w:rPr>
            </w:pPr>
          </w:p>
        </w:tc>
        <w:tc>
          <w:tcPr>
            <w:tcW w:w="420" w:type="dxa"/>
            <w:vAlign w:val="bottom"/>
            <w:gridSpan w:val="4"/>
          </w:tcPr>
          <w:p>
            <w:pPr>
              <w:jc w:val="right"/>
              <w:ind w:right="120"/>
              <w:spacing w:after="0"/>
              <w:rPr>
                <w:sz w:val="20"/>
                <w:szCs w:val="20"/>
                <w:color w:val="auto"/>
              </w:rPr>
            </w:pPr>
            <w:r>
              <w:rPr>
                <w:rFonts w:ascii="Arial" w:cs="Arial" w:eastAsia="Arial" w:hAnsi="Arial"/>
                <w:sz w:val="14"/>
                <w:szCs w:val="14"/>
                <w:b w:val="1"/>
                <w:bCs w:val="1"/>
                <w:i w:val="1"/>
                <w:iCs w:val="1"/>
                <w:color w:val="auto"/>
                <w:w w:val="89"/>
              </w:rPr>
              <w:t>2013</w:t>
            </w:r>
          </w:p>
        </w:tc>
      </w:tr>
      <w:tr>
        <w:trPr>
          <w:trHeight w:val="20"/>
        </w:trPr>
        <w:tc>
          <w:tcPr>
            <w:tcW w:w="302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1"/>
        </w:trPr>
        <w:tc>
          <w:tcPr>
            <w:tcW w:w="3020" w:type="dxa"/>
            <w:vAlign w:val="bottom"/>
          </w:tcPr>
          <w:p>
            <w:pPr>
              <w:spacing w:after="0"/>
              <w:rPr>
                <w:sz w:val="20"/>
                <w:szCs w:val="20"/>
                <w:color w:val="auto"/>
              </w:rPr>
            </w:pPr>
            <w:r>
              <w:rPr>
                <w:rFonts w:ascii="Arial" w:cs="Arial" w:eastAsia="Arial" w:hAnsi="Arial"/>
                <w:sz w:val="18"/>
                <w:szCs w:val="18"/>
                <w:color w:val="auto"/>
              </w:rPr>
              <w:t>Cost of revenues</w:t>
            </w:r>
          </w:p>
        </w:tc>
        <w:tc>
          <w:tcPr>
            <w:tcW w:w="46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$ 3</w:t>
            </w:r>
          </w:p>
        </w:tc>
        <w:tc>
          <w:tcPr>
            <w:tcW w:w="380" w:type="dxa"/>
            <w:vAlign w:val="bottom"/>
          </w:tcPr>
          <w:p>
            <w:pPr>
              <w:spacing w:after="0"/>
              <w:rPr>
                <w:sz w:val="24"/>
                <w:szCs w:val="24"/>
                <w:color w:val="auto"/>
              </w:rPr>
            </w:pPr>
          </w:p>
        </w:tc>
        <w:tc>
          <w:tcPr>
            <w:tcW w:w="620" w:type="dxa"/>
            <w:vAlign w:val="bottom"/>
            <w:gridSpan w:val="5"/>
          </w:tcPr>
          <w:p>
            <w:pPr>
              <w:jc w:val="right"/>
              <w:ind w:right="200"/>
              <w:spacing w:after="0"/>
              <w:rPr>
                <w:sz w:val="20"/>
                <w:szCs w:val="20"/>
                <w:color w:val="auto"/>
              </w:rPr>
            </w:pPr>
            <w:r>
              <w:rPr>
                <w:rFonts w:ascii="Arial" w:cs="Arial" w:eastAsia="Arial" w:hAnsi="Arial"/>
                <w:sz w:val="18"/>
                <w:szCs w:val="18"/>
                <w:color w:val="auto"/>
              </w:rPr>
              <w:t>$ 2</w:t>
            </w:r>
          </w:p>
        </w:tc>
        <w:tc>
          <w:tcPr>
            <w:tcW w:w="980" w:type="dxa"/>
            <w:vAlign w:val="bottom"/>
            <w:gridSpan w:val="5"/>
          </w:tcPr>
          <w:p>
            <w:pPr>
              <w:jc w:val="right"/>
              <w:ind w:right="380"/>
              <w:spacing w:after="0"/>
              <w:rPr>
                <w:sz w:val="20"/>
                <w:szCs w:val="20"/>
                <w:color w:val="auto"/>
              </w:rPr>
            </w:pPr>
            <w:r>
              <w:rPr>
                <w:rFonts w:ascii="Arial" w:cs="Arial" w:eastAsia="Arial" w:hAnsi="Arial"/>
                <w:sz w:val="18"/>
                <w:szCs w:val="18"/>
                <w:color w:val="auto"/>
              </w:rPr>
              <w:t>$ 6</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$ 3</w:t>
            </w:r>
          </w:p>
        </w:tc>
      </w:tr>
      <w:tr>
        <w:trPr>
          <w:trHeight w:val="459"/>
        </w:trPr>
        <w:tc>
          <w:tcPr>
            <w:tcW w:w="3020" w:type="dxa"/>
            <w:vAlign w:val="bottom"/>
          </w:tcPr>
          <w:p>
            <w:pPr>
              <w:spacing w:after="0"/>
              <w:rPr>
                <w:sz w:val="20"/>
                <w:szCs w:val="20"/>
                <w:color w:val="auto"/>
              </w:rPr>
            </w:pPr>
            <w:r>
              <w:rPr>
                <w:rFonts w:ascii="Arial" w:cs="Arial" w:eastAsia="Arial" w:hAnsi="Arial"/>
                <w:sz w:val="18"/>
                <w:szCs w:val="18"/>
                <w:color w:val="auto"/>
              </w:rPr>
              <w:t>Selling expense</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4"/>
                <w:szCs w:val="24"/>
                <w:color w:val="auto"/>
              </w:rPr>
            </w:pPr>
          </w:p>
        </w:tc>
        <w:tc>
          <w:tcPr>
            <w:tcW w:w="620" w:type="dxa"/>
            <w:vAlign w:val="bottom"/>
            <w:gridSpan w:val="5"/>
          </w:tcPr>
          <w:p>
            <w:pPr>
              <w:jc w:val="right"/>
              <w:ind w:right="200"/>
              <w:spacing w:after="0"/>
              <w:rPr>
                <w:sz w:val="20"/>
                <w:szCs w:val="20"/>
                <w:color w:val="auto"/>
              </w:rPr>
            </w:pPr>
            <w:r>
              <w:rPr>
                <w:rFonts w:ascii="Arial" w:cs="Arial" w:eastAsia="Arial" w:hAnsi="Arial"/>
                <w:sz w:val="18"/>
                <w:szCs w:val="18"/>
                <w:color w:val="auto"/>
              </w:rPr>
              <w:t>2</w:t>
            </w:r>
          </w:p>
        </w:tc>
        <w:tc>
          <w:tcPr>
            <w:tcW w:w="980" w:type="dxa"/>
            <w:vAlign w:val="bottom"/>
            <w:gridSpan w:val="5"/>
          </w:tcPr>
          <w:p>
            <w:pPr>
              <w:jc w:val="right"/>
              <w:ind w:right="380"/>
              <w:spacing w:after="0"/>
              <w:rPr>
                <w:sz w:val="20"/>
                <w:szCs w:val="20"/>
                <w:color w:val="auto"/>
              </w:rPr>
            </w:pPr>
            <w:r>
              <w:rPr>
                <w:rFonts w:ascii="Arial" w:cs="Arial" w:eastAsia="Arial" w:hAnsi="Arial"/>
                <w:sz w:val="18"/>
                <w:szCs w:val="18"/>
                <w:color w:val="auto"/>
              </w:rPr>
              <w:t>4</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4</w:t>
            </w:r>
          </w:p>
        </w:tc>
      </w:tr>
      <w:tr>
        <w:trPr>
          <w:trHeight w:val="453"/>
        </w:trPr>
        <w:tc>
          <w:tcPr>
            <w:tcW w:w="3020" w:type="dxa"/>
            <w:vAlign w:val="bottom"/>
          </w:tcPr>
          <w:p>
            <w:pPr>
              <w:spacing w:after="0"/>
              <w:rPr>
                <w:sz w:val="20"/>
                <w:szCs w:val="20"/>
                <w:color w:val="auto"/>
              </w:rPr>
            </w:pPr>
            <w:r>
              <w:rPr>
                <w:rFonts w:ascii="Arial" w:cs="Arial" w:eastAsia="Arial" w:hAnsi="Arial"/>
                <w:sz w:val="18"/>
                <w:szCs w:val="18"/>
                <w:color w:val="auto"/>
                <w:w w:val="98"/>
              </w:rPr>
              <w:t>Engineering and product development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24"/>
                <w:szCs w:val="24"/>
                <w:color w:val="auto"/>
              </w:rPr>
            </w:pPr>
          </w:p>
        </w:tc>
        <w:tc>
          <w:tcPr>
            <w:tcW w:w="620" w:type="dxa"/>
            <w:vAlign w:val="bottom"/>
            <w:gridSpan w:val="5"/>
          </w:tcPr>
          <w:p>
            <w:pPr>
              <w:jc w:val="right"/>
              <w:ind w:right="200"/>
              <w:spacing w:after="0"/>
              <w:rPr>
                <w:sz w:val="20"/>
                <w:szCs w:val="20"/>
                <w:color w:val="auto"/>
              </w:rPr>
            </w:pPr>
            <w:r>
              <w:rPr>
                <w:rFonts w:ascii="Arial" w:cs="Arial" w:eastAsia="Arial" w:hAnsi="Arial"/>
                <w:sz w:val="18"/>
                <w:szCs w:val="18"/>
                <w:color w:val="auto"/>
              </w:rPr>
              <w:t>8</w:t>
            </w:r>
          </w:p>
        </w:tc>
        <w:tc>
          <w:tcPr>
            <w:tcW w:w="980" w:type="dxa"/>
            <w:vAlign w:val="bottom"/>
            <w:gridSpan w:val="5"/>
          </w:tcPr>
          <w:p>
            <w:pPr>
              <w:jc w:val="right"/>
              <w:ind w:right="380"/>
              <w:spacing w:after="0"/>
              <w:rPr>
                <w:sz w:val="20"/>
                <w:szCs w:val="20"/>
                <w:color w:val="auto"/>
              </w:rPr>
            </w:pPr>
            <w:r>
              <w:rPr>
                <w:rFonts w:ascii="Arial" w:cs="Arial" w:eastAsia="Arial" w:hAnsi="Arial"/>
                <w:sz w:val="18"/>
                <w:szCs w:val="18"/>
                <w:color w:val="auto"/>
              </w:rPr>
              <w:t>11</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14</w:t>
            </w:r>
          </w:p>
        </w:tc>
      </w:tr>
      <w:tr>
        <w:trPr>
          <w:trHeight w:val="222"/>
        </w:trPr>
        <w:tc>
          <w:tcPr>
            <w:tcW w:w="3020" w:type="dxa"/>
            <w:vAlign w:val="bottom"/>
          </w:tcPr>
          <w:p>
            <w:pPr>
              <w:spacing w:after="0"/>
              <w:rPr>
                <w:sz w:val="20"/>
                <w:szCs w:val="20"/>
                <w:color w:val="auto"/>
              </w:rPr>
            </w:pPr>
            <w:r>
              <w:rPr>
                <w:rFonts w:ascii="Arial" w:cs="Arial" w:eastAsia="Arial" w:hAnsi="Arial"/>
                <w:sz w:val="18"/>
                <w:szCs w:val="18"/>
                <w:color w:val="auto"/>
              </w:rPr>
              <w:t>expense</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21"/>
        </w:trPr>
        <w:tc>
          <w:tcPr>
            <w:tcW w:w="302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460" w:type="dxa"/>
            <w:vAlign w:val="bottom"/>
          </w:tcPr>
          <w:p>
            <w:pPr>
              <w:spacing w:after="0"/>
              <w:rPr>
                <w:sz w:val="24"/>
                <w:szCs w:val="24"/>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53</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37</w:t>
            </w:r>
          </w:p>
        </w:tc>
      </w:tr>
      <w:tr>
        <w:trPr>
          <w:trHeight w:val="439"/>
        </w:trPr>
        <w:tc>
          <w:tcPr>
            <w:tcW w:w="3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85"/>
              </w:rPr>
              <w:t>$ 33</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96"/>
              </w:rPr>
              <w:t>$ 31</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96"/>
              </w:rPr>
              <w:t>$ 74</w:t>
            </w:r>
          </w:p>
        </w:tc>
        <w:tc>
          <w:tcPr>
            <w:tcW w:w="380" w:type="dxa"/>
            <w:vAlign w:val="bottom"/>
          </w:tcPr>
          <w:p>
            <w:pPr>
              <w:spacing w:after="0"/>
              <w:rPr>
                <w:sz w:val="24"/>
                <w:szCs w:val="24"/>
                <w:color w:val="auto"/>
              </w:rPr>
            </w:pP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$ 58</w:t>
            </w:r>
          </w:p>
        </w:tc>
      </w:tr>
      <w:tr>
        <w:trPr>
          <w:trHeight w:val="20"/>
        </w:trPr>
        <w:tc>
          <w:tcPr>
            <w:tcW w:w="302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7" w:gutter="0" w:footer="0" w:header="0"/>
        </w:sectPr>
      </w:pPr>
    </w:p>
    <w:p>
      <w:pPr>
        <w:spacing w:after="0" w:line="26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There was no compensation expense capitalized in the six months ended June 30, 2014 or 2013.</w:t>
      </w:r>
    </w:p>
    <w:p>
      <w:pPr>
        <w:sectPr>
          <w:pgSz w:w="11900" w:h="16838" w:orient="portrait"/>
          <w:cols w:equalWidth="0" w:num="1">
            <w:col w:w="11420"/>
          </w:cols>
          <w:pgMar w:left="240" w:top="131" w:right="239" w:bottom="7" w:gutter="0" w:footer="0" w:header="0"/>
          <w:type w:val="continuous"/>
        </w:sectPr>
      </w:pPr>
    </w:p>
    <w:bookmarkStart w:id="10" w:name="page11"/>
    <w:bookmarkEnd w:id="10"/>
    <w:p>
      <w:pPr>
        <w:spacing w:after="0" w:line="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activity related to nonvested shares for the six months ended June 30, 2014:</w:t>
      </w:r>
    </w:p>
    <w:p>
      <w:pPr>
        <w:spacing w:after="0" w:line="224"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i w:val="1"/>
                <w:iCs w:val="1"/>
                <w:color w:val="auto"/>
                <w:w w:val="79"/>
              </w:rPr>
              <w:t>Weighted</w:t>
            </w:r>
          </w:p>
        </w:tc>
      </w:tr>
      <w:tr>
        <w:trPr>
          <w:trHeight w:val="149"/>
        </w:trPr>
        <w:tc>
          <w:tcPr>
            <w:tcW w:w="4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i w:val="1"/>
                <w:iCs w:val="1"/>
                <w:color w:val="auto"/>
                <w:w w:val="83"/>
              </w:rPr>
              <w:t>Average</w:t>
            </w:r>
          </w:p>
        </w:tc>
      </w:tr>
      <w:tr>
        <w:trPr>
          <w:trHeight w:val="149"/>
        </w:trPr>
        <w:tc>
          <w:tcPr>
            <w:tcW w:w="4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i w:val="1"/>
                <w:iCs w:val="1"/>
                <w:color w:val="auto"/>
                <w:w w:val="79"/>
              </w:rPr>
              <w:t>Number</w:t>
            </w:r>
          </w:p>
        </w:tc>
        <w:tc>
          <w:tcPr>
            <w:tcW w:w="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86"/>
              </w:rPr>
              <w:t>Grant Date</w:t>
            </w:r>
          </w:p>
        </w:tc>
      </w:tr>
      <w:tr>
        <w:trPr>
          <w:trHeight w:val="146"/>
        </w:trPr>
        <w:tc>
          <w:tcPr>
            <w:tcW w:w="4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jc w:val="center"/>
              <w:spacing w:after="0" w:line="146" w:lineRule="exact"/>
              <w:rPr>
                <w:sz w:val="20"/>
                <w:szCs w:val="20"/>
                <w:color w:val="auto"/>
              </w:rPr>
            </w:pPr>
            <w:r>
              <w:rPr>
                <w:rFonts w:ascii="Arial" w:cs="Arial" w:eastAsia="Arial" w:hAnsi="Arial"/>
                <w:sz w:val="14"/>
                <w:szCs w:val="14"/>
                <w:b w:val="1"/>
                <w:bCs w:val="1"/>
                <w:i w:val="1"/>
                <w:iCs w:val="1"/>
                <w:color w:val="auto"/>
                <w:w w:val="72"/>
              </w:rPr>
              <w:t>of Shares</w:t>
            </w:r>
          </w:p>
        </w:tc>
        <w:tc>
          <w:tcPr>
            <w:tcW w:w="220" w:type="dxa"/>
            <w:vAlign w:val="bottom"/>
            <w:gridSpan w:val="2"/>
          </w:tcPr>
          <w:p>
            <w:pPr>
              <w:spacing w:after="0"/>
              <w:rPr>
                <w:sz w:val="12"/>
                <w:szCs w:val="12"/>
                <w:color w:val="auto"/>
              </w:rPr>
            </w:pPr>
          </w:p>
        </w:tc>
        <w:tc>
          <w:tcPr>
            <w:tcW w:w="700" w:type="dxa"/>
            <w:vAlign w:val="bottom"/>
            <w:gridSpan w:val="3"/>
          </w:tcPr>
          <w:p>
            <w:pPr>
              <w:jc w:val="center"/>
              <w:spacing w:after="0" w:line="146" w:lineRule="exact"/>
              <w:rPr>
                <w:sz w:val="20"/>
                <w:szCs w:val="20"/>
                <w:color w:val="auto"/>
              </w:rPr>
            </w:pPr>
            <w:r>
              <w:rPr>
                <w:rFonts w:ascii="Arial" w:cs="Arial" w:eastAsia="Arial" w:hAnsi="Arial"/>
                <w:sz w:val="14"/>
                <w:szCs w:val="14"/>
                <w:b w:val="1"/>
                <w:bCs w:val="1"/>
                <w:i w:val="1"/>
                <w:iCs w:val="1"/>
                <w:color w:val="auto"/>
                <w:w w:val="86"/>
              </w:rPr>
              <w:t>Fair Value</w:t>
            </w:r>
          </w:p>
        </w:tc>
      </w:tr>
      <w:tr>
        <w:trPr>
          <w:trHeight w:val="20"/>
        </w:trPr>
        <w:tc>
          <w:tcPr>
            <w:tcW w:w="4000" w:type="dxa"/>
            <w:vAlign w:val="bottom"/>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4000" w:type="dxa"/>
            <w:vAlign w:val="bottom"/>
          </w:tcPr>
          <w:p>
            <w:pPr>
              <w:spacing w:after="0"/>
              <w:rPr>
                <w:sz w:val="20"/>
                <w:szCs w:val="20"/>
                <w:color w:val="auto"/>
              </w:rPr>
            </w:pPr>
            <w:r>
              <w:rPr>
                <w:rFonts w:ascii="Arial" w:cs="Arial" w:eastAsia="Arial" w:hAnsi="Arial"/>
                <w:sz w:val="18"/>
                <w:szCs w:val="18"/>
                <w:color w:val="auto"/>
              </w:rPr>
              <w:t>Nonvested shares outstanding, January 1, 2014</w:t>
            </w:r>
          </w:p>
        </w:tc>
        <w:tc>
          <w:tcPr>
            <w:tcW w:w="7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180,000</w:t>
            </w:r>
          </w:p>
        </w:tc>
        <w:tc>
          <w:tcPr>
            <w:tcW w:w="1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$2.69</w:t>
            </w:r>
          </w:p>
        </w:tc>
        <w:tc>
          <w:tcPr>
            <w:tcW w:w="20" w:type="dxa"/>
            <w:vAlign w:val="bottom"/>
          </w:tcPr>
          <w:p>
            <w:pPr>
              <w:spacing w:after="0"/>
              <w:rPr>
                <w:sz w:val="20"/>
                <w:szCs w:val="20"/>
                <w:color w:val="auto"/>
              </w:rPr>
            </w:pPr>
          </w:p>
        </w:tc>
      </w:tr>
      <w:tr>
        <w:trPr>
          <w:trHeight w:val="459"/>
        </w:trPr>
        <w:tc>
          <w:tcPr>
            <w:tcW w:w="40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4.14</w:t>
            </w:r>
          </w:p>
        </w:tc>
        <w:tc>
          <w:tcPr>
            <w:tcW w:w="20" w:type="dxa"/>
            <w:vAlign w:val="bottom"/>
          </w:tcPr>
          <w:p>
            <w:pPr>
              <w:spacing w:after="0"/>
              <w:rPr>
                <w:sz w:val="24"/>
                <w:szCs w:val="24"/>
                <w:color w:val="auto"/>
              </w:rPr>
            </w:pPr>
          </w:p>
        </w:tc>
      </w:tr>
      <w:tr>
        <w:trPr>
          <w:trHeight w:val="459"/>
        </w:trPr>
        <w:tc>
          <w:tcPr>
            <w:tcW w:w="4000" w:type="dxa"/>
            <w:vAlign w:val="bottom"/>
          </w:tcPr>
          <w:p>
            <w:pPr>
              <w:ind w:left="140"/>
              <w:spacing w:after="0"/>
              <w:rPr>
                <w:sz w:val="20"/>
                <w:szCs w:val="20"/>
                <w:color w:val="auto"/>
              </w:rPr>
            </w:pPr>
            <w:r>
              <w:rPr>
                <w:rFonts w:ascii="Arial" w:cs="Arial" w:eastAsia="Arial" w:hAnsi="Arial"/>
                <w:sz w:val="18"/>
                <w:szCs w:val="18"/>
                <w:color w:val="auto"/>
              </w:rPr>
              <w:t>Vested</w:t>
            </w:r>
          </w:p>
        </w:tc>
        <w:tc>
          <w:tcPr>
            <w:tcW w:w="1440" w:type="dxa"/>
            <w:vAlign w:val="bottom"/>
            <w:gridSpan w:val="4"/>
          </w:tcPr>
          <w:p>
            <w:pPr>
              <w:jc w:val="right"/>
              <w:ind w:right="60"/>
              <w:spacing w:after="0"/>
              <w:rPr>
                <w:sz w:val="20"/>
                <w:szCs w:val="20"/>
                <w:color w:val="auto"/>
              </w:rPr>
            </w:pPr>
            <w:r>
              <w:rPr>
                <w:rFonts w:ascii="Arial" w:cs="Arial" w:eastAsia="Arial" w:hAnsi="Arial"/>
                <w:sz w:val="18"/>
                <w:szCs w:val="18"/>
                <w:color w:val="auto"/>
              </w:rPr>
              <w:t>(63,125)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24"/>
                <w:szCs w:val="24"/>
                <w:color w:val="auto"/>
              </w:rPr>
            </w:pPr>
          </w:p>
        </w:tc>
      </w:tr>
      <w:tr>
        <w:trPr>
          <w:trHeight w:val="421"/>
        </w:trPr>
        <w:tc>
          <w:tcPr>
            <w:tcW w:w="400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760" w:type="dxa"/>
            <w:vAlign w:val="bottom"/>
          </w:tcPr>
          <w:p>
            <w:pPr>
              <w:spacing w:after="0"/>
              <w:rPr>
                <w:sz w:val="24"/>
                <w:szCs w:val="24"/>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(5,000)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3.97</w:t>
            </w:r>
          </w:p>
        </w:tc>
        <w:tc>
          <w:tcPr>
            <w:tcW w:w="20" w:type="dxa"/>
            <w:vAlign w:val="bottom"/>
          </w:tcPr>
          <w:p>
            <w:pPr>
              <w:spacing w:after="0"/>
              <w:rPr>
                <w:sz w:val="24"/>
                <w:szCs w:val="24"/>
                <w:color w:val="auto"/>
              </w:rPr>
            </w:pPr>
          </w:p>
        </w:tc>
      </w:tr>
      <w:tr>
        <w:trPr>
          <w:trHeight w:val="439"/>
        </w:trPr>
        <w:tc>
          <w:tcPr>
            <w:tcW w:w="4000" w:type="dxa"/>
            <w:vAlign w:val="bottom"/>
          </w:tcPr>
          <w:p>
            <w:pPr>
              <w:spacing w:after="0"/>
              <w:rPr>
                <w:sz w:val="20"/>
                <w:szCs w:val="20"/>
                <w:color w:val="auto"/>
              </w:rPr>
            </w:pPr>
            <w:r>
              <w:rPr>
                <w:rFonts w:ascii="Arial" w:cs="Arial" w:eastAsia="Arial" w:hAnsi="Arial"/>
                <w:sz w:val="18"/>
                <w:szCs w:val="18"/>
                <w:color w:val="auto"/>
              </w:rPr>
              <w:t>Nonvested shares outstanding, June 30, 2014</w:t>
            </w:r>
          </w:p>
        </w:tc>
        <w:tc>
          <w:tcPr>
            <w:tcW w:w="760" w:type="dxa"/>
            <w:vAlign w:val="bottom"/>
          </w:tcPr>
          <w:p>
            <w:pPr>
              <w:spacing w:after="0"/>
              <w:rPr>
                <w:sz w:val="24"/>
                <w:szCs w:val="24"/>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121,875</w:t>
            </w:r>
          </w:p>
        </w:tc>
        <w:tc>
          <w:tcPr>
            <w:tcW w:w="1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stock option activity for the six months ended June 30, 2014:</w:t>
      </w:r>
    </w:p>
    <w:p>
      <w:pPr>
        <w:spacing w:after="0" w:line="224"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2"/>
              </w:rPr>
              <w:t>Weighted</w:t>
            </w:r>
          </w:p>
        </w:tc>
      </w:tr>
      <w:tr>
        <w:trPr>
          <w:trHeight w:val="149"/>
        </w:trPr>
        <w:tc>
          <w:tcPr>
            <w:tcW w:w="4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4"/>
          </w:tcPr>
          <w:p>
            <w:pPr>
              <w:spacing w:after="0" w:line="149" w:lineRule="exact"/>
              <w:rPr>
                <w:sz w:val="20"/>
                <w:szCs w:val="20"/>
                <w:color w:val="auto"/>
              </w:rPr>
            </w:pPr>
            <w:r>
              <w:rPr>
                <w:rFonts w:ascii="Arial" w:cs="Arial" w:eastAsia="Arial" w:hAnsi="Arial"/>
                <w:sz w:val="14"/>
                <w:szCs w:val="14"/>
                <w:b w:val="1"/>
                <w:bCs w:val="1"/>
                <w:i w:val="1"/>
                <w:iCs w:val="1"/>
                <w:color w:val="auto"/>
              </w:rPr>
              <w:t>Number</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r>
      <w:tr>
        <w:trPr>
          <w:trHeight w:val="146"/>
        </w:trPr>
        <w:tc>
          <w:tcPr>
            <w:tcW w:w="4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4"/>
          </w:tcPr>
          <w:p>
            <w:pPr>
              <w:spacing w:after="0" w:line="146" w:lineRule="exact"/>
              <w:rPr>
                <w:sz w:val="20"/>
                <w:szCs w:val="20"/>
                <w:color w:val="auto"/>
              </w:rPr>
            </w:pPr>
            <w:r>
              <w:rPr>
                <w:rFonts w:ascii="Arial" w:cs="Arial" w:eastAsia="Arial" w:hAnsi="Arial"/>
                <w:sz w:val="14"/>
                <w:szCs w:val="14"/>
                <w:b w:val="1"/>
                <w:bCs w:val="1"/>
                <w:i w:val="1"/>
                <w:iCs w:val="1"/>
                <w:color w:val="auto"/>
              </w:rPr>
              <w:t>of Shares</w:t>
            </w:r>
          </w:p>
        </w:tc>
        <w:tc>
          <w:tcPr>
            <w:tcW w:w="800" w:type="dxa"/>
            <w:vAlign w:val="bottom"/>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Exercise Price</w:t>
            </w:r>
          </w:p>
        </w:tc>
      </w:tr>
      <w:tr>
        <w:trPr>
          <w:trHeight w:val="20"/>
        </w:trPr>
        <w:tc>
          <w:tcPr>
            <w:tcW w:w="438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4380" w:type="dxa"/>
            <w:vAlign w:val="bottom"/>
          </w:tcPr>
          <w:p>
            <w:pPr>
              <w:spacing w:after="0"/>
              <w:rPr>
                <w:sz w:val="20"/>
                <w:szCs w:val="20"/>
                <w:color w:val="auto"/>
              </w:rPr>
            </w:pPr>
            <w:r>
              <w:rPr>
                <w:rFonts w:ascii="Arial" w:cs="Arial" w:eastAsia="Arial" w:hAnsi="Arial"/>
                <w:sz w:val="18"/>
                <w:szCs w:val="18"/>
                <w:color w:val="auto"/>
                <w:w w:val="93"/>
              </w:rPr>
              <w:t>Options outstanding, January 1, 2014 (10,000 exercisable)</w:t>
            </w:r>
          </w:p>
        </w:tc>
        <w:tc>
          <w:tcPr>
            <w:tcW w:w="360" w:type="dxa"/>
            <w:vAlign w:val="bottom"/>
          </w:tcPr>
          <w:p>
            <w:pPr>
              <w:spacing w:after="0"/>
              <w:rPr>
                <w:sz w:val="20"/>
                <w:szCs w:val="20"/>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7"/>
              </w:rPr>
              <w:t>10,000</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$ 5.66</w:t>
            </w:r>
          </w:p>
        </w:tc>
      </w:tr>
      <w:tr>
        <w:trPr>
          <w:trHeight w:val="459"/>
        </w:trPr>
        <w:tc>
          <w:tcPr>
            <w:tcW w:w="4380" w:type="dxa"/>
            <w:vAlign w:val="bottom"/>
          </w:tcPr>
          <w:p>
            <w:pPr>
              <w:ind w:left="140"/>
              <w:spacing w:after="0"/>
              <w:rPr>
                <w:sz w:val="20"/>
                <w:szCs w:val="20"/>
                <w:color w:val="auto"/>
              </w:rPr>
            </w:pPr>
            <w:r>
              <w:rPr>
                <w:rFonts w:ascii="Arial" w:cs="Arial" w:eastAsia="Arial" w:hAnsi="Arial"/>
                <w:sz w:val="18"/>
                <w:szCs w:val="18"/>
                <w:color w:val="auto"/>
              </w:rPr>
              <w:t>Granted</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438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1"/>
        </w:trPr>
        <w:tc>
          <w:tcPr>
            <w:tcW w:w="4380" w:type="dxa"/>
            <w:vAlign w:val="bottom"/>
          </w:tcPr>
          <w:p>
            <w:pPr>
              <w:ind w:left="140"/>
              <w:spacing w:after="0"/>
              <w:rPr>
                <w:sz w:val="20"/>
                <w:szCs w:val="20"/>
                <w:color w:val="auto"/>
              </w:rPr>
            </w:pPr>
            <w:r>
              <w:rPr>
                <w:rFonts w:ascii="Arial" w:cs="Arial" w:eastAsia="Arial" w:hAnsi="Arial"/>
                <w:sz w:val="18"/>
                <w:szCs w:val="18"/>
                <w:color w:val="auto"/>
              </w:rPr>
              <w:t>Forfeited/Expired</w:t>
            </w:r>
          </w:p>
        </w:tc>
        <w:tc>
          <w:tcPr>
            <w:tcW w:w="360" w:type="dxa"/>
            <w:vAlign w:val="bottom"/>
          </w:tcPr>
          <w:p>
            <w:pPr>
              <w:spacing w:after="0"/>
              <w:rPr>
                <w:sz w:val="24"/>
                <w:szCs w:val="24"/>
                <w:color w:val="auto"/>
              </w:rPr>
            </w:pPr>
          </w:p>
        </w:tc>
        <w:tc>
          <w:tcPr>
            <w:tcW w:w="680" w:type="dxa"/>
            <w:vAlign w:val="bottom"/>
            <w:gridSpan w:val="4"/>
          </w:tcPr>
          <w:p>
            <w:pPr>
              <w:spacing w:after="0"/>
              <w:rPr>
                <w:sz w:val="20"/>
                <w:szCs w:val="20"/>
                <w:color w:val="auto"/>
              </w:rPr>
            </w:pPr>
            <w:r>
              <w:rPr>
                <w:rFonts w:ascii="Arial" w:cs="Arial" w:eastAsia="Arial" w:hAnsi="Arial"/>
                <w:sz w:val="18"/>
                <w:szCs w:val="18"/>
                <w:color w:val="auto"/>
                <w:w w:val="98"/>
              </w:rPr>
              <w:t>(10,000)</w:t>
            </w:r>
          </w:p>
        </w:tc>
        <w:tc>
          <w:tcPr>
            <w:tcW w:w="800" w:type="dxa"/>
            <w:vAlign w:val="bottom"/>
          </w:tcPr>
          <w:p>
            <w:pPr>
              <w:jc w:val="right"/>
              <w:spacing w:after="0"/>
              <w:rPr>
                <w:sz w:val="20"/>
                <w:szCs w:val="20"/>
                <w:color w:val="auto"/>
              </w:rPr>
            </w:pPr>
            <w:r>
              <w:rPr>
                <w:rFonts w:ascii="Arial" w:cs="Arial" w:eastAsia="Arial" w:hAnsi="Arial"/>
                <w:sz w:val="18"/>
                <w:szCs w:val="18"/>
                <w:color w:val="auto"/>
              </w:rPr>
              <w:t>5.66</w:t>
            </w:r>
          </w:p>
        </w:tc>
      </w:tr>
      <w:tr>
        <w:trPr>
          <w:trHeight w:val="20"/>
        </w:trPr>
        <w:tc>
          <w:tcPr>
            <w:tcW w:w="438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39"/>
        </w:trPr>
        <w:tc>
          <w:tcPr>
            <w:tcW w:w="4380" w:type="dxa"/>
            <w:vAlign w:val="bottom"/>
          </w:tcPr>
          <w:p>
            <w:pPr>
              <w:spacing w:after="0"/>
              <w:rPr>
                <w:sz w:val="20"/>
                <w:szCs w:val="20"/>
                <w:color w:val="auto"/>
              </w:rPr>
            </w:pPr>
            <w:r>
              <w:rPr>
                <w:rFonts w:ascii="Arial" w:cs="Arial" w:eastAsia="Arial" w:hAnsi="Arial"/>
                <w:sz w:val="18"/>
                <w:szCs w:val="18"/>
                <w:color w:val="auto"/>
              </w:rPr>
              <w:t>Options outstanding, June 30, 2014</w:t>
            </w:r>
          </w:p>
        </w:tc>
        <w:tc>
          <w:tcPr>
            <w:tcW w:w="360" w:type="dxa"/>
            <w:vAlign w:val="bottom"/>
          </w:tcPr>
          <w:p>
            <w:pPr>
              <w:spacing w:after="0"/>
              <w:rPr>
                <w:sz w:val="24"/>
                <w:szCs w:val="24"/>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- 11 -</w:t>
      </w:r>
    </w:p>
    <w:p>
      <w:pPr>
        <w:spacing w:after="0" w:line="17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w:t>
      </w:r>
    </w:p>
    <w:p>
      <w:pPr>
        <w:spacing w:after="0" w:line="191" w:lineRule="exact"/>
        <w:rPr>
          <w:sz w:val="20"/>
          <w:szCs w:val="20"/>
          <w:color w:val="auto"/>
        </w:rPr>
      </w:pPr>
    </w:p>
    <w:p>
      <w:pPr>
        <w:jc w:val="both"/>
        <w:ind w:left="540" w:right="60"/>
        <w:spacing w:after="0" w:line="294" w:lineRule="auto"/>
        <w:rPr>
          <w:sz w:val="20"/>
          <w:szCs w:val="20"/>
          <w:color w:val="auto"/>
        </w:rPr>
      </w:pPr>
      <w:r>
        <w:rPr>
          <w:rFonts w:ascii="Arial" w:cs="Arial" w:eastAsia="Arial" w:hAnsi="Arial"/>
          <w:sz w:val="16"/>
          <w:szCs w:val="16"/>
          <w:color w:val="auto"/>
        </w:rPr>
        <w:t>We have a defined contribution 401(k) plan for our employees who work in the U.S. (the "inTEST 401(k) Plan"). All permanent employees of inTEST Corporation, Temptronic Corporation and inTEST Silicon Valley Corporation who are at least 18 years of age are eligible to participate in the plan. We match employee contributions dollar for dollar up to 10% of the employee's annual compensation, with a maximum limit of $5. Employer contributions vest ratably over four years. Matching contributions are discretionary. For the six months ended June 30, 2014 and 2013, we recorded $229 and $223 of expense for matching contributions, respectively.</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We have three reportable segments, which are also our reporting units: Thermal Products, Mechanical Products and Electrical Products.</w:t>
      </w:r>
    </w:p>
    <w:p>
      <w:pPr>
        <w:spacing w:after="0" w:line="248" w:lineRule="exact"/>
        <w:rPr>
          <w:sz w:val="20"/>
          <w:szCs w:val="20"/>
          <w:color w:val="auto"/>
        </w:rPr>
      </w:pPr>
    </w:p>
    <w:p>
      <w:pPr>
        <w:jc w:val="both"/>
        <w:ind w:left="540" w:right="60"/>
        <w:spacing w:after="0" w:line="306" w:lineRule="auto"/>
        <w:rPr>
          <w:sz w:val="20"/>
          <w:szCs w:val="20"/>
          <w:color w:val="auto"/>
        </w:rPr>
      </w:pPr>
      <w:r>
        <w:rPr>
          <w:rFonts w:ascii="Arial" w:cs="Arial" w:eastAsia="Arial" w:hAnsi="Arial"/>
          <w:sz w:val="16"/>
          <w:szCs w:val="16"/>
          <w:color w:val="auto"/>
        </w:rPr>
        <w:t>The Thermal Products segment includes the operations of Temptronic, Thermonics, Sigma, inTEST Thermal Solutions GmbH (Germany), and inTEST Pte, Limited (Singapore). Sales of this segment consist primarily of temperature management systems, which we design, manufacture and market under our Temptronic, Thermonics and Sigma Systems product lines. In addition, this segment provides post warranty service and support.</w:t>
      </w:r>
    </w:p>
    <w:p>
      <w:pPr>
        <w:spacing w:after="0" w:line="161"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The Mechanical Products segment includes the operations of our Mt. Laurel, New Jersey manufacturing facility. Sales of our Mechanical Products segment consist primarily of manipulator and docking hardware products, which we design, manufacture and market. In addition, this segment provides post warranty service and support for various ATE equipment.</w:t>
      </w:r>
    </w:p>
    <w:p>
      <w:pPr>
        <w:spacing w:after="0" w:line="194"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The Electrical Products segment includes the operations of inTEST Silicon Valley Corporation. Sales of this segment consist primarily of tester interface products, which we design, manufacture and market.</w:t>
      </w:r>
    </w:p>
    <w:p>
      <w:pPr>
        <w:spacing w:after="0" w:line="186" w:lineRule="exact"/>
        <w:rPr>
          <w:sz w:val="20"/>
          <w:szCs w:val="20"/>
          <w:color w:val="auto"/>
        </w:rPr>
      </w:pPr>
    </w:p>
    <w:p>
      <w:pPr>
        <w:ind w:left="540" w:right="160"/>
        <w:spacing w:after="0" w:line="298" w:lineRule="auto"/>
        <w:rPr>
          <w:sz w:val="20"/>
          <w:szCs w:val="20"/>
          <w:color w:val="auto"/>
        </w:rPr>
      </w:pPr>
      <w:r>
        <w:rPr>
          <w:rFonts w:ascii="Arial" w:cs="Arial" w:eastAsia="Arial" w:hAnsi="Arial"/>
          <w:sz w:val="16"/>
          <w:szCs w:val="16"/>
          <w:color w:val="auto"/>
        </w:rPr>
        <w:t>We operate our business worldwide, and all three segments sell their products both domestically and internationally. All three segments sell to semiconductor manufacturers, third-party test and assembly houses and ATE manufacturers. Our Thermal Products segment also sells into a variety of markets outside of the semiconductor market, including the automotive, consumer electronics, defense/aerospace, energy, industrial and telecommunications markets. Intercompany pricing between segments is either a multiple of cost for component parts or list price for finished goods.</w:t>
      </w:r>
    </w:p>
    <w:p>
      <w:pPr>
        <w:sectPr>
          <w:pgSz w:w="11900" w:h="16936" w:orient="portrait"/>
          <w:cols w:equalWidth="0" w:num="1">
            <w:col w:w="11280"/>
          </w:cols>
          <w:pgMar w:left="240" w:top="131" w:right="379" w:bottom="0" w:gutter="0" w:footer="0" w:header="0"/>
        </w:sectPr>
      </w:pPr>
    </w:p>
    <w:p>
      <w:pPr>
        <w:spacing w:after="0" w:line="200" w:lineRule="exact"/>
        <w:rPr>
          <w:sz w:val="20"/>
          <w:szCs w:val="20"/>
          <w:color w:val="auto"/>
        </w:rPr>
      </w:pPr>
    </w:p>
    <w:p>
      <w:pPr>
        <w:spacing w:after="0" w:line="264" w:lineRule="exact"/>
        <w:rPr>
          <w:sz w:val="20"/>
          <w:szCs w:val="20"/>
          <w:color w:val="auto"/>
        </w:rPr>
      </w:pPr>
    </w:p>
    <w:p>
      <w:pPr>
        <w:ind w:left="1100"/>
        <w:spacing w:after="0"/>
        <w:rPr>
          <w:sz w:val="20"/>
          <w:szCs w:val="20"/>
          <w:color w:val="auto"/>
        </w:rPr>
      </w:pPr>
      <w:r>
        <w:rPr>
          <w:rFonts w:ascii="Arial" w:cs="Arial" w:eastAsia="Arial" w:hAnsi="Arial"/>
          <w:sz w:val="15"/>
          <w:szCs w:val="15"/>
          <w:b w:val="1"/>
          <w:bCs w:val="1"/>
          <w:i w:val="1"/>
          <w:iCs w:val="1"/>
          <w:color w:val="auto"/>
        </w:rPr>
        <w:t>Net revenues from unaffiliated customers: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5"/>
          </w:tcPr>
          <w:p>
            <w:pPr>
              <w:jc w:val="center"/>
              <w:ind w:right="52"/>
              <w:spacing w:after="0"/>
              <w:rPr>
                <w:sz w:val="20"/>
                <w:szCs w:val="20"/>
                <w:color w:val="auto"/>
              </w:rPr>
            </w:pPr>
            <w:r>
              <w:rPr>
                <w:rFonts w:ascii="Arial" w:cs="Arial" w:eastAsia="Arial" w:hAnsi="Arial"/>
                <w:sz w:val="14"/>
                <w:szCs w:val="14"/>
                <w:b w:val="1"/>
                <w:bCs w:val="1"/>
                <w:i w:val="1"/>
                <w:iCs w:val="1"/>
                <w:color w:val="auto"/>
                <w:w w:val="85"/>
              </w:rPr>
              <w:t>Three Months Ended</w:t>
            </w:r>
          </w:p>
        </w:tc>
        <w:tc>
          <w:tcPr>
            <w:tcW w:w="1580" w:type="dxa"/>
            <w:vAlign w:val="bottom"/>
            <w:gridSpan w:val="6"/>
          </w:tcPr>
          <w:p>
            <w:pPr>
              <w:jc w:val="center"/>
              <w:ind w:left="232"/>
              <w:spacing w:after="0"/>
              <w:rPr>
                <w:sz w:val="20"/>
                <w:szCs w:val="20"/>
                <w:color w:val="auto"/>
              </w:rPr>
            </w:pPr>
            <w:r>
              <w:rPr>
                <w:rFonts w:ascii="Arial" w:cs="Arial" w:eastAsia="Arial" w:hAnsi="Arial"/>
                <w:sz w:val="14"/>
                <w:szCs w:val="14"/>
                <w:b w:val="1"/>
                <w:bCs w:val="1"/>
                <w:i w:val="1"/>
                <w:iCs w:val="1"/>
                <w:color w:val="auto"/>
                <w:w w:val="85"/>
              </w:rPr>
              <w:t>Six Months Ended</w:t>
            </w:r>
          </w:p>
        </w:tc>
      </w:tr>
      <w:tr>
        <w:trPr>
          <w:trHeight w:val="146"/>
        </w:trPr>
        <w:tc>
          <w:tcPr>
            <w:tcW w:w="1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center"/>
              <w:ind w:right="20"/>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56"/>
        </w:trPr>
        <w:tc>
          <w:tcPr>
            <w:tcW w:w="160" w:type="dxa"/>
            <w:vAlign w:val="bottom"/>
            <w:gridSpan w:val="2"/>
          </w:tcPr>
          <w:p>
            <w:pPr>
              <w:spacing w:after="0"/>
              <w:rPr>
                <w:sz w:val="13"/>
                <w:szCs w:val="13"/>
                <w:color w:val="auto"/>
              </w:rPr>
            </w:pPr>
          </w:p>
        </w:tc>
        <w:tc>
          <w:tcPr>
            <w:tcW w:w="280" w:type="dxa"/>
            <w:vAlign w:val="bottom"/>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2014</w:t>
            </w:r>
          </w:p>
        </w:tc>
        <w:tc>
          <w:tcPr>
            <w:tcW w:w="620" w:type="dxa"/>
            <w:vAlign w:val="bottom"/>
          </w:tcPr>
          <w:p>
            <w:pPr>
              <w:spacing w:after="0"/>
              <w:rPr>
                <w:sz w:val="13"/>
                <w:szCs w:val="13"/>
                <w:color w:val="auto"/>
              </w:rPr>
            </w:pPr>
          </w:p>
        </w:tc>
        <w:tc>
          <w:tcPr>
            <w:tcW w:w="240" w:type="dxa"/>
            <w:vAlign w:val="bottom"/>
          </w:tcPr>
          <w:p>
            <w:pPr>
              <w:jc w:val="right"/>
              <w:spacing w:after="0" w:line="155" w:lineRule="exact"/>
              <w:rPr>
                <w:sz w:val="20"/>
                <w:szCs w:val="20"/>
                <w:color w:val="auto"/>
              </w:rPr>
            </w:pPr>
            <w:r>
              <w:rPr>
                <w:rFonts w:ascii="Arial" w:cs="Arial" w:eastAsia="Arial" w:hAnsi="Arial"/>
                <w:sz w:val="14"/>
                <w:szCs w:val="14"/>
                <w:b w:val="1"/>
                <w:bCs w:val="1"/>
                <w:i w:val="1"/>
                <w:iCs w:val="1"/>
                <w:color w:val="auto"/>
                <w:w w:val="70"/>
              </w:rPr>
              <w:t>2013</w:t>
            </w:r>
          </w:p>
        </w:tc>
        <w:tc>
          <w:tcPr>
            <w:tcW w:w="1300" w:type="dxa"/>
            <w:vAlign w:val="bottom"/>
            <w:gridSpan w:val="4"/>
          </w:tcPr>
          <w:p>
            <w:pPr>
              <w:jc w:val="right"/>
              <w:ind w:right="520"/>
              <w:spacing w:after="0" w:line="155" w:lineRule="exact"/>
              <w:rPr>
                <w:sz w:val="20"/>
                <w:szCs w:val="20"/>
                <w:color w:val="auto"/>
              </w:rPr>
            </w:pPr>
            <w:r>
              <w:rPr>
                <w:rFonts w:ascii="Arial" w:cs="Arial" w:eastAsia="Arial" w:hAnsi="Arial"/>
                <w:sz w:val="14"/>
                <w:szCs w:val="14"/>
                <w:b w:val="1"/>
                <w:bCs w:val="1"/>
                <w:i w:val="1"/>
                <w:iCs w:val="1"/>
                <w:color w:val="auto"/>
              </w:rPr>
              <w:t>2014</w:t>
            </w:r>
          </w:p>
        </w:tc>
        <w:tc>
          <w:tcPr>
            <w:tcW w:w="2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2013</w:t>
            </w:r>
          </w:p>
        </w:tc>
      </w:tr>
      <w:tr>
        <w:trPr>
          <w:trHeight w:val="20"/>
        </w:trPr>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bl>
    <w:p>
      <w:pPr>
        <w:spacing w:after="0" w:line="215" w:lineRule="exact"/>
        <w:rPr>
          <w:sz w:val="20"/>
          <w:szCs w:val="20"/>
          <w:color w:val="auto"/>
        </w:rPr>
      </w:pPr>
    </w:p>
    <w:p>
      <w:pPr>
        <w:sectPr>
          <w:pgSz w:w="11900" w:h="16936" w:orient="portrait"/>
          <w:cols w:equalWidth="0" w:num="2">
            <w:col w:w="5020" w:space="720"/>
            <w:col w:w="5540"/>
          </w:cols>
          <w:pgMar w:left="240" w:top="131" w:right="379" w:bottom="0" w:gutter="0" w:footer="0" w:header="0"/>
          <w:type w:val="continuous"/>
        </w:sectPr>
      </w:pPr>
    </w:p>
    <w:p>
      <w:pPr>
        <w:spacing w:after="0" w:line="87"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2940" w:type="dxa"/>
            <w:vAlign w:val="bottom"/>
          </w:tcPr>
          <w:p>
            <w:pPr>
              <w:spacing w:after="0"/>
              <w:rPr>
                <w:sz w:val="20"/>
                <w:szCs w:val="20"/>
                <w:color w:val="auto"/>
              </w:rPr>
            </w:pPr>
            <w:r>
              <w:rPr>
                <w:rFonts w:ascii="Arial" w:cs="Arial" w:eastAsia="Arial" w:hAnsi="Arial"/>
                <w:sz w:val="18"/>
                <w:szCs w:val="18"/>
                <w:color w:val="auto"/>
              </w:rPr>
              <w:t>Thermal Products</w:t>
            </w:r>
          </w:p>
        </w:tc>
        <w:tc>
          <w:tcPr>
            <w:tcW w:w="2420" w:type="dxa"/>
            <w:vAlign w:val="bottom"/>
          </w:tcPr>
          <w:p>
            <w:pPr>
              <w:jc w:val="right"/>
              <w:ind w:right="92"/>
              <w:spacing w:after="0"/>
              <w:rPr>
                <w:sz w:val="20"/>
                <w:szCs w:val="20"/>
                <w:color w:val="auto"/>
              </w:rPr>
            </w:pPr>
            <w:r>
              <w:rPr>
                <w:rFonts w:ascii="Arial" w:cs="Arial" w:eastAsia="Arial" w:hAnsi="Arial"/>
                <w:sz w:val="18"/>
                <w:szCs w:val="18"/>
                <w:color w:val="auto"/>
              </w:rPr>
              <w:t>$ 6,116</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$5,772</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$11,359</w:t>
            </w:r>
          </w:p>
        </w:tc>
        <w:tc>
          <w:tcPr>
            <w:tcW w:w="680" w:type="dxa"/>
            <w:vAlign w:val="bottom"/>
          </w:tcPr>
          <w:p>
            <w:pPr>
              <w:jc w:val="right"/>
              <w:spacing w:after="0"/>
              <w:rPr>
                <w:sz w:val="20"/>
                <w:szCs w:val="20"/>
                <w:color w:val="auto"/>
              </w:rPr>
            </w:pPr>
            <w:r>
              <w:rPr>
                <w:rFonts w:ascii="Arial" w:cs="Arial" w:eastAsia="Arial" w:hAnsi="Arial"/>
                <w:sz w:val="18"/>
                <w:szCs w:val="18"/>
                <w:color w:val="auto"/>
              </w:rPr>
              <w:t>$11,670</w:t>
            </w:r>
          </w:p>
        </w:tc>
      </w:tr>
      <w:tr>
        <w:trPr>
          <w:trHeight w:val="459"/>
        </w:trPr>
        <w:tc>
          <w:tcPr>
            <w:tcW w:w="2940" w:type="dxa"/>
            <w:vAlign w:val="bottom"/>
          </w:tcPr>
          <w:p>
            <w:pPr>
              <w:spacing w:after="0"/>
              <w:rPr>
                <w:sz w:val="24"/>
                <w:szCs w:val="24"/>
                <w:color w:val="auto"/>
              </w:rPr>
            </w:pPr>
          </w:p>
        </w:tc>
        <w:tc>
          <w:tcPr>
            <w:tcW w:w="2420" w:type="dxa"/>
            <w:vAlign w:val="bottom"/>
          </w:tcPr>
          <w:p>
            <w:pPr>
              <w:jc w:val="right"/>
              <w:ind w:right="92"/>
              <w:spacing w:after="0"/>
              <w:rPr>
                <w:sz w:val="20"/>
                <w:szCs w:val="20"/>
                <w:color w:val="auto"/>
              </w:rPr>
            </w:pPr>
            <w:r>
              <w:rPr>
                <w:rFonts w:ascii="Arial" w:cs="Arial" w:eastAsia="Arial" w:hAnsi="Arial"/>
                <w:sz w:val="18"/>
                <w:szCs w:val="18"/>
                <w:color w:val="auto"/>
              </w:rPr>
              <w:t>4,137</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3,798</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6,184</w:t>
            </w:r>
          </w:p>
        </w:tc>
        <w:tc>
          <w:tcPr>
            <w:tcW w:w="680" w:type="dxa"/>
            <w:vAlign w:val="bottom"/>
          </w:tcPr>
          <w:p>
            <w:pPr>
              <w:jc w:val="right"/>
              <w:spacing w:after="0"/>
              <w:rPr>
                <w:sz w:val="20"/>
                <w:szCs w:val="20"/>
                <w:color w:val="auto"/>
              </w:rPr>
            </w:pPr>
            <w:r>
              <w:rPr>
                <w:rFonts w:ascii="Arial" w:cs="Arial" w:eastAsia="Arial" w:hAnsi="Arial"/>
                <w:sz w:val="18"/>
                <w:szCs w:val="18"/>
                <w:color w:val="auto"/>
              </w:rPr>
              <w:t>5,591</w:t>
            </w:r>
          </w:p>
        </w:tc>
      </w:tr>
    </w:tbl>
    <w:p>
      <w:pPr>
        <w:sectPr>
          <w:pgSz w:w="11900" w:h="16936" w:orient="portrait"/>
          <w:cols w:equalWidth="0" w:num="1">
            <w:col w:w="11280"/>
          </w:cols>
          <w:pgMar w:left="240" w:top="131" w:right="379" w:bottom="0" w:gutter="0" w:footer="0" w:header="0"/>
          <w:type w:val="continuous"/>
        </w:sectPr>
      </w:pPr>
    </w:p>
    <w:bookmarkStart w:id="11" w:name="page12"/>
    <w:bookmarkEnd w:id="11"/>
    <w:p>
      <w:pPr>
        <w:spacing w:after="0" w:line="1"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4100" w:type="dxa"/>
            <w:vAlign w:val="bottom"/>
          </w:tcPr>
          <w:p>
            <w:pPr>
              <w:spacing w:after="0"/>
              <w:rPr>
                <w:sz w:val="20"/>
                <w:szCs w:val="20"/>
                <w:color w:val="auto"/>
              </w:rPr>
            </w:pPr>
            <w:r>
              <w:rPr>
                <w:rFonts w:ascii="Arial" w:cs="Arial" w:eastAsia="Arial" w:hAnsi="Arial"/>
                <w:sz w:val="18"/>
                <w:szCs w:val="18"/>
                <w:color w:val="auto"/>
              </w:rPr>
              <w:t>Mechanical Products</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21"/>
        </w:trPr>
        <w:tc>
          <w:tcPr>
            <w:tcW w:w="4100" w:type="dxa"/>
            <w:vAlign w:val="bottom"/>
          </w:tcPr>
          <w:p>
            <w:pPr>
              <w:spacing w:after="0"/>
              <w:rPr>
                <w:sz w:val="20"/>
                <w:szCs w:val="20"/>
                <w:color w:val="auto"/>
              </w:rPr>
            </w:pPr>
            <w:r>
              <w:rPr>
                <w:rFonts w:ascii="Arial" w:cs="Arial" w:eastAsia="Arial" w:hAnsi="Arial"/>
                <w:sz w:val="18"/>
                <w:szCs w:val="18"/>
                <w:color w:val="auto"/>
              </w:rPr>
              <w:t>Electrical Products</w:t>
            </w:r>
          </w:p>
        </w:tc>
        <w:tc>
          <w:tcPr>
            <w:tcW w:w="500" w:type="dxa"/>
            <w:vAlign w:val="bottom"/>
          </w:tcPr>
          <w:p>
            <w:pPr>
              <w:spacing w:after="0"/>
              <w:rPr>
                <w:sz w:val="24"/>
                <w:szCs w:val="24"/>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2,090</w:t>
            </w:r>
          </w:p>
        </w:tc>
        <w:tc>
          <w:tcPr>
            <w:tcW w:w="300" w:type="dxa"/>
            <w:vAlign w:val="bottom"/>
          </w:tcPr>
          <w:p>
            <w:pPr>
              <w:spacing w:after="0"/>
              <w:rPr>
                <w:sz w:val="24"/>
                <w:szCs w:val="24"/>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1,648</w:t>
            </w:r>
          </w:p>
        </w:tc>
        <w:tc>
          <w:tcPr>
            <w:tcW w:w="220" w:type="dxa"/>
            <w:vAlign w:val="bottom"/>
          </w:tcPr>
          <w:p>
            <w:pPr>
              <w:spacing w:after="0"/>
              <w:rPr>
                <w:sz w:val="24"/>
                <w:szCs w:val="2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3,597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2,930</w:t>
            </w:r>
          </w:p>
        </w:tc>
        <w:tc>
          <w:tcPr>
            <w:tcW w:w="60" w:type="dxa"/>
            <w:vAlign w:val="bottom"/>
          </w:tcPr>
          <w:p>
            <w:pPr>
              <w:spacing w:after="0"/>
              <w:rPr>
                <w:sz w:val="24"/>
                <w:szCs w:val="24"/>
                <w:color w:val="auto"/>
              </w:rPr>
            </w:pPr>
          </w:p>
        </w:tc>
      </w:tr>
      <w:tr>
        <w:trPr>
          <w:trHeight w:val="439"/>
        </w:trPr>
        <w:tc>
          <w:tcPr>
            <w:tcW w:w="4100" w:type="dxa"/>
            <w:vAlign w:val="bottom"/>
          </w:tcPr>
          <w:p>
            <w:pPr>
              <w:spacing w:after="0"/>
              <w:rPr>
                <w:sz w:val="24"/>
                <w:szCs w:val="24"/>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12,343</w:t>
            </w:r>
          </w:p>
        </w:tc>
        <w:tc>
          <w:tcPr>
            <w:tcW w:w="30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11,218</w:t>
            </w:r>
          </w:p>
        </w:tc>
        <w:tc>
          <w:tcPr>
            <w:tcW w:w="220" w:type="dxa"/>
            <w:vAlign w:val="bottom"/>
          </w:tcPr>
          <w:p>
            <w:pPr>
              <w:spacing w:after="0"/>
              <w:rPr>
                <w:sz w:val="24"/>
                <w:szCs w:val="24"/>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21,140</w:t>
            </w:r>
          </w:p>
        </w:tc>
        <w:tc>
          <w:tcPr>
            <w:tcW w:w="64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20,191</w:t>
            </w:r>
          </w:p>
        </w:tc>
        <w:tc>
          <w:tcPr>
            <w:tcW w:w="60" w:type="dxa"/>
            <w:vAlign w:val="bottom"/>
          </w:tcPr>
          <w:p>
            <w:pPr>
              <w:spacing w:after="0"/>
              <w:rPr>
                <w:sz w:val="24"/>
                <w:szCs w:val="24"/>
                <w:color w:val="auto"/>
              </w:rPr>
            </w:pPr>
          </w:p>
        </w:tc>
      </w:tr>
      <w:tr>
        <w:trPr>
          <w:trHeight w:val="410"/>
        </w:trPr>
        <w:tc>
          <w:tcPr>
            <w:tcW w:w="4100" w:type="dxa"/>
            <w:vAlign w:val="bottom"/>
          </w:tcPr>
          <w:p>
            <w:pPr>
              <w:spacing w:after="0"/>
              <w:rPr>
                <w:sz w:val="20"/>
                <w:szCs w:val="20"/>
                <w:color w:val="auto"/>
              </w:rPr>
            </w:pPr>
            <w:r>
              <w:rPr>
                <w:rFonts w:ascii="Arial" w:cs="Arial" w:eastAsia="Arial" w:hAnsi="Arial"/>
                <w:sz w:val="18"/>
                <w:szCs w:val="18"/>
                <w:b w:val="1"/>
                <w:bCs w:val="1"/>
                <w:i w:val="1"/>
                <w:iCs w:val="1"/>
                <w:color w:val="auto"/>
                <w:w w:val="91"/>
              </w:rPr>
              <w:t>Earnings (loss) before income tax expense (benefit):</w:t>
            </w:r>
          </w:p>
        </w:tc>
        <w:tc>
          <w:tcPr>
            <w:tcW w:w="5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4100" w:type="dxa"/>
            <w:vAlign w:val="bottom"/>
          </w:tcPr>
          <w:p>
            <w:pPr>
              <w:spacing w:after="0"/>
              <w:rPr>
                <w:sz w:val="20"/>
                <w:szCs w:val="20"/>
                <w:color w:val="auto"/>
              </w:rPr>
            </w:pPr>
            <w:r>
              <w:rPr>
                <w:rFonts w:ascii="Arial" w:cs="Arial" w:eastAsia="Arial" w:hAnsi="Arial"/>
                <w:sz w:val="18"/>
                <w:szCs w:val="18"/>
                <w:color w:val="auto"/>
              </w:rPr>
              <w:t>Thermal Products</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$1,207</w:t>
            </w:r>
          </w:p>
        </w:tc>
        <w:tc>
          <w:tcPr>
            <w:tcW w:w="30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$1,078</w:t>
            </w:r>
          </w:p>
        </w:tc>
        <w:tc>
          <w:tcPr>
            <w:tcW w:w="220" w:type="dxa"/>
            <w:vAlign w:val="bottom"/>
          </w:tcPr>
          <w:p>
            <w:pPr>
              <w:spacing w:after="0"/>
              <w:rPr>
                <w:sz w:val="24"/>
                <w:szCs w:val="24"/>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$2,018</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$2,236</w:t>
            </w:r>
          </w:p>
        </w:tc>
        <w:tc>
          <w:tcPr>
            <w:tcW w:w="60" w:type="dxa"/>
            <w:vAlign w:val="bottom"/>
          </w:tcPr>
          <w:p>
            <w:pPr>
              <w:spacing w:after="0"/>
              <w:rPr>
                <w:sz w:val="24"/>
                <w:szCs w:val="24"/>
                <w:color w:val="auto"/>
              </w:rPr>
            </w:pPr>
          </w:p>
        </w:tc>
      </w:tr>
      <w:tr>
        <w:trPr>
          <w:trHeight w:val="459"/>
        </w:trPr>
        <w:tc>
          <w:tcPr>
            <w:tcW w:w="4100" w:type="dxa"/>
            <w:vAlign w:val="bottom"/>
          </w:tcPr>
          <w:p>
            <w:pPr>
              <w:spacing w:after="0"/>
              <w:rPr>
                <w:sz w:val="20"/>
                <w:szCs w:val="20"/>
                <w:color w:val="auto"/>
              </w:rPr>
            </w:pPr>
            <w:r>
              <w:rPr>
                <w:rFonts w:ascii="Arial" w:cs="Arial" w:eastAsia="Arial" w:hAnsi="Arial"/>
                <w:sz w:val="18"/>
                <w:szCs w:val="18"/>
                <w:color w:val="auto"/>
              </w:rPr>
              <w:t>Mechanical Products</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637</w:t>
            </w:r>
          </w:p>
        </w:tc>
        <w:tc>
          <w:tcPr>
            <w:tcW w:w="30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Pr>
          <w:p>
            <w:pPr>
              <w:spacing w:after="0"/>
              <w:rPr>
                <w:sz w:val="24"/>
                <w:szCs w:val="24"/>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354</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(396)</w:t>
            </w:r>
          </w:p>
        </w:tc>
      </w:tr>
      <w:tr>
        <w:trPr>
          <w:trHeight w:val="459"/>
        </w:trPr>
        <w:tc>
          <w:tcPr>
            <w:tcW w:w="4100" w:type="dxa"/>
            <w:vAlign w:val="bottom"/>
          </w:tcPr>
          <w:p>
            <w:pPr>
              <w:spacing w:after="0"/>
              <w:rPr>
                <w:sz w:val="20"/>
                <w:szCs w:val="20"/>
                <w:color w:val="auto"/>
              </w:rPr>
            </w:pPr>
            <w:r>
              <w:rPr>
                <w:rFonts w:ascii="Arial" w:cs="Arial" w:eastAsia="Arial" w:hAnsi="Arial"/>
                <w:sz w:val="18"/>
                <w:szCs w:val="18"/>
                <w:color w:val="auto"/>
              </w:rPr>
              <w:t>Electrical Products</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400</w:t>
            </w:r>
          </w:p>
        </w:tc>
        <w:tc>
          <w:tcPr>
            <w:tcW w:w="30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24"/>
                <w:szCs w:val="24"/>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405</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24"/>
                <w:szCs w:val="24"/>
                <w:color w:val="auto"/>
              </w:rPr>
            </w:pPr>
          </w:p>
        </w:tc>
      </w:tr>
      <w:tr>
        <w:trPr>
          <w:trHeight w:val="421"/>
        </w:trPr>
        <w:tc>
          <w:tcPr>
            <w:tcW w:w="4100" w:type="dxa"/>
            <w:vAlign w:val="bottom"/>
          </w:tcPr>
          <w:p>
            <w:pPr>
              <w:spacing w:after="0"/>
              <w:rPr>
                <w:sz w:val="20"/>
                <w:szCs w:val="20"/>
                <w:color w:val="auto"/>
              </w:rPr>
            </w:pPr>
            <w:r>
              <w:rPr>
                <w:rFonts w:ascii="Arial" w:cs="Arial" w:eastAsia="Arial" w:hAnsi="Arial"/>
                <w:sz w:val="18"/>
                <w:szCs w:val="18"/>
                <w:color w:val="auto"/>
              </w:rPr>
              <w:t>Corporate</w:t>
            </w:r>
          </w:p>
        </w:tc>
        <w:tc>
          <w:tcPr>
            <w:tcW w:w="640" w:type="dxa"/>
            <w:vAlign w:val="bottom"/>
            <w:gridSpan w:val="3"/>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(190)</w:t>
            </w:r>
          </w:p>
        </w:tc>
        <w:tc>
          <w:tcPr>
            <w:tcW w:w="780" w:type="dxa"/>
            <w:vAlign w:val="bottom"/>
            <w:gridSpan w:val="4"/>
          </w:tcPr>
          <w:p>
            <w:pPr>
              <w:jc w:val="right"/>
              <w:ind w:right="160"/>
              <w:spacing w:after="0"/>
              <w:rPr>
                <w:sz w:val="20"/>
                <w:szCs w:val="20"/>
                <w:color w:val="auto"/>
              </w:rPr>
            </w:pPr>
            <w:r>
              <w:rPr>
                <w:rFonts w:ascii="Arial" w:cs="Arial" w:eastAsia="Arial" w:hAnsi="Arial"/>
                <w:sz w:val="18"/>
                <w:szCs w:val="18"/>
                <w:color w:val="auto"/>
              </w:rPr>
              <w:t>(88)</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(312)</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(182)</w:t>
            </w:r>
          </w:p>
        </w:tc>
      </w:tr>
      <w:tr>
        <w:trPr>
          <w:trHeight w:val="20"/>
        </w:trPr>
        <w:tc>
          <w:tcPr>
            <w:tcW w:w="4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right w:val="single" w:sz="8" w:color="auto"/>
            </w:tcBorders>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4100" w:type="dxa"/>
            <w:vAlign w:val="bottom"/>
          </w:tcPr>
          <w:p>
            <w:pPr>
              <w:spacing w:after="0"/>
              <w:rPr>
                <w:sz w:val="24"/>
                <w:szCs w:val="24"/>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2,054</w:t>
            </w:r>
          </w:p>
        </w:tc>
        <w:tc>
          <w:tcPr>
            <w:tcW w:w="30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1,487</w:t>
            </w:r>
          </w:p>
        </w:tc>
        <w:tc>
          <w:tcPr>
            <w:tcW w:w="220" w:type="dxa"/>
            <w:vAlign w:val="bottom"/>
          </w:tcPr>
          <w:p>
            <w:pPr>
              <w:spacing w:after="0"/>
              <w:rPr>
                <w:sz w:val="24"/>
                <w:szCs w:val="24"/>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2,465</w:t>
            </w:r>
          </w:p>
        </w:tc>
        <w:tc>
          <w:tcPr>
            <w:tcW w:w="6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1,857</w:t>
            </w:r>
          </w:p>
        </w:tc>
        <w:tc>
          <w:tcPr>
            <w:tcW w:w="60" w:type="dxa"/>
            <w:vAlign w:val="bottom"/>
          </w:tcPr>
          <w:p>
            <w:pPr>
              <w:spacing w:after="0"/>
              <w:rPr>
                <w:sz w:val="24"/>
                <w:szCs w:val="24"/>
                <w:color w:val="auto"/>
              </w:rPr>
            </w:pPr>
          </w:p>
        </w:tc>
      </w:tr>
      <w:tr>
        <w:trPr>
          <w:trHeight w:val="410"/>
        </w:trPr>
        <w:tc>
          <w:tcPr>
            <w:tcW w:w="4100" w:type="dxa"/>
            <w:vAlign w:val="bottom"/>
          </w:tcPr>
          <w:p>
            <w:pPr>
              <w:spacing w:after="0"/>
              <w:rPr>
                <w:sz w:val="20"/>
                <w:szCs w:val="20"/>
                <w:color w:val="auto"/>
              </w:rPr>
            </w:pPr>
            <w:r>
              <w:rPr>
                <w:rFonts w:ascii="Arial" w:cs="Arial" w:eastAsia="Arial" w:hAnsi="Arial"/>
                <w:sz w:val="18"/>
                <w:szCs w:val="18"/>
                <w:b w:val="1"/>
                <w:bCs w:val="1"/>
                <w:i w:val="1"/>
                <w:iCs w:val="1"/>
                <w:color w:val="auto"/>
              </w:rPr>
              <w:t>Net earnings (loss):</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4100" w:type="dxa"/>
            <w:vAlign w:val="bottom"/>
          </w:tcPr>
          <w:p>
            <w:pPr>
              <w:spacing w:after="0"/>
              <w:rPr>
                <w:sz w:val="20"/>
                <w:szCs w:val="20"/>
                <w:color w:val="auto"/>
              </w:rPr>
            </w:pPr>
            <w:r>
              <w:rPr>
                <w:rFonts w:ascii="Arial" w:cs="Arial" w:eastAsia="Arial" w:hAnsi="Arial"/>
                <w:sz w:val="18"/>
                <w:szCs w:val="18"/>
                <w:color w:val="auto"/>
              </w:rPr>
              <w:t>Thermal Products</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$ 797</w:t>
            </w:r>
          </w:p>
        </w:tc>
        <w:tc>
          <w:tcPr>
            <w:tcW w:w="30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$ 727</w:t>
            </w:r>
          </w:p>
        </w:tc>
        <w:tc>
          <w:tcPr>
            <w:tcW w:w="220" w:type="dxa"/>
            <w:vAlign w:val="bottom"/>
          </w:tcPr>
          <w:p>
            <w:pPr>
              <w:spacing w:after="0"/>
              <w:rPr>
                <w:sz w:val="24"/>
                <w:szCs w:val="24"/>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$1,361</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$1,641</w:t>
            </w:r>
          </w:p>
        </w:tc>
        <w:tc>
          <w:tcPr>
            <w:tcW w:w="60" w:type="dxa"/>
            <w:vAlign w:val="bottom"/>
          </w:tcPr>
          <w:p>
            <w:pPr>
              <w:spacing w:after="0"/>
              <w:rPr>
                <w:sz w:val="24"/>
                <w:szCs w:val="24"/>
                <w:color w:val="auto"/>
              </w:rPr>
            </w:pPr>
          </w:p>
        </w:tc>
      </w:tr>
      <w:tr>
        <w:trPr>
          <w:trHeight w:val="459"/>
        </w:trPr>
        <w:tc>
          <w:tcPr>
            <w:tcW w:w="4100" w:type="dxa"/>
            <w:vAlign w:val="bottom"/>
          </w:tcPr>
          <w:p>
            <w:pPr>
              <w:spacing w:after="0"/>
              <w:rPr>
                <w:sz w:val="20"/>
                <w:szCs w:val="20"/>
                <w:color w:val="auto"/>
              </w:rPr>
            </w:pPr>
            <w:r>
              <w:rPr>
                <w:rFonts w:ascii="Arial" w:cs="Arial" w:eastAsia="Arial" w:hAnsi="Arial"/>
                <w:sz w:val="18"/>
                <w:szCs w:val="18"/>
                <w:color w:val="auto"/>
              </w:rPr>
              <w:t>Mechanical Products</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421</w:t>
            </w:r>
          </w:p>
        </w:tc>
        <w:tc>
          <w:tcPr>
            <w:tcW w:w="30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Pr>
          <w:p>
            <w:pPr>
              <w:spacing w:after="0"/>
              <w:rPr>
                <w:sz w:val="24"/>
                <w:szCs w:val="24"/>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224</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(346)</w:t>
            </w:r>
          </w:p>
        </w:tc>
      </w:tr>
      <w:tr>
        <w:trPr>
          <w:trHeight w:val="459"/>
        </w:trPr>
        <w:tc>
          <w:tcPr>
            <w:tcW w:w="4100" w:type="dxa"/>
            <w:vAlign w:val="bottom"/>
          </w:tcPr>
          <w:p>
            <w:pPr>
              <w:spacing w:after="0"/>
              <w:rPr>
                <w:sz w:val="20"/>
                <w:szCs w:val="20"/>
                <w:color w:val="auto"/>
              </w:rPr>
            </w:pPr>
            <w:r>
              <w:rPr>
                <w:rFonts w:ascii="Arial" w:cs="Arial" w:eastAsia="Arial" w:hAnsi="Arial"/>
                <w:sz w:val="18"/>
                <w:szCs w:val="18"/>
                <w:color w:val="auto"/>
              </w:rPr>
              <w:t>Electrical Products</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264</w:t>
            </w:r>
          </w:p>
        </w:tc>
        <w:tc>
          <w:tcPr>
            <w:tcW w:w="30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24"/>
                <w:szCs w:val="24"/>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268</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134</w:t>
            </w:r>
          </w:p>
        </w:tc>
        <w:tc>
          <w:tcPr>
            <w:tcW w:w="60" w:type="dxa"/>
            <w:vAlign w:val="bottom"/>
          </w:tcPr>
          <w:p>
            <w:pPr>
              <w:spacing w:after="0"/>
              <w:rPr>
                <w:sz w:val="24"/>
                <w:szCs w:val="24"/>
                <w:color w:val="auto"/>
              </w:rPr>
            </w:pPr>
          </w:p>
        </w:tc>
      </w:tr>
      <w:tr>
        <w:trPr>
          <w:trHeight w:val="421"/>
        </w:trPr>
        <w:tc>
          <w:tcPr>
            <w:tcW w:w="4100" w:type="dxa"/>
            <w:vAlign w:val="bottom"/>
          </w:tcPr>
          <w:p>
            <w:pPr>
              <w:spacing w:after="0"/>
              <w:rPr>
                <w:sz w:val="20"/>
                <w:szCs w:val="20"/>
                <w:color w:val="auto"/>
              </w:rPr>
            </w:pPr>
            <w:r>
              <w:rPr>
                <w:rFonts w:ascii="Arial" w:cs="Arial" w:eastAsia="Arial" w:hAnsi="Arial"/>
                <w:sz w:val="18"/>
                <w:szCs w:val="18"/>
                <w:color w:val="auto"/>
              </w:rPr>
              <w:t>Corporate</w:t>
            </w:r>
          </w:p>
        </w:tc>
        <w:tc>
          <w:tcPr>
            <w:tcW w:w="640" w:type="dxa"/>
            <w:vAlign w:val="bottom"/>
            <w:gridSpan w:val="3"/>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(125)</w:t>
            </w:r>
          </w:p>
        </w:tc>
        <w:tc>
          <w:tcPr>
            <w:tcW w:w="780" w:type="dxa"/>
            <w:vAlign w:val="bottom"/>
            <w:gridSpan w:val="4"/>
          </w:tcPr>
          <w:p>
            <w:pPr>
              <w:jc w:val="right"/>
              <w:ind w:right="160"/>
              <w:spacing w:after="0"/>
              <w:rPr>
                <w:sz w:val="20"/>
                <w:szCs w:val="20"/>
                <w:color w:val="auto"/>
              </w:rPr>
            </w:pPr>
            <w:r>
              <w:rPr>
                <w:rFonts w:ascii="Arial" w:cs="Arial" w:eastAsia="Arial" w:hAnsi="Arial"/>
                <w:sz w:val="18"/>
                <w:szCs w:val="18"/>
                <w:color w:val="auto"/>
              </w:rPr>
              <w:t>(59)</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(210)</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(133)</w:t>
            </w:r>
          </w:p>
        </w:tc>
      </w:tr>
      <w:tr>
        <w:trPr>
          <w:trHeight w:val="20"/>
        </w:trPr>
        <w:tc>
          <w:tcPr>
            <w:tcW w:w="4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410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1,357</w:t>
            </w:r>
          </w:p>
        </w:tc>
        <w:tc>
          <w:tcPr>
            <w:tcW w:w="30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1,003</w:t>
            </w:r>
          </w:p>
        </w:tc>
        <w:tc>
          <w:tcPr>
            <w:tcW w:w="220" w:type="dxa"/>
            <w:vAlign w:val="bottom"/>
          </w:tcPr>
          <w:p>
            <w:pPr>
              <w:spacing w:after="0"/>
              <w:rPr>
                <w:sz w:val="24"/>
                <w:szCs w:val="24"/>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1,643</w:t>
            </w:r>
          </w:p>
        </w:tc>
        <w:tc>
          <w:tcPr>
            <w:tcW w:w="6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1,295</w:t>
            </w:r>
          </w:p>
        </w:tc>
        <w:tc>
          <w:tcPr>
            <w:tcW w:w="60" w:type="dxa"/>
            <w:vAlign w:val="bottom"/>
          </w:tcPr>
          <w:p>
            <w:pPr>
              <w:spacing w:after="0"/>
              <w:rPr>
                <w:sz w:val="24"/>
                <w:szCs w:val="24"/>
                <w:color w:val="auto"/>
              </w:rPr>
            </w:pPr>
          </w:p>
        </w:tc>
      </w:tr>
      <w:tr>
        <w:trPr>
          <w:trHeight w:val="20"/>
        </w:trPr>
        <w:tc>
          <w:tcPr>
            <w:tcW w:w="4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572"/>
        </w:trPr>
        <w:tc>
          <w:tcPr>
            <w:tcW w:w="4100" w:type="dxa"/>
            <w:vAlign w:val="bottom"/>
          </w:tcPr>
          <w:p>
            <w:pPr>
              <w:spacing w:after="0"/>
              <w:rPr>
                <w:sz w:val="24"/>
                <w:szCs w:val="24"/>
                <w:color w:val="auto"/>
              </w:rPr>
            </w:pPr>
          </w:p>
        </w:tc>
        <w:tc>
          <w:tcPr>
            <w:tcW w:w="1060" w:type="dxa"/>
            <w:vAlign w:val="bottom"/>
            <w:gridSpan w:val="4"/>
          </w:tcPr>
          <w:p>
            <w:pPr>
              <w:jc w:val="right"/>
              <w:ind w:right="272"/>
              <w:spacing w:after="0"/>
              <w:rPr>
                <w:sz w:val="20"/>
                <w:szCs w:val="20"/>
                <w:color w:val="auto"/>
              </w:rPr>
            </w:pPr>
            <w:r>
              <w:rPr>
                <w:rFonts w:ascii="Arial" w:cs="Arial" w:eastAsia="Arial" w:hAnsi="Arial"/>
                <w:sz w:val="18"/>
                <w:szCs w:val="18"/>
                <w:color w:val="auto"/>
              </w:rPr>
              <w:t>- 12 -</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0" w:lineRule="exact"/>
        <w:rPr>
          <w:sz w:val="20"/>
          <w:szCs w:val="20"/>
          <w:color w:val="auto"/>
        </w:rPr>
      </w:pPr>
    </w:p>
    <w:p>
      <w:pPr>
        <w:spacing w:after="0" w:line="35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 thousands, except share and per share data)</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  SEGMENT INFORMATION </w:t>
      </w:r>
      <w:r>
        <w:rPr>
          <w:rFonts w:ascii="Arial" w:cs="Arial" w:eastAsia="Arial" w:hAnsi="Arial"/>
          <w:sz w:val="18"/>
          <w:szCs w:val="18"/>
          <w:color w:val="auto"/>
        </w:rPr>
        <w:t>(Continued)</w:t>
      </w:r>
    </w:p>
    <w:p>
      <w:pPr>
        <w:spacing w:after="0" w:line="202" w:lineRule="exact"/>
        <w:rPr>
          <w:sz w:val="20"/>
          <w:szCs w:val="20"/>
          <w:color w:val="auto"/>
        </w:rPr>
      </w:pPr>
    </w:p>
    <w:tbl>
      <w:tblPr>
        <w:tblLayout w:type="fixed"/>
        <w:tblInd w:w="1100" w:type="dxa"/>
        <w:tblCellMar>
          <w:top w:w="0" w:type="dxa"/>
          <w:left w:w="0" w:type="dxa"/>
          <w:bottom w:w="0" w:type="dxa"/>
          <w:right w:w="0" w:type="dxa"/>
        </w:tblCellMar>
      </w:tblPr>
      <w:tr>
        <w:trPr>
          <w:trHeight w:val="172"/>
        </w:trPr>
        <w:tc>
          <w:tcPr>
            <w:tcW w:w="622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June 30,</w:t>
            </w:r>
          </w:p>
        </w:tc>
        <w:tc>
          <w:tcPr>
            <w:tcW w:w="80" w:type="dxa"/>
            <w:vAlign w:val="bottom"/>
          </w:tcPr>
          <w:p>
            <w:pPr>
              <w:spacing w:after="0"/>
              <w:rPr>
                <w:sz w:val="14"/>
                <w:szCs w:val="14"/>
                <w:color w:val="auto"/>
              </w:rPr>
            </w:pPr>
          </w:p>
        </w:tc>
        <w:tc>
          <w:tcPr>
            <w:tcW w:w="520" w:type="dxa"/>
            <w:vAlign w:val="bottom"/>
            <w:gridSpan w:val="2"/>
          </w:tcPr>
          <w:p>
            <w:pPr>
              <w:jc w:val="center"/>
              <w:ind w:right="100"/>
              <w:spacing w:after="0"/>
              <w:rPr>
                <w:sz w:val="20"/>
                <w:szCs w:val="20"/>
                <w:color w:val="auto"/>
              </w:rPr>
            </w:pPr>
            <w:r>
              <w:rPr>
                <w:rFonts w:ascii="Arial" w:cs="Arial" w:eastAsia="Arial" w:hAnsi="Arial"/>
                <w:sz w:val="14"/>
                <w:szCs w:val="14"/>
                <w:b w:val="1"/>
                <w:bCs w:val="1"/>
                <w:i w:val="1"/>
                <w:iCs w:val="1"/>
                <w:color w:val="auto"/>
                <w:w w:val="79"/>
              </w:rPr>
              <w:t>Dec. 31,</w:t>
            </w:r>
          </w:p>
        </w:tc>
      </w:tr>
      <w:tr>
        <w:trPr>
          <w:trHeight w:val="163"/>
        </w:trPr>
        <w:tc>
          <w:tcPr>
            <w:tcW w:w="6220" w:type="dxa"/>
            <w:vAlign w:val="bottom"/>
          </w:tcPr>
          <w:p>
            <w:pPr>
              <w:spacing w:after="0"/>
              <w:rPr>
                <w:sz w:val="14"/>
                <w:szCs w:val="14"/>
                <w:color w:val="auto"/>
              </w:rPr>
            </w:pPr>
          </w:p>
        </w:tc>
        <w:tc>
          <w:tcPr>
            <w:tcW w:w="60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i w:val="1"/>
                <w:iCs w:val="1"/>
                <w:color w:val="auto"/>
              </w:rPr>
              <w:t>2014</w:t>
            </w:r>
          </w:p>
        </w:tc>
        <w:tc>
          <w:tcPr>
            <w:tcW w:w="180" w:type="dxa"/>
            <w:vAlign w:val="bottom"/>
          </w:tcPr>
          <w:p>
            <w:pPr>
              <w:spacing w:after="0"/>
              <w:rPr>
                <w:sz w:val="14"/>
                <w:szCs w:val="14"/>
                <w:color w:val="auto"/>
              </w:rPr>
            </w:pPr>
          </w:p>
        </w:tc>
        <w:tc>
          <w:tcPr>
            <w:tcW w:w="54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4"/>
                <w:szCs w:val="14"/>
                <w:b w:val="1"/>
                <w:bCs w:val="1"/>
                <w:i w:val="1"/>
                <w:iCs w:val="1"/>
                <w:color w:val="auto"/>
              </w:rPr>
              <w:t>2013</w:t>
            </w:r>
          </w:p>
        </w:tc>
        <w:tc>
          <w:tcPr>
            <w:tcW w:w="60" w:type="dxa"/>
            <w:vAlign w:val="bottom"/>
          </w:tcPr>
          <w:p>
            <w:pPr>
              <w:spacing w:after="0"/>
              <w:rPr>
                <w:sz w:val="14"/>
                <w:szCs w:val="14"/>
                <w:color w:val="auto"/>
              </w:rPr>
            </w:pPr>
          </w:p>
        </w:tc>
      </w:tr>
      <w:tr>
        <w:trPr>
          <w:trHeight w:val="262"/>
        </w:trPr>
        <w:tc>
          <w:tcPr>
            <w:tcW w:w="6220" w:type="dxa"/>
            <w:vAlign w:val="bottom"/>
          </w:tcPr>
          <w:p>
            <w:pPr>
              <w:spacing w:after="0"/>
              <w:rPr>
                <w:sz w:val="20"/>
                <w:szCs w:val="20"/>
                <w:color w:val="auto"/>
              </w:rPr>
            </w:pPr>
            <w:r>
              <w:rPr>
                <w:rFonts w:ascii="Arial" w:cs="Arial" w:eastAsia="Arial" w:hAnsi="Arial"/>
                <w:sz w:val="18"/>
                <w:szCs w:val="18"/>
                <w:b w:val="1"/>
                <w:bCs w:val="1"/>
                <w:i w:val="1"/>
                <w:iCs w:val="1"/>
                <w:color w:val="auto"/>
              </w:rPr>
              <w:t>Identifiable assets:</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459"/>
        </w:trPr>
        <w:tc>
          <w:tcPr>
            <w:tcW w:w="6220" w:type="dxa"/>
            <w:vAlign w:val="bottom"/>
          </w:tcPr>
          <w:p>
            <w:pPr>
              <w:spacing w:after="0"/>
              <w:rPr>
                <w:sz w:val="20"/>
                <w:szCs w:val="20"/>
                <w:color w:val="auto"/>
              </w:rPr>
            </w:pPr>
            <w:r>
              <w:rPr>
                <w:rFonts w:ascii="Arial" w:cs="Arial" w:eastAsia="Arial" w:hAnsi="Arial"/>
                <w:sz w:val="18"/>
                <w:szCs w:val="18"/>
                <w:color w:val="auto"/>
              </w:rPr>
              <w:t>Thermal Products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$25,410</w:t>
            </w:r>
          </w:p>
        </w:tc>
        <w:tc>
          <w:tcPr>
            <w:tcW w:w="18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$23,934</w:t>
            </w:r>
          </w:p>
        </w:tc>
      </w:tr>
      <w:tr>
        <w:trPr>
          <w:trHeight w:val="459"/>
        </w:trPr>
        <w:tc>
          <w:tcPr>
            <w:tcW w:w="6220" w:type="dxa"/>
            <w:vAlign w:val="bottom"/>
          </w:tcPr>
          <w:p>
            <w:pPr>
              <w:spacing w:after="0"/>
              <w:rPr>
                <w:sz w:val="20"/>
                <w:szCs w:val="20"/>
                <w:color w:val="auto"/>
              </w:rPr>
            </w:pPr>
            <w:r>
              <w:rPr>
                <w:rFonts w:ascii="Arial" w:cs="Arial" w:eastAsia="Arial" w:hAnsi="Arial"/>
                <w:sz w:val="18"/>
                <w:szCs w:val="18"/>
                <w:color w:val="auto"/>
              </w:rPr>
              <w:t>Mechanical Products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7,866</w:t>
            </w:r>
          </w:p>
        </w:tc>
        <w:tc>
          <w:tcPr>
            <w:tcW w:w="18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7,093</w:t>
            </w:r>
          </w:p>
        </w:tc>
      </w:tr>
      <w:tr>
        <w:trPr>
          <w:trHeight w:val="421"/>
        </w:trPr>
        <w:tc>
          <w:tcPr>
            <w:tcW w:w="6220" w:type="dxa"/>
            <w:vAlign w:val="bottom"/>
          </w:tcPr>
          <w:p>
            <w:pPr>
              <w:spacing w:after="0"/>
              <w:rPr>
                <w:sz w:val="20"/>
                <w:szCs w:val="20"/>
                <w:color w:val="auto"/>
              </w:rPr>
            </w:pPr>
            <w:r>
              <w:rPr>
                <w:rFonts w:ascii="Arial" w:cs="Arial" w:eastAsia="Arial" w:hAnsi="Arial"/>
                <w:sz w:val="18"/>
                <w:szCs w:val="18"/>
                <w:color w:val="auto"/>
              </w:rPr>
              <w:t>Electrical Products</w:t>
            </w:r>
          </w:p>
        </w:tc>
        <w:tc>
          <w:tcPr>
            <w:tcW w:w="8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5,119</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4,454</w:t>
            </w:r>
          </w:p>
        </w:tc>
      </w:tr>
      <w:tr>
        <w:trPr>
          <w:trHeight w:val="439"/>
        </w:trPr>
        <w:tc>
          <w:tcPr>
            <w:tcW w:w="6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38,395</w:t>
            </w:r>
          </w:p>
        </w:tc>
        <w:tc>
          <w:tcPr>
            <w:tcW w:w="18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35,481</w:t>
            </w:r>
          </w:p>
        </w:tc>
      </w:tr>
      <w:tr>
        <w:trPr>
          <w:trHeight w:val="20"/>
        </w:trPr>
        <w:tc>
          <w:tcPr>
            <w:tcW w:w="62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The following table provides information about our geographic areas of operation. Net revenues from unaffiliated customers are based on the location to which the goods are shipped.</w:t>
      </w:r>
    </w:p>
    <w:p>
      <w:pPr>
        <w:spacing w:after="0" w:line="185"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620" w:type="dxa"/>
            <w:vAlign w:val="bottom"/>
            <w:gridSpan w:val="16"/>
          </w:tcPr>
          <w:p>
            <w:pPr>
              <w:jc w:val="center"/>
              <w:ind w:right="400"/>
              <w:spacing w:after="0"/>
              <w:rPr>
                <w:sz w:val="20"/>
                <w:szCs w:val="20"/>
                <w:color w:val="auto"/>
              </w:rPr>
            </w:pPr>
            <w:r>
              <w:rPr>
                <w:rFonts w:ascii="Arial" w:cs="Arial" w:eastAsia="Arial" w:hAnsi="Arial"/>
                <w:sz w:val="14"/>
                <w:szCs w:val="14"/>
                <w:b w:val="1"/>
                <w:bCs w:val="1"/>
                <w:i w:val="1"/>
                <w:iCs w:val="1"/>
                <w:color w:val="auto"/>
                <w:w w:val="85"/>
              </w:rPr>
              <w:t>Three Months Ended</w:t>
            </w:r>
          </w:p>
        </w:tc>
        <w:tc>
          <w:tcPr>
            <w:tcW w:w="100" w:type="dxa"/>
            <w:vAlign w:val="bottom"/>
          </w:tcPr>
          <w:p>
            <w:pPr>
              <w:spacing w:after="0"/>
              <w:rPr>
                <w:sz w:val="14"/>
                <w:szCs w:val="14"/>
                <w:color w:val="auto"/>
              </w:rPr>
            </w:pPr>
          </w:p>
        </w:tc>
        <w:tc>
          <w:tcPr>
            <w:tcW w:w="1240" w:type="dxa"/>
            <w:vAlign w:val="bottom"/>
            <w:gridSpan w:val="13"/>
          </w:tcPr>
          <w:p>
            <w:pPr>
              <w:jc w:val="right"/>
              <w:ind w:right="180"/>
              <w:spacing w:after="0"/>
              <w:rPr>
                <w:sz w:val="20"/>
                <w:szCs w:val="20"/>
                <w:color w:val="auto"/>
              </w:rPr>
            </w:pPr>
            <w:r>
              <w:rPr>
                <w:rFonts w:ascii="Arial" w:cs="Arial" w:eastAsia="Arial" w:hAnsi="Arial"/>
                <w:sz w:val="14"/>
                <w:szCs w:val="14"/>
                <w:b w:val="1"/>
                <w:bCs w:val="1"/>
                <w:i w:val="1"/>
                <w:iCs w:val="1"/>
                <w:color w:val="auto"/>
                <w:w w:val="85"/>
              </w:rPr>
              <w:t>Six Months Ended</w:t>
            </w:r>
          </w:p>
        </w:tc>
      </w:tr>
      <w:tr>
        <w:trPr>
          <w:trHeight w:val="146"/>
        </w:trPr>
        <w:tc>
          <w:tcPr>
            <w:tcW w:w="4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3"/>
          </w:tcPr>
          <w:p>
            <w:pPr>
              <w:jc w:val="center"/>
              <w:ind w:left="92"/>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8"/>
          </w:tcPr>
          <w:p>
            <w:pPr>
              <w:ind w:left="200"/>
              <w:spacing w:after="0" w:line="146" w:lineRule="exact"/>
              <w:rPr>
                <w:sz w:val="20"/>
                <w:szCs w:val="20"/>
                <w:color w:val="auto"/>
              </w:rPr>
            </w:pPr>
            <w:r>
              <w:rPr>
                <w:rFonts w:ascii="Arial" w:cs="Arial" w:eastAsia="Arial" w:hAnsi="Arial"/>
                <w:sz w:val="14"/>
                <w:szCs w:val="14"/>
                <w:b w:val="1"/>
                <w:bCs w:val="1"/>
                <w:i w:val="1"/>
                <w:iCs w:val="1"/>
                <w:color w:val="auto"/>
              </w:rPr>
              <w:t>June 30,</w:t>
            </w:r>
          </w:p>
        </w:tc>
        <w:tc>
          <w:tcPr>
            <w:tcW w:w="280" w:type="dxa"/>
            <w:vAlign w:val="bottom"/>
            <w:gridSpan w:val="3"/>
          </w:tcPr>
          <w:p>
            <w:pPr>
              <w:spacing w:after="0"/>
              <w:rPr>
                <w:sz w:val="12"/>
                <w:szCs w:val="12"/>
                <w:color w:val="auto"/>
              </w:rPr>
            </w:pPr>
          </w:p>
        </w:tc>
      </w:tr>
      <w:tr>
        <w:trPr>
          <w:trHeight w:val="156"/>
        </w:trPr>
        <w:tc>
          <w:tcPr>
            <w:tcW w:w="4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2014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4"/>
          </w:tcPr>
          <w:p>
            <w:pPr>
              <w:jc w:val="right"/>
              <w:ind w:right="80"/>
              <w:spacing w:after="0" w:line="155" w:lineRule="exact"/>
              <w:rPr>
                <w:sz w:val="20"/>
                <w:szCs w:val="20"/>
                <w:color w:val="auto"/>
              </w:rPr>
            </w:pPr>
            <w:r>
              <w:rPr>
                <w:rFonts w:ascii="Arial" w:cs="Arial" w:eastAsia="Arial" w:hAnsi="Arial"/>
                <w:sz w:val="14"/>
                <w:szCs w:val="14"/>
                <w:b w:val="1"/>
                <w:bCs w:val="1"/>
                <w:i w:val="1"/>
                <w:iCs w:val="1"/>
                <w:color w:val="auto"/>
              </w:rPr>
              <w:t>2013</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gridSpan w:val="4"/>
          </w:tcPr>
          <w:p>
            <w:pPr>
              <w:jc w:val="right"/>
              <w:ind w:right="40"/>
              <w:spacing w:after="0" w:line="155" w:lineRule="exact"/>
              <w:rPr>
                <w:sz w:val="20"/>
                <w:szCs w:val="20"/>
                <w:color w:val="auto"/>
              </w:rPr>
            </w:pPr>
            <w:r>
              <w:rPr>
                <w:rFonts w:ascii="Arial" w:cs="Arial" w:eastAsia="Arial" w:hAnsi="Arial"/>
                <w:sz w:val="14"/>
                <w:szCs w:val="14"/>
                <w:b w:val="1"/>
                <w:bCs w:val="1"/>
                <w:i w:val="1"/>
                <w:iCs w:val="1"/>
                <w:color w:val="auto"/>
              </w:rPr>
              <w:t>2014</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4"/>
          </w:tcPr>
          <w:p>
            <w:pPr>
              <w:jc w:val="right"/>
              <w:ind w:right="20"/>
              <w:spacing w:after="0" w:line="155" w:lineRule="exact"/>
              <w:rPr>
                <w:sz w:val="20"/>
                <w:szCs w:val="20"/>
                <w:color w:val="auto"/>
              </w:rPr>
            </w:pPr>
            <w:r>
              <w:rPr>
                <w:rFonts w:ascii="Arial" w:cs="Arial" w:eastAsia="Arial" w:hAnsi="Arial"/>
                <w:sz w:val="14"/>
                <w:szCs w:val="14"/>
                <w:b w:val="1"/>
                <w:bCs w:val="1"/>
                <w:i w:val="1"/>
                <w:iCs w:val="1"/>
                <w:color w:val="auto"/>
              </w:rPr>
              <w:t>2013</w:t>
            </w:r>
          </w:p>
        </w:tc>
        <w:tc>
          <w:tcPr>
            <w:tcW w:w="60" w:type="dxa"/>
            <w:vAlign w:val="bottom"/>
          </w:tcPr>
          <w:p>
            <w:pPr>
              <w:spacing w:after="0"/>
              <w:rPr>
                <w:sz w:val="13"/>
                <w:szCs w:val="13"/>
                <w:color w:val="auto"/>
              </w:rPr>
            </w:pPr>
          </w:p>
        </w:tc>
      </w:tr>
      <w:tr>
        <w:trPr>
          <w:trHeight w:val="451"/>
        </w:trPr>
        <w:tc>
          <w:tcPr>
            <w:tcW w:w="4540" w:type="dxa"/>
            <w:vAlign w:val="bottom"/>
          </w:tcPr>
          <w:p>
            <w:pPr>
              <w:spacing w:after="0"/>
              <w:rPr>
                <w:sz w:val="20"/>
                <w:szCs w:val="20"/>
                <w:color w:val="auto"/>
              </w:rPr>
            </w:pPr>
            <w:r>
              <w:rPr>
                <w:rFonts w:ascii="Arial" w:cs="Arial" w:eastAsia="Arial" w:hAnsi="Arial"/>
                <w:sz w:val="18"/>
                <w:szCs w:val="18"/>
                <w:b w:val="1"/>
                <w:bCs w:val="1"/>
                <w:i w:val="1"/>
                <w:iCs w:val="1"/>
                <w:color w:val="auto"/>
              </w:rPr>
              <w:t>Net revenues from unaffiliated customers: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4540" w:type="dxa"/>
            <w:vAlign w:val="bottom"/>
          </w:tcPr>
          <w:p>
            <w:pPr>
              <w:spacing w:after="0"/>
              <w:rPr>
                <w:sz w:val="20"/>
                <w:szCs w:val="20"/>
                <w:color w:val="auto"/>
              </w:rPr>
            </w:pPr>
            <w:r>
              <w:rPr>
                <w:rFonts w:ascii="Arial" w:cs="Arial" w:eastAsia="Arial" w:hAnsi="Arial"/>
                <w:sz w:val="18"/>
                <w:szCs w:val="18"/>
                <w:color w:val="auto"/>
              </w:rPr>
              <w:t>U.S.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3,723</w:t>
            </w:r>
          </w:p>
        </w:tc>
        <w:tc>
          <w:tcPr>
            <w:tcW w:w="280" w:type="dxa"/>
            <w:vAlign w:val="bottom"/>
          </w:tcPr>
          <w:p>
            <w:pPr>
              <w:spacing w:after="0"/>
              <w:rPr>
                <w:sz w:val="24"/>
                <w:szCs w:val="24"/>
                <w:color w:val="auto"/>
              </w:rPr>
            </w:pPr>
          </w:p>
        </w:tc>
        <w:tc>
          <w:tcPr>
            <w:tcW w:w="120" w:type="dxa"/>
            <w:vAlign w:val="bottom"/>
            <w:gridSpan w:val="3"/>
          </w:tcPr>
          <w:p>
            <w:pPr>
              <w:jc w:val="right"/>
              <w:ind w:right="20"/>
              <w:spacing w:after="0"/>
              <w:rPr>
                <w:sz w:val="20"/>
                <w:szCs w:val="20"/>
                <w:color w:val="auto"/>
              </w:rPr>
            </w:pPr>
            <w:r>
              <w:rPr>
                <w:rFonts w:ascii="Arial" w:cs="Arial" w:eastAsia="Arial" w:hAnsi="Arial"/>
                <w:sz w:val="18"/>
                <w:szCs w:val="18"/>
                <w:color w:val="auto"/>
                <w:w w:val="79"/>
              </w:rPr>
              <w:t>$</w:t>
            </w:r>
          </w:p>
        </w:tc>
        <w:tc>
          <w:tcPr>
            <w:tcW w:w="460" w:type="dxa"/>
            <w:vAlign w:val="bottom"/>
            <w:gridSpan w:val="4"/>
          </w:tcPr>
          <w:p>
            <w:pPr>
              <w:jc w:val="right"/>
              <w:spacing w:after="0"/>
              <w:rPr>
                <w:sz w:val="20"/>
                <w:szCs w:val="20"/>
                <w:color w:val="auto"/>
              </w:rPr>
            </w:pPr>
            <w:r>
              <w:rPr>
                <w:rFonts w:ascii="Arial" w:cs="Arial" w:eastAsia="Arial" w:hAnsi="Arial"/>
                <w:sz w:val="18"/>
                <w:szCs w:val="18"/>
                <w:color w:val="auto"/>
                <w:w w:val="97"/>
              </w:rPr>
              <w:t>3,504</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gridSpan w:val="5"/>
          </w:tcPr>
          <w:p>
            <w:pPr>
              <w:jc w:val="right"/>
              <w:spacing w:after="0"/>
              <w:rPr>
                <w:sz w:val="20"/>
                <w:szCs w:val="20"/>
                <w:color w:val="auto"/>
              </w:rPr>
            </w:pPr>
            <w:r>
              <w:rPr>
                <w:rFonts w:ascii="Arial" w:cs="Arial" w:eastAsia="Arial" w:hAnsi="Arial"/>
                <w:sz w:val="18"/>
                <w:szCs w:val="18"/>
                <w:color w:val="auto"/>
              </w:rPr>
              <w:t>6,872</w:t>
            </w:r>
          </w:p>
        </w:tc>
        <w:tc>
          <w:tcPr>
            <w:tcW w:w="280" w:type="dxa"/>
            <w:vAlign w:val="bottom"/>
            <w:gridSpan w:val="3"/>
          </w:tcPr>
          <w:p>
            <w:pPr>
              <w:ind w:left="200"/>
              <w:spacing w:after="0"/>
              <w:rPr>
                <w:sz w:val="20"/>
                <w:szCs w:val="20"/>
                <w:color w:val="auto"/>
              </w:rPr>
            </w:pPr>
            <w:r>
              <w:rPr>
                <w:rFonts w:ascii="Arial" w:cs="Arial" w:eastAsia="Arial" w:hAnsi="Arial"/>
                <w:sz w:val="15"/>
                <w:szCs w:val="15"/>
                <w:color w:val="auto"/>
                <w:w w:val="71"/>
              </w:rPr>
              <w:t>$</w:t>
            </w:r>
          </w:p>
        </w:tc>
        <w:tc>
          <w:tcPr>
            <w:tcW w:w="480" w:type="dxa"/>
            <w:vAlign w:val="bottom"/>
            <w:gridSpan w:val="5"/>
          </w:tcPr>
          <w:p>
            <w:pPr>
              <w:jc w:val="right"/>
              <w:spacing w:after="0"/>
              <w:rPr>
                <w:sz w:val="20"/>
                <w:szCs w:val="20"/>
                <w:color w:val="auto"/>
              </w:rPr>
            </w:pPr>
            <w:r>
              <w:rPr>
                <w:rFonts w:ascii="Arial" w:cs="Arial" w:eastAsia="Arial" w:hAnsi="Arial"/>
                <w:sz w:val="18"/>
                <w:szCs w:val="18"/>
                <w:color w:val="auto"/>
              </w:rPr>
              <w:t>6,718</w:t>
            </w:r>
          </w:p>
        </w:tc>
      </w:tr>
      <w:tr>
        <w:trPr>
          <w:trHeight w:val="421"/>
        </w:trPr>
        <w:tc>
          <w:tcPr>
            <w:tcW w:w="4540" w:type="dxa"/>
            <w:vAlign w:val="bottom"/>
          </w:tcPr>
          <w:p>
            <w:pPr>
              <w:spacing w:after="0"/>
              <w:rPr>
                <w:sz w:val="20"/>
                <w:szCs w:val="20"/>
                <w:color w:val="auto"/>
              </w:rPr>
            </w:pPr>
            <w:r>
              <w:rPr>
                <w:rFonts w:ascii="Arial" w:cs="Arial" w:eastAsia="Arial" w:hAnsi="Arial"/>
                <w:sz w:val="18"/>
                <w:szCs w:val="18"/>
                <w:color w:val="auto"/>
              </w:rPr>
              <w:t>Foreign</w:t>
            </w: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8,620</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7"/>
              </w:rPr>
              <w:t>7,714</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w w:val="83"/>
              </w:rPr>
              <w:t>14,268</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w w:val="83"/>
              </w:rPr>
              <w:t>13,473</w:t>
            </w:r>
          </w:p>
        </w:tc>
      </w:tr>
      <w:tr>
        <w:trPr>
          <w:trHeight w:val="439"/>
        </w:trPr>
        <w:tc>
          <w:tcPr>
            <w:tcW w:w="4540" w:type="dxa"/>
            <w:vAlign w:val="bottom"/>
          </w:tcPr>
          <w:p>
            <w:pPr>
              <w:spacing w:after="0"/>
              <w:rPr>
                <w:sz w:val="24"/>
                <w:szCs w:val="24"/>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83"/>
              </w:rPr>
              <w:t>12,343</w:t>
            </w:r>
          </w:p>
        </w:tc>
        <w:tc>
          <w:tcPr>
            <w:tcW w:w="280" w:type="dxa"/>
            <w:vAlign w:val="bottom"/>
          </w:tcPr>
          <w:p>
            <w:pPr>
              <w:spacing w:after="0"/>
              <w:rPr>
                <w:sz w:val="24"/>
                <w:szCs w:val="24"/>
                <w:color w:val="auto"/>
              </w:rPr>
            </w:pPr>
          </w:p>
        </w:tc>
        <w:tc>
          <w:tcPr>
            <w:tcW w:w="12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9"/>
              </w:rPr>
              <w:t>$</w:t>
            </w:r>
          </w:p>
        </w:tc>
        <w:tc>
          <w:tcPr>
            <w:tcW w:w="640" w:type="dxa"/>
            <w:vAlign w:val="bottom"/>
            <w:gridSpan w:val="5"/>
          </w:tcPr>
          <w:p>
            <w:pPr>
              <w:jc w:val="right"/>
              <w:ind w:right="180"/>
              <w:spacing w:after="0"/>
              <w:rPr>
                <w:sz w:val="20"/>
                <w:szCs w:val="20"/>
                <w:color w:val="auto"/>
              </w:rPr>
            </w:pPr>
            <w:r>
              <w:rPr>
                <w:rFonts w:ascii="Arial" w:cs="Arial" w:eastAsia="Arial" w:hAnsi="Arial"/>
                <w:sz w:val="18"/>
                <w:szCs w:val="18"/>
                <w:color w:val="auto"/>
                <w:w w:val="79"/>
              </w:rPr>
              <w:t>11,218</w:t>
            </w:r>
          </w:p>
        </w:tc>
        <w:tc>
          <w:tcPr>
            <w:tcW w:w="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gridSpan w:val="5"/>
          </w:tcPr>
          <w:p>
            <w:pPr>
              <w:jc w:val="right"/>
              <w:spacing w:after="0"/>
              <w:rPr>
                <w:sz w:val="20"/>
                <w:szCs w:val="20"/>
                <w:color w:val="auto"/>
              </w:rPr>
            </w:pPr>
            <w:r>
              <w:rPr>
                <w:rFonts w:ascii="Arial" w:cs="Arial" w:eastAsia="Arial" w:hAnsi="Arial"/>
                <w:sz w:val="18"/>
                <w:szCs w:val="18"/>
                <w:color w:val="auto"/>
                <w:w w:val="83"/>
              </w:rPr>
              <w:t>21,140</w:t>
            </w:r>
          </w:p>
        </w:tc>
        <w:tc>
          <w:tcPr>
            <w:tcW w:w="280" w:type="dxa"/>
            <w:vAlign w:val="bottom"/>
            <w:gridSpan w:val="3"/>
          </w:tcPr>
          <w:p>
            <w:pPr>
              <w:ind w:left="200"/>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gridSpan w:val="5"/>
          </w:tcPr>
          <w:p>
            <w:pPr>
              <w:jc w:val="right"/>
              <w:spacing w:after="0"/>
              <w:rPr>
                <w:sz w:val="20"/>
                <w:szCs w:val="20"/>
                <w:color w:val="auto"/>
              </w:rPr>
            </w:pPr>
            <w:r>
              <w:rPr>
                <w:rFonts w:ascii="Arial" w:cs="Arial" w:eastAsia="Arial" w:hAnsi="Arial"/>
                <w:sz w:val="18"/>
                <w:szCs w:val="18"/>
                <w:color w:val="auto"/>
                <w:w w:val="83"/>
              </w:rPr>
              <w:t>20,191</w:t>
            </w:r>
          </w:p>
        </w:tc>
      </w:tr>
      <w:tr>
        <w:trPr>
          <w:trHeight w:val="601"/>
        </w:trPr>
        <w:tc>
          <w:tcPr>
            <w:tcW w:w="45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top w:val="single" w:sz="8" w:color="auto"/>
            </w:tcBorders>
            <w:gridSpan w:val="6"/>
          </w:tcPr>
          <w:p>
            <w:pPr>
              <w:ind w:left="20"/>
              <w:spacing w:after="0"/>
              <w:rPr>
                <w:sz w:val="20"/>
                <w:szCs w:val="20"/>
                <w:color w:val="auto"/>
              </w:rPr>
            </w:pPr>
            <w:r>
              <w:rPr>
                <w:rFonts w:ascii="Arial" w:cs="Arial" w:eastAsia="Arial" w:hAnsi="Arial"/>
                <w:sz w:val="14"/>
                <w:szCs w:val="14"/>
                <w:b w:val="1"/>
                <w:bCs w:val="1"/>
                <w:i w:val="1"/>
                <w:iCs w:val="1"/>
                <w:color w:val="auto"/>
                <w:w w:val="96"/>
              </w:rPr>
              <w:t>June 30,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top w:val="single" w:sz="8" w:color="auto"/>
            </w:tcBorders>
            <w:gridSpan w:val="6"/>
          </w:tcPr>
          <w:p>
            <w:pPr>
              <w:ind w:left="20"/>
              <w:spacing w:after="0"/>
              <w:rPr>
                <w:sz w:val="20"/>
                <w:szCs w:val="20"/>
                <w:color w:val="auto"/>
              </w:rPr>
            </w:pPr>
            <w:r>
              <w:rPr>
                <w:rFonts w:ascii="Arial" w:cs="Arial" w:eastAsia="Arial" w:hAnsi="Arial"/>
                <w:sz w:val="14"/>
                <w:szCs w:val="14"/>
                <w:b w:val="1"/>
                <w:bCs w:val="1"/>
                <w:i w:val="1"/>
                <w:iCs w:val="1"/>
                <w:color w:val="auto"/>
                <w:w w:val="98"/>
              </w:rPr>
              <w:t>Dec. 31,</w:t>
            </w:r>
          </w:p>
        </w:tc>
      </w:tr>
      <w:tr>
        <w:trPr>
          <w:trHeight w:val="163"/>
        </w:trPr>
        <w:tc>
          <w:tcPr>
            <w:tcW w:w="4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i w:val="1"/>
                <w:iCs w:val="1"/>
                <w:color w:val="auto"/>
                <w:w w:val="83"/>
              </w:rPr>
              <w:t>2014</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i w:val="1"/>
                <w:iCs w:val="1"/>
                <w:color w:val="auto"/>
                <w:w w:val="89"/>
              </w:rPr>
              <w:t>2013</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bl>
    <w:p>
      <w:pPr>
        <w:spacing w:after="0" w:line="46" w:lineRule="exact"/>
        <w:rPr>
          <w:sz w:val="20"/>
          <w:szCs w:val="20"/>
          <w:color w:val="auto"/>
        </w:rPr>
      </w:pPr>
    </w:p>
    <w:p>
      <w:pPr>
        <w:sectPr>
          <w:pgSz w:w="11900" w:h="16838" w:orient="portrait"/>
          <w:cols w:equalWidth="0" w:num="1">
            <w:col w:w="11260"/>
          </w:cols>
          <w:pgMar w:left="240" w:top="131" w:right="399" w:bottom="0" w:gutter="0" w:footer="0" w:header="0"/>
        </w:sectPr>
      </w:pPr>
    </w:p>
    <w:p>
      <w:pPr>
        <w:ind w:left="1100"/>
        <w:spacing w:after="0"/>
        <w:rPr>
          <w:sz w:val="20"/>
          <w:szCs w:val="20"/>
          <w:color w:val="auto"/>
        </w:rPr>
      </w:pPr>
      <w:r>
        <w:rPr>
          <w:rFonts w:ascii="Arial" w:cs="Arial" w:eastAsia="Arial" w:hAnsi="Arial"/>
          <w:sz w:val="14"/>
          <w:szCs w:val="14"/>
          <w:b w:val="1"/>
          <w:bCs w:val="1"/>
          <w:i w:val="1"/>
          <w:iCs w:val="1"/>
          <w:color w:val="auto"/>
        </w:rPr>
        <w:t>Long-lived assets:</w:t>
      </w:r>
    </w:p>
    <w:p>
      <w:pPr>
        <w:sectPr>
          <w:pgSz w:w="11900" w:h="16838" w:orient="portrait"/>
          <w:cols w:equalWidth="0" w:num="1">
            <w:col w:w="11260"/>
          </w:cols>
          <w:pgMar w:left="240" w:top="131" w:right="399" w:bottom="0" w:gutter="0" w:footer="0" w:header="0"/>
          <w:type w:val="continuous"/>
        </w:sectPr>
      </w:pPr>
    </w:p>
    <w:bookmarkStart w:id="12" w:name="page13"/>
    <w:bookmarkEnd w:id="12"/>
    <w:tbl>
      <w:tblPr>
        <w:tblLayout w:type="fixed"/>
        <w:tblInd w:w="1080" w:type="dxa"/>
        <w:tblCellMar>
          <w:top w:w="0" w:type="dxa"/>
          <w:left w:w="0" w:type="dxa"/>
          <w:bottom w:w="0" w:type="dxa"/>
          <w:right w:w="0" w:type="dxa"/>
        </w:tblCellMar>
      </w:tblPr>
      <w:tr>
        <w:trPr>
          <w:trHeight w:val="222"/>
        </w:trPr>
        <w:tc>
          <w:tcPr>
            <w:tcW w:w="6260" w:type="dxa"/>
            <w:vAlign w:val="bottom"/>
          </w:tcPr>
          <w:p>
            <w:pPr>
              <w:spacing w:after="0"/>
              <w:rPr>
                <w:sz w:val="20"/>
                <w:szCs w:val="20"/>
                <w:color w:val="auto"/>
              </w:rPr>
            </w:pPr>
            <w:r>
              <w:rPr>
                <w:rFonts w:ascii="Arial" w:cs="Arial" w:eastAsia="Arial" w:hAnsi="Arial"/>
                <w:sz w:val="18"/>
                <w:szCs w:val="18"/>
                <w:color w:val="auto"/>
              </w:rPr>
              <w:t>U.S.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693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421"/>
        </w:trPr>
        <w:tc>
          <w:tcPr>
            <w:tcW w:w="6260" w:type="dxa"/>
            <w:vAlign w:val="bottom"/>
          </w:tcPr>
          <w:p>
            <w:pPr>
              <w:spacing w:after="0"/>
              <w:rPr>
                <w:sz w:val="20"/>
                <w:szCs w:val="20"/>
                <w:color w:val="auto"/>
              </w:rPr>
            </w:pPr>
            <w:r>
              <w:rPr>
                <w:rFonts w:ascii="Arial" w:cs="Arial" w:eastAsia="Arial" w:hAnsi="Arial"/>
                <w:sz w:val="18"/>
                <w:szCs w:val="18"/>
                <w:color w:val="auto"/>
              </w:rPr>
              <w:t>Foreign</w:t>
            </w: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r>
      <w:tr>
        <w:trPr>
          <w:trHeight w:val="439"/>
        </w:trPr>
        <w:tc>
          <w:tcPr>
            <w:tcW w:w="6260" w:type="dxa"/>
            <w:vAlign w:val="bottom"/>
          </w:tcPr>
          <w:p>
            <w:pPr>
              <w:spacing w:after="0"/>
              <w:rPr>
                <w:sz w:val="24"/>
                <w:szCs w:val="24"/>
                <w:color w:val="auto"/>
              </w:rPr>
            </w:pPr>
          </w:p>
        </w:tc>
        <w:tc>
          <w:tcPr>
            <w:tcW w:w="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1,330</w:t>
            </w:r>
          </w:p>
        </w:tc>
        <w:tc>
          <w:tcPr>
            <w:tcW w:w="28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1,254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2149475</wp:posOffset>
            </wp:positionH>
            <wp:positionV relativeFrom="paragraph">
              <wp:posOffset>1239520</wp:posOffset>
            </wp:positionV>
            <wp:extent cx="29413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413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ind w:left="520" w:right="1720" w:hanging="539"/>
        <w:spacing w:after="0" w:line="478"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b w:val="1"/>
          <w:bCs w:val="1"/>
          <w:u w:val="single" w:color="auto"/>
          <w:color w:val="auto"/>
        </w:rPr>
        <w:t>Risk Factors and Forward-Looking Statements</w:t>
      </w:r>
    </w:p>
    <w:p>
      <w:pPr>
        <w:spacing w:after="0" w:line="5" w:lineRule="exact"/>
        <w:rPr>
          <w:sz w:val="20"/>
          <w:szCs w:val="20"/>
          <w:color w:val="auto"/>
        </w:rPr>
      </w:pPr>
    </w:p>
    <w:p>
      <w:pPr>
        <w:ind w:left="520" w:right="60"/>
        <w:spacing w:after="0" w:line="290" w:lineRule="auto"/>
        <w:rPr>
          <w:sz w:val="20"/>
          <w:szCs w:val="20"/>
          <w:color w:val="auto"/>
        </w:rPr>
      </w:pPr>
      <w:r>
        <w:rPr>
          <w:rFonts w:ascii="Arial" w:cs="Arial" w:eastAsia="Arial" w:hAnsi="Arial"/>
          <w:sz w:val="16"/>
          <w:szCs w:val="16"/>
          <w:color w:val="auto"/>
        </w:rPr>
        <w:t>In addition to historical information, this discussion and analysis contains statements relating to possible future events and results that are considered "forward-looking statements" within the meaning of the Private Securities Litigation Reform Act of 1995. These statements can often be identified by the use of forward-looking terminology such as "believes," "expects," "intends," "may," "will," "should" or "anticipates" or similar terminology. See Part I, Item 1 - "Business - Cautionary Statement Regarding Forward-Looking Statements" in our 2013 Form 10-K for examples of statements made in this report which may be "forward-looking statements." These statements involve risks and uncertainties and are based on various assumptions. Although we believe that our expectations are based on reasonable assumptions, investors and prospective investors are cautioned that such statements are only projections, and there cannot be any assurance that these events or results will occur.</w:t>
      </w:r>
    </w:p>
    <w:p>
      <w:pPr>
        <w:spacing w:after="0" w:line="172" w:lineRule="exact"/>
        <w:rPr>
          <w:sz w:val="20"/>
          <w:szCs w:val="20"/>
          <w:color w:val="auto"/>
        </w:rPr>
      </w:pPr>
    </w:p>
    <w:p>
      <w:pPr>
        <w:ind w:left="520"/>
        <w:spacing w:after="0" w:line="298" w:lineRule="auto"/>
        <w:rPr>
          <w:sz w:val="20"/>
          <w:szCs w:val="20"/>
          <w:color w:val="auto"/>
        </w:rPr>
      </w:pPr>
      <w:r>
        <w:rPr>
          <w:rFonts w:ascii="Arial" w:cs="Arial" w:eastAsia="Arial" w:hAnsi="Arial"/>
          <w:sz w:val="16"/>
          <w:szCs w:val="16"/>
          <w:color w:val="auto"/>
        </w:rPr>
        <w:t>Information about the primary risks and uncertainties that could cause our actual future results to differ materially from our historic results or the results described in the forward-looking statements made in this report or presented elsewhere by Management from time to time are included in Part I, Item 1A - "Risk Factors" in our 2013 Form 10-K. Material changes to such risk factors may be reported in subsequent Quarterly Reports on Form 10-Q in Part II, Item 1A. There have been no such changes from the risk factors set forth in our 2013 Form 10-K.</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Overview</w:t>
      </w:r>
    </w:p>
    <w:p>
      <w:pPr>
        <w:spacing w:after="0" w:line="2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MD&amp;A should be read in conjunction with the accompanying consolidated financial statements.</w:t>
      </w:r>
    </w:p>
    <w:p>
      <w:pPr>
        <w:spacing w:after="0" w:line="225" w:lineRule="exact"/>
        <w:rPr>
          <w:sz w:val="20"/>
          <w:szCs w:val="20"/>
          <w:color w:val="auto"/>
        </w:rPr>
      </w:pPr>
    </w:p>
    <w:p>
      <w:pPr>
        <w:ind w:left="520" w:right="20"/>
        <w:spacing w:after="0" w:line="291" w:lineRule="auto"/>
        <w:rPr>
          <w:sz w:val="20"/>
          <w:szCs w:val="20"/>
          <w:color w:val="auto"/>
        </w:rPr>
      </w:pPr>
      <w:r>
        <w:rPr>
          <w:rFonts w:ascii="Arial" w:cs="Arial" w:eastAsia="Arial" w:hAnsi="Arial"/>
          <w:sz w:val="16"/>
          <w:szCs w:val="16"/>
          <w:color w:val="auto"/>
        </w:rPr>
        <w:t>Our business and results of operations are substantially dependent upon the demand for ATE by semiconductor manufacturers and companies that specialize in the testing of ICs. Demand for ATE is driven by semiconductor manufacturers that are opening new, or expanding existing, semiconductor fabrication facilities or upgrading existing equipment, which in turn is dependent upon the current and anticipated market demand for semiconductors and products incorporating semiconductors. In the past, the semiconductor industry has been highly cyclical with recurring periods of oversupply, which often have a severe impact on the semiconductor industry's demand for ATE, including the products we manufacture. This can cause wide fluctuations in both our orders and net revenues and, depending on our ability to react quickly to these shifts in demand, can significantly impact our results of operations.</w:t>
      </w:r>
    </w:p>
    <w:p>
      <w:pPr>
        <w:spacing w:after="0" w:line="174" w:lineRule="exact"/>
        <w:rPr>
          <w:sz w:val="20"/>
          <w:szCs w:val="20"/>
          <w:color w:val="auto"/>
        </w:rPr>
      </w:pPr>
    </w:p>
    <w:p>
      <w:pPr>
        <w:ind w:left="520" w:right="20"/>
        <w:spacing w:after="0" w:line="286" w:lineRule="auto"/>
        <w:rPr>
          <w:sz w:val="20"/>
          <w:szCs w:val="20"/>
          <w:color w:val="auto"/>
        </w:rPr>
      </w:pPr>
      <w:r>
        <w:rPr>
          <w:rFonts w:ascii="Arial" w:cs="Arial" w:eastAsia="Arial" w:hAnsi="Arial"/>
          <w:sz w:val="16"/>
          <w:szCs w:val="16"/>
          <w:color w:val="auto"/>
        </w:rPr>
        <w:t>ATE market cycles are difficult to predict and in recent years have become more volatile and, in certain cases, shorter in duration. Because the market cycles are generally characterized by sequential periods of growth or declines in orders and net revenues during each cycle, year over year comparisons of operating results may not always be as meaningful as comparisons of periods at similar points in either up or down cycles. In addition, during both downward and upward cycles in our industry, in any given quarter, the trend in both our orders and net revenues can be erratic. This can occur, for example, when orders are canceled or currently scheduled delivery dates are accelerated or postponed by a significant customer or when customer forecasts and general business conditions fluctuate during a quarter. We believe that purchases of most of our products are typically made from semiconductor manufacturers' capital expenditure budgets. Certain portions of our business, however, are generally less dependent upon the capital expenditure budgets of the end users. For example, purchases of certain of our products, such as docking hardware, for the purpose of upgrading or improving the utilization, performance and efficiency of existing ATE, tend to be counter cyclical to sales of new ATE. Moreover, we believe a portion of our sales of thermal products results from the increasing need for temperature testing of circuit boards and specialized components that do not have the design or quantity to be tested in an electronic device handler.</w:t>
      </w:r>
    </w:p>
    <w:p>
      <w:pPr>
        <w:spacing w:after="0" w:line="181" w:lineRule="exact"/>
        <w:rPr>
          <w:sz w:val="20"/>
          <w:szCs w:val="20"/>
          <w:color w:val="auto"/>
        </w:rPr>
      </w:pPr>
    </w:p>
    <w:p>
      <w:pPr>
        <w:ind w:left="520" w:right="20"/>
        <w:spacing w:after="0" w:line="314" w:lineRule="auto"/>
        <w:rPr>
          <w:sz w:val="20"/>
          <w:szCs w:val="20"/>
          <w:color w:val="auto"/>
        </w:rPr>
      </w:pPr>
      <w:r>
        <w:rPr>
          <w:rFonts w:ascii="Arial" w:cs="Arial" w:eastAsia="Arial" w:hAnsi="Arial"/>
          <w:sz w:val="15"/>
          <w:szCs w:val="15"/>
          <w:color w:val="auto"/>
        </w:rPr>
        <w:t>As part of our diversification strategy to reduce the impact of ATE market volatility on our business operations, we market our Thermostream temperature management systems in markets outside the ATE market, such as the automotive, consumer electronics, defense/aerospace, energy, industrial and telecommunications markets. We believe that these markets usually are less cyclical than the ATE market. However, because we are a recent market entrant in these markets, we have not yet developed meaningful market shares in these non-ATE markets. Consequently, we are continuing to evaluate customer buying patterns or market trends in these non-ATE markets. In addition, our orders or net revenues in any given period in these markets do not necessarily reflect the overall trends in these non-ATE markets due to our limited market shares. The level of our orders and net revenues from these non-</w:t>
      </w:r>
    </w:p>
    <w:p>
      <w:pPr>
        <w:sectPr>
          <w:pgSz w:w="11900" w:h="16838" w:orient="portrait"/>
          <w:cols w:equalWidth="0" w:num="1">
            <w:col w:w="11380"/>
          </w:cols>
          <w:pgMar w:left="260" w:top="158" w:right="259" w:bottom="0" w:gutter="0" w:footer="0" w:header="0"/>
        </w:sectPr>
      </w:pPr>
    </w:p>
    <w:bookmarkStart w:id="13" w:name="page14"/>
    <w:bookmarkEnd w:id="13"/>
    <w:p>
      <w:pPr>
        <w:ind w:left="540" w:right="240"/>
        <w:spacing w:after="0" w:line="268" w:lineRule="auto"/>
        <w:rPr>
          <w:sz w:val="20"/>
          <w:szCs w:val="20"/>
          <w:color w:val="auto"/>
        </w:rPr>
      </w:pPr>
      <w:r>
        <w:rPr>
          <w:rFonts w:ascii="Arial" w:cs="Arial" w:eastAsia="Arial" w:hAnsi="Arial"/>
          <w:sz w:val="18"/>
          <w:szCs w:val="18"/>
          <w:color w:val="auto"/>
        </w:rPr>
        <w:t>ATE markets has varied in the past, and we expect will vary significantly in the future, as we work to build our presence in these markets and establish new markets for our products.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- 14 -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color w:val="auto"/>
        </w:rPr>
        <w:t>While the majority of our orders and net revenues are derived from the ATE market, our operating results do not always follow the overall trend in the ATE market in any given period. We believe that these anomalies may be driven by a variety of changes within the ATE market, including, for example, changing product requirements, longer time periods between new product offerings by OEMs and changes in customer buying patterns. In particular, demand for our mechanical and electrical products, which are sold exclusively within the ATE market, and our operating margins in these product segments have been affected by shifts in the competitive landscape, including (i) customers placing heightened emphasis on shorter lead times (which places increased demands on our available engineering and production capacity increasing unit costs) and ordering in smaller quantities (which prevents us from acquiring component materials in larger volumes at lower cost and increasing unit costs), (ii) the practice of OEM manufacturers to specify other suppliers as primary vendors, with less frequent opportunities to compete for such designations, (iii) the role of third-party test and assembly houses in the ATE market and their requirement of products with a greater range of use at the lowest cost, (iv) customer supply chain management groups demanding lower prices and spreading purchases across multiple vendors, and (v) certain competitors aggressively reducing their products' sales prices (causing us to either reduce our products' sales price to be successful in obtaining the sale or causing loss of the sale).</w:t>
      </w:r>
    </w:p>
    <w:p>
      <w:pPr>
        <w:spacing w:after="0" w:line="181" w:lineRule="exact"/>
        <w:rPr>
          <w:sz w:val="20"/>
          <w:szCs w:val="20"/>
          <w:color w:val="auto"/>
        </w:rPr>
      </w:pPr>
    </w:p>
    <w:p>
      <w:pPr>
        <w:ind w:left="540" w:right="40"/>
        <w:spacing w:after="0" w:line="291" w:lineRule="auto"/>
        <w:rPr>
          <w:sz w:val="20"/>
          <w:szCs w:val="20"/>
          <w:color w:val="auto"/>
        </w:rPr>
      </w:pPr>
      <w:r>
        <w:rPr>
          <w:rFonts w:ascii="Arial" w:cs="Arial" w:eastAsia="Arial" w:hAnsi="Arial"/>
          <w:sz w:val="16"/>
          <w:szCs w:val="16"/>
          <w:color w:val="auto"/>
        </w:rPr>
        <w:t>In addition, in recent periods we have seen instances where demand for ATE is not consistent for each of our product segments or for any given product within a particular product segment. This inconsistency in demand for ATE can be driven by a number of factors, but in most cases we have found the primary reason is unique customer-specific changes in demand for certain products driven by the needs of their customers or markets served.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Orders and Backlog</w:t>
      </w:r>
    </w:p>
    <w:p>
      <w:pPr>
        <w:spacing w:after="0" w:line="225" w:lineRule="exact"/>
        <w:rPr>
          <w:sz w:val="20"/>
          <w:szCs w:val="20"/>
          <w:color w:val="auto"/>
        </w:rPr>
      </w:pPr>
    </w:p>
    <w:p>
      <w:pPr>
        <w:ind w:left="540" w:right="320"/>
        <w:spacing w:after="0" w:line="268" w:lineRule="auto"/>
        <w:rPr>
          <w:sz w:val="20"/>
          <w:szCs w:val="20"/>
          <w:color w:val="auto"/>
        </w:rPr>
      </w:pPr>
      <w:r>
        <w:rPr>
          <w:rFonts w:ascii="Arial" w:cs="Arial" w:eastAsia="Arial" w:hAnsi="Arial"/>
          <w:sz w:val="18"/>
          <w:szCs w:val="18"/>
          <w:color w:val="auto"/>
        </w:rPr>
        <w:t>The following table sets forth, for the periods indicated, a breakdown of the orders received from unaffiliated customers both by product segment and market.</w:t>
      </w:r>
    </w:p>
    <w:p>
      <w:pPr>
        <w:spacing w:after="0" w:line="144"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7"/>
          </w:tcPr>
          <w:p>
            <w:pPr>
              <w:jc w:val="center"/>
              <w:ind w:right="600"/>
              <w:spacing w:after="0"/>
              <w:rPr>
                <w:sz w:val="20"/>
                <w:szCs w:val="20"/>
                <w:color w:val="auto"/>
              </w:rPr>
            </w:pPr>
            <w:r>
              <w:rPr>
                <w:rFonts w:ascii="Arial" w:cs="Arial" w:eastAsia="Arial" w:hAnsi="Arial"/>
                <w:sz w:val="14"/>
                <w:szCs w:val="14"/>
                <w:b w:val="1"/>
                <w:bCs w:val="1"/>
                <w:i w:val="1"/>
                <w:iCs w:val="1"/>
                <w:color w:val="auto"/>
                <w:w w:val="83"/>
              </w:rPr>
              <w:t>Three</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5"/>
          </w:tcPr>
          <w:p>
            <w:pPr>
              <w:jc w:val="center"/>
              <w:ind w:right="340"/>
              <w:spacing w:after="0"/>
              <w:rPr>
                <w:sz w:val="20"/>
                <w:szCs w:val="20"/>
                <w:color w:val="auto"/>
              </w:rPr>
            </w:pPr>
            <w:r>
              <w:rPr>
                <w:rFonts w:ascii="Arial" w:cs="Arial" w:eastAsia="Arial" w:hAnsi="Arial"/>
                <w:sz w:val="14"/>
                <w:szCs w:val="14"/>
                <w:b w:val="1"/>
                <w:bCs w:val="1"/>
                <w:i w:val="1"/>
                <w:iCs w:val="1"/>
                <w:color w:val="auto"/>
                <w:w w:val="89"/>
              </w:rPr>
              <w:t>Three</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200" w:type="dxa"/>
            <w:vAlign w:val="bottom"/>
            <w:gridSpan w:val="11"/>
          </w:tcPr>
          <w:p>
            <w:pPr>
              <w:jc w:val="center"/>
              <w:ind w:right="300"/>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7"/>
          </w:tcPr>
          <w:p>
            <w:pPr>
              <w:jc w:val="center"/>
              <w:ind w:right="60"/>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bottom w:val="single" w:sz="8" w:color="auto"/>
            </w:tcBorders>
            <w:gridSpan w:val="6"/>
          </w:tcPr>
          <w:p>
            <w:pPr>
              <w:jc w:val="center"/>
              <w:ind w:right="20"/>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380" w:type="dxa"/>
            <w:vAlign w:val="bottom"/>
            <w:gridSpan w:val="3"/>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Borders>
              <w:bottom w:val="single" w:sz="8" w:color="auto"/>
            </w:tcBorders>
            <w:gridSpan w:val="3"/>
          </w:tcPr>
          <w:p>
            <w:pPr>
              <w:ind w:left="80"/>
              <w:spacing w:after="0" w:line="146" w:lineRule="exact"/>
              <w:rPr>
                <w:sz w:val="20"/>
                <w:szCs w:val="20"/>
                <w:color w:val="auto"/>
              </w:rPr>
            </w:pPr>
            <w:r>
              <w:rPr>
                <w:rFonts w:ascii="Arial" w:cs="Arial" w:eastAsia="Arial" w:hAnsi="Arial"/>
                <w:sz w:val="14"/>
                <w:szCs w:val="14"/>
                <w:b w:val="1"/>
                <w:bCs w:val="1"/>
                <w:i w:val="1"/>
                <w:iCs w:val="1"/>
                <w:color w:val="auto"/>
              </w:rPr>
              <w:t>Change</w:t>
            </w:r>
          </w:p>
        </w:tc>
        <w:tc>
          <w:tcPr>
            <w:tcW w:w="280" w:type="dxa"/>
            <w:vAlign w:val="bottom"/>
            <w:gridSpan w:val="4"/>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bottom w:val="single" w:sz="8" w:color="auto"/>
            </w:tcBorders>
            <w:gridSpan w:val="5"/>
          </w:tcPr>
          <w:p>
            <w:pPr>
              <w:jc w:val="center"/>
              <w:spacing w:after="0" w:line="146" w:lineRule="exact"/>
              <w:rPr>
                <w:sz w:val="20"/>
                <w:szCs w:val="20"/>
                <w:color w:val="auto"/>
              </w:rPr>
            </w:pPr>
            <w:r>
              <w:rPr>
                <w:rFonts w:ascii="Arial" w:cs="Arial" w:eastAsia="Arial" w:hAnsi="Arial"/>
                <w:sz w:val="14"/>
                <w:szCs w:val="14"/>
                <w:b w:val="1"/>
                <w:bCs w:val="1"/>
                <w:i w:val="1"/>
                <w:iCs w:val="1"/>
                <w:color w:val="auto"/>
                <w:w w:val="89"/>
              </w:rPr>
              <w:t>March 31,</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Borders>
              <w:bottom w:val="single" w:sz="8" w:color="auto"/>
            </w:tcBorders>
            <w:gridSpan w:val="2"/>
          </w:tcPr>
          <w:p>
            <w:pPr>
              <w:ind w:left="140"/>
              <w:spacing w:after="0" w:line="146" w:lineRule="exact"/>
              <w:rPr>
                <w:sz w:val="20"/>
                <w:szCs w:val="20"/>
                <w:color w:val="auto"/>
              </w:rPr>
            </w:pPr>
            <w:r>
              <w:rPr>
                <w:rFonts w:ascii="Arial" w:cs="Arial" w:eastAsia="Arial" w:hAnsi="Arial"/>
                <w:sz w:val="14"/>
                <w:szCs w:val="14"/>
                <w:b w:val="1"/>
                <w:bCs w:val="1"/>
                <w:i w:val="1"/>
                <w:iCs w:val="1"/>
                <w:color w:val="auto"/>
                <w:w w:val="81"/>
              </w:rPr>
              <w:t>Change</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3420" w:type="dxa"/>
            <w:vAlign w:val="bottom"/>
          </w:tcPr>
          <w:p>
            <w:pPr>
              <w:spacing w:after="0"/>
              <w:rPr>
                <w:sz w:val="19"/>
                <w:szCs w:val="19"/>
                <w:color w:val="auto"/>
              </w:rPr>
            </w:pPr>
          </w:p>
        </w:tc>
        <w:tc>
          <w:tcPr>
            <w:tcW w:w="280" w:type="dxa"/>
            <w:vAlign w:val="bottom"/>
            <w:gridSpan w:val="4"/>
          </w:tcPr>
          <w:p>
            <w:pPr>
              <w:jc w:val="right"/>
              <w:spacing w:after="0"/>
              <w:rPr>
                <w:sz w:val="20"/>
                <w:szCs w:val="20"/>
                <w:color w:val="auto"/>
              </w:rPr>
            </w:pPr>
            <w:r>
              <w:rPr>
                <w:rFonts w:ascii="Arial" w:cs="Arial" w:eastAsia="Arial" w:hAnsi="Arial"/>
                <w:sz w:val="14"/>
                <w:szCs w:val="14"/>
                <w:b w:val="1"/>
                <w:bCs w:val="1"/>
                <w:i w:val="1"/>
                <w:iCs w:val="1"/>
                <w:color w:val="auto"/>
                <w:w w:val="83"/>
              </w:rPr>
              <w:t>2014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w w:val="83"/>
              </w:rPr>
              <w:t>2013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4"/>
                <w:szCs w:val="14"/>
                <w:b w:val="1"/>
                <w:bCs w:val="1"/>
                <w:i w:val="1"/>
                <w:iCs w:val="1"/>
                <w:u w:val="single" w:color="auto"/>
                <w:color w:val="auto"/>
              </w:rPr>
              <w:t>$</w:t>
            </w:r>
          </w:p>
        </w:tc>
        <w:tc>
          <w:tcPr>
            <w:tcW w:w="300" w:type="dxa"/>
            <w:vAlign w:val="bottom"/>
            <w:gridSpan w:val="5"/>
          </w:tcPr>
          <w:p>
            <w:pPr>
              <w:jc w:val="right"/>
              <w:ind w:right="20"/>
              <w:spacing w:after="0"/>
              <w:rPr>
                <w:sz w:val="20"/>
                <w:szCs w:val="20"/>
                <w:color w:val="auto"/>
              </w:rPr>
            </w:pPr>
            <w:r>
              <w:rPr>
                <w:rFonts w:ascii="Arial" w:cs="Arial" w:eastAsia="Arial" w:hAnsi="Arial"/>
                <w:sz w:val="14"/>
                <w:szCs w:val="14"/>
                <w:b w:val="1"/>
                <w:bCs w:val="1"/>
                <w:i w:val="1"/>
                <w:iCs w:val="1"/>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3"/>
          </w:tcPr>
          <w:p>
            <w:pPr>
              <w:jc w:val="center"/>
              <w:ind w:right="200"/>
              <w:spacing w:after="0"/>
              <w:rPr>
                <w:sz w:val="20"/>
                <w:szCs w:val="20"/>
                <w:color w:val="auto"/>
              </w:rPr>
            </w:pPr>
            <w:r>
              <w:rPr>
                <w:rFonts w:ascii="Arial" w:cs="Arial" w:eastAsia="Arial" w:hAnsi="Arial"/>
                <w:sz w:val="14"/>
                <w:szCs w:val="14"/>
                <w:b w:val="1"/>
                <w:bCs w:val="1"/>
                <w:i w:val="1"/>
                <w:iCs w:val="1"/>
                <w:color w:val="auto"/>
                <w:w w:val="83"/>
              </w:rPr>
              <w:t>2014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jc w:val="right"/>
              <w:ind w:right="178"/>
              <w:spacing w:after="0"/>
              <w:rPr>
                <w:sz w:val="20"/>
                <w:szCs w:val="20"/>
                <w:color w:val="auto"/>
              </w:rPr>
            </w:pPr>
            <w:r>
              <w:rPr>
                <w:rFonts w:ascii="Arial" w:cs="Arial" w:eastAsia="Arial" w:hAnsi="Arial"/>
                <w:sz w:val="14"/>
                <w:szCs w:val="14"/>
                <w:b w:val="1"/>
                <w:bCs w:val="1"/>
                <w:i w:val="1"/>
                <w:iCs w:val="1"/>
                <w:u w:val="single" w:color="auto"/>
                <w:color w:val="auto"/>
              </w:rPr>
              <w:t>$</w:t>
            </w:r>
          </w:p>
        </w:tc>
        <w:tc>
          <w:tcPr>
            <w:tcW w:w="200" w:type="dxa"/>
            <w:vAlign w:val="bottom"/>
          </w:tcPr>
          <w:p>
            <w:pPr>
              <w:spacing w:after="0"/>
              <w:rPr>
                <w:sz w:val="19"/>
                <w:szCs w:val="19"/>
                <w:color w:val="auto"/>
              </w:rPr>
            </w:pPr>
          </w:p>
        </w:tc>
        <w:tc>
          <w:tcPr>
            <w:tcW w:w="340" w:type="dxa"/>
            <w:vAlign w:val="bottom"/>
            <w:gridSpan w:val="4"/>
          </w:tcPr>
          <w:p>
            <w:pPr>
              <w:jc w:val="right"/>
              <w:ind w:right="200"/>
              <w:spacing w:after="0"/>
              <w:rPr>
                <w:sz w:val="20"/>
                <w:szCs w:val="20"/>
                <w:color w:val="auto"/>
              </w:rPr>
            </w:pPr>
            <w:r>
              <w:rPr>
                <w:rFonts w:ascii="Arial" w:cs="Arial" w:eastAsia="Arial" w:hAnsi="Arial"/>
                <w:sz w:val="14"/>
                <w:szCs w:val="14"/>
                <w:b w:val="1"/>
                <w:bCs w:val="1"/>
                <w:i w:val="1"/>
                <w:iCs w:val="1"/>
                <w:color w:val="auto"/>
                <w:w w:val="96"/>
              </w:rPr>
              <w:t>%</w:t>
            </w:r>
          </w:p>
        </w:tc>
        <w:tc>
          <w:tcPr>
            <w:tcW w:w="0" w:type="dxa"/>
            <w:vAlign w:val="bottom"/>
          </w:tcPr>
          <w:p>
            <w:pPr>
              <w:spacing w:after="0"/>
              <w:rPr>
                <w:sz w:val="1"/>
                <w:szCs w:val="1"/>
                <w:color w:val="auto"/>
              </w:rPr>
            </w:pPr>
          </w:p>
        </w:tc>
      </w:tr>
      <w:tr>
        <w:trPr>
          <w:trHeight w:val="235"/>
        </w:trPr>
        <w:tc>
          <w:tcPr>
            <w:tcW w:w="3420" w:type="dxa"/>
            <w:vAlign w:val="bottom"/>
          </w:tcPr>
          <w:p>
            <w:pPr>
              <w:spacing w:after="0"/>
              <w:rPr>
                <w:sz w:val="20"/>
                <w:szCs w:val="20"/>
                <w:color w:val="auto"/>
              </w:rPr>
            </w:pPr>
            <w:r>
              <w:rPr>
                <w:rFonts w:ascii="Arial" w:cs="Arial" w:eastAsia="Arial" w:hAnsi="Arial"/>
                <w:sz w:val="18"/>
                <w:szCs w:val="18"/>
                <w:b w:val="1"/>
                <w:bCs w:val="1"/>
                <w:i w:val="1"/>
                <w:iCs w:val="1"/>
                <w:color w:val="auto"/>
              </w:rPr>
              <w:t>Orders from unaffiliated customers:</w:t>
            </w: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420" w:type="dxa"/>
            <w:vAlign w:val="bottom"/>
          </w:tcPr>
          <w:p>
            <w:pPr>
              <w:spacing w:after="0"/>
              <w:rPr>
                <w:sz w:val="20"/>
                <w:szCs w:val="20"/>
                <w:color w:val="auto"/>
              </w:rPr>
            </w:pPr>
            <w:r>
              <w:rPr>
                <w:rFonts w:ascii="Arial" w:cs="Arial" w:eastAsia="Arial" w:hAnsi="Arial"/>
                <w:sz w:val="18"/>
                <w:szCs w:val="18"/>
                <w:color w:val="auto"/>
              </w:rPr>
              <w:t>Thermal Products</w:t>
            </w:r>
          </w:p>
        </w:tc>
        <w:tc>
          <w:tcPr>
            <w:tcW w:w="480" w:type="dxa"/>
            <w:vAlign w:val="bottom"/>
            <w:gridSpan w:val="5"/>
          </w:tcPr>
          <w:p>
            <w:pPr>
              <w:jc w:val="right"/>
              <w:spacing w:after="0"/>
              <w:rPr>
                <w:sz w:val="20"/>
                <w:szCs w:val="20"/>
                <w:color w:val="auto"/>
              </w:rPr>
            </w:pPr>
            <w:r>
              <w:rPr>
                <w:rFonts w:ascii="Arial" w:cs="Arial" w:eastAsia="Arial" w:hAnsi="Arial"/>
                <w:sz w:val="18"/>
                <w:szCs w:val="18"/>
                <w:color w:val="auto"/>
                <w:w w:val="76"/>
              </w:rPr>
              <w:t>$ 6,094</w:t>
            </w:r>
          </w:p>
        </w:tc>
        <w:tc>
          <w:tcPr>
            <w:tcW w:w="200" w:type="dxa"/>
            <w:vAlign w:val="bottom"/>
          </w:tcPr>
          <w:p>
            <w:pPr>
              <w:spacing w:after="0"/>
              <w:rPr>
                <w:sz w:val="24"/>
                <w:szCs w:val="24"/>
                <w:color w:val="auto"/>
              </w:rPr>
            </w:pPr>
          </w:p>
        </w:tc>
        <w:tc>
          <w:tcPr>
            <w:tcW w:w="440" w:type="dxa"/>
            <w:vAlign w:val="bottom"/>
            <w:gridSpan w:val="4"/>
          </w:tcPr>
          <w:p>
            <w:pPr>
              <w:jc w:val="right"/>
              <w:spacing w:after="0"/>
              <w:rPr>
                <w:sz w:val="20"/>
                <w:szCs w:val="20"/>
                <w:color w:val="auto"/>
              </w:rPr>
            </w:pPr>
            <w:r>
              <w:rPr>
                <w:rFonts w:ascii="Arial" w:cs="Arial" w:eastAsia="Arial" w:hAnsi="Arial"/>
                <w:sz w:val="16"/>
                <w:szCs w:val="16"/>
                <w:color w:val="auto"/>
                <w:w w:val="78"/>
              </w:rPr>
              <w:t>$ 5,366</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728</w:t>
            </w:r>
          </w:p>
        </w:tc>
        <w:tc>
          <w:tcPr>
            <w:tcW w:w="520" w:type="dxa"/>
            <w:vAlign w:val="bottom"/>
            <w:gridSpan w:val="6"/>
          </w:tcPr>
          <w:p>
            <w:pPr>
              <w:jc w:val="right"/>
              <w:ind w:right="80"/>
              <w:spacing w:after="0"/>
              <w:rPr>
                <w:sz w:val="20"/>
                <w:szCs w:val="20"/>
                <w:color w:val="auto"/>
              </w:rPr>
            </w:pPr>
            <w:r>
              <w:rPr>
                <w:rFonts w:ascii="Arial" w:cs="Arial" w:eastAsia="Arial" w:hAnsi="Arial"/>
                <w:sz w:val="18"/>
                <w:szCs w:val="18"/>
                <w:color w:val="auto"/>
              </w:rPr>
              <w:t>14%</w:t>
            </w:r>
          </w:p>
        </w:tc>
        <w:tc>
          <w:tcPr>
            <w:tcW w:w="32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vMerge w:val="restart"/>
          </w:tcPr>
          <w:p>
            <w:pPr>
              <w:jc w:val="right"/>
              <w:spacing w:after="0"/>
              <w:rPr>
                <w:sz w:val="20"/>
                <w:szCs w:val="20"/>
                <w:color w:val="auto"/>
              </w:rPr>
            </w:pPr>
            <w:r>
              <w:rPr>
                <w:rFonts w:ascii="Arial" w:cs="Arial" w:eastAsia="Arial" w:hAnsi="Arial"/>
                <w:sz w:val="18"/>
                <w:szCs w:val="18"/>
                <w:color w:val="auto"/>
              </w:rPr>
              <w:t>5,644</w:t>
            </w:r>
          </w:p>
        </w:tc>
        <w:tc>
          <w:tcPr>
            <w:tcW w:w="1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24"/>
                <w:szCs w:val="24"/>
                <w:color w:val="auto"/>
              </w:rPr>
            </w:pPr>
          </w:p>
        </w:tc>
        <w:tc>
          <w:tcPr>
            <w:tcW w:w="340" w:type="dxa"/>
            <w:vAlign w:val="bottom"/>
            <w:gridSpan w:val="4"/>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3"/>
            <w:vMerge w:val="continue"/>
          </w:tcPr>
          <w:p>
            <w:pPr>
              <w:spacing w:after="0"/>
              <w:rPr>
                <w:sz w:val="18"/>
                <w:szCs w:val="18"/>
                <w:color w:val="auto"/>
              </w:rPr>
            </w:pPr>
          </w:p>
        </w:tc>
        <w:tc>
          <w:tcPr>
            <w:tcW w:w="50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rPr>
                <w:sz w:val="20"/>
                <w:szCs w:val="20"/>
                <w:color w:val="auto"/>
              </w:rPr>
            </w:pPr>
            <w:r>
              <w:rPr>
                <w:rFonts w:ascii="Arial" w:cs="Arial" w:eastAsia="Arial" w:hAnsi="Arial"/>
                <w:sz w:val="18"/>
                <w:szCs w:val="18"/>
                <w:color w:val="auto"/>
              </w:rPr>
              <w:t>Mechanical Products</w:t>
            </w:r>
          </w:p>
        </w:tc>
        <w:tc>
          <w:tcPr>
            <w:tcW w:w="480" w:type="dxa"/>
            <w:vAlign w:val="bottom"/>
            <w:gridSpan w:val="5"/>
          </w:tcPr>
          <w:p>
            <w:pPr>
              <w:jc w:val="right"/>
              <w:spacing w:after="0"/>
              <w:rPr>
                <w:sz w:val="20"/>
                <w:szCs w:val="20"/>
                <w:color w:val="auto"/>
              </w:rPr>
            </w:pPr>
            <w:r>
              <w:rPr>
                <w:rFonts w:ascii="Arial" w:cs="Arial" w:eastAsia="Arial" w:hAnsi="Arial"/>
                <w:sz w:val="18"/>
                <w:szCs w:val="18"/>
                <w:color w:val="auto"/>
              </w:rPr>
              <w:t>4,178</w:t>
            </w:r>
          </w:p>
        </w:tc>
        <w:tc>
          <w:tcPr>
            <w:tcW w:w="200" w:type="dxa"/>
            <w:vAlign w:val="bottom"/>
          </w:tcPr>
          <w:p>
            <w:pPr>
              <w:spacing w:after="0"/>
              <w:rPr>
                <w:sz w:val="21"/>
                <w:szCs w:val="21"/>
                <w:color w:val="auto"/>
              </w:rPr>
            </w:pPr>
          </w:p>
        </w:tc>
        <w:tc>
          <w:tcPr>
            <w:tcW w:w="440" w:type="dxa"/>
            <w:vAlign w:val="bottom"/>
            <w:gridSpan w:val="4"/>
          </w:tcPr>
          <w:p>
            <w:pPr>
              <w:jc w:val="right"/>
              <w:spacing w:after="0"/>
              <w:rPr>
                <w:sz w:val="20"/>
                <w:szCs w:val="20"/>
                <w:color w:val="auto"/>
              </w:rPr>
            </w:pPr>
            <w:r>
              <w:rPr>
                <w:rFonts w:ascii="Arial" w:cs="Arial" w:eastAsia="Arial" w:hAnsi="Arial"/>
                <w:sz w:val="18"/>
                <w:szCs w:val="18"/>
                <w:color w:val="auto"/>
                <w:w w:val="93"/>
              </w:rPr>
              <w:t>3,687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491</w:t>
            </w:r>
          </w:p>
        </w:tc>
        <w:tc>
          <w:tcPr>
            <w:tcW w:w="520" w:type="dxa"/>
            <w:vAlign w:val="bottom"/>
            <w:gridSpan w:val="6"/>
          </w:tcPr>
          <w:p>
            <w:pPr>
              <w:jc w:val="right"/>
              <w:ind w:right="8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gridSpan w:val="3"/>
            <w:vMerge w:val="restart"/>
          </w:tcPr>
          <w:p>
            <w:pPr>
              <w:jc w:val="right"/>
              <w:spacing w:after="0"/>
              <w:rPr>
                <w:sz w:val="20"/>
                <w:szCs w:val="20"/>
                <w:color w:val="auto"/>
              </w:rPr>
            </w:pPr>
            <w:r>
              <w:rPr>
                <w:rFonts w:ascii="Arial" w:cs="Arial" w:eastAsia="Arial" w:hAnsi="Arial"/>
                <w:sz w:val="18"/>
                <w:szCs w:val="18"/>
                <w:color w:val="auto"/>
              </w:rPr>
              <w:t>2,964</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79"/>
              </w:rPr>
              <w:t>1,214</w:t>
            </w:r>
          </w:p>
        </w:tc>
        <w:tc>
          <w:tcPr>
            <w:tcW w:w="200" w:type="dxa"/>
            <w:vAlign w:val="bottom"/>
          </w:tcPr>
          <w:p>
            <w:pPr>
              <w:spacing w:after="0"/>
              <w:rPr>
                <w:sz w:val="21"/>
                <w:szCs w:val="21"/>
                <w:color w:val="auto"/>
              </w:rPr>
            </w:pPr>
          </w:p>
        </w:tc>
        <w:tc>
          <w:tcPr>
            <w:tcW w:w="340" w:type="dxa"/>
            <w:vAlign w:val="bottom"/>
            <w:gridSpan w:val="4"/>
          </w:tcPr>
          <w:p>
            <w:pPr>
              <w:jc w:val="right"/>
              <w:spacing w:after="0"/>
              <w:rPr>
                <w:sz w:val="20"/>
                <w:szCs w:val="20"/>
                <w:color w:val="auto"/>
              </w:rPr>
            </w:pPr>
            <w:r>
              <w:rPr>
                <w:rFonts w:ascii="Arial" w:cs="Arial" w:eastAsia="Arial" w:hAnsi="Arial"/>
                <w:sz w:val="18"/>
                <w:szCs w:val="18"/>
                <w:color w:val="auto"/>
                <w:w w:val="88"/>
              </w:rPr>
              <w:t>41%</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420" w:type="dxa"/>
            <w:vAlign w:val="bottom"/>
          </w:tcPr>
          <w:p>
            <w:pPr>
              <w:spacing w:after="0" w:line="205" w:lineRule="exact"/>
              <w:rPr>
                <w:sz w:val="20"/>
                <w:szCs w:val="20"/>
                <w:color w:val="auto"/>
              </w:rPr>
            </w:pPr>
            <w:r>
              <w:rPr>
                <w:rFonts w:ascii="Arial" w:cs="Arial" w:eastAsia="Arial" w:hAnsi="Arial"/>
                <w:sz w:val="18"/>
                <w:szCs w:val="18"/>
                <w:color w:val="auto"/>
              </w:rPr>
              <w:t>Electrical Products</w:t>
            </w:r>
          </w:p>
        </w:tc>
        <w:tc>
          <w:tcPr>
            <w:tcW w:w="480" w:type="dxa"/>
            <w:vAlign w:val="bottom"/>
            <w:gridSpan w:val="5"/>
          </w:tcPr>
          <w:p>
            <w:pPr>
              <w:jc w:val="right"/>
              <w:spacing w:after="0" w:line="205" w:lineRule="exact"/>
              <w:rPr>
                <w:sz w:val="20"/>
                <w:szCs w:val="20"/>
                <w:color w:val="auto"/>
              </w:rPr>
            </w:pPr>
            <w:r>
              <w:rPr>
                <w:rFonts w:ascii="Arial" w:cs="Arial" w:eastAsia="Arial" w:hAnsi="Arial"/>
                <w:sz w:val="18"/>
                <w:szCs w:val="18"/>
                <w:color w:val="auto"/>
              </w:rPr>
              <w:t>2,366</w:t>
            </w:r>
          </w:p>
        </w:tc>
        <w:tc>
          <w:tcPr>
            <w:tcW w:w="200" w:type="dxa"/>
            <w:vAlign w:val="bottom"/>
          </w:tcPr>
          <w:p>
            <w:pPr>
              <w:spacing w:after="0"/>
              <w:rPr>
                <w:sz w:val="17"/>
                <w:szCs w:val="17"/>
                <w:color w:val="auto"/>
              </w:rPr>
            </w:pPr>
          </w:p>
        </w:tc>
        <w:tc>
          <w:tcPr>
            <w:tcW w:w="440" w:type="dxa"/>
            <w:vAlign w:val="bottom"/>
            <w:gridSpan w:val="4"/>
          </w:tcPr>
          <w:p>
            <w:pPr>
              <w:jc w:val="right"/>
              <w:spacing w:after="0" w:line="205" w:lineRule="exact"/>
              <w:rPr>
                <w:sz w:val="20"/>
                <w:szCs w:val="20"/>
                <w:color w:val="auto"/>
              </w:rPr>
            </w:pPr>
            <w:r>
              <w:rPr>
                <w:rFonts w:ascii="Arial" w:cs="Arial" w:eastAsia="Arial" w:hAnsi="Arial"/>
                <w:sz w:val="18"/>
                <w:szCs w:val="18"/>
                <w:color w:val="auto"/>
                <w:w w:val="93"/>
              </w:rPr>
              <w:t>1,919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jc w:val="right"/>
              <w:spacing w:after="0" w:line="205" w:lineRule="exact"/>
              <w:rPr>
                <w:sz w:val="20"/>
                <w:szCs w:val="20"/>
                <w:color w:val="auto"/>
              </w:rPr>
            </w:pPr>
            <w:r>
              <w:rPr>
                <w:rFonts w:ascii="Arial" w:cs="Arial" w:eastAsia="Arial" w:hAnsi="Arial"/>
                <w:sz w:val="18"/>
                <w:szCs w:val="18"/>
                <w:color w:val="auto"/>
              </w:rPr>
              <w:t>447</w:t>
            </w:r>
          </w:p>
        </w:tc>
        <w:tc>
          <w:tcPr>
            <w:tcW w:w="520" w:type="dxa"/>
            <w:vAlign w:val="bottom"/>
            <w:gridSpan w:val="6"/>
          </w:tcPr>
          <w:p>
            <w:pPr>
              <w:jc w:val="right"/>
              <w:ind w:right="80"/>
              <w:spacing w:after="0" w:line="205" w:lineRule="exact"/>
              <w:rPr>
                <w:sz w:val="20"/>
                <w:szCs w:val="20"/>
                <w:color w:val="auto"/>
              </w:rPr>
            </w:pPr>
            <w:r>
              <w:rPr>
                <w:rFonts w:ascii="Arial" w:cs="Arial" w:eastAsia="Arial" w:hAnsi="Arial"/>
                <w:sz w:val="18"/>
                <w:szCs w:val="18"/>
                <w:color w:val="auto"/>
              </w:rPr>
              <w:t>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3"/>
            <w:vMerge w:val="restart"/>
          </w:tcPr>
          <w:p>
            <w:pPr>
              <w:jc w:val="right"/>
              <w:spacing w:after="0"/>
              <w:rPr>
                <w:sz w:val="20"/>
                <w:szCs w:val="20"/>
                <w:color w:val="auto"/>
              </w:rPr>
            </w:pPr>
            <w:r>
              <w:rPr>
                <w:rFonts w:ascii="Arial" w:cs="Arial" w:eastAsia="Arial" w:hAnsi="Arial"/>
                <w:sz w:val="18"/>
                <w:szCs w:val="18"/>
                <w:color w:val="auto"/>
              </w:rPr>
              <w:t>1,553</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jc w:val="right"/>
              <w:spacing w:after="0" w:line="205" w:lineRule="exact"/>
              <w:rPr>
                <w:sz w:val="20"/>
                <w:szCs w:val="20"/>
                <w:color w:val="auto"/>
              </w:rPr>
            </w:pPr>
            <w:r>
              <w:rPr>
                <w:rFonts w:ascii="Arial" w:cs="Arial" w:eastAsia="Arial" w:hAnsi="Arial"/>
                <w:sz w:val="18"/>
                <w:szCs w:val="18"/>
                <w:color w:val="auto"/>
              </w:rPr>
              <w:t>813</w:t>
            </w:r>
          </w:p>
        </w:tc>
        <w:tc>
          <w:tcPr>
            <w:tcW w:w="200" w:type="dxa"/>
            <w:vAlign w:val="bottom"/>
          </w:tcPr>
          <w:p>
            <w:pPr>
              <w:spacing w:after="0"/>
              <w:rPr>
                <w:sz w:val="17"/>
                <w:szCs w:val="17"/>
                <w:color w:val="auto"/>
              </w:rPr>
            </w:pPr>
          </w:p>
        </w:tc>
        <w:tc>
          <w:tcPr>
            <w:tcW w:w="340" w:type="dxa"/>
            <w:vAlign w:val="bottom"/>
            <w:gridSpan w:val="4"/>
          </w:tcPr>
          <w:p>
            <w:pPr>
              <w:jc w:val="right"/>
              <w:spacing w:after="0" w:line="205" w:lineRule="exact"/>
              <w:rPr>
                <w:sz w:val="20"/>
                <w:szCs w:val="20"/>
                <w:color w:val="auto"/>
              </w:rPr>
            </w:pPr>
            <w:r>
              <w:rPr>
                <w:rFonts w:ascii="Arial" w:cs="Arial" w:eastAsia="Arial" w:hAnsi="Arial"/>
                <w:sz w:val="18"/>
                <w:szCs w:val="18"/>
                <w:color w:val="auto"/>
                <w:w w:val="88"/>
              </w:rPr>
              <w:t>52%</w:t>
            </w:r>
          </w:p>
        </w:tc>
        <w:tc>
          <w:tcPr>
            <w:tcW w:w="0" w:type="dxa"/>
            <w:vAlign w:val="bottom"/>
          </w:tcPr>
          <w:p>
            <w:pPr>
              <w:spacing w:after="0"/>
              <w:rPr>
                <w:sz w:val="1"/>
                <w:szCs w:val="1"/>
                <w:color w:val="auto"/>
              </w:rPr>
            </w:pPr>
          </w:p>
        </w:tc>
      </w:tr>
      <w:tr>
        <w:trPr>
          <w:trHeight w:val="196"/>
        </w:trPr>
        <w:tc>
          <w:tcPr>
            <w:tcW w:w="34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20" w:type="dxa"/>
            <w:vAlign w:val="bottom"/>
          </w:tcPr>
          <w:p>
            <w:pPr>
              <w:spacing w:after="0"/>
              <w:rPr>
                <w:sz w:val="19"/>
                <w:szCs w:val="19"/>
                <w:color w:val="auto"/>
              </w:rPr>
            </w:pPr>
          </w:p>
        </w:tc>
        <w:tc>
          <w:tcPr>
            <w:tcW w:w="480" w:type="dxa"/>
            <w:vAlign w:val="bottom"/>
            <w:gridSpan w:val="5"/>
          </w:tcPr>
          <w:p>
            <w:pPr>
              <w:jc w:val="right"/>
              <w:spacing w:after="0"/>
              <w:rPr>
                <w:sz w:val="20"/>
                <w:szCs w:val="20"/>
                <w:color w:val="auto"/>
              </w:rPr>
            </w:pPr>
            <w:r>
              <w:rPr>
                <w:rFonts w:ascii="Arial" w:cs="Arial" w:eastAsia="Arial" w:hAnsi="Arial"/>
                <w:sz w:val="18"/>
                <w:szCs w:val="18"/>
                <w:u w:val="single" w:color="auto"/>
                <w:color w:val="auto"/>
                <w:w w:val="70"/>
              </w:rPr>
              <w:t>$</w:t>
            </w:r>
            <w:r>
              <w:rPr>
                <w:rFonts w:ascii="Arial" w:cs="Arial" w:eastAsia="Arial" w:hAnsi="Arial"/>
                <w:sz w:val="18"/>
                <w:szCs w:val="18"/>
                <w:color w:val="auto"/>
                <w:w w:val="70"/>
              </w:rPr>
              <w:t>12,638</w:t>
            </w:r>
          </w:p>
        </w:tc>
        <w:tc>
          <w:tcPr>
            <w:tcW w:w="200" w:type="dxa"/>
            <w:vAlign w:val="bottom"/>
          </w:tcPr>
          <w:p>
            <w:pPr>
              <w:spacing w:after="0"/>
              <w:rPr>
                <w:sz w:val="19"/>
                <w:szCs w:val="19"/>
                <w:color w:val="auto"/>
              </w:rPr>
            </w:pPr>
          </w:p>
        </w:tc>
        <w:tc>
          <w:tcPr>
            <w:tcW w:w="440" w:type="dxa"/>
            <w:vAlign w:val="bottom"/>
            <w:gridSpan w:val="4"/>
          </w:tcPr>
          <w:p>
            <w:pPr>
              <w:jc w:val="right"/>
              <w:spacing w:after="0"/>
              <w:rPr>
                <w:sz w:val="20"/>
                <w:szCs w:val="20"/>
                <w:color w:val="auto"/>
              </w:rPr>
            </w:pPr>
            <w:r>
              <w:rPr>
                <w:rFonts w:ascii="Arial" w:cs="Arial" w:eastAsia="Arial" w:hAnsi="Arial"/>
                <w:sz w:val="16"/>
                <w:szCs w:val="16"/>
                <w:u w:val="single" w:color="auto"/>
                <w:color w:val="auto"/>
                <w:w w:val="72"/>
              </w:rPr>
              <w:t>$</w:t>
            </w:r>
            <w:r>
              <w:rPr>
                <w:rFonts w:ascii="Arial" w:cs="Arial" w:eastAsia="Arial" w:hAnsi="Arial"/>
                <w:sz w:val="16"/>
                <w:szCs w:val="16"/>
                <w:color w:val="auto"/>
                <w:w w:val="72"/>
              </w:rPr>
              <w:t>10,972</w:t>
            </w: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1,666</w:t>
            </w:r>
          </w:p>
        </w:tc>
        <w:tc>
          <w:tcPr>
            <w:tcW w:w="520" w:type="dxa"/>
            <w:vAlign w:val="bottom"/>
            <w:gridSpan w:val="6"/>
          </w:tcPr>
          <w:p>
            <w:pPr>
              <w:jc w:val="right"/>
              <w:ind w:right="80"/>
              <w:spacing w:after="0"/>
              <w:rPr>
                <w:sz w:val="20"/>
                <w:szCs w:val="20"/>
                <w:color w:val="auto"/>
              </w:rPr>
            </w:pPr>
            <w:r>
              <w:rPr>
                <w:rFonts w:ascii="Arial" w:cs="Arial" w:eastAsia="Arial" w:hAnsi="Arial"/>
                <w:sz w:val="18"/>
                <w:szCs w:val="18"/>
                <w:color w:val="auto"/>
              </w:rPr>
              <w:t>15%</w:t>
            </w:r>
          </w:p>
        </w:tc>
        <w:tc>
          <w:tcPr>
            <w:tcW w:w="240" w:type="dxa"/>
            <w:vAlign w:val="bottom"/>
            <w:gridSpan w:val="2"/>
            <w:vMerge w:val="restart"/>
          </w:tcPr>
          <w:p>
            <w:pPr>
              <w:spacing w:after="0"/>
              <w:rPr>
                <w:sz w:val="19"/>
                <w:szCs w:val="19"/>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gridSpan w:val="3"/>
            <w:vMerge w:val="restart"/>
          </w:tcPr>
          <w:p>
            <w:pPr>
              <w:jc w:val="right"/>
              <w:spacing w:after="0"/>
              <w:rPr>
                <w:sz w:val="20"/>
                <w:szCs w:val="20"/>
                <w:color w:val="auto"/>
              </w:rPr>
            </w:pPr>
            <w:r>
              <w:rPr>
                <w:rFonts w:ascii="Arial" w:cs="Arial" w:eastAsia="Arial" w:hAnsi="Arial"/>
                <w:sz w:val="18"/>
                <w:szCs w:val="18"/>
                <w:color w:val="auto"/>
                <w:w w:val="87"/>
              </w:rPr>
              <w:t>10,161</w:t>
            </w:r>
          </w:p>
        </w:tc>
        <w:tc>
          <w:tcPr>
            <w:tcW w:w="1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2,477</w:t>
            </w:r>
          </w:p>
        </w:tc>
        <w:tc>
          <w:tcPr>
            <w:tcW w:w="200" w:type="dxa"/>
            <w:vAlign w:val="bottom"/>
          </w:tcPr>
          <w:p>
            <w:pPr>
              <w:spacing w:after="0"/>
              <w:rPr>
                <w:sz w:val="19"/>
                <w:szCs w:val="19"/>
                <w:color w:val="auto"/>
              </w:rPr>
            </w:pPr>
          </w:p>
        </w:tc>
        <w:tc>
          <w:tcPr>
            <w:tcW w:w="340" w:type="dxa"/>
            <w:vAlign w:val="bottom"/>
            <w:gridSpan w:val="4"/>
          </w:tcPr>
          <w:p>
            <w:pPr>
              <w:jc w:val="right"/>
              <w:spacing w:after="0"/>
              <w:rPr>
                <w:sz w:val="20"/>
                <w:szCs w:val="20"/>
                <w:color w:val="auto"/>
              </w:rPr>
            </w:pPr>
            <w:r>
              <w:rPr>
                <w:rFonts w:ascii="Arial" w:cs="Arial" w:eastAsia="Arial" w:hAnsi="Arial"/>
                <w:sz w:val="18"/>
                <w:szCs w:val="18"/>
                <w:color w:val="auto"/>
                <w:w w:val="88"/>
              </w:rPr>
              <w:t>24%</w:t>
            </w:r>
          </w:p>
        </w:tc>
        <w:tc>
          <w:tcPr>
            <w:tcW w:w="0" w:type="dxa"/>
            <w:vAlign w:val="bottom"/>
          </w:tcPr>
          <w:p>
            <w:pPr>
              <w:spacing w:after="0"/>
              <w:rPr>
                <w:sz w:val="1"/>
                <w:szCs w:val="1"/>
                <w:color w:val="auto"/>
              </w:rPr>
            </w:pPr>
          </w:p>
        </w:tc>
      </w:tr>
      <w:tr>
        <w:trPr>
          <w:trHeight w:val="201"/>
        </w:trPr>
        <w:tc>
          <w:tcPr>
            <w:tcW w:w="34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8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5"/>
        </w:trPr>
        <w:tc>
          <w:tcPr>
            <w:tcW w:w="3420" w:type="dxa"/>
            <w:vAlign w:val="bottom"/>
          </w:tcPr>
          <w:p>
            <w:pPr>
              <w:spacing w:after="0"/>
              <w:rPr>
                <w:sz w:val="20"/>
                <w:szCs w:val="20"/>
                <w:color w:val="auto"/>
              </w:rPr>
            </w:pPr>
            <w:r>
              <w:rPr>
                <w:rFonts w:ascii="Arial" w:cs="Arial" w:eastAsia="Arial" w:hAnsi="Arial"/>
                <w:sz w:val="18"/>
                <w:szCs w:val="18"/>
                <w:color w:val="auto"/>
              </w:rPr>
              <w:t>ATE market</w:t>
            </w:r>
          </w:p>
        </w:tc>
        <w:tc>
          <w:tcPr>
            <w:tcW w:w="480" w:type="dxa"/>
            <w:vAlign w:val="bottom"/>
            <w:gridSpan w:val="5"/>
          </w:tcPr>
          <w:p>
            <w:pPr>
              <w:jc w:val="right"/>
              <w:spacing w:after="0"/>
              <w:rPr>
                <w:sz w:val="20"/>
                <w:szCs w:val="20"/>
                <w:color w:val="auto"/>
              </w:rPr>
            </w:pPr>
            <w:r>
              <w:rPr>
                <w:rFonts w:ascii="Arial" w:cs="Arial" w:eastAsia="Arial" w:hAnsi="Arial"/>
                <w:sz w:val="18"/>
                <w:szCs w:val="18"/>
                <w:color w:val="auto"/>
                <w:w w:val="76"/>
              </w:rPr>
              <w:t>$ 9,040</w:t>
            </w:r>
          </w:p>
        </w:tc>
        <w:tc>
          <w:tcPr>
            <w:tcW w:w="200" w:type="dxa"/>
            <w:vAlign w:val="bottom"/>
          </w:tcPr>
          <w:p>
            <w:pPr>
              <w:spacing w:after="0"/>
              <w:rPr>
                <w:sz w:val="24"/>
                <w:szCs w:val="24"/>
                <w:color w:val="auto"/>
              </w:rPr>
            </w:pPr>
          </w:p>
        </w:tc>
        <w:tc>
          <w:tcPr>
            <w:tcW w:w="440" w:type="dxa"/>
            <w:vAlign w:val="bottom"/>
            <w:gridSpan w:val="4"/>
          </w:tcPr>
          <w:p>
            <w:pPr>
              <w:jc w:val="right"/>
              <w:spacing w:after="0"/>
              <w:rPr>
                <w:sz w:val="20"/>
                <w:szCs w:val="20"/>
                <w:color w:val="auto"/>
              </w:rPr>
            </w:pPr>
            <w:r>
              <w:rPr>
                <w:rFonts w:ascii="Arial" w:cs="Arial" w:eastAsia="Arial" w:hAnsi="Arial"/>
                <w:sz w:val="16"/>
                <w:szCs w:val="16"/>
                <w:color w:val="auto"/>
                <w:w w:val="78"/>
              </w:rPr>
              <w:t>$ 8,347</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693</w:t>
            </w:r>
          </w:p>
        </w:tc>
        <w:tc>
          <w:tcPr>
            <w:tcW w:w="520" w:type="dxa"/>
            <w:vAlign w:val="bottom"/>
            <w:gridSpan w:val="6"/>
          </w:tcPr>
          <w:p>
            <w:pPr>
              <w:jc w:val="right"/>
              <w:ind w:right="80"/>
              <w:spacing w:after="0"/>
              <w:rPr>
                <w:sz w:val="20"/>
                <w:szCs w:val="20"/>
                <w:color w:val="auto"/>
              </w:rPr>
            </w:pPr>
            <w:r>
              <w:rPr>
                <w:rFonts w:ascii="Arial" w:cs="Arial" w:eastAsia="Arial" w:hAnsi="Arial"/>
                <w:sz w:val="18"/>
                <w:szCs w:val="18"/>
                <w:color w:val="auto"/>
              </w:rPr>
              <w:t>8%</w:t>
            </w:r>
          </w:p>
        </w:tc>
        <w:tc>
          <w:tcPr>
            <w:tcW w:w="32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vMerge w:val="restart"/>
          </w:tcPr>
          <w:p>
            <w:pPr>
              <w:jc w:val="right"/>
              <w:spacing w:after="0"/>
              <w:rPr>
                <w:sz w:val="20"/>
                <w:szCs w:val="20"/>
                <w:color w:val="auto"/>
              </w:rPr>
            </w:pPr>
            <w:r>
              <w:rPr>
                <w:rFonts w:ascii="Arial" w:cs="Arial" w:eastAsia="Arial" w:hAnsi="Arial"/>
                <w:sz w:val="18"/>
                <w:szCs w:val="18"/>
                <w:color w:val="auto"/>
              </w:rPr>
              <w:t>8,219</w:t>
            </w:r>
          </w:p>
        </w:tc>
        <w:tc>
          <w:tcPr>
            <w:tcW w:w="1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821</w:t>
            </w:r>
          </w:p>
        </w:tc>
        <w:tc>
          <w:tcPr>
            <w:tcW w:w="200" w:type="dxa"/>
            <w:vAlign w:val="bottom"/>
          </w:tcPr>
          <w:p>
            <w:pPr>
              <w:spacing w:after="0"/>
              <w:rPr>
                <w:sz w:val="24"/>
                <w:szCs w:val="24"/>
                <w:color w:val="auto"/>
              </w:rPr>
            </w:pPr>
          </w:p>
        </w:tc>
        <w:tc>
          <w:tcPr>
            <w:tcW w:w="340" w:type="dxa"/>
            <w:vAlign w:val="bottom"/>
            <w:gridSpan w:val="4"/>
          </w:tcPr>
          <w:p>
            <w:pPr>
              <w:jc w:val="right"/>
              <w:spacing w:after="0"/>
              <w:rPr>
                <w:sz w:val="20"/>
                <w:szCs w:val="20"/>
                <w:color w:val="auto"/>
              </w:rPr>
            </w:pPr>
            <w:r>
              <w:rPr>
                <w:rFonts w:ascii="Arial" w:cs="Arial" w:eastAsia="Arial" w:hAnsi="Arial"/>
                <w:sz w:val="18"/>
                <w:szCs w:val="18"/>
                <w:color w:val="auto"/>
                <w:w w:val="88"/>
              </w:rPr>
              <w:t>10%</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3"/>
            <w:vMerge w:val="continue"/>
          </w:tcPr>
          <w:p>
            <w:pPr>
              <w:spacing w:after="0"/>
              <w:rPr>
                <w:sz w:val="18"/>
                <w:szCs w:val="18"/>
                <w:color w:val="auto"/>
              </w:rPr>
            </w:pPr>
          </w:p>
        </w:tc>
        <w:tc>
          <w:tcPr>
            <w:tcW w:w="50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420" w:type="dxa"/>
            <w:vAlign w:val="bottom"/>
          </w:tcPr>
          <w:p>
            <w:pPr>
              <w:spacing w:after="0" w:line="205" w:lineRule="exact"/>
              <w:rPr>
                <w:sz w:val="20"/>
                <w:szCs w:val="20"/>
                <w:color w:val="auto"/>
              </w:rPr>
            </w:pPr>
            <w:r>
              <w:rPr>
                <w:rFonts w:ascii="Arial" w:cs="Arial" w:eastAsia="Arial" w:hAnsi="Arial"/>
                <w:sz w:val="18"/>
                <w:szCs w:val="18"/>
                <w:color w:val="auto"/>
              </w:rPr>
              <w:t>Non-ATE market</w:t>
            </w:r>
          </w:p>
        </w:tc>
        <w:tc>
          <w:tcPr>
            <w:tcW w:w="480" w:type="dxa"/>
            <w:vAlign w:val="bottom"/>
            <w:gridSpan w:val="5"/>
          </w:tcPr>
          <w:p>
            <w:pPr>
              <w:jc w:val="right"/>
              <w:spacing w:after="0" w:line="205" w:lineRule="exact"/>
              <w:rPr>
                <w:sz w:val="20"/>
                <w:szCs w:val="20"/>
                <w:color w:val="auto"/>
              </w:rPr>
            </w:pPr>
            <w:r>
              <w:rPr>
                <w:rFonts w:ascii="Arial" w:cs="Arial" w:eastAsia="Arial" w:hAnsi="Arial"/>
                <w:sz w:val="18"/>
                <w:szCs w:val="18"/>
                <w:color w:val="auto"/>
              </w:rPr>
              <w:t>3,598</w:t>
            </w:r>
          </w:p>
        </w:tc>
        <w:tc>
          <w:tcPr>
            <w:tcW w:w="200" w:type="dxa"/>
            <w:vAlign w:val="bottom"/>
          </w:tcPr>
          <w:p>
            <w:pPr>
              <w:spacing w:after="0"/>
              <w:rPr>
                <w:sz w:val="17"/>
                <w:szCs w:val="17"/>
                <w:color w:val="auto"/>
              </w:rPr>
            </w:pPr>
          </w:p>
        </w:tc>
        <w:tc>
          <w:tcPr>
            <w:tcW w:w="440" w:type="dxa"/>
            <w:vAlign w:val="bottom"/>
            <w:gridSpan w:val="4"/>
          </w:tcPr>
          <w:p>
            <w:pPr>
              <w:jc w:val="right"/>
              <w:spacing w:after="0" w:line="205" w:lineRule="exact"/>
              <w:rPr>
                <w:sz w:val="20"/>
                <w:szCs w:val="20"/>
                <w:color w:val="auto"/>
              </w:rPr>
            </w:pPr>
            <w:r>
              <w:rPr>
                <w:rFonts w:ascii="Arial" w:cs="Arial" w:eastAsia="Arial" w:hAnsi="Arial"/>
                <w:sz w:val="18"/>
                <w:szCs w:val="18"/>
                <w:color w:val="auto"/>
                <w:w w:val="93"/>
              </w:rPr>
              <w:t>2,625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jc w:val="right"/>
              <w:spacing w:after="0" w:line="205" w:lineRule="exact"/>
              <w:rPr>
                <w:sz w:val="20"/>
                <w:szCs w:val="20"/>
                <w:color w:val="auto"/>
              </w:rPr>
            </w:pPr>
            <w:r>
              <w:rPr>
                <w:rFonts w:ascii="Arial" w:cs="Arial" w:eastAsia="Arial" w:hAnsi="Arial"/>
                <w:sz w:val="18"/>
                <w:szCs w:val="18"/>
                <w:color w:val="auto"/>
              </w:rPr>
              <w:t>973</w:t>
            </w:r>
          </w:p>
        </w:tc>
        <w:tc>
          <w:tcPr>
            <w:tcW w:w="520" w:type="dxa"/>
            <w:vAlign w:val="bottom"/>
            <w:gridSpan w:val="6"/>
          </w:tcPr>
          <w:p>
            <w:pPr>
              <w:jc w:val="right"/>
              <w:ind w:right="80"/>
              <w:spacing w:after="0" w:line="205" w:lineRule="exact"/>
              <w:rPr>
                <w:sz w:val="20"/>
                <w:szCs w:val="20"/>
                <w:color w:val="auto"/>
              </w:rPr>
            </w:pPr>
            <w:r>
              <w:rPr>
                <w:rFonts w:ascii="Arial" w:cs="Arial" w:eastAsia="Arial" w:hAnsi="Arial"/>
                <w:sz w:val="18"/>
                <w:szCs w:val="18"/>
                <w:color w:val="auto"/>
              </w:rPr>
              <w:t>37%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3"/>
            <w:vMerge w:val="restart"/>
          </w:tcPr>
          <w:p>
            <w:pPr>
              <w:jc w:val="right"/>
              <w:spacing w:after="0"/>
              <w:rPr>
                <w:sz w:val="20"/>
                <w:szCs w:val="20"/>
                <w:color w:val="auto"/>
              </w:rPr>
            </w:pPr>
            <w:r>
              <w:rPr>
                <w:rFonts w:ascii="Arial" w:cs="Arial" w:eastAsia="Arial" w:hAnsi="Arial"/>
                <w:sz w:val="18"/>
                <w:szCs w:val="18"/>
                <w:color w:val="auto"/>
              </w:rPr>
              <w:t>1,942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jc w:val="right"/>
              <w:spacing w:after="0" w:line="205" w:lineRule="exact"/>
              <w:rPr>
                <w:sz w:val="20"/>
                <w:szCs w:val="20"/>
                <w:color w:val="auto"/>
              </w:rPr>
            </w:pPr>
            <w:r>
              <w:rPr>
                <w:rFonts w:ascii="Arial" w:cs="Arial" w:eastAsia="Arial" w:hAnsi="Arial"/>
                <w:sz w:val="18"/>
                <w:szCs w:val="18"/>
                <w:color w:val="auto"/>
                <w:w w:val="79"/>
              </w:rPr>
              <w:t>1,656</w:t>
            </w:r>
          </w:p>
        </w:tc>
        <w:tc>
          <w:tcPr>
            <w:tcW w:w="200" w:type="dxa"/>
            <w:vAlign w:val="bottom"/>
          </w:tcPr>
          <w:p>
            <w:pPr>
              <w:spacing w:after="0"/>
              <w:rPr>
                <w:sz w:val="17"/>
                <w:szCs w:val="17"/>
                <w:color w:val="auto"/>
              </w:rPr>
            </w:pPr>
          </w:p>
        </w:tc>
        <w:tc>
          <w:tcPr>
            <w:tcW w:w="340" w:type="dxa"/>
            <w:vAlign w:val="bottom"/>
            <w:gridSpan w:val="4"/>
          </w:tcPr>
          <w:p>
            <w:pPr>
              <w:jc w:val="right"/>
              <w:spacing w:after="0" w:line="205" w:lineRule="exact"/>
              <w:rPr>
                <w:sz w:val="20"/>
                <w:szCs w:val="20"/>
                <w:color w:val="auto"/>
              </w:rPr>
            </w:pPr>
            <w:r>
              <w:rPr>
                <w:rFonts w:ascii="Arial" w:cs="Arial" w:eastAsia="Arial" w:hAnsi="Arial"/>
                <w:sz w:val="18"/>
                <w:szCs w:val="18"/>
                <w:color w:val="auto"/>
                <w:w w:val="88"/>
              </w:rPr>
              <w:t>85%</w:t>
            </w:r>
          </w:p>
        </w:tc>
        <w:tc>
          <w:tcPr>
            <w:tcW w:w="0" w:type="dxa"/>
            <w:vAlign w:val="bottom"/>
          </w:tcPr>
          <w:p>
            <w:pPr>
              <w:spacing w:after="0"/>
              <w:rPr>
                <w:sz w:val="1"/>
                <w:szCs w:val="1"/>
                <w:color w:val="auto"/>
              </w:rPr>
            </w:pPr>
          </w:p>
        </w:tc>
      </w:tr>
      <w:tr>
        <w:trPr>
          <w:trHeight w:val="196"/>
        </w:trPr>
        <w:tc>
          <w:tcPr>
            <w:tcW w:w="34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20" w:type="dxa"/>
            <w:vAlign w:val="bottom"/>
          </w:tcPr>
          <w:p>
            <w:pPr>
              <w:spacing w:after="0"/>
              <w:rPr>
                <w:sz w:val="19"/>
                <w:szCs w:val="19"/>
                <w:color w:val="auto"/>
              </w:rPr>
            </w:pPr>
          </w:p>
        </w:tc>
        <w:tc>
          <w:tcPr>
            <w:tcW w:w="480" w:type="dxa"/>
            <w:vAlign w:val="bottom"/>
            <w:gridSpan w:val="5"/>
          </w:tcPr>
          <w:p>
            <w:pPr>
              <w:jc w:val="right"/>
              <w:spacing w:after="0"/>
              <w:rPr>
                <w:sz w:val="20"/>
                <w:szCs w:val="20"/>
                <w:color w:val="auto"/>
              </w:rPr>
            </w:pPr>
            <w:r>
              <w:rPr>
                <w:rFonts w:ascii="Arial" w:cs="Arial" w:eastAsia="Arial" w:hAnsi="Arial"/>
                <w:sz w:val="18"/>
                <w:szCs w:val="18"/>
                <w:u w:val="single" w:color="auto"/>
                <w:color w:val="auto"/>
                <w:w w:val="70"/>
              </w:rPr>
              <w:t>$</w:t>
            </w:r>
            <w:r>
              <w:rPr>
                <w:rFonts w:ascii="Arial" w:cs="Arial" w:eastAsia="Arial" w:hAnsi="Arial"/>
                <w:sz w:val="18"/>
                <w:szCs w:val="18"/>
                <w:color w:val="auto"/>
                <w:w w:val="70"/>
              </w:rPr>
              <w:t>12,638</w:t>
            </w:r>
          </w:p>
        </w:tc>
        <w:tc>
          <w:tcPr>
            <w:tcW w:w="200" w:type="dxa"/>
            <w:vAlign w:val="bottom"/>
          </w:tcPr>
          <w:p>
            <w:pPr>
              <w:spacing w:after="0"/>
              <w:rPr>
                <w:sz w:val="19"/>
                <w:szCs w:val="19"/>
                <w:color w:val="auto"/>
              </w:rPr>
            </w:pPr>
          </w:p>
        </w:tc>
        <w:tc>
          <w:tcPr>
            <w:tcW w:w="440" w:type="dxa"/>
            <w:vAlign w:val="bottom"/>
            <w:gridSpan w:val="4"/>
          </w:tcPr>
          <w:p>
            <w:pPr>
              <w:jc w:val="right"/>
              <w:spacing w:after="0"/>
              <w:rPr>
                <w:sz w:val="20"/>
                <w:szCs w:val="20"/>
                <w:color w:val="auto"/>
              </w:rPr>
            </w:pPr>
            <w:r>
              <w:rPr>
                <w:rFonts w:ascii="Arial" w:cs="Arial" w:eastAsia="Arial" w:hAnsi="Arial"/>
                <w:sz w:val="16"/>
                <w:szCs w:val="16"/>
                <w:u w:val="single" w:color="auto"/>
                <w:color w:val="auto"/>
                <w:w w:val="72"/>
              </w:rPr>
              <w:t>$</w:t>
            </w:r>
            <w:r>
              <w:rPr>
                <w:rFonts w:ascii="Arial" w:cs="Arial" w:eastAsia="Arial" w:hAnsi="Arial"/>
                <w:sz w:val="16"/>
                <w:szCs w:val="16"/>
                <w:color w:val="auto"/>
                <w:w w:val="72"/>
              </w:rPr>
              <w:t>10,972</w:t>
            </w: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1,666</w:t>
            </w:r>
          </w:p>
        </w:tc>
        <w:tc>
          <w:tcPr>
            <w:tcW w:w="520" w:type="dxa"/>
            <w:vAlign w:val="bottom"/>
            <w:gridSpan w:val="6"/>
          </w:tcPr>
          <w:p>
            <w:pPr>
              <w:jc w:val="right"/>
              <w:ind w:right="80"/>
              <w:spacing w:after="0"/>
              <w:rPr>
                <w:sz w:val="20"/>
                <w:szCs w:val="20"/>
                <w:color w:val="auto"/>
              </w:rPr>
            </w:pPr>
            <w:r>
              <w:rPr>
                <w:rFonts w:ascii="Arial" w:cs="Arial" w:eastAsia="Arial" w:hAnsi="Arial"/>
                <w:sz w:val="18"/>
                <w:szCs w:val="18"/>
                <w:color w:val="auto"/>
              </w:rPr>
              <w:t>15%</w:t>
            </w:r>
          </w:p>
        </w:tc>
        <w:tc>
          <w:tcPr>
            <w:tcW w:w="3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7"/>
              </w:rPr>
              <w:t>10,161</w:t>
            </w:r>
          </w:p>
        </w:tc>
        <w:tc>
          <w:tcPr>
            <w:tcW w:w="1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2,477</w:t>
            </w:r>
          </w:p>
        </w:tc>
        <w:tc>
          <w:tcPr>
            <w:tcW w:w="200" w:type="dxa"/>
            <w:vAlign w:val="bottom"/>
          </w:tcPr>
          <w:p>
            <w:pPr>
              <w:spacing w:after="0"/>
              <w:rPr>
                <w:sz w:val="19"/>
                <w:szCs w:val="19"/>
                <w:color w:val="auto"/>
              </w:rPr>
            </w:pPr>
          </w:p>
        </w:tc>
        <w:tc>
          <w:tcPr>
            <w:tcW w:w="340" w:type="dxa"/>
            <w:vAlign w:val="bottom"/>
            <w:gridSpan w:val="4"/>
          </w:tcPr>
          <w:p>
            <w:pPr>
              <w:jc w:val="right"/>
              <w:spacing w:after="0"/>
              <w:rPr>
                <w:sz w:val="20"/>
                <w:szCs w:val="20"/>
                <w:color w:val="auto"/>
              </w:rPr>
            </w:pPr>
            <w:r>
              <w:rPr>
                <w:rFonts w:ascii="Arial" w:cs="Arial" w:eastAsia="Arial" w:hAnsi="Arial"/>
                <w:sz w:val="18"/>
                <w:szCs w:val="18"/>
                <w:color w:val="auto"/>
                <w:w w:val="88"/>
              </w:rPr>
              <w:t>24%</w:t>
            </w:r>
          </w:p>
        </w:tc>
        <w:tc>
          <w:tcPr>
            <w:tcW w:w="0" w:type="dxa"/>
            <w:vAlign w:val="bottom"/>
          </w:tcPr>
          <w:p>
            <w:pPr>
              <w:spacing w:after="0"/>
              <w:rPr>
                <w:sz w:val="1"/>
                <w:szCs w:val="1"/>
                <w:color w:val="auto"/>
              </w:rPr>
            </w:pPr>
          </w:p>
        </w:tc>
      </w:tr>
      <w:tr>
        <w:trPr>
          <w:trHeight w:val="20"/>
        </w:trPr>
        <w:tc>
          <w:tcPr>
            <w:tcW w:w="34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gridSpan w:val="2"/>
          </w:tcPr>
          <w:p>
            <w:pPr>
              <w:jc w:val="center"/>
              <w:ind w:right="100"/>
              <w:spacing w:after="0"/>
              <w:rPr>
                <w:sz w:val="20"/>
                <w:szCs w:val="20"/>
                <w:color w:val="auto"/>
              </w:rPr>
            </w:pPr>
            <w:r>
              <w:rPr>
                <w:rFonts w:ascii="Arial" w:cs="Arial" w:eastAsia="Arial" w:hAnsi="Arial"/>
                <w:sz w:val="14"/>
                <w:szCs w:val="14"/>
                <w:b w:val="1"/>
                <w:bCs w:val="1"/>
                <w:i w:val="1"/>
                <w:iCs w:val="1"/>
                <w:color w:val="auto"/>
                <w:w w:val="85"/>
              </w:rPr>
              <w:t>Six</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200" w:type="dxa"/>
            <w:vAlign w:val="bottom"/>
            <w:gridSpan w:val="11"/>
          </w:tcPr>
          <w:p>
            <w:pPr>
              <w:jc w:val="center"/>
              <w:ind w:right="300"/>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5"/>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400" w:type="dxa"/>
            <w:vAlign w:val="bottom"/>
            <w:gridSpan w:val="4"/>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Borders>
              <w:bottom w:val="single" w:sz="8" w:color="auto"/>
            </w:tcBorders>
            <w:gridSpan w:val="4"/>
          </w:tcPr>
          <w:p>
            <w:pPr>
              <w:ind w:left="100"/>
              <w:spacing w:after="0" w:line="146" w:lineRule="exact"/>
              <w:rPr>
                <w:sz w:val="20"/>
                <w:szCs w:val="20"/>
                <w:color w:val="auto"/>
              </w:rPr>
            </w:pPr>
            <w:r>
              <w:rPr>
                <w:rFonts w:ascii="Arial" w:cs="Arial" w:eastAsia="Arial" w:hAnsi="Arial"/>
                <w:sz w:val="14"/>
                <w:szCs w:val="14"/>
                <w:b w:val="1"/>
                <w:bCs w:val="1"/>
                <w:i w:val="1"/>
                <w:iCs w:val="1"/>
                <w:color w:val="auto"/>
              </w:rPr>
              <w:t>Change</w:t>
            </w:r>
          </w:p>
        </w:tc>
        <w:tc>
          <w:tcPr>
            <w:tcW w:w="26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342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w w:val="70"/>
              </w:rPr>
              <w:t>2014</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w w:val="83"/>
              </w:rPr>
              <w:t>2013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jc w:val="right"/>
              <w:ind w:right="179"/>
              <w:spacing w:after="0"/>
              <w:rPr>
                <w:sz w:val="20"/>
                <w:szCs w:val="20"/>
                <w:color w:val="auto"/>
              </w:rPr>
            </w:pPr>
            <w:r>
              <w:rPr>
                <w:rFonts w:ascii="Arial" w:cs="Arial" w:eastAsia="Arial" w:hAnsi="Arial"/>
                <w:sz w:val="14"/>
                <w:szCs w:val="14"/>
                <w:b w:val="1"/>
                <w:bCs w:val="1"/>
                <w:i w:val="1"/>
                <w:iCs w:val="1"/>
                <w:u w:val="single" w:color="auto"/>
                <w:color w:val="auto"/>
              </w:rPr>
              <w:t>$</w:t>
            </w:r>
          </w:p>
        </w:tc>
        <w:tc>
          <w:tcPr>
            <w:tcW w:w="300" w:type="dxa"/>
            <w:vAlign w:val="bottom"/>
            <w:gridSpan w:val="5"/>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420" w:type="dxa"/>
            <w:vAlign w:val="bottom"/>
          </w:tcPr>
          <w:p>
            <w:pPr>
              <w:spacing w:after="0"/>
              <w:rPr>
                <w:sz w:val="20"/>
                <w:szCs w:val="20"/>
                <w:color w:val="auto"/>
              </w:rPr>
            </w:pPr>
            <w:r>
              <w:rPr>
                <w:rFonts w:ascii="Arial" w:cs="Arial" w:eastAsia="Arial" w:hAnsi="Arial"/>
                <w:sz w:val="18"/>
                <w:szCs w:val="18"/>
                <w:b w:val="1"/>
                <w:bCs w:val="1"/>
                <w:i w:val="1"/>
                <w:iCs w:val="1"/>
                <w:color w:val="auto"/>
              </w:rPr>
              <w:t>Orders from unaffiliated customers:</w:t>
            </w: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420" w:type="dxa"/>
            <w:vAlign w:val="bottom"/>
          </w:tcPr>
          <w:p>
            <w:pPr>
              <w:spacing w:after="0"/>
              <w:rPr>
                <w:sz w:val="20"/>
                <w:szCs w:val="20"/>
                <w:color w:val="auto"/>
              </w:rPr>
            </w:pPr>
            <w:r>
              <w:rPr>
                <w:rFonts w:ascii="Arial" w:cs="Arial" w:eastAsia="Arial" w:hAnsi="Arial"/>
                <w:sz w:val="18"/>
                <w:szCs w:val="18"/>
                <w:color w:val="auto"/>
              </w:rPr>
              <w:t>Thermal Products</w:t>
            </w:r>
          </w:p>
        </w:tc>
        <w:tc>
          <w:tcPr>
            <w:tcW w:w="480" w:type="dxa"/>
            <w:vAlign w:val="bottom"/>
            <w:gridSpan w:val="5"/>
          </w:tcPr>
          <w:p>
            <w:pPr>
              <w:jc w:val="right"/>
              <w:spacing w:after="0"/>
              <w:rPr>
                <w:sz w:val="20"/>
                <w:szCs w:val="20"/>
                <w:color w:val="auto"/>
              </w:rPr>
            </w:pPr>
            <w:r>
              <w:rPr>
                <w:rFonts w:ascii="Arial" w:cs="Arial" w:eastAsia="Arial" w:hAnsi="Arial"/>
                <w:sz w:val="18"/>
                <w:szCs w:val="18"/>
                <w:color w:val="auto"/>
                <w:w w:val="70"/>
              </w:rPr>
              <w:t>$11,738</w:t>
            </w:r>
          </w:p>
        </w:tc>
        <w:tc>
          <w:tcPr>
            <w:tcW w:w="200" w:type="dxa"/>
            <w:vAlign w:val="bottom"/>
          </w:tcPr>
          <w:p>
            <w:pPr>
              <w:spacing w:after="0"/>
              <w:rPr>
                <w:sz w:val="24"/>
                <w:szCs w:val="24"/>
                <w:color w:val="auto"/>
              </w:rPr>
            </w:pPr>
          </w:p>
        </w:tc>
        <w:tc>
          <w:tcPr>
            <w:tcW w:w="520" w:type="dxa"/>
            <w:vAlign w:val="bottom"/>
            <w:gridSpan w:val="5"/>
          </w:tcPr>
          <w:p>
            <w:pPr>
              <w:jc w:val="right"/>
              <w:ind w:right="60"/>
              <w:spacing w:after="0"/>
              <w:rPr>
                <w:sz w:val="20"/>
                <w:szCs w:val="20"/>
                <w:color w:val="auto"/>
              </w:rPr>
            </w:pPr>
            <w:r>
              <w:rPr>
                <w:rFonts w:ascii="Arial" w:cs="Arial" w:eastAsia="Arial" w:hAnsi="Arial"/>
                <w:sz w:val="16"/>
                <w:szCs w:val="16"/>
                <w:color w:val="auto"/>
                <w:w w:val="76"/>
              </w:rPr>
              <w:t>$10,090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$1,648</w:t>
            </w:r>
          </w:p>
        </w:tc>
        <w:tc>
          <w:tcPr>
            <w:tcW w:w="520" w:type="dxa"/>
            <w:vAlign w:val="bottom"/>
            <w:gridSpan w:val="6"/>
          </w:tcPr>
          <w:p>
            <w:pPr>
              <w:jc w:val="right"/>
              <w:ind w:right="6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420" w:type="dxa"/>
            <w:vAlign w:val="bottom"/>
          </w:tcPr>
          <w:p>
            <w:pPr>
              <w:spacing w:after="0"/>
              <w:rPr>
                <w:sz w:val="20"/>
                <w:szCs w:val="20"/>
                <w:color w:val="auto"/>
              </w:rPr>
            </w:pPr>
            <w:r>
              <w:rPr>
                <w:rFonts w:ascii="Arial" w:cs="Arial" w:eastAsia="Arial" w:hAnsi="Arial"/>
                <w:sz w:val="18"/>
                <w:szCs w:val="18"/>
                <w:color w:val="auto"/>
              </w:rPr>
              <w:t>Mechanical Products</w:t>
            </w:r>
          </w:p>
        </w:tc>
        <w:tc>
          <w:tcPr>
            <w:tcW w:w="480" w:type="dxa"/>
            <w:vAlign w:val="bottom"/>
            <w:gridSpan w:val="5"/>
          </w:tcPr>
          <w:p>
            <w:pPr>
              <w:jc w:val="right"/>
              <w:spacing w:after="0"/>
              <w:rPr>
                <w:sz w:val="20"/>
                <w:szCs w:val="20"/>
                <w:color w:val="auto"/>
              </w:rPr>
            </w:pPr>
            <w:r>
              <w:rPr>
                <w:rFonts w:ascii="Arial" w:cs="Arial" w:eastAsia="Arial" w:hAnsi="Arial"/>
                <w:sz w:val="18"/>
                <w:szCs w:val="18"/>
                <w:color w:val="auto"/>
              </w:rPr>
              <w:t>7,142</w:t>
            </w:r>
          </w:p>
        </w:tc>
        <w:tc>
          <w:tcPr>
            <w:tcW w:w="200" w:type="dxa"/>
            <w:vAlign w:val="bottom"/>
          </w:tcPr>
          <w:p>
            <w:pPr>
              <w:spacing w:after="0"/>
              <w:rPr>
                <w:sz w:val="24"/>
                <w:szCs w:val="24"/>
                <w:color w:val="auto"/>
              </w:rPr>
            </w:pPr>
          </w:p>
        </w:tc>
        <w:tc>
          <w:tcPr>
            <w:tcW w:w="520" w:type="dxa"/>
            <w:vAlign w:val="bottom"/>
            <w:gridSpan w:val="5"/>
          </w:tcPr>
          <w:p>
            <w:pPr>
              <w:jc w:val="right"/>
              <w:ind w:right="60"/>
              <w:spacing w:after="0"/>
              <w:rPr>
                <w:sz w:val="20"/>
                <w:szCs w:val="20"/>
                <w:color w:val="auto"/>
              </w:rPr>
            </w:pPr>
            <w:r>
              <w:rPr>
                <w:rFonts w:ascii="Arial" w:cs="Arial" w:eastAsia="Arial" w:hAnsi="Arial"/>
                <w:sz w:val="18"/>
                <w:szCs w:val="18"/>
                <w:color w:val="auto"/>
                <w:w w:val="97"/>
              </w:rPr>
              <w:t>5,912</w:t>
            </w:r>
          </w:p>
        </w:tc>
        <w:tc>
          <w:tcPr>
            <w:tcW w:w="1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79"/>
              </w:rPr>
              <w:t>1,230</w:t>
            </w:r>
          </w:p>
        </w:tc>
        <w:tc>
          <w:tcPr>
            <w:tcW w:w="520" w:type="dxa"/>
            <w:vAlign w:val="bottom"/>
            <w:gridSpan w:val="6"/>
          </w:tcPr>
          <w:p>
            <w:pPr>
              <w:jc w:val="right"/>
              <w:ind w:right="6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3420" w:type="dxa"/>
            <w:vAlign w:val="bottom"/>
          </w:tcPr>
          <w:p>
            <w:pPr>
              <w:spacing w:after="0"/>
              <w:rPr>
                <w:sz w:val="20"/>
                <w:szCs w:val="20"/>
                <w:color w:val="auto"/>
              </w:rPr>
            </w:pPr>
            <w:r>
              <w:rPr>
                <w:rFonts w:ascii="Arial" w:cs="Arial" w:eastAsia="Arial" w:hAnsi="Arial"/>
                <w:sz w:val="18"/>
                <w:szCs w:val="18"/>
                <w:color w:val="auto"/>
              </w:rPr>
              <w:t>Electrical Products</w:t>
            </w:r>
          </w:p>
        </w:tc>
        <w:tc>
          <w:tcPr>
            <w:tcW w:w="480" w:type="dxa"/>
            <w:vAlign w:val="bottom"/>
            <w:gridSpan w:val="5"/>
          </w:tcPr>
          <w:p>
            <w:pPr>
              <w:jc w:val="right"/>
              <w:spacing w:after="0"/>
              <w:rPr>
                <w:sz w:val="20"/>
                <w:szCs w:val="20"/>
                <w:color w:val="auto"/>
              </w:rPr>
            </w:pPr>
            <w:r>
              <w:rPr>
                <w:rFonts w:ascii="Arial" w:cs="Arial" w:eastAsia="Arial" w:hAnsi="Arial"/>
                <w:sz w:val="18"/>
                <w:szCs w:val="18"/>
                <w:color w:val="auto"/>
              </w:rPr>
              <w:t>3,919</w:t>
            </w:r>
          </w:p>
        </w:tc>
        <w:tc>
          <w:tcPr>
            <w:tcW w:w="200" w:type="dxa"/>
            <w:vAlign w:val="bottom"/>
          </w:tcPr>
          <w:p>
            <w:pPr>
              <w:spacing w:after="0"/>
              <w:rPr>
                <w:sz w:val="24"/>
                <w:szCs w:val="24"/>
                <w:color w:val="auto"/>
              </w:rPr>
            </w:pPr>
          </w:p>
        </w:tc>
        <w:tc>
          <w:tcPr>
            <w:tcW w:w="520" w:type="dxa"/>
            <w:vAlign w:val="bottom"/>
            <w:gridSpan w:val="5"/>
          </w:tcPr>
          <w:p>
            <w:pPr>
              <w:jc w:val="right"/>
              <w:ind w:right="60"/>
              <w:spacing w:after="0"/>
              <w:rPr>
                <w:sz w:val="20"/>
                <w:szCs w:val="20"/>
                <w:color w:val="auto"/>
              </w:rPr>
            </w:pPr>
            <w:r>
              <w:rPr>
                <w:rFonts w:ascii="Arial" w:cs="Arial" w:eastAsia="Arial" w:hAnsi="Arial"/>
                <w:sz w:val="18"/>
                <w:szCs w:val="18"/>
                <w:color w:val="auto"/>
                <w:w w:val="97"/>
              </w:rPr>
              <w:t>2,678</w:t>
            </w:r>
          </w:p>
        </w:tc>
        <w:tc>
          <w:tcPr>
            <w:tcW w:w="1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79"/>
              </w:rPr>
              <w:t>1,241</w:t>
            </w:r>
          </w:p>
        </w:tc>
        <w:tc>
          <w:tcPr>
            <w:tcW w:w="520" w:type="dxa"/>
            <w:vAlign w:val="bottom"/>
            <w:gridSpan w:val="6"/>
          </w:tcPr>
          <w:p>
            <w:pPr>
              <w:jc w:val="right"/>
              <w:ind w:right="6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20" w:type="dxa"/>
            <w:vAlign w:val="bottom"/>
            <w:tcBorders>
              <w:right w:val="single" w:sz="8" w:color="auto"/>
            </w:tcBorders>
          </w:tcPr>
          <w:p>
            <w:pPr>
              <w:spacing w:after="0" w:line="20" w:lineRule="exact"/>
              <w:rPr>
                <w:sz w:val="1"/>
                <w:szCs w:val="1"/>
                <w:color w:val="auto"/>
              </w:rPr>
            </w:pPr>
          </w:p>
        </w:tc>
        <w:tc>
          <w:tcPr>
            <w:tcW w:w="480" w:type="dxa"/>
            <w:vAlign w:val="bottom"/>
            <w:gridSpan w:val="5"/>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20" w:type="dxa"/>
            <w:vAlign w:val="bottom"/>
          </w:tcPr>
          <w:p>
            <w:pPr>
              <w:spacing w:after="0"/>
              <w:rPr>
                <w:sz w:val="24"/>
                <w:szCs w:val="24"/>
                <w:color w:val="auto"/>
              </w:rPr>
            </w:pPr>
          </w:p>
        </w:tc>
        <w:tc>
          <w:tcPr>
            <w:tcW w:w="480" w:type="dxa"/>
            <w:vAlign w:val="bottom"/>
            <w:gridSpan w:val="5"/>
          </w:tcPr>
          <w:p>
            <w:pPr>
              <w:jc w:val="right"/>
              <w:spacing w:after="0"/>
              <w:rPr>
                <w:sz w:val="20"/>
                <w:szCs w:val="20"/>
                <w:color w:val="auto"/>
              </w:rPr>
            </w:pPr>
            <w:r>
              <w:rPr>
                <w:rFonts w:ascii="Arial" w:cs="Arial" w:eastAsia="Arial" w:hAnsi="Arial"/>
                <w:sz w:val="18"/>
                <w:szCs w:val="18"/>
                <w:u w:val="single" w:color="auto"/>
                <w:color w:val="auto"/>
                <w:w w:val="70"/>
              </w:rPr>
              <w:t>$</w:t>
            </w:r>
            <w:r>
              <w:rPr>
                <w:rFonts w:ascii="Arial" w:cs="Arial" w:eastAsia="Arial" w:hAnsi="Arial"/>
                <w:sz w:val="18"/>
                <w:szCs w:val="18"/>
                <w:color w:val="auto"/>
                <w:w w:val="70"/>
              </w:rPr>
              <w:t>22,799</w:t>
            </w:r>
          </w:p>
        </w:tc>
        <w:tc>
          <w:tcPr>
            <w:tcW w:w="200" w:type="dxa"/>
            <w:vAlign w:val="bottom"/>
          </w:tcPr>
          <w:p>
            <w:pPr>
              <w:spacing w:after="0"/>
              <w:rPr>
                <w:sz w:val="24"/>
                <w:szCs w:val="24"/>
                <w:color w:val="auto"/>
              </w:rPr>
            </w:pPr>
          </w:p>
        </w:tc>
        <w:tc>
          <w:tcPr>
            <w:tcW w:w="520" w:type="dxa"/>
            <w:vAlign w:val="bottom"/>
            <w:gridSpan w:val="5"/>
          </w:tcPr>
          <w:p>
            <w:pPr>
              <w:jc w:val="right"/>
              <w:ind w:right="60"/>
              <w:spacing w:after="0"/>
              <w:rPr>
                <w:sz w:val="20"/>
                <w:szCs w:val="20"/>
                <w:color w:val="auto"/>
              </w:rPr>
            </w:pPr>
            <w:r>
              <w:rPr>
                <w:rFonts w:ascii="Arial" w:cs="Arial" w:eastAsia="Arial" w:hAnsi="Arial"/>
                <w:sz w:val="16"/>
                <w:szCs w:val="16"/>
                <w:u w:val="single" w:color="auto"/>
                <w:color w:val="auto"/>
                <w:w w:val="76"/>
              </w:rPr>
              <w:t>$</w:t>
            </w:r>
            <w:r>
              <w:rPr>
                <w:rFonts w:ascii="Arial" w:cs="Arial" w:eastAsia="Arial" w:hAnsi="Arial"/>
                <w:sz w:val="16"/>
                <w:szCs w:val="16"/>
                <w:color w:val="auto"/>
                <w:w w:val="76"/>
              </w:rPr>
              <w:t>18,680</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4,119</w:t>
            </w:r>
          </w:p>
        </w:tc>
        <w:tc>
          <w:tcPr>
            <w:tcW w:w="520" w:type="dxa"/>
            <w:vAlign w:val="bottom"/>
            <w:gridSpan w:val="6"/>
          </w:tcPr>
          <w:p>
            <w:pPr>
              <w:jc w:val="right"/>
              <w:ind w:right="6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20" w:type="dxa"/>
            <w:vAlign w:val="bottom"/>
            <w:tcBorders>
              <w:right w:val="single" w:sz="8" w:color="auto"/>
            </w:tcBorders>
          </w:tcPr>
          <w:p>
            <w:pPr>
              <w:spacing w:after="0" w:line="20" w:lineRule="exact"/>
              <w:rPr>
                <w:sz w:val="1"/>
                <w:szCs w:val="1"/>
                <w:color w:val="auto"/>
              </w:rPr>
            </w:pPr>
          </w:p>
        </w:tc>
        <w:tc>
          <w:tcPr>
            <w:tcW w:w="480" w:type="dxa"/>
            <w:vAlign w:val="bottom"/>
            <w:gridSpan w:val="5"/>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1"/>
        </w:trPr>
        <w:tc>
          <w:tcPr>
            <w:tcW w:w="3420" w:type="dxa"/>
            <w:vAlign w:val="bottom"/>
          </w:tcPr>
          <w:p>
            <w:pPr>
              <w:spacing w:after="0"/>
              <w:rPr>
                <w:sz w:val="20"/>
                <w:szCs w:val="20"/>
                <w:color w:val="auto"/>
              </w:rPr>
            </w:pPr>
            <w:r>
              <w:rPr>
                <w:rFonts w:ascii="Arial" w:cs="Arial" w:eastAsia="Arial" w:hAnsi="Arial"/>
                <w:sz w:val="18"/>
                <w:szCs w:val="18"/>
                <w:color w:val="auto"/>
              </w:rPr>
              <w:t>ATE market</w:t>
            </w:r>
          </w:p>
        </w:tc>
        <w:tc>
          <w:tcPr>
            <w:tcW w:w="480" w:type="dxa"/>
            <w:vAlign w:val="bottom"/>
            <w:gridSpan w:val="5"/>
          </w:tcPr>
          <w:p>
            <w:pPr>
              <w:jc w:val="right"/>
              <w:spacing w:after="0"/>
              <w:rPr>
                <w:sz w:val="20"/>
                <w:szCs w:val="20"/>
                <w:color w:val="auto"/>
              </w:rPr>
            </w:pPr>
            <w:r>
              <w:rPr>
                <w:rFonts w:ascii="Arial" w:cs="Arial" w:eastAsia="Arial" w:hAnsi="Arial"/>
                <w:sz w:val="18"/>
                <w:szCs w:val="18"/>
                <w:color w:val="auto"/>
                <w:w w:val="70"/>
              </w:rPr>
              <w:t>$17,259</w:t>
            </w:r>
          </w:p>
        </w:tc>
        <w:tc>
          <w:tcPr>
            <w:tcW w:w="200" w:type="dxa"/>
            <w:vAlign w:val="bottom"/>
          </w:tcPr>
          <w:p>
            <w:pPr>
              <w:spacing w:after="0"/>
              <w:rPr>
                <w:sz w:val="24"/>
                <w:szCs w:val="24"/>
                <w:color w:val="auto"/>
              </w:rPr>
            </w:pPr>
          </w:p>
        </w:tc>
        <w:tc>
          <w:tcPr>
            <w:tcW w:w="520" w:type="dxa"/>
            <w:vAlign w:val="bottom"/>
            <w:gridSpan w:val="5"/>
          </w:tcPr>
          <w:p>
            <w:pPr>
              <w:jc w:val="right"/>
              <w:ind w:right="60"/>
              <w:spacing w:after="0"/>
              <w:rPr>
                <w:sz w:val="20"/>
                <w:szCs w:val="20"/>
                <w:color w:val="auto"/>
              </w:rPr>
            </w:pPr>
            <w:r>
              <w:rPr>
                <w:rFonts w:ascii="Arial" w:cs="Arial" w:eastAsia="Arial" w:hAnsi="Arial"/>
                <w:sz w:val="16"/>
                <w:szCs w:val="16"/>
                <w:color w:val="auto"/>
                <w:w w:val="76"/>
              </w:rPr>
              <w:t>$14,530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$2,729</w:t>
            </w:r>
          </w:p>
        </w:tc>
        <w:tc>
          <w:tcPr>
            <w:tcW w:w="520" w:type="dxa"/>
            <w:vAlign w:val="bottom"/>
            <w:gridSpan w:val="6"/>
          </w:tcPr>
          <w:p>
            <w:pPr>
              <w:jc w:val="right"/>
              <w:ind w:right="6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3420" w:type="dxa"/>
            <w:vAlign w:val="bottom"/>
          </w:tcPr>
          <w:p>
            <w:pPr>
              <w:spacing w:after="0"/>
              <w:rPr>
                <w:sz w:val="20"/>
                <w:szCs w:val="20"/>
                <w:color w:val="auto"/>
              </w:rPr>
            </w:pPr>
            <w:r>
              <w:rPr>
                <w:rFonts w:ascii="Arial" w:cs="Arial" w:eastAsia="Arial" w:hAnsi="Arial"/>
                <w:sz w:val="18"/>
                <w:szCs w:val="18"/>
                <w:color w:val="auto"/>
              </w:rPr>
              <w:t>Non-ATE market</w:t>
            </w:r>
          </w:p>
        </w:tc>
        <w:tc>
          <w:tcPr>
            <w:tcW w:w="480" w:type="dxa"/>
            <w:vAlign w:val="bottom"/>
            <w:gridSpan w:val="5"/>
          </w:tcPr>
          <w:p>
            <w:pPr>
              <w:jc w:val="right"/>
              <w:spacing w:after="0"/>
              <w:rPr>
                <w:sz w:val="20"/>
                <w:szCs w:val="20"/>
                <w:color w:val="auto"/>
              </w:rPr>
            </w:pPr>
            <w:r>
              <w:rPr>
                <w:rFonts w:ascii="Arial" w:cs="Arial" w:eastAsia="Arial" w:hAnsi="Arial"/>
                <w:sz w:val="18"/>
                <w:szCs w:val="18"/>
                <w:color w:val="auto"/>
              </w:rPr>
              <w:t>5,540</w:t>
            </w:r>
          </w:p>
        </w:tc>
        <w:tc>
          <w:tcPr>
            <w:tcW w:w="200" w:type="dxa"/>
            <w:vAlign w:val="bottom"/>
          </w:tcPr>
          <w:p>
            <w:pPr>
              <w:spacing w:after="0"/>
              <w:rPr>
                <w:sz w:val="24"/>
                <w:szCs w:val="24"/>
                <w:color w:val="auto"/>
              </w:rPr>
            </w:pPr>
          </w:p>
        </w:tc>
        <w:tc>
          <w:tcPr>
            <w:tcW w:w="520" w:type="dxa"/>
            <w:vAlign w:val="bottom"/>
            <w:gridSpan w:val="5"/>
          </w:tcPr>
          <w:p>
            <w:pPr>
              <w:jc w:val="right"/>
              <w:ind w:right="60"/>
              <w:spacing w:after="0"/>
              <w:rPr>
                <w:sz w:val="20"/>
                <w:szCs w:val="20"/>
                <w:color w:val="auto"/>
              </w:rPr>
            </w:pPr>
            <w:r>
              <w:rPr>
                <w:rFonts w:ascii="Arial" w:cs="Arial" w:eastAsia="Arial" w:hAnsi="Arial"/>
                <w:sz w:val="18"/>
                <w:szCs w:val="18"/>
                <w:color w:val="auto"/>
                <w:w w:val="97"/>
              </w:rPr>
              <w:t>4,150</w:t>
            </w:r>
          </w:p>
        </w:tc>
        <w:tc>
          <w:tcPr>
            <w:tcW w:w="1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79"/>
              </w:rPr>
              <w:t>1,390</w:t>
            </w:r>
          </w:p>
        </w:tc>
        <w:tc>
          <w:tcPr>
            <w:tcW w:w="520" w:type="dxa"/>
            <w:vAlign w:val="bottom"/>
            <w:gridSpan w:val="6"/>
          </w:tcPr>
          <w:p>
            <w:pPr>
              <w:jc w:val="right"/>
              <w:ind w:right="6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20" w:type="dxa"/>
            <w:vAlign w:val="bottom"/>
            <w:tcBorders>
              <w:right w:val="single" w:sz="8" w:color="auto"/>
            </w:tcBorders>
          </w:tcPr>
          <w:p>
            <w:pPr>
              <w:spacing w:after="0" w:line="20" w:lineRule="exact"/>
              <w:rPr>
                <w:sz w:val="1"/>
                <w:szCs w:val="1"/>
                <w:color w:val="auto"/>
              </w:rPr>
            </w:pPr>
          </w:p>
        </w:tc>
        <w:tc>
          <w:tcPr>
            <w:tcW w:w="480" w:type="dxa"/>
            <w:vAlign w:val="bottom"/>
            <w:gridSpan w:val="5"/>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20" w:type="dxa"/>
            <w:vAlign w:val="bottom"/>
          </w:tcPr>
          <w:p>
            <w:pPr>
              <w:spacing w:after="0"/>
              <w:rPr>
                <w:sz w:val="24"/>
                <w:szCs w:val="24"/>
                <w:color w:val="auto"/>
              </w:rPr>
            </w:pPr>
          </w:p>
        </w:tc>
        <w:tc>
          <w:tcPr>
            <w:tcW w:w="480" w:type="dxa"/>
            <w:vAlign w:val="bottom"/>
            <w:gridSpan w:val="5"/>
          </w:tcPr>
          <w:p>
            <w:pPr>
              <w:jc w:val="right"/>
              <w:spacing w:after="0"/>
              <w:rPr>
                <w:sz w:val="20"/>
                <w:szCs w:val="20"/>
                <w:color w:val="auto"/>
              </w:rPr>
            </w:pPr>
            <w:r>
              <w:rPr>
                <w:rFonts w:ascii="Arial" w:cs="Arial" w:eastAsia="Arial" w:hAnsi="Arial"/>
                <w:sz w:val="18"/>
                <w:szCs w:val="18"/>
                <w:u w:val="single" w:color="auto"/>
                <w:color w:val="auto"/>
                <w:w w:val="70"/>
              </w:rPr>
              <w:t>$</w:t>
            </w:r>
            <w:r>
              <w:rPr>
                <w:rFonts w:ascii="Arial" w:cs="Arial" w:eastAsia="Arial" w:hAnsi="Arial"/>
                <w:sz w:val="18"/>
                <w:szCs w:val="18"/>
                <w:color w:val="auto"/>
                <w:w w:val="70"/>
              </w:rPr>
              <w:t>22,799</w:t>
            </w:r>
          </w:p>
        </w:tc>
        <w:tc>
          <w:tcPr>
            <w:tcW w:w="200" w:type="dxa"/>
            <w:vAlign w:val="bottom"/>
          </w:tcPr>
          <w:p>
            <w:pPr>
              <w:spacing w:after="0"/>
              <w:rPr>
                <w:sz w:val="24"/>
                <w:szCs w:val="24"/>
                <w:color w:val="auto"/>
              </w:rPr>
            </w:pPr>
          </w:p>
        </w:tc>
        <w:tc>
          <w:tcPr>
            <w:tcW w:w="520" w:type="dxa"/>
            <w:vAlign w:val="bottom"/>
            <w:gridSpan w:val="5"/>
          </w:tcPr>
          <w:p>
            <w:pPr>
              <w:jc w:val="right"/>
              <w:ind w:right="60"/>
              <w:spacing w:after="0"/>
              <w:rPr>
                <w:sz w:val="20"/>
                <w:szCs w:val="20"/>
                <w:color w:val="auto"/>
              </w:rPr>
            </w:pPr>
            <w:r>
              <w:rPr>
                <w:rFonts w:ascii="Arial" w:cs="Arial" w:eastAsia="Arial" w:hAnsi="Arial"/>
                <w:sz w:val="16"/>
                <w:szCs w:val="16"/>
                <w:u w:val="single" w:color="auto"/>
                <w:color w:val="auto"/>
                <w:w w:val="76"/>
              </w:rPr>
              <w:t>$</w:t>
            </w:r>
            <w:r>
              <w:rPr>
                <w:rFonts w:ascii="Arial" w:cs="Arial" w:eastAsia="Arial" w:hAnsi="Arial"/>
                <w:sz w:val="16"/>
                <w:szCs w:val="16"/>
                <w:color w:val="auto"/>
                <w:w w:val="76"/>
              </w:rPr>
              <w:t>18,680</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4,119</w:t>
            </w:r>
          </w:p>
        </w:tc>
        <w:tc>
          <w:tcPr>
            <w:tcW w:w="520" w:type="dxa"/>
            <w:vAlign w:val="bottom"/>
            <w:gridSpan w:val="6"/>
          </w:tcPr>
          <w:p>
            <w:pPr>
              <w:jc w:val="right"/>
              <w:ind w:right="6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40" w:top="131" w:right="279" w:bottom="171"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color w:val="auto"/>
        </w:rPr>
        <w:t>- 15 -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color w:val="auto"/>
        </w:rPr>
        <w:t>Total consolidated orders for the quarter ended June 30, 2014 were $12.6 million compared to $11.0 million for the same period in 2013 and $10.2 million for the quarter ended March 31, 2014. The increase in consolidated orders primarily reflects continued penetration into non-ATE markets by our Thermal Products segment, as well as improved demand in the ATE market for our Mechanical and Electrical Products segments. We believe the improved ATE market demand we have seen in both our Mechanical and Electrical Products segments reflects the overall improvement in demand being experienced by the broader ATE market, which had been in a period of reduced demand during 2012 and 2013.</w:t>
      </w:r>
    </w:p>
    <w:p>
      <w:pPr>
        <w:spacing w:after="0" w:line="170" w:lineRule="exact"/>
        <w:rPr>
          <w:sz w:val="20"/>
          <w:szCs w:val="20"/>
          <w:color w:val="auto"/>
        </w:rPr>
      </w:pPr>
    </w:p>
    <w:p>
      <w:pPr>
        <w:ind w:left="540" w:right="40"/>
        <w:spacing w:after="0" w:line="294" w:lineRule="auto"/>
        <w:rPr>
          <w:sz w:val="20"/>
          <w:szCs w:val="20"/>
          <w:color w:val="auto"/>
        </w:rPr>
      </w:pPr>
      <w:r>
        <w:rPr>
          <w:rFonts w:ascii="Arial" w:cs="Arial" w:eastAsia="Arial" w:hAnsi="Arial"/>
          <w:sz w:val="16"/>
          <w:szCs w:val="16"/>
          <w:color w:val="auto"/>
        </w:rPr>
        <w:t>Our Thermal Products segment experienced declines in demand from the ATE market during the second quarter of 2014 as compared to both the prior quarter and the comparable prior period. We believe the reduced ATE market demand experienced by our Thermal Products segment reflects a number of factors including instances where there was reduced demand due to customer-specific needs or events that drove higher than expected demand in prior periods that did not continue into the current period or where certain of our customers had made large purchases of ATE within the past year that have not yet been utilized to a level high enough to justify additional purchases of ATE.</w:t>
      </w:r>
    </w:p>
    <w:p>
      <w:pPr>
        <w:spacing w:after="0" w:line="170"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Orders from customers in various markets outside of the ATE market for the quarter ended June 30, 2014, grew by 37% as compared to the same period in 2013, reflecting increased demand from certain customers in the telecommunications and other non-ATE markets. As a percent of our total consolidated orders, non-ATE markets orders increased to 28% of consolidated orders in the second quarter of 2014 as compared to 24% in the second quarter of 2013 and 19% in the first quarter of 2014.</w:t>
      </w:r>
    </w:p>
    <w:p>
      <w:pPr>
        <w:spacing w:after="0" w:line="197" w:lineRule="exact"/>
        <w:rPr>
          <w:sz w:val="20"/>
          <w:szCs w:val="20"/>
          <w:color w:val="auto"/>
        </w:rPr>
      </w:pPr>
    </w:p>
    <w:p>
      <w:pPr>
        <w:ind w:left="540" w:right="20"/>
        <w:spacing w:after="0" w:line="291" w:lineRule="auto"/>
        <w:rPr>
          <w:sz w:val="20"/>
          <w:szCs w:val="20"/>
          <w:color w:val="auto"/>
        </w:rPr>
      </w:pPr>
      <w:r>
        <w:rPr>
          <w:rFonts w:ascii="Arial" w:cs="Arial" w:eastAsia="Arial" w:hAnsi="Arial"/>
          <w:sz w:val="16"/>
          <w:szCs w:val="16"/>
          <w:color w:val="auto"/>
        </w:rPr>
        <w:t>At June 30, 2014, our backlog of unfilled orders for all products was approximately $4.8 million compared with approximately $2.7 million at June 30, 2013 and $4.5 million at March 31, 2014. Our backlog includes customer orders which we have accepted, substantially all of which we expect to deliver in 2014.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225" w:lineRule="exact"/>
        <w:rPr>
          <w:sz w:val="20"/>
          <w:szCs w:val="20"/>
          <w:color w:val="auto"/>
        </w:rPr>
      </w:pPr>
    </w:p>
    <w:p>
      <w:pPr>
        <w:ind w:left="540" w:right="540"/>
        <w:spacing w:after="0" w:line="268" w:lineRule="auto"/>
        <w:rPr>
          <w:sz w:val="20"/>
          <w:szCs w:val="20"/>
          <w:color w:val="auto"/>
        </w:rPr>
      </w:pPr>
      <w:r>
        <w:rPr>
          <w:rFonts w:ascii="Arial" w:cs="Arial" w:eastAsia="Arial" w:hAnsi="Arial"/>
          <w:sz w:val="18"/>
          <w:szCs w:val="18"/>
          <w:color w:val="auto"/>
        </w:rPr>
        <w:t>The following table sets forth, for the periods indicated, a breakdown of the net revenues from unaffiliated customers both by product segment and market.</w:t>
      </w:r>
    </w:p>
    <w:p>
      <w:pPr>
        <w:spacing w:after="0" w:line="144"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w w:val="94"/>
              </w:rPr>
              <w:t>Three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5"/>
          </w:tcPr>
          <w:p>
            <w:pPr>
              <w:jc w:val="center"/>
              <w:ind w:right="220"/>
              <w:spacing w:after="0"/>
              <w:rPr>
                <w:sz w:val="20"/>
                <w:szCs w:val="20"/>
                <w:color w:val="auto"/>
              </w:rPr>
            </w:pPr>
            <w:r>
              <w:rPr>
                <w:rFonts w:ascii="Arial" w:cs="Arial" w:eastAsia="Arial" w:hAnsi="Arial"/>
                <w:sz w:val="14"/>
                <w:szCs w:val="14"/>
                <w:b w:val="1"/>
                <w:bCs w:val="1"/>
                <w:i w:val="1"/>
                <w:iCs w:val="1"/>
                <w:color w:val="auto"/>
                <w:w w:val="83"/>
              </w:rPr>
              <w:t>Three</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11"/>
          </w:tcPr>
          <w:p>
            <w:pPr>
              <w:jc w:val="right"/>
              <w:ind w:right="320"/>
              <w:spacing w:after="0" w:line="149" w:lineRule="exact"/>
              <w:rPr>
                <w:sz w:val="20"/>
                <w:szCs w:val="20"/>
                <w:color w:val="auto"/>
              </w:rPr>
            </w:pPr>
            <w:r>
              <w:rPr>
                <w:rFonts w:ascii="Arial" w:cs="Arial" w:eastAsia="Arial" w:hAnsi="Arial"/>
                <w:sz w:val="14"/>
                <w:szCs w:val="14"/>
                <w:b w:val="1"/>
                <w:bCs w:val="1"/>
                <w:i w:val="1"/>
                <w:iCs w:val="1"/>
                <w:color w:val="auto"/>
                <w:w w:val="87"/>
              </w:rPr>
              <w:t>Months Ended</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bottom w:val="single" w:sz="8" w:color="auto"/>
            </w:tcBorders>
            <w:gridSpan w:val="7"/>
          </w:tcPr>
          <w:p>
            <w:pPr>
              <w:jc w:val="right"/>
              <w:spacing w:after="0" w:line="146" w:lineRule="exact"/>
              <w:rPr>
                <w:sz w:val="20"/>
                <w:szCs w:val="20"/>
                <w:color w:val="auto"/>
              </w:rPr>
            </w:pPr>
            <w:r>
              <w:rPr>
                <w:rFonts w:ascii="Arial" w:cs="Arial" w:eastAsia="Arial" w:hAnsi="Arial"/>
                <w:sz w:val="14"/>
                <w:szCs w:val="14"/>
                <w:b w:val="1"/>
                <w:bCs w:val="1"/>
                <w:i w:val="1"/>
                <w:iCs w:val="1"/>
                <w:color w:val="auto"/>
                <w:w w:val="99"/>
              </w:rPr>
              <w:t>June 30,</w:t>
            </w:r>
          </w:p>
        </w:tc>
        <w:tc>
          <w:tcPr>
            <w:tcW w:w="1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Borders>
              <w:bottom w:val="single" w:sz="8" w:color="auto"/>
            </w:tcBorders>
            <w:gridSpan w:val="4"/>
          </w:tcPr>
          <w:p>
            <w:pPr>
              <w:ind w:left="100"/>
              <w:spacing w:after="0" w:line="146" w:lineRule="exact"/>
              <w:rPr>
                <w:sz w:val="20"/>
                <w:szCs w:val="20"/>
                <w:color w:val="auto"/>
              </w:rPr>
            </w:pPr>
            <w:r>
              <w:rPr>
                <w:rFonts w:ascii="Arial" w:cs="Arial" w:eastAsia="Arial" w:hAnsi="Arial"/>
                <w:sz w:val="14"/>
                <w:szCs w:val="14"/>
                <w:b w:val="1"/>
                <w:bCs w:val="1"/>
                <w:i w:val="1"/>
                <w:iCs w:val="1"/>
                <w:color w:val="auto"/>
                <w:w w:val="97"/>
              </w:rPr>
              <w:t>Change</w:t>
            </w:r>
          </w:p>
        </w:tc>
        <w:tc>
          <w:tcPr>
            <w:tcW w:w="3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bottom w:val="single" w:sz="8" w:color="auto"/>
            </w:tcBorders>
            <w:gridSpan w:val="4"/>
          </w:tcPr>
          <w:p>
            <w:pPr>
              <w:jc w:val="center"/>
              <w:ind w:right="20"/>
              <w:spacing w:after="0" w:line="146" w:lineRule="exact"/>
              <w:rPr>
                <w:sz w:val="20"/>
                <w:szCs w:val="20"/>
                <w:color w:val="auto"/>
              </w:rPr>
            </w:pPr>
            <w:r>
              <w:rPr>
                <w:rFonts w:ascii="Arial" w:cs="Arial" w:eastAsia="Arial" w:hAnsi="Arial"/>
                <w:sz w:val="14"/>
                <w:szCs w:val="14"/>
                <w:b w:val="1"/>
                <w:bCs w:val="1"/>
                <w:i w:val="1"/>
                <w:iCs w:val="1"/>
                <w:color w:val="auto"/>
                <w:w w:val="89"/>
              </w:rPr>
              <w:t>March 31,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bottom w:val="single" w:sz="8" w:color="auto"/>
            </w:tcBorders>
            <w:gridSpan w:val="3"/>
          </w:tcPr>
          <w:p>
            <w:pPr>
              <w:ind w:left="120"/>
              <w:spacing w:after="0" w:line="146" w:lineRule="exact"/>
              <w:rPr>
                <w:sz w:val="20"/>
                <w:szCs w:val="20"/>
                <w:color w:val="auto"/>
              </w:rPr>
            </w:pPr>
            <w:r>
              <w:rPr>
                <w:rFonts w:ascii="Arial" w:cs="Arial" w:eastAsia="Arial" w:hAnsi="Arial"/>
                <w:sz w:val="14"/>
                <w:szCs w:val="14"/>
                <w:b w:val="1"/>
                <w:bCs w:val="1"/>
                <w:i w:val="1"/>
                <w:iCs w:val="1"/>
                <w:color w:val="auto"/>
              </w:rPr>
              <w:t>Change</w:t>
            </w:r>
          </w:p>
        </w:tc>
        <w:tc>
          <w:tcPr>
            <w:tcW w:w="1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340" w:type="dxa"/>
            <w:vAlign w:val="bottom"/>
            <w:gridSpan w:val="5"/>
          </w:tcPr>
          <w:p>
            <w:pPr>
              <w:ind w:left="80"/>
              <w:spacing w:after="0" w:line="155" w:lineRule="exact"/>
              <w:rPr>
                <w:sz w:val="20"/>
                <w:szCs w:val="20"/>
                <w:color w:val="auto"/>
              </w:rPr>
            </w:pPr>
            <w:r>
              <w:rPr>
                <w:rFonts w:ascii="Arial" w:cs="Arial" w:eastAsia="Arial" w:hAnsi="Arial"/>
                <w:sz w:val="14"/>
                <w:szCs w:val="14"/>
                <w:b w:val="1"/>
                <w:bCs w:val="1"/>
                <w:i w:val="1"/>
                <w:iCs w:val="1"/>
                <w:color w:val="auto"/>
                <w:w w:val="76"/>
              </w:rPr>
              <w:t>2014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7"/>
          </w:tcPr>
          <w:p>
            <w:pPr>
              <w:jc w:val="right"/>
              <w:ind w:right="220"/>
              <w:spacing w:after="0" w:line="155" w:lineRule="exact"/>
              <w:rPr>
                <w:sz w:val="20"/>
                <w:szCs w:val="20"/>
                <w:color w:val="auto"/>
              </w:rPr>
            </w:pPr>
            <w:r>
              <w:rPr>
                <w:rFonts w:ascii="Arial" w:cs="Arial" w:eastAsia="Arial" w:hAnsi="Arial"/>
                <w:sz w:val="14"/>
                <w:szCs w:val="14"/>
                <w:b w:val="1"/>
                <w:bCs w:val="1"/>
                <w:i w:val="1"/>
                <w:iCs w:val="1"/>
                <w:color w:val="auto"/>
              </w:rPr>
              <w:t>2013</w:t>
            </w:r>
          </w:p>
        </w:tc>
        <w:tc>
          <w:tcPr>
            <w:tcW w:w="640" w:type="dxa"/>
            <w:vAlign w:val="bottom"/>
            <w:gridSpan w:val="4"/>
          </w:tcPr>
          <w:p>
            <w:pPr>
              <w:jc w:val="right"/>
              <w:ind w:right="212"/>
              <w:spacing w:after="0" w:line="155" w:lineRule="exact"/>
              <w:rPr>
                <w:sz w:val="20"/>
                <w:szCs w:val="20"/>
                <w:color w:val="auto"/>
              </w:rPr>
            </w:pPr>
            <w:r>
              <w:rPr>
                <w:rFonts w:ascii="Arial" w:cs="Arial" w:eastAsia="Arial" w:hAnsi="Arial"/>
                <w:sz w:val="14"/>
                <w:szCs w:val="14"/>
                <w:b w:val="1"/>
                <w:bCs w:val="1"/>
                <w:i w:val="1"/>
                <w:iCs w:val="1"/>
                <w:u w:val="single" w:color="auto"/>
                <w:color w:val="auto"/>
              </w:rPr>
              <w:t>$</w:t>
            </w:r>
          </w:p>
        </w:tc>
        <w:tc>
          <w:tcPr>
            <w:tcW w:w="60" w:type="dxa"/>
            <w:vAlign w:val="bottom"/>
          </w:tcPr>
          <w:p>
            <w:pPr>
              <w:spacing w:after="0"/>
              <w:rPr>
                <w:sz w:val="13"/>
                <w:szCs w:val="13"/>
                <w:color w:val="auto"/>
              </w:rPr>
            </w:pPr>
          </w:p>
        </w:tc>
        <w:tc>
          <w:tcPr>
            <w:tcW w:w="2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w:t>
            </w:r>
          </w:p>
        </w:tc>
        <w:tc>
          <w:tcPr>
            <w:tcW w:w="240" w:type="dxa"/>
            <w:vAlign w:val="bottom"/>
          </w:tcPr>
          <w:p>
            <w:pPr>
              <w:spacing w:after="0"/>
              <w:rPr>
                <w:sz w:val="13"/>
                <w:szCs w:val="13"/>
                <w:color w:val="auto"/>
              </w:rPr>
            </w:pPr>
          </w:p>
        </w:tc>
        <w:tc>
          <w:tcPr>
            <w:tcW w:w="840" w:type="dxa"/>
            <w:vAlign w:val="bottom"/>
            <w:gridSpan w:val="5"/>
            <w:vMerge w:val="restart"/>
          </w:tcPr>
          <w:p>
            <w:pPr>
              <w:jc w:val="center"/>
              <w:ind w:left="38"/>
              <w:spacing w:after="0"/>
              <w:rPr>
                <w:sz w:val="20"/>
                <w:szCs w:val="20"/>
                <w:color w:val="auto"/>
              </w:rPr>
            </w:pPr>
            <w:r>
              <w:rPr>
                <w:rFonts w:ascii="Arial" w:cs="Arial" w:eastAsia="Arial" w:hAnsi="Arial"/>
                <w:sz w:val="14"/>
                <w:szCs w:val="14"/>
                <w:b w:val="1"/>
                <w:bCs w:val="1"/>
                <w:i w:val="1"/>
                <w:iCs w:val="1"/>
                <w:color w:val="auto"/>
                <w:w w:val="89"/>
              </w:rPr>
              <w:t>2014</w:t>
            </w:r>
          </w:p>
        </w:tc>
        <w:tc>
          <w:tcPr>
            <w:tcW w:w="180" w:type="dxa"/>
            <w:vAlign w:val="bottom"/>
          </w:tcPr>
          <w:p>
            <w:pPr>
              <w:spacing w:after="0"/>
              <w:rPr>
                <w:sz w:val="13"/>
                <w:szCs w:val="13"/>
                <w:color w:val="auto"/>
              </w:rPr>
            </w:pPr>
          </w:p>
        </w:tc>
        <w:tc>
          <w:tcPr>
            <w:tcW w:w="620" w:type="dxa"/>
            <w:vAlign w:val="bottom"/>
            <w:gridSpan w:val="4"/>
            <w:vMerge w:val="restart"/>
          </w:tcPr>
          <w:p>
            <w:pPr>
              <w:jc w:val="right"/>
              <w:ind w:right="192"/>
              <w:spacing w:after="0"/>
              <w:rPr>
                <w:sz w:val="20"/>
                <w:szCs w:val="20"/>
                <w:color w:val="auto"/>
              </w:rPr>
            </w:pPr>
            <w:r>
              <w:rPr>
                <w:rFonts w:ascii="Arial" w:cs="Arial" w:eastAsia="Arial" w:hAnsi="Arial"/>
                <w:sz w:val="14"/>
                <w:szCs w:val="14"/>
                <w:b w:val="1"/>
                <w:bCs w:val="1"/>
                <w:i w:val="1"/>
                <w:iCs w:val="1"/>
                <w:u w:val="single" w:color="auto"/>
                <w:color w:val="auto"/>
              </w:rPr>
              <w:t>$</w:t>
            </w:r>
          </w:p>
        </w:tc>
        <w:tc>
          <w:tcPr>
            <w:tcW w:w="46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i w:val="1"/>
                <w:iCs w:val="1"/>
                <w:color w:val="auto"/>
              </w:rPr>
              <w:t>%</w:t>
            </w:r>
          </w:p>
        </w:tc>
        <w:tc>
          <w:tcPr>
            <w:tcW w:w="0" w:type="dxa"/>
            <w:vAlign w:val="bottom"/>
          </w:tcPr>
          <w:p>
            <w:pPr>
              <w:spacing w:after="0"/>
              <w:rPr>
                <w:sz w:val="1"/>
                <w:szCs w:val="1"/>
                <w:color w:val="auto"/>
              </w:rPr>
            </w:pPr>
          </w:p>
        </w:tc>
      </w:tr>
      <w:tr>
        <w:trPr>
          <w:trHeight w:val="48"/>
        </w:trPr>
        <w:tc>
          <w:tcPr>
            <w:tcW w:w="34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w w:val="95"/>
              </w:rPr>
              <w:t>Net revenues from unaffiliated customers:</w:t>
            </w: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gridSpan w:val="5"/>
            <w:vMerge w:val="continue"/>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gridSpan w:val="4"/>
            <w:vMerge w:val="continue"/>
          </w:tcPr>
          <w:p>
            <w:pPr>
              <w:spacing w:after="0"/>
              <w:rPr>
                <w:sz w:val="4"/>
                <w:szCs w:val="4"/>
                <w:color w:val="auto"/>
              </w:rPr>
            </w:pPr>
          </w:p>
        </w:tc>
        <w:tc>
          <w:tcPr>
            <w:tcW w:w="4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346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460" w:type="dxa"/>
            <w:vAlign w:val="bottom"/>
          </w:tcPr>
          <w:p>
            <w:pPr>
              <w:spacing w:after="0"/>
              <w:rPr>
                <w:sz w:val="20"/>
                <w:szCs w:val="20"/>
                <w:color w:val="auto"/>
              </w:rPr>
            </w:pPr>
            <w:r>
              <w:rPr>
                <w:rFonts w:ascii="Arial" w:cs="Arial" w:eastAsia="Arial" w:hAnsi="Arial"/>
                <w:sz w:val="18"/>
                <w:szCs w:val="18"/>
                <w:color w:val="auto"/>
              </w:rPr>
              <w:t>Thermal Products</w:t>
            </w:r>
          </w:p>
        </w:tc>
        <w:tc>
          <w:tcPr>
            <w:tcW w:w="120" w:type="dxa"/>
            <w:vAlign w:val="bottom"/>
            <w:gridSpan w:val="3"/>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4"/>
          </w:tcPr>
          <w:p>
            <w:pPr>
              <w:jc w:val="right"/>
              <w:ind w:right="160"/>
              <w:spacing w:after="0"/>
              <w:rPr>
                <w:sz w:val="20"/>
                <w:szCs w:val="20"/>
                <w:color w:val="auto"/>
              </w:rPr>
            </w:pPr>
            <w:r>
              <w:rPr>
                <w:rFonts w:ascii="Arial" w:cs="Arial" w:eastAsia="Arial" w:hAnsi="Arial"/>
                <w:sz w:val="18"/>
                <w:szCs w:val="18"/>
                <w:color w:val="auto"/>
                <w:w w:val="93"/>
              </w:rPr>
              <w:t>6,116</w:t>
            </w:r>
          </w:p>
        </w:tc>
        <w:tc>
          <w:tcPr>
            <w:tcW w:w="100" w:type="dxa"/>
            <w:vAlign w:val="bottom"/>
            <w:gridSpan w:val="4"/>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5,772</w:t>
            </w:r>
          </w:p>
        </w:tc>
        <w:tc>
          <w:tcPr>
            <w:tcW w:w="700" w:type="dxa"/>
            <w:vAlign w:val="bottom"/>
            <w:gridSpan w:val="5"/>
          </w:tcPr>
          <w:p>
            <w:pPr>
              <w:jc w:val="right"/>
              <w:ind w:right="60"/>
              <w:spacing w:after="0"/>
              <w:rPr>
                <w:sz w:val="20"/>
                <w:szCs w:val="20"/>
                <w:color w:val="auto"/>
              </w:rPr>
            </w:pPr>
            <w:r>
              <w:rPr>
                <w:rFonts w:ascii="Arial" w:cs="Arial" w:eastAsia="Arial" w:hAnsi="Arial"/>
                <w:sz w:val="18"/>
                <w:szCs w:val="18"/>
                <w:color w:val="auto"/>
              </w:rPr>
              <w:t>$  344</w:t>
            </w:r>
          </w:p>
        </w:tc>
        <w:tc>
          <w:tcPr>
            <w:tcW w:w="460" w:type="dxa"/>
            <w:vAlign w:val="bottom"/>
            <w:gridSpan w:val="4"/>
          </w:tcPr>
          <w:p>
            <w:pPr>
              <w:jc w:val="right"/>
              <w:ind w:right="80"/>
              <w:spacing w:after="0"/>
              <w:rPr>
                <w:sz w:val="20"/>
                <w:szCs w:val="20"/>
                <w:color w:val="auto"/>
              </w:rPr>
            </w:pPr>
            <w:r>
              <w:rPr>
                <w:rFonts w:ascii="Arial" w:cs="Arial" w:eastAsia="Arial" w:hAnsi="Arial"/>
                <w:sz w:val="18"/>
                <w:szCs w:val="18"/>
                <w:color w:val="auto"/>
              </w:rPr>
              <w:t>6%</w:t>
            </w:r>
          </w:p>
        </w:tc>
        <w:tc>
          <w:tcPr>
            <w:tcW w:w="840" w:type="dxa"/>
            <w:vAlign w:val="bottom"/>
            <w:gridSpan w:val="5"/>
            <w:vMerge w:val="restart"/>
          </w:tcPr>
          <w:p>
            <w:pPr>
              <w:jc w:val="right"/>
              <w:spacing w:after="0"/>
              <w:rPr>
                <w:sz w:val="20"/>
                <w:szCs w:val="20"/>
                <w:color w:val="auto"/>
              </w:rPr>
            </w:pPr>
            <w:r>
              <w:rPr>
                <w:rFonts w:ascii="Arial" w:cs="Arial" w:eastAsia="Arial" w:hAnsi="Arial"/>
                <w:sz w:val="18"/>
                <w:szCs w:val="18"/>
                <w:color w:val="auto"/>
              </w:rPr>
              <w:t>$5,243</w:t>
            </w:r>
          </w:p>
        </w:tc>
        <w:tc>
          <w:tcPr>
            <w:tcW w:w="180" w:type="dxa"/>
            <w:vAlign w:val="bottom"/>
          </w:tcPr>
          <w:p>
            <w:pPr>
              <w:spacing w:after="0"/>
              <w:rPr>
                <w:sz w:val="24"/>
                <w:szCs w:val="24"/>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  873</w:t>
            </w:r>
          </w:p>
        </w:tc>
        <w:tc>
          <w:tcPr>
            <w:tcW w:w="460" w:type="dxa"/>
            <w:vAlign w:val="bottom"/>
            <w:gridSpan w:val="4"/>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5"/>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Arial" w:cs="Arial" w:eastAsia="Arial" w:hAnsi="Arial"/>
                <w:sz w:val="18"/>
                <w:szCs w:val="18"/>
                <w:color w:val="auto"/>
              </w:rPr>
              <w:t>Mechanical Products</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gridSpan w:val="4"/>
          </w:tcPr>
          <w:p>
            <w:pPr>
              <w:jc w:val="right"/>
              <w:ind w:right="160"/>
              <w:spacing w:after="0"/>
              <w:rPr>
                <w:sz w:val="20"/>
                <w:szCs w:val="20"/>
                <w:color w:val="auto"/>
              </w:rPr>
            </w:pPr>
            <w:r>
              <w:rPr>
                <w:rFonts w:ascii="Arial" w:cs="Arial" w:eastAsia="Arial" w:hAnsi="Arial"/>
                <w:sz w:val="18"/>
                <w:szCs w:val="18"/>
                <w:color w:val="auto"/>
                <w:w w:val="93"/>
              </w:rPr>
              <w:t>4,137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3,798</w:t>
            </w:r>
          </w:p>
        </w:tc>
        <w:tc>
          <w:tcPr>
            <w:tcW w:w="700" w:type="dxa"/>
            <w:vAlign w:val="bottom"/>
            <w:gridSpan w:val="5"/>
          </w:tcPr>
          <w:p>
            <w:pPr>
              <w:jc w:val="right"/>
              <w:ind w:right="60"/>
              <w:spacing w:after="0"/>
              <w:rPr>
                <w:sz w:val="20"/>
                <w:szCs w:val="20"/>
                <w:color w:val="auto"/>
              </w:rPr>
            </w:pPr>
            <w:r>
              <w:rPr>
                <w:rFonts w:ascii="Arial" w:cs="Arial" w:eastAsia="Arial" w:hAnsi="Arial"/>
                <w:sz w:val="18"/>
                <w:szCs w:val="18"/>
                <w:color w:val="auto"/>
              </w:rPr>
              <w:t>339</w:t>
            </w:r>
          </w:p>
        </w:tc>
        <w:tc>
          <w:tcPr>
            <w:tcW w:w="460" w:type="dxa"/>
            <w:vAlign w:val="bottom"/>
            <w:gridSpan w:val="4"/>
          </w:tcPr>
          <w:p>
            <w:pPr>
              <w:jc w:val="right"/>
              <w:ind w:right="80"/>
              <w:spacing w:after="0"/>
              <w:rPr>
                <w:sz w:val="20"/>
                <w:szCs w:val="20"/>
                <w:color w:val="auto"/>
              </w:rPr>
            </w:pPr>
            <w:r>
              <w:rPr>
                <w:rFonts w:ascii="Arial" w:cs="Arial" w:eastAsia="Arial" w:hAnsi="Arial"/>
                <w:sz w:val="18"/>
                <w:szCs w:val="18"/>
                <w:color w:val="auto"/>
              </w:rPr>
              <w:t>9%</w:t>
            </w:r>
          </w:p>
        </w:tc>
        <w:tc>
          <w:tcPr>
            <w:tcW w:w="840" w:type="dxa"/>
            <w:vAlign w:val="bottom"/>
            <w:gridSpan w:val="5"/>
            <w:vMerge w:val="restart"/>
          </w:tcPr>
          <w:p>
            <w:pPr>
              <w:jc w:val="right"/>
              <w:spacing w:after="0"/>
              <w:rPr>
                <w:sz w:val="20"/>
                <w:szCs w:val="20"/>
                <w:color w:val="auto"/>
              </w:rPr>
            </w:pPr>
            <w:r>
              <w:rPr>
                <w:rFonts w:ascii="Arial" w:cs="Arial" w:eastAsia="Arial" w:hAnsi="Arial"/>
                <w:sz w:val="18"/>
                <w:szCs w:val="18"/>
                <w:color w:val="auto"/>
              </w:rPr>
              <w:t>2,047</w:t>
            </w:r>
          </w:p>
        </w:tc>
        <w:tc>
          <w:tcPr>
            <w:tcW w:w="180" w:type="dxa"/>
            <w:vAlign w:val="bottom"/>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2,090</w:t>
            </w:r>
          </w:p>
        </w:tc>
        <w:tc>
          <w:tcPr>
            <w:tcW w:w="460" w:type="dxa"/>
            <w:vAlign w:val="bottom"/>
            <w:gridSpan w:val="4"/>
          </w:tcPr>
          <w:p>
            <w:pPr>
              <w:jc w:val="right"/>
              <w:spacing w:after="0"/>
              <w:rPr>
                <w:sz w:val="20"/>
                <w:szCs w:val="20"/>
                <w:color w:val="auto"/>
              </w:rPr>
            </w:pPr>
            <w:r>
              <w:rPr>
                <w:rFonts w:ascii="Arial" w:cs="Arial" w:eastAsia="Arial" w:hAnsi="Arial"/>
                <w:sz w:val="18"/>
                <w:szCs w:val="18"/>
                <w:color w:val="auto"/>
                <w:w w:val="95"/>
              </w:rPr>
              <w:t>102%</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5"/>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460" w:type="dxa"/>
            <w:vAlign w:val="bottom"/>
          </w:tcPr>
          <w:p>
            <w:pPr>
              <w:spacing w:after="0" w:line="205" w:lineRule="exact"/>
              <w:rPr>
                <w:sz w:val="20"/>
                <w:szCs w:val="20"/>
                <w:color w:val="auto"/>
              </w:rPr>
            </w:pPr>
            <w:r>
              <w:rPr>
                <w:rFonts w:ascii="Arial" w:cs="Arial" w:eastAsia="Arial" w:hAnsi="Arial"/>
                <w:sz w:val="18"/>
                <w:szCs w:val="18"/>
                <w:color w:val="auto"/>
              </w:rPr>
              <w:t>Electrical Products</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gridSpan w:val="4"/>
          </w:tcPr>
          <w:p>
            <w:pPr>
              <w:jc w:val="right"/>
              <w:ind w:right="160"/>
              <w:spacing w:after="0" w:line="205" w:lineRule="exact"/>
              <w:rPr>
                <w:sz w:val="20"/>
                <w:szCs w:val="20"/>
                <w:color w:val="auto"/>
              </w:rPr>
            </w:pPr>
            <w:r>
              <w:rPr>
                <w:rFonts w:ascii="Arial" w:cs="Arial" w:eastAsia="Arial" w:hAnsi="Arial"/>
                <w:sz w:val="18"/>
                <w:szCs w:val="18"/>
                <w:color w:val="auto"/>
                <w:w w:val="93"/>
              </w:rPr>
              <w:t>2,090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1,648</w:t>
            </w:r>
          </w:p>
        </w:tc>
        <w:tc>
          <w:tcPr>
            <w:tcW w:w="700" w:type="dxa"/>
            <w:vAlign w:val="bottom"/>
            <w:gridSpan w:val="5"/>
          </w:tcPr>
          <w:p>
            <w:pPr>
              <w:jc w:val="right"/>
              <w:ind w:right="60"/>
              <w:spacing w:after="0" w:line="205" w:lineRule="exact"/>
              <w:rPr>
                <w:sz w:val="20"/>
                <w:szCs w:val="20"/>
                <w:color w:val="auto"/>
              </w:rPr>
            </w:pPr>
            <w:r>
              <w:rPr>
                <w:rFonts w:ascii="Arial" w:cs="Arial" w:eastAsia="Arial" w:hAnsi="Arial"/>
                <w:sz w:val="18"/>
                <w:szCs w:val="18"/>
                <w:color w:val="auto"/>
              </w:rPr>
              <w:t>442</w:t>
            </w:r>
          </w:p>
        </w:tc>
        <w:tc>
          <w:tcPr>
            <w:tcW w:w="460" w:type="dxa"/>
            <w:vAlign w:val="bottom"/>
            <w:gridSpan w:val="4"/>
          </w:tcPr>
          <w:p>
            <w:pPr>
              <w:jc w:val="right"/>
              <w:ind w:right="80"/>
              <w:spacing w:after="0" w:line="205" w:lineRule="exact"/>
              <w:rPr>
                <w:sz w:val="20"/>
                <w:szCs w:val="20"/>
                <w:color w:val="auto"/>
              </w:rPr>
            </w:pPr>
            <w:r>
              <w:rPr>
                <w:rFonts w:ascii="Arial" w:cs="Arial" w:eastAsia="Arial" w:hAnsi="Arial"/>
                <w:sz w:val="18"/>
                <w:szCs w:val="18"/>
                <w:color w:val="auto"/>
                <w:w w:val="99"/>
              </w:rPr>
              <w:t>27%</w:t>
            </w:r>
          </w:p>
        </w:tc>
        <w:tc>
          <w:tcPr>
            <w:tcW w:w="360" w:type="dxa"/>
            <w:vAlign w:val="bottom"/>
            <w:gridSpan w:val="3"/>
            <w:vMerge w:val="restart"/>
          </w:tcPr>
          <w:p>
            <w:pPr>
              <w:spacing w:after="0"/>
              <w:rPr>
                <w:sz w:val="17"/>
                <w:szCs w:val="17"/>
                <w:color w:val="auto"/>
              </w:rPr>
            </w:pPr>
          </w:p>
        </w:tc>
        <w:tc>
          <w:tcPr>
            <w:tcW w:w="480" w:type="dxa"/>
            <w:vAlign w:val="bottom"/>
            <w:gridSpan w:val="2"/>
            <w:vMerge w:val="restart"/>
          </w:tcPr>
          <w:p>
            <w:pPr>
              <w:jc w:val="right"/>
              <w:spacing w:after="0"/>
              <w:rPr>
                <w:sz w:val="20"/>
                <w:szCs w:val="20"/>
                <w:color w:val="auto"/>
              </w:rPr>
            </w:pPr>
            <w:r>
              <w:rPr>
                <w:rFonts w:ascii="Arial" w:cs="Arial" w:eastAsia="Arial" w:hAnsi="Arial"/>
                <w:sz w:val="18"/>
                <w:szCs w:val="18"/>
                <w:color w:val="auto"/>
              </w:rPr>
              <w:t>1,507</w:t>
            </w:r>
          </w:p>
        </w:tc>
        <w:tc>
          <w:tcPr>
            <w:tcW w:w="180" w:type="dxa"/>
            <w:vAlign w:val="bottom"/>
          </w:tcPr>
          <w:p>
            <w:pPr>
              <w:spacing w:after="0"/>
              <w:rPr>
                <w:sz w:val="17"/>
                <w:szCs w:val="17"/>
                <w:color w:val="auto"/>
              </w:rPr>
            </w:pPr>
          </w:p>
        </w:tc>
        <w:tc>
          <w:tcPr>
            <w:tcW w:w="62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583</w:t>
            </w:r>
          </w:p>
        </w:tc>
        <w:tc>
          <w:tcPr>
            <w:tcW w:w="46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1"/>
        </w:trPr>
        <w:tc>
          <w:tcPr>
            <w:tcW w:w="3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gridSpan w:val="3"/>
            <w:vMerge w:val="continue"/>
          </w:tcPr>
          <w:p>
            <w:pPr>
              <w:spacing w:after="0"/>
              <w:rPr>
                <w:sz w:val="17"/>
                <w:szCs w:val="17"/>
                <w:color w:val="auto"/>
              </w:rPr>
            </w:pPr>
          </w:p>
        </w:tc>
        <w:tc>
          <w:tcPr>
            <w:tcW w:w="480" w:type="dxa"/>
            <w:vAlign w:val="bottom"/>
            <w:tcBorders>
              <w:bottom w:val="single" w:sz="8" w:color="auto"/>
            </w:tcBorders>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60" w:type="dxa"/>
            <w:vAlign w:val="bottom"/>
          </w:tcPr>
          <w:p>
            <w:pPr>
              <w:spacing w:after="0"/>
              <w:rPr>
                <w:sz w:val="19"/>
                <w:szCs w:val="19"/>
                <w:color w:val="auto"/>
              </w:rPr>
            </w:pPr>
          </w:p>
        </w:tc>
        <w:tc>
          <w:tcPr>
            <w:tcW w:w="80" w:type="dxa"/>
            <w:vAlign w:val="bottom"/>
            <w:gridSpan w:val="2"/>
          </w:tcPr>
          <w:p>
            <w:pPr>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5"/>
          </w:tcPr>
          <w:p>
            <w:pPr>
              <w:jc w:val="right"/>
              <w:ind w:right="160"/>
              <w:spacing w:after="0"/>
              <w:rPr>
                <w:sz w:val="20"/>
                <w:szCs w:val="20"/>
                <w:color w:val="auto"/>
              </w:rPr>
            </w:pPr>
            <w:r>
              <w:rPr>
                <w:rFonts w:ascii="Arial" w:cs="Arial" w:eastAsia="Arial" w:hAnsi="Arial"/>
                <w:sz w:val="18"/>
                <w:szCs w:val="18"/>
                <w:color w:val="auto"/>
                <w:w w:val="83"/>
              </w:rPr>
              <w:t>12,343</w:t>
            </w:r>
          </w:p>
        </w:tc>
        <w:tc>
          <w:tcPr>
            <w:tcW w:w="10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3"/>
              </w:rPr>
              <w:t>11,218</w:t>
            </w:r>
          </w:p>
        </w:tc>
        <w:tc>
          <w:tcPr>
            <w:tcW w:w="700" w:type="dxa"/>
            <w:vAlign w:val="bottom"/>
            <w:gridSpan w:val="5"/>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1,125</w:t>
            </w:r>
          </w:p>
        </w:tc>
        <w:tc>
          <w:tcPr>
            <w:tcW w:w="460" w:type="dxa"/>
            <w:vAlign w:val="bottom"/>
            <w:gridSpan w:val="4"/>
          </w:tcPr>
          <w:p>
            <w:pPr>
              <w:jc w:val="right"/>
              <w:ind w:right="80"/>
              <w:spacing w:after="0"/>
              <w:rPr>
                <w:sz w:val="20"/>
                <w:szCs w:val="20"/>
                <w:color w:val="auto"/>
              </w:rPr>
            </w:pPr>
            <w:r>
              <w:rPr>
                <w:rFonts w:ascii="Arial" w:cs="Arial" w:eastAsia="Arial" w:hAnsi="Arial"/>
                <w:sz w:val="18"/>
                <w:szCs w:val="18"/>
                <w:color w:val="auto"/>
                <w:w w:val="99"/>
              </w:rPr>
              <w:t>10%</w:t>
            </w:r>
          </w:p>
        </w:tc>
        <w:tc>
          <w:tcPr>
            <w:tcW w:w="840" w:type="dxa"/>
            <w:vAlign w:val="bottom"/>
            <w:gridSpan w:val="5"/>
            <w:vMerge w:val="restart"/>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8,797</w:t>
            </w:r>
          </w:p>
        </w:tc>
        <w:tc>
          <w:tcPr>
            <w:tcW w:w="180" w:type="dxa"/>
            <w:vAlign w:val="bottom"/>
          </w:tcPr>
          <w:p>
            <w:pPr>
              <w:spacing w:after="0"/>
              <w:rPr>
                <w:sz w:val="19"/>
                <w:szCs w:val="19"/>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3,546</w:t>
            </w:r>
          </w:p>
        </w:tc>
        <w:tc>
          <w:tcPr>
            <w:tcW w:w="460" w:type="dxa"/>
            <w:vAlign w:val="bottom"/>
            <w:gridSpan w:val="4"/>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5"/>
            <w:vMerge w:val="continue"/>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8"/>
                <w:szCs w:val="18"/>
                <w:color w:val="auto"/>
              </w:rPr>
              <w:t>ATE market</w:t>
            </w:r>
          </w:p>
        </w:tc>
        <w:tc>
          <w:tcPr>
            <w:tcW w:w="80" w:type="dxa"/>
            <w:vAlign w:val="bottom"/>
            <w:gridSpan w:val="2"/>
            <w:vMerge w:val="restart"/>
          </w:tcPr>
          <w:p>
            <w:pPr>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line="20" w:lineRule="exact"/>
              <w:rPr>
                <w:sz w:val="1"/>
                <w:szCs w:val="1"/>
                <w:color w:val="auto"/>
              </w:rPr>
            </w:pPr>
          </w:p>
        </w:tc>
        <w:tc>
          <w:tcPr>
            <w:tcW w:w="600" w:type="dxa"/>
            <w:vAlign w:val="bottom"/>
            <w:gridSpan w:val="4"/>
            <w:vMerge w:val="restart"/>
          </w:tcPr>
          <w:p>
            <w:pPr>
              <w:jc w:val="right"/>
              <w:ind w:right="160"/>
              <w:spacing w:after="0"/>
              <w:rPr>
                <w:sz w:val="20"/>
                <w:szCs w:val="20"/>
                <w:color w:val="auto"/>
              </w:rPr>
            </w:pPr>
            <w:r>
              <w:rPr>
                <w:rFonts w:ascii="Arial" w:cs="Arial" w:eastAsia="Arial" w:hAnsi="Arial"/>
                <w:sz w:val="18"/>
                <w:szCs w:val="18"/>
                <w:color w:val="auto"/>
                <w:w w:val="93"/>
              </w:rPr>
              <w:t>9,482</w:t>
            </w:r>
          </w:p>
        </w:tc>
        <w:tc>
          <w:tcPr>
            <w:tcW w:w="100" w:type="dxa"/>
            <w:vAlign w:val="bottom"/>
            <w:gridSpan w:val="4"/>
            <w:vMerge w:val="restart"/>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3"/>
            <w:vMerge w:val="restart"/>
          </w:tcPr>
          <w:p>
            <w:pPr>
              <w:jc w:val="right"/>
              <w:spacing w:after="0"/>
              <w:rPr>
                <w:sz w:val="20"/>
                <w:szCs w:val="20"/>
                <w:color w:val="auto"/>
              </w:rPr>
            </w:pPr>
            <w:r>
              <w:rPr>
                <w:rFonts w:ascii="Arial" w:cs="Arial" w:eastAsia="Arial" w:hAnsi="Arial"/>
                <w:sz w:val="18"/>
                <w:szCs w:val="18"/>
                <w:color w:val="auto"/>
              </w:rPr>
              <w:t>8,394</w:t>
            </w:r>
          </w:p>
        </w:tc>
        <w:tc>
          <w:tcPr>
            <w:tcW w:w="700" w:type="dxa"/>
            <w:vAlign w:val="bottom"/>
            <w:gridSpan w:val="5"/>
            <w:vMerge w:val="restart"/>
          </w:tcPr>
          <w:p>
            <w:pPr>
              <w:jc w:val="right"/>
              <w:ind w:right="60"/>
              <w:spacing w:after="0"/>
              <w:rPr>
                <w:sz w:val="20"/>
                <w:szCs w:val="20"/>
                <w:color w:val="auto"/>
              </w:rPr>
            </w:pPr>
            <w:r>
              <w:rPr>
                <w:rFonts w:ascii="Arial" w:cs="Arial" w:eastAsia="Arial" w:hAnsi="Arial"/>
                <w:sz w:val="18"/>
                <w:szCs w:val="18"/>
                <w:color w:val="auto"/>
              </w:rPr>
              <w:t>$1,088</w:t>
            </w:r>
          </w:p>
        </w:tc>
        <w:tc>
          <w:tcPr>
            <w:tcW w:w="460" w:type="dxa"/>
            <w:vAlign w:val="bottom"/>
            <w:gridSpan w:val="4"/>
            <w:vMerge w:val="restart"/>
          </w:tcPr>
          <w:p>
            <w:pPr>
              <w:jc w:val="right"/>
              <w:ind w:right="80"/>
              <w:spacing w:after="0"/>
              <w:rPr>
                <w:sz w:val="20"/>
                <w:szCs w:val="20"/>
                <w:color w:val="auto"/>
              </w:rPr>
            </w:pPr>
            <w:r>
              <w:rPr>
                <w:rFonts w:ascii="Arial" w:cs="Arial" w:eastAsia="Arial" w:hAnsi="Arial"/>
                <w:sz w:val="18"/>
                <w:szCs w:val="18"/>
                <w:color w:val="auto"/>
                <w:w w:val="99"/>
              </w:rPr>
              <w:t>13%</w:t>
            </w: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4"/>
            <w:vMerge w:val="restart"/>
          </w:tcPr>
          <w:p>
            <w:pPr>
              <w:jc w:val="right"/>
              <w:spacing w:after="0"/>
              <w:rPr>
                <w:sz w:val="20"/>
                <w:szCs w:val="20"/>
                <w:color w:val="auto"/>
              </w:rPr>
            </w:pPr>
            <w:r>
              <w:rPr>
                <w:rFonts w:ascii="Arial" w:cs="Arial" w:eastAsia="Arial" w:hAnsi="Arial"/>
                <w:sz w:val="18"/>
                <w:szCs w:val="18"/>
                <w:color w:val="auto"/>
              </w:rPr>
              <w:t>$1,875</w:t>
            </w:r>
          </w:p>
        </w:tc>
        <w:tc>
          <w:tcPr>
            <w:tcW w:w="460" w:type="dxa"/>
            <w:vAlign w:val="bottom"/>
            <w:gridSpan w:val="4"/>
            <w:vMerge w:val="restart"/>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line="20" w:lineRule="exact"/>
              <w:rPr>
                <w:sz w:val="1"/>
                <w:szCs w:val="1"/>
                <w:color w:val="auto"/>
              </w:rPr>
            </w:pPr>
          </w:p>
        </w:tc>
      </w:tr>
      <w:tr>
        <w:trPr>
          <w:trHeight w:val="505"/>
        </w:trPr>
        <w:tc>
          <w:tcPr>
            <w:tcW w:w="3460" w:type="dxa"/>
            <w:vAlign w:val="bottom"/>
            <w:vMerge w:val="continue"/>
          </w:tcPr>
          <w:p>
            <w:pPr>
              <w:spacing w:after="0"/>
              <w:rPr>
                <w:sz w:val="24"/>
                <w:szCs w:val="24"/>
                <w:color w:val="auto"/>
              </w:rPr>
            </w:pPr>
          </w:p>
        </w:tc>
        <w:tc>
          <w:tcPr>
            <w:tcW w:w="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gridSpan w:val="4"/>
            <w:vMerge w:val="continue"/>
          </w:tcPr>
          <w:p>
            <w:pPr>
              <w:spacing w:after="0"/>
              <w:rPr>
                <w:sz w:val="24"/>
                <w:szCs w:val="24"/>
                <w:color w:val="auto"/>
              </w:rPr>
            </w:pPr>
          </w:p>
        </w:tc>
        <w:tc>
          <w:tcPr>
            <w:tcW w:w="100" w:type="dxa"/>
            <w:vAlign w:val="bottom"/>
            <w:gridSpan w:val="4"/>
            <w:vMerge w:val="continue"/>
          </w:tcPr>
          <w:p>
            <w:pPr>
              <w:spacing w:after="0"/>
              <w:rPr>
                <w:sz w:val="24"/>
                <w:szCs w:val="24"/>
                <w:color w:val="auto"/>
              </w:rPr>
            </w:pPr>
          </w:p>
        </w:tc>
        <w:tc>
          <w:tcPr>
            <w:tcW w:w="480" w:type="dxa"/>
            <w:vAlign w:val="bottom"/>
            <w:gridSpan w:val="3"/>
            <w:vMerge w:val="continue"/>
          </w:tcPr>
          <w:p>
            <w:pPr>
              <w:spacing w:after="0"/>
              <w:rPr>
                <w:sz w:val="24"/>
                <w:szCs w:val="24"/>
                <w:color w:val="auto"/>
              </w:rPr>
            </w:pPr>
          </w:p>
        </w:tc>
        <w:tc>
          <w:tcPr>
            <w:tcW w:w="700" w:type="dxa"/>
            <w:vAlign w:val="bottom"/>
            <w:gridSpan w:val="5"/>
            <w:vMerge w:val="continue"/>
          </w:tcPr>
          <w:p>
            <w:pPr>
              <w:spacing w:after="0"/>
              <w:rPr>
                <w:sz w:val="24"/>
                <w:szCs w:val="24"/>
                <w:color w:val="auto"/>
              </w:rPr>
            </w:pPr>
          </w:p>
        </w:tc>
        <w:tc>
          <w:tcPr>
            <w:tcW w:w="460" w:type="dxa"/>
            <w:vAlign w:val="bottom"/>
            <w:gridSpan w:val="4"/>
            <w:vMerge w:val="continue"/>
          </w:tcPr>
          <w:p>
            <w:pPr>
              <w:spacing w:after="0"/>
              <w:rPr>
                <w:sz w:val="24"/>
                <w:szCs w:val="24"/>
                <w:color w:val="auto"/>
              </w:rPr>
            </w:pPr>
          </w:p>
        </w:tc>
        <w:tc>
          <w:tcPr>
            <w:tcW w:w="840" w:type="dxa"/>
            <w:vAlign w:val="bottom"/>
            <w:gridSpan w:val="5"/>
            <w:vMerge w:val="restart"/>
          </w:tcPr>
          <w:p>
            <w:pPr>
              <w:jc w:val="right"/>
              <w:spacing w:after="0"/>
              <w:rPr>
                <w:sz w:val="20"/>
                <w:szCs w:val="20"/>
                <w:color w:val="auto"/>
              </w:rPr>
            </w:pPr>
            <w:r>
              <w:rPr>
                <w:rFonts w:ascii="Arial" w:cs="Arial" w:eastAsia="Arial" w:hAnsi="Arial"/>
                <w:sz w:val="18"/>
                <w:szCs w:val="18"/>
                <w:color w:val="auto"/>
              </w:rPr>
              <w:t>$7,607</w:t>
            </w:r>
          </w:p>
        </w:tc>
        <w:tc>
          <w:tcPr>
            <w:tcW w:w="180" w:type="dxa"/>
            <w:vAlign w:val="bottom"/>
          </w:tcPr>
          <w:p>
            <w:pPr>
              <w:spacing w:after="0"/>
              <w:rPr>
                <w:sz w:val="24"/>
                <w:szCs w:val="24"/>
                <w:color w:val="auto"/>
              </w:rPr>
            </w:pPr>
          </w:p>
        </w:tc>
        <w:tc>
          <w:tcPr>
            <w:tcW w:w="620" w:type="dxa"/>
            <w:vAlign w:val="bottom"/>
            <w:gridSpan w:val="4"/>
            <w:vMerge w:val="continue"/>
          </w:tcPr>
          <w:p>
            <w:pPr>
              <w:spacing w:after="0"/>
              <w:rPr>
                <w:sz w:val="24"/>
                <w:szCs w:val="24"/>
                <w:color w:val="auto"/>
              </w:rPr>
            </w:pPr>
          </w:p>
        </w:tc>
        <w:tc>
          <w:tcPr>
            <w:tcW w:w="46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5"/>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460" w:type="dxa"/>
            <w:vAlign w:val="bottom"/>
          </w:tcPr>
          <w:p>
            <w:pPr>
              <w:spacing w:after="0" w:line="205" w:lineRule="exact"/>
              <w:rPr>
                <w:sz w:val="20"/>
                <w:szCs w:val="20"/>
                <w:color w:val="auto"/>
              </w:rPr>
            </w:pPr>
            <w:r>
              <w:rPr>
                <w:rFonts w:ascii="Arial" w:cs="Arial" w:eastAsia="Arial" w:hAnsi="Arial"/>
                <w:sz w:val="18"/>
                <w:szCs w:val="18"/>
                <w:color w:val="auto"/>
              </w:rPr>
              <w:t>Non-ATE market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gridSpan w:val="4"/>
          </w:tcPr>
          <w:p>
            <w:pPr>
              <w:jc w:val="right"/>
              <w:ind w:right="160"/>
              <w:spacing w:after="0" w:line="205" w:lineRule="exact"/>
              <w:rPr>
                <w:sz w:val="20"/>
                <w:szCs w:val="20"/>
                <w:color w:val="auto"/>
              </w:rPr>
            </w:pPr>
            <w:r>
              <w:rPr>
                <w:rFonts w:ascii="Arial" w:cs="Arial" w:eastAsia="Arial" w:hAnsi="Arial"/>
                <w:sz w:val="18"/>
                <w:szCs w:val="18"/>
                <w:color w:val="auto"/>
                <w:w w:val="93"/>
              </w:rPr>
              <w:t>2,861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2,824</w:t>
            </w:r>
          </w:p>
        </w:tc>
        <w:tc>
          <w:tcPr>
            <w:tcW w:w="700" w:type="dxa"/>
            <w:vAlign w:val="bottom"/>
            <w:gridSpan w:val="5"/>
          </w:tcPr>
          <w:p>
            <w:pPr>
              <w:jc w:val="right"/>
              <w:ind w:right="60"/>
              <w:spacing w:after="0" w:line="205" w:lineRule="exact"/>
              <w:rPr>
                <w:sz w:val="20"/>
                <w:szCs w:val="20"/>
                <w:color w:val="auto"/>
              </w:rPr>
            </w:pPr>
            <w:r>
              <w:rPr>
                <w:rFonts w:ascii="Arial" w:cs="Arial" w:eastAsia="Arial" w:hAnsi="Arial"/>
                <w:sz w:val="18"/>
                <w:szCs w:val="18"/>
                <w:color w:val="auto"/>
              </w:rPr>
              <w:t>37</w:t>
            </w:r>
          </w:p>
        </w:tc>
        <w:tc>
          <w:tcPr>
            <w:tcW w:w="460" w:type="dxa"/>
            <w:vAlign w:val="bottom"/>
            <w:gridSpan w:val="4"/>
          </w:tcPr>
          <w:p>
            <w:pPr>
              <w:jc w:val="right"/>
              <w:ind w:right="80"/>
              <w:spacing w:after="0" w:line="205" w:lineRule="exact"/>
              <w:rPr>
                <w:sz w:val="20"/>
                <w:szCs w:val="20"/>
                <w:color w:val="auto"/>
              </w:rPr>
            </w:pPr>
            <w:r>
              <w:rPr>
                <w:rFonts w:ascii="Arial" w:cs="Arial" w:eastAsia="Arial" w:hAnsi="Arial"/>
                <w:sz w:val="18"/>
                <w:szCs w:val="18"/>
                <w:color w:val="auto"/>
              </w:rPr>
              <w:t>1%</w:t>
            </w:r>
          </w:p>
        </w:tc>
        <w:tc>
          <w:tcPr>
            <w:tcW w:w="360" w:type="dxa"/>
            <w:vAlign w:val="bottom"/>
            <w:gridSpan w:val="3"/>
            <w:vMerge w:val="restart"/>
          </w:tcPr>
          <w:p>
            <w:pPr>
              <w:spacing w:after="0"/>
              <w:rPr>
                <w:sz w:val="17"/>
                <w:szCs w:val="17"/>
                <w:color w:val="auto"/>
              </w:rPr>
            </w:pPr>
          </w:p>
        </w:tc>
        <w:tc>
          <w:tcPr>
            <w:tcW w:w="480" w:type="dxa"/>
            <w:vAlign w:val="bottom"/>
            <w:gridSpan w:val="2"/>
            <w:vMerge w:val="restart"/>
          </w:tcPr>
          <w:p>
            <w:pPr>
              <w:jc w:val="right"/>
              <w:spacing w:after="0"/>
              <w:rPr>
                <w:sz w:val="20"/>
                <w:szCs w:val="20"/>
                <w:color w:val="auto"/>
              </w:rPr>
            </w:pPr>
            <w:r>
              <w:rPr>
                <w:rFonts w:ascii="Arial" w:cs="Arial" w:eastAsia="Arial" w:hAnsi="Arial"/>
                <w:sz w:val="18"/>
                <w:szCs w:val="18"/>
                <w:color w:val="auto"/>
              </w:rPr>
              <w:t>1,190</w:t>
            </w:r>
          </w:p>
        </w:tc>
        <w:tc>
          <w:tcPr>
            <w:tcW w:w="180" w:type="dxa"/>
            <w:vAlign w:val="bottom"/>
          </w:tcPr>
          <w:p>
            <w:pPr>
              <w:spacing w:after="0"/>
              <w:rPr>
                <w:sz w:val="17"/>
                <w:szCs w:val="17"/>
                <w:color w:val="auto"/>
              </w:rPr>
            </w:pPr>
          </w:p>
        </w:tc>
        <w:tc>
          <w:tcPr>
            <w:tcW w:w="62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1,671</w:t>
            </w:r>
          </w:p>
        </w:tc>
        <w:tc>
          <w:tcPr>
            <w:tcW w:w="460" w:type="dxa"/>
            <w:vAlign w:val="bottom"/>
            <w:gridSpan w:val="4"/>
          </w:tcPr>
          <w:p>
            <w:pPr>
              <w:jc w:val="right"/>
              <w:spacing w:after="0" w:line="205" w:lineRule="exact"/>
              <w:rPr>
                <w:sz w:val="20"/>
                <w:szCs w:val="20"/>
                <w:color w:val="auto"/>
              </w:rPr>
            </w:pPr>
            <w:r>
              <w:rPr>
                <w:rFonts w:ascii="Arial" w:cs="Arial" w:eastAsia="Arial" w:hAnsi="Arial"/>
                <w:sz w:val="18"/>
                <w:szCs w:val="18"/>
                <w:color w:val="auto"/>
                <w:w w:val="95"/>
              </w:rPr>
              <w:t>140%</w:t>
            </w:r>
          </w:p>
        </w:tc>
        <w:tc>
          <w:tcPr>
            <w:tcW w:w="0" w:type="dxa"/>
            <w:vAlign w:val="bottom"/>
          </w:tcPr>
          <w:p>
            <w:pPr>
              <w:spacing w:after="0"/>
              <w:rPr>
                <w:sz w:val="1"/>
                <w:szCs w:val="1"/>
                <w:color w:val="auto"/>
              </w:rPr>
            </w:pPr>
          </w:p>
        </w:tc>
      </w:tr>
      <w:tr>
        <w:trPr>
          <w:trHeight w:val="201"/>
        </w:trPr>
        <w:tc>
          <w:tcPr>
            <w:tcW w:w="3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gridSpan w:val="3"/>
            <w:vMerge w:val="continue"/>
          </w:tcPr>
          <w:p>
            <w:pPr>
              <w:spacing w:after="0"/>
              <w:rPr>
                <w:sz w:val="17"/>
                <w:szCs w:val="17"/>
                <w:color w:val="auto"/>
              </w:rPr>
            </w:pPr>
          </w:p>
        </w:tc>
        <w:tc>
          <w:tcPr>
            <w:tcW w:w="480" w:type="dxa"/>
            <w:vAlign w:val="bottom"/>
            <w:tcBorders>
              <w:bottom w:val="single" w:sz="8" w:color="auto"/>
            </w:tcBorders>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60" w:type="dxa"/>
            <w:vAlign w:val="bottom"/>
          </w:tcPr>
          <w:p>
            <w:pPr>
              <w:spacing w:after="0"/>
              <w:rPr>
                <w:sz w:val="19"/>
                <w:szCs w:val="19"/>
                <w:color w:val="auto"/>
              </w:rPr>
            </w:pPr>
          </w:p>
        </w:tc>
        <w:tc>
          <w:tcPr>
            <w:tcW w:w="80" w:type="dxa"/>
            <w:vAlign w:val="bottom"/>
            <w:gridSpan w:val="2"/>
          </w:tcPr>
          <w:p>
            <w:pPr>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5"/>
          </w:tcPr>
          <w:p>
            <w:pPr>
              <w:jc w:val="right"/>
              <w:ind w:right="160"/>
              <w:spacing w:after="0"/>
              <w:rPr>
                <w:sz w:val="20"/>
                <w:szCs w:val="20"/>
                <w:color w:val="auto"/>
              </w:rPr>
            </w:pPr>
            <w:r>
              <w:rPr>
                <w:rFonts w:ascii="Arial" w:cs="Arial" w:eastAsia="Arial" w:hAnsi="Arial"/>
                <w:sz w:val="18"/>
                <w:szCs w:val="18"/>
                <w:color w:val="auto"/>
                <w:w w:val="83"/>
              </w:rPr>
              <w:t>12,343</w:t>
            </w:r>
          </w:p>
        </w:tc>
        <w:tc>
          <w:tcPr>
            <w:tcW w:w="10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3"/>
              </w:rPr>
              <w:t>11,218</w:t>
            </w:r>
          </w:p>
        </w:tc>
        <w:tc>
          <w:tcPr>
            <w:tcW w:w="700" w:type="dxa"/>
            <w:vAlign w:val="bottom"/>
            <w:gridSpan w:val="5"/>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1,125</w:t>
            </w:r>
          </w:p>
        </w:tc>
        <w:tc>
          <w:tcPr>
            <w:tcW w:w="460" w:type="dxa"/>
            <w:vAlign w:val="bottom"/>
            <w:gridSpan w:val="4"/>
          </w:tcPr>
          <w:p>
            <w:pPr>
              <w:jc w:val="right"/>
              <w:ind w:right="80"/>
              <w:spacing w:after="0"/>
              <w:rPr>
                <w:sz w:val="20"/>
                <w:szCs w:val="20"/>
                <w:color w:val="auto"/>
              </w:rPr>
            </w:pPr>
            <w:r>
              <w:rPr>
                <w:rFonts w:ascii="Arial" w:cs="Arial" w:eastAsia="Arial" w:hAnsi="Arial"/>
                <w:sz w:val="18"/>
                <w:szCs w:val="18"/>
                <w:color w:val="auto"/>
                <w:w w:val="99"/>
              </w:rPr>
              <w:t>10%</w:t>
            </w:r>
          </w:p>
        </w:tc>
        <w:tc>
          <w:tcPr>
            <w:tcW w:w="840" w:type="dxa"/>
            <w:vAlign w:val="bottom"/>
            <w:gridSpan w:val="5"/>
            <w:vMerge w:val="restart"/>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8,797</w:t>
            </w:r>
          </w:p>
        </w:tc>
        <w:tc>
          <w:tcPr>
            <w:tcW w:w="180" w:type="dxa"/>
            <w:vAlign w:val="bottom"/>
          </w:tcPr>
          <w:p>
            <w:pPr>
              <w:spacing w:after="0"/>
              <w:rPr>
                <w:sz w:val="19"/>
                <w:szCs w:val="19"/>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3,546</w:t>
            </w:r>
          </w:p>
        </w:tc>
        <w:tc>
          <w:tcPr>
            <w:tcW w:w="460" w:type="dxa"/>
            <w:vAlign w:val="bottom"/>
            <w:gridSpan w:val="4"/>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5"/>
            <w:vMerge w:val="continue"/>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89" w:lineRule="exact"/>
        <w:rPr>
          <w:sz w:val="20"/>
          <w:szCs w:val="20"/>
          <w:color w:val="auto"/>
        </w:rPr>
      </w:pPr>
    </w:p>
    <w:tbl>
      <w:tblPr>
        <w:tblLayout w:type="fixed"/>
        <w:tblInd w:w="462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4"/>
          </w:tcPr>
          <w:p>
            <w:pPr>
              <w:jc w:val="center"/>
              <w:ind w:right="760"/>
              <w:spacing w:after="0"/>
              <w:rPr>
                <w:sz w:val="20"/>
                <w:szCs w:val="20"/>
                <w:color w:val="auto"/>
              </w:rPr>
            </w:pPr>
            <w:r>
              <w:rPr>
                <w:rFonts w:ascii="Arial" w:cs="Arial" w:eastAsia="Arial" w:hAnsi="Arial"/>
                <w:sz w:val="14"/>
                <w:szCs w:val="14"/>
                <w:b w:val="1"/>
                <w:bCs w:val="1"/>
                <w:i w:val="1"/>
                <w:iCs w:val="1"/>
                <w:color w:val="auto"/>
                <w:w w:val="85"/>
              </w:rPr>
              <w:t>Six</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49"/>
        </w:trPr>
        <w:tc>
          <w:tcPr>
            <w:tcW w:w="1440" w:type="dxa"/>
            <w:vAlign w:val="bottom"/>
            <w:gridSpan w:val="6"/>
          </w:tcPr>
          <w:p>
            <w:pPr>
              <w:jc w:val="center"/>
              <w:ind w:right="500"/>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6"/>
        </w:trPr>
        <w:tc>
          <w:tcPr>
            <w:tcW w:w="140" w:type="dxa"/>
            <w:vAlign w:val="bottom"/>
          </w:tcPr>
          <w:p>
            <w:pPr>
              <w:spacing w:after="0"/>
              <w:rPr>
                <w:sz w:val="12"/>
                <w:szCs w:val="12"/>
                <w:color w:val="auto"/>
              </w:rPr>
            </w:pPr>
          </w:p>
        </w:tc>
        <w:tc>
          <w:tcPr>
            <w:tcW w:w="680" w:type="dxa"/>
            <w:vAlign w:val="bottom"/>
            <w:tcBorders>
              <w:bottom w:val="single" w:sz="8" w:color="auto"/>
            </w:tcBorders>
            <w:gridSpan w:val="3"/>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620" w:type="dxa"/>
            <w:vAlign w:val="bottom"/>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2"/>
              <w:spacing w:after="0" w:line="146" w:lineRule="exact"/>
              <w:rPr>
                <w:sz w:val="20"/>
                <w:szCs w:val="20"/>
                <w:color w:val="auto"/>
              </w:rPr>
            </w:pPr>
            <w:r>
              <w:rPr>
                <w:rFonts w:ascii="Arial" w:cs="Arial" w:eastAsia="Arial" w:hAnsi="Arial"/>
                <w:sz w:val="14"/>
                <w:szCs w:val="14"/>
                <w:b w:val="1"/>
                <w:bCs w:val="1"/>
                <w:i w:val="1"/>
                <w:iCs w:val="1"/>
                <w:color w:val="auto"/>
                <w:w w:val="85"/>
              </w:rPr>
              <w:t>Change</w:t>
            </w:r>
          </w:p>
        </w:tc>
      </w:tr>
      <w:tr>
        <w:trPr>
          <w:trHeight w:val="156"/>
        </w:trPr>
        <w:tc>
          <w:tcPr>
            <w:tcW w:w="2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w w:val="76"/>
              </w:rPr>
              <w:t>2014</w:t>
            </w:r>
          </w:p>
        </w:tc>
        <w:tc>
          <w:tcPr>
            <w:tcW w:w="420" w:type="dxa"/>
            <w:vAlign w:val="bottom"/>
          </w:tcPr>
          <w:p>
            <w:pPr>
              <w:spacing w:after="0"/>
              <w:rPr>
                <w:sz w:val="13"/>
                <w:szCs w:val="13"/>
                <w:color w:val="auto"/>
              </w:rPr>
            </w:pPr>
          </w:p>
        </w:tc>
        <w:tc>
          <w:tcPr>
            <w:tcW w:w="2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2013</w:t>
            </w:r>
          </w:p>
        </w:tc>
        <w:tc>
          <w:tcPr>
            <w:tcW w:w="48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b w:val="1"/>
                <w:bCs w:val="1"/>
                <w:i w:val="1"/>
                <w:iCs w:val="1"/>
                <w:u w:val="single" w:color="auto"/>
                <w:color w:val="auto"/>
                <w:w w:val="76"/>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b w:val="1"/>
                <w:bCs w:val="1"/>
                <w:i w:val="1"/>
                <w:iCs w:val="1"/>
                <w:color w:val="auto"/>
              </w:rPr>
              <w:t>%</w:t>
            </w:r>
          </w:p>
        </w:tc>
      </w:tr>
      <w:tr>
        <w:trPr>
          <w:trHeight w:val="20"/>
        </w:trPr>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r>
    </w:tbl>
    <w:p>
      <w:pPr>
        <w:spacing w:after="0" w:line="86" w:lineRule="exact"/>
        <w:rPr>
          <w:sz w:val="20"/>
          <w:szCs w:val="20"/>
          <w:color w:val="auto"/>
        </w:rPr>
      </w:pPr>
    </w:p>
    <w:p>
      <w:pPr>
        <w:sectPr>
          <w:pgSz w:w="11900" w:h="16838" w:orient="portrait"/>
          <w:cols w:equalWidth="0" w:num="1">
            <w:col w:w="11400"/>
          </w:cols>
          <w:pgMar w:left="240" w:top="131" w:right="259" w:bottom="0" w:gutter="0" w:footer="0" w:header="0"/>
        </w:sectPr>
      </w:pPr>
    </w:p>
    <w:p>
      <w:pPr>
        <w:ind w:left="1100"/>
        <w:spacing w:after="0"/>
        <w:rPr>
          <w:sz w:val="20"/>
          <w:szCs w:val="20"/>
          <w:color w:val="auto"/>
        </w:rPr>
      </w:pPr>
      <w:r>
        <w:rPr>
          <w:rFonts w:ascii="Arial" w:cs="Arial" w:eastAsia="Arial" w:hAnsi="Arial"/>
          <w:sz w:val="15"/>
          <w:szCs w:val="15"/>
          <w:b w:val="1"/>
          <w:bCs w:val="1"/>
          <w:i w:val="1"/>
          <w:iCs w:val="1"/>
          <w:color w:val="auto"/>
        </w:rPr>
        <w:t>Net revenues from unaffiliated customers:</w:t>
      </w:r>
    </w:p>
    <w:p>
      <w:pPr>
        <w:sectPr>
          <w:pgSz w:w="11900" w:h="16838" w:orient="portrait"/>
          <w:cols w:equalWidth="0" w:num="1">
            <w:col w:w="11400"/>
          </w:cols>
          <w:pgMar w:left="240" w:top="131" w:right="259" w:bottom="0" w:gutter="0" w:footer="0" w:header="0"/>
          <w:type w:val="continuous"/>
        </w:sectPr>
      </w:pPr>
    </w:p>
    <w:bookmarkStart w:id="15" w:name="page16"/>
    <w:bookmarkEnd w:id="15"/>
    <w:p>
      <w:pPr>
        <w:spacing w:after="0" w:line="19"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Thermal Products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2"/>
              </w:rPr>
              <w:t>$11,359</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$11,670</w:t>
            </w:r>
          </w:p>
        </w:tc>
        <w:tc>
          <w:tcPr>
            <w:tcW w:w="640" w:type="dxa"/>
            <w:vAlign w:val="bottom"/>
            <w:gridSpan w:val="4"/>
          </w:tcPr>
          <w:p>
            <w:pPr>
              <w:jc w:val="right"/>
              <w:ind w:right="80"/>
              <w:spacing w:after="0"/>
              <w:rPr>
                <w:sz w:val="20"/>
                <w:szCs w:val="20"/>
                <w:color w:val="auto"/>
              </w:rPr>
            </w:pPr>
            <w:r>
              <w:rPr>
                <w:rFonts w:ascii="Arial" w:cs="Arial" w:eastAsia="Arial" w:hAnsi="Arial"/>
                <w:sz w:val="18"/>
                <w:szCs w:val="18"/>
                <w:color w:val="auto"/>
                <w:w w:val="94"/>
              </w:rPr>
              <w:t>$ (311)</w:t>
            </w: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59"/>
        </w:trPr>
        <w:tc>
          <w:tcPr>
            <w:tcW w:w="3420" w:type="dxa"/>
            <w:vAlign w:val="bottom"/>
          </w:tcPr>
          <w:p>
            <w:pPr>
              <w:spacing w:after="0"/>
              <w:rPr>
                <w:sz w:val="20"/>
                <w:szCs w:val="20"/>
                <w:color w:val="auto"/>
              </w:rPr>
            </w:pPr>
            <w:r>
              <w:rPr>
                <w:rFonts w:ascii="Arial" w:cs="Arial" w:eastAsia="Arial" w:hAnsi="Arial"/>
                <w:sz w:val="18"/>
                <w:szCs w:val="18"/>
                <w:color w:val="auto"/>
              </w:rPr>
              <w:t>Mechanical Products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6,184</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5,591</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593</w:t>
            </w: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421"/>
        </w:trPr>
        <w:tc>
          <w:tcPr>
            <w:tcW w:w="3420" w:type="dxa"/>
            <w:vAlign w:val="bottom"/>
          </w:tcPr>
          <w:p>
            <w:pPr>
              <w:spacing w:after="0"/>
              <w:rPr>
                <w:sz w:val="20"/>
                <w:szCs w:val="20"/>
                <w:color w:val="auto"/>
              </w:rPr>
            </w:pPr>
            <w:r>
              <w:rPr>
                <w:rFonts w:ascii="Arial" w:cs="Arial" w:eastAsia="Arial" w:hAnsi="Arial"/>
                <w:sz w:val="18"/>
                <w:szCs w:val="18"/>
                <w:color w:val="auto"/>
              </w:rPr>
              <w:t>Electrical Products</w:t>
            </w:r>
          </w:p>
        </w:tc>
        <w:tc>
          <w:tcPr>
            <w:tcW w:w="4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w:t>
            </w:r>
          </w:p>
        </w:tc>
        <w:tc>
          <w:tcPr>
            <w:tcW w:w="160" w:type="dxa"/>
            <w:vAlign w:val="bottom"/>
            <w:gridSpan w:val="2"/>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2,930</w:t>
            </w:r>
          </w:p>
        </w:tc>
        <w:tc>
          <w:tcPr>
            <w:tcW w:w="2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439"/>
        </w:trPr>
        <w:tc>
          <w:tcPr>
            <w:tcW w:w="3420" w:type="dxa"/>
            <w:vAlign w:val="bottom"/>
          </w:tcPr>
          <w:p>
            <w:pPr>
              <w:spacing w:after="0"/>
              <w:rPr>
                <w:sz w:val="24"/>
                <w:szCs w:val="2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21,140</w:t>
            </w:r>
          </w:p>
        </w:tc>
        <w:tc>
          <w:tcPr>
            <w:tcW w:w="120" w:type="dxa"/>
            <w:vAlign w:val="bottom"/>
          </w:tcPr>
          <w:p>
            <w:pPr>
              <w:spacing w:after="0"/>
              <w:rPr>
                <w:sz w:val="24"/>
                <w:szCs w:val="2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20,191</w:t>
            </w:r>
          </w:p>
        </w:tc>
        <w:tc>
          <w:tcPr>
            <w:tcW w:w="2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$ 949</w:t>
            </w: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721"/>
        </w:trPr>
        <w:tc>
          <w:tcPr>
            <w:tcW w:w="3420" w:type="dxa"/>
            <w:vAlign w:val="bottom"/>
          </w:tcPr>
          <w:p>
            <w:pPr>
              <w:spacing w:after="0"/>
              <w:rPr>
                <w:sz w:val="20"/>
                <w:szCs w:val="20"/>
                <w:color w:val="auto"/>
              </w:rPr>
            </w:pPr>
            <w:r>
              <w:rPr>
                <w:rFonts w:ascii="Arial" w:cs="Arial" w:eastAsia="Arial" w:hAnsi="Arial"/>
                <w:sz w:val="18"/>
                <w:szCs w:val="18"/>
                <w:color w:val="auto"/>
              </w:rPr>
              <w:t>ATE market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2"/>
              </w:rPr>
              <w:t>$17,089</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$15,204</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7"/>
              </w:rPr>
              <w:t>$1,885</w:t>
            </w: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421"/>
        </w:trPr>
        <w:tc>
          <w:tcPr>
            <w:tcW w:w="3420" w:type="dxa"/>
            <w:vAlign w:val="bottom"/>
          </w:tcPr>
          <w:p>
            <w:pPr>
              <w:spacing w:after="0"/>
              <w:rPr>
                <w:sz w:val="20"/>
                <w:szCs w:val="20"/>
                <w:color w:val="auto"/>
              </w:rPr>
            </w:pPr>
            <w:r>
              <w:rPr>
                <w:rFonts w:ascii="Arial" w:cs="Arial" w:eastAsia="Arial" w:hAnsi="Arial"/>
                <w:sz w:val="18"/>
                <w:szCs w:val="18"/>
                <w:color w:val="auto"/>
              </w:rPr>
              <w:t>Non-ATE market</w:t>
            </w:r>
          </w:p>
        </w:tc>
        <w:tc>
          <w:tcPr>
            <w:tcW w:w="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4,051</w:t>
            </w:r>
          </w:p>
        </w:tc>
        <w:tc>
          <w:tcPr>
            <w:tcW w:w="160" w:type="dxa"/>
            <w:vAlign w:val="bottom"/>
            <w:gridSpan w:val="2"/>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4,987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(936)</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(19)%</w:t>
            </w:r>
          </w:p>
        </w:tc>
      </w:tr>
      <w:tr>
        <w:trPr>
          <w:trHeight w:val="20"/>
        </w:trPr>
        <w:tc>
          <w:tcPr>
            <w:tcW w:w="3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39"/>
        </w:trPr>
        <w:tc>
          <w:tcPr>
            <w:tcW w:w="3420" w:type="dxa"/>
            <w:vAlign w:val="bottom"/>
          </w:tcPr>
          <w:p>
            <w:pPr>
              <w:spacing w:after="0"/>
              <w:rPr>
                <w:sz w:val="24"/>
                <w:szCs w:val="2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21,140</w:t>
            </w:r>
          </w:p>
        </w:tc>
        <w:tc>
          <w:tcPr>
            <w:tcW w:w="120" w:type="dxa"/>
            <w:vAlign w:val="bottom"/>
          </w:tcPr>
          <w:p>
            <w:pPr>
              <w:spacing w:after="0"/>
              <w:rPr>
                <w:sz w:val="24"/>
                <w:szCs w:val="2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20,191</w:t>
            </w:r>
          </w:p>
        </w:tc>
        <w:tc>
          <w:tcPr>
            <w:tcW w:w="2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$ 949</w:t>
            </w: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Our consolidated net revenues for the quarter ended June 30, 2014 increased $1.1 million as compared to the same period in 2013. For the quarter ended June 30, 2014, the net revenues of our Thermal, Mechanical and Electrical Products segments increased $344,000, $339,000 and $442,000, respectively, as compared to the same period in 2013. The increases reflect the aforementioned increase in demand experienced during the second quarter of 2014 from the ATE market. Net revenues from customers outside the ATE market for the quarter ended June 30, 2014 were relatively flat as compared to the same period in 2013.</w:t>
      </w:r>
    </w:p>
    <w:p>
      <w:pPr>
        <w:spacing w:after="0" w:line="197" w:lineRule="exact"/>
        <w:rPr>
          <w:sz w:val="20"/>
          <w:szCs w:val="20"/>
          <w:color w:val="auto"/>
        </w:rPr>
      </w:pPr>
    </w:p>
    <w:p>
      <w:pPr>
        <w:ind w:left="540" w:right="400"/>
        <w:spacing w:after="0" w:line="294" w:lineRule="auto"/>
        <w:rPr>
          <w:sz w:val="20"/>
          <w:szCs w:val="20"/>
          <w:color w:val="auto"/>
        </w:rPr>
      </w:pPr>
      <w:r>
        <w:rPr>
          <w:rFonts w:ascii="Arial" w:cs="Arial" w:eastAsia="Arial" w:hAnsi="Arial"/>
          <w:sz w:val="16"/>
          <w:szCs w:val="16"/>
          <w:color w:val="auto"/>
        </w:rPr>
        <w:t>Our consolidated net revenues for the quarter ended June 30, 2014 increased $3.5 million as compared to the quarter ended March 31, 2014. The net revenues of our Thermal, Mechanical and Electrical Products segments increased $873,000, $2.1 million and $583,000, respectively, for the second quarter of 2014 as compared to the first quarter of 2014. Net revenues from customers outside the ATE market for the quarter ended June 30, 2014 increased $1.7 million as compared to the first quarter of 2014. The increases reflect the aforementioned increase in demand experienced during the second quarter of 2014 as compared to the first quarter of 2014 from both the ATE and non-ATE markets.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Product/Customer Mix</w:t>
      </w:r>
    </w:p>
    <w:p>
      <w:pPr>
        <w:spacing w:after="0" w:line="225" w:lineRule="exact"/>
        <w:rPr>
          <w:sz w:val="20"/>
          <w:szCs w:val="20"/>
          <w:color w:val="auto"/>
        </w:rPr>
      </w:pPr>
    </w:p>
    <w:p>
      <w:pPr>
        <w:ind w:left="540" w:right="100"/>
        <w:spacing w:after="0" w:line="256" w:lineRule="auto"/>
        <w:rPr>
          <w:sz w:val="20"/>
          <w:szCs w:val="20"/>
          <w:color w:val="auto"/>
        </w:rPr>
      </w:pPr>
      <w:r>
        <w:rPr>
          <w:rFonts w:ascii="Arial" w:cs="Arial" w:eastAsia="Arial" w:hAnsi="Arial"/>
          <w:sz w:val="18"/>
          <w:szCs w:val="18"/>
          <w:color w:val="auto"/>
        </w:rPr>
        <w:t>Our three product segments each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97" w:lineRule="exact"/>
        <w:rPr>
          <w:sz w:val="20"/>
          <w:szCs w:val="20"/>
          <w:color w:val="auto"/>
        </w:rPr>
      </w:pPr>
    </w:p>
    <w:p>
      <w:pPr>
        <w:ind w:left="540" w:right="60"/>
        <w:spacing w:after="0" w:line="294" w:lineRule="auto"/>
        <w:rPr>
          <w:sz w:val="20"/>
          <w:szCs w:val="20"/>
          <w:color w:val="auto"/>
        </w:rPr>
      </w:pPr>
      <w:r>
        <w:rPr>
          <w:rFonts w:ascii="Arial" w:cs="Arial" w:eastAsia="Arial" w:hAnsi="Arial"/>
          <w:sz w:val="16"/>
          <w:szCs w:val="16"/>
          <w:color w:val="auto"/>
        </w:rPr>
        <w:t>We sell most of our products to semiconductor manufacturers and third-party test and assembly houses (end user sales) and to ATE manufacturers (OEM sales) who ultimately resell our equipment with theirs to semiconductor manufacturers. Our Thermal Products segment also sells into a variety of other markets including the automotive, consumer electronics, defense/aerospace, energy, industrial and telecommunications markets. The mix of customers during any given period will affect our gross margin due to differing sales discounts and commissions. For the six months ended June 30, 2014 and 2013, our OEM sales as a percentage of net revenues were 11% and 10%, respectively.</w:t>
      </w:r>
    </w:p>
    <w:p>
      <w:pPr>
        <w:spacing w:after="0" w:line="170" w:lineRule="exact"/>
        <w:rPr>
          <w:sz w:val="20"/>
          <w:szCs w:val="20"/>
          <w:color w:val="auto"/>
        </w:rPr>
      </w:pPr>
    </w:p>
    <w:p>
      <w:pPr>
        <w:ind w:left="540" w:right="100"/>
        <w:spacing w:after="0" w:line="255" w:lineRule="auto"/>
        <w:rPr>
          <w:sz w:val="20"/>
          <w:szCs w:val="20"/>
          <w:color w:val="auto"/>
        </w:rPr>
      </w:pPr>
      <w:r>
        <w:rPr>
          <w:rFonts w:ascii="Arial" w:cs="Arial" w:eastAsia="Arial" w:hAnsi="Arial"/>
          <w:sz w:val="18"/>
          <w:szCs w:val="18"/>
          <w:color w:val="auto"/>
        </w:rPr>
        <w:t>OEM sales generally have a lower gross margin than end user sales, as OEM sales historically have had a more significant discount. Our current net operating margins on most OEM sales, however, are only slightly less than margins on end user sales because of the payment of third party sales commissions on most end user sales. We have also continued to experience demands from our OEM customers' supply line managers to reduce our sales prices to them. If we cannot further reduce our manufacturing and operating costs, these pricing pressures will negatively affect our gross and operating margins.</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- 17 -</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31" w:lineRule="exact"/>
        <w:rPr>
          <w:sz w:val="20"/>
          <w:szCs w:val="20"/>
          <w:color w:val="auto"/>
        </w:rPr>
      </w:pPr>
    </w:p>
    <w:p>
      <w:pPr>
        <w:jc w:val="both"/>
        <w:ind w:left="540" w:right="200"/>
        <w:spacing w:after="0" w:line="306" w:lineRule="auto"/>
        <w:rPr>
          <w:sz w:val="20"/>
          <w:szCs w:val="20"/>
          <w:color w:val="auto"/>
        </w:rPr>
      </w:pPr>
      <w:r>
        <w:rPr>
          <w:rFonts w:ascii="Arial" w:cs="Arial" w:eastAsia="Arial" w:hAnsi="Arial"/>
          <w:sz w:val="16"/>
          <w:szCs w:val="16"/>
          <w:color w:val="auto"/>
        </w:rPr>
        <w:t>The results of operations for our three product segments are generally affected by the same factors. Separate discussions and analyses for each product segment would be repetitive. The discussion and analysis that follows, therefore, is presented on a consolidated basis and includes discussion of factors unique to each product segment where significant to an understanding of that segment.</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Quarter Ended June 30, 2014 Compared to Quarter Ended June 30, 2013</w:t>
      </w:r>
    </w:p>
    <w:p>
      <w:pPr>
        <w:spacing w:after="0" w:line="225"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were $12.3 million for the quarter ended June 30, 2014 compared to $11.2 million for the same period in 2013,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$1.1 million or 10%. We believe the increase in our net revenues during the second quarter of 2014 primarily reflects the factors previously discussed in the Overview.</w:t>
      </w:r>
    </w:p>
    <w:p>
      <w:pPr>
        <w:spacing w:after="0" w:line="194" w:lineRule="exact"/>
        <w:rPr>
          <w:sz w:val="20"/>
          <w:szCs w:val="20"/>
          <w:color w:val="auto"/>
        </w:rPr>
      </w:pPr>
    </w:p>
    <w:p>
      <w:pPr>
        <w:ind w:left="540" w:right="400"/>
        <w:spacing w:after="0" w:line="306"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Our consolidated gross margin was 49% in each of the quarters ended June 30, 2014 and 2013, respectively. There was a slight</w:t>
      </w:r>
      <w:r>
        <w:rPr>
          <w:rFonts w:ascii="Arial" w:cs="Arial" w:eastAsia="Arial" w:hAnsi="Arial"/>
          <w:sz w:val="16"/>
          <w:szCs w:val="16"/>
          <w:i w:val="1"/>
          <w:iCs w:val="1"/>
          <w:color w:val="auto"/>
        </w:rPr>
        <w:t xml:space="preserve"> </w:t>
      </w:r>
      <w:r>
        <w:rPr>
          <w:rFonts w:ascii="Arial" w:cs="Arial" w:eastAsia="Arial" w:hAnsi="Arial"/>
          <w:sz w:val="16"/>
          <w:szCs w:val="16"/>
          <w:color w:val="auto"/>
        </w:rPr>
        <w:t>improvement in our material costs as a percentage of net revenues, reflecting changes in product and customer mix. This improvement was offset by higher fixed operating costs for our Thermal Products segment, primarily reflecting increased facility related costs.</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 xml:space="preserve">Selling Expense. </w:t>
      </w:r>
      <w:r>
        <w:rPr>
          <w:rFonts w:ascii="Arial" w:cs="Arial" w:eastAsia="Arial" w:hAnsi="Arial"/>
          <w:sz w:val="16"/>
          <w:szCs w:val="16"/>
          <w:color w:val="auto"/>
        </w:rPr>
        <w:t>Selling expense was $1.5 million in each of the quarters ended June 30, 2014 and 2013, respectively. Higher salaries and benefits</w:t>
      </w:r>
    </w:p>
    <w:p>
      <w:pPr>
        <w:sectPr>
          <w:pgSz w:w="11900" w:h="16857" w:orient="portrait"/>
          <w:cols w:equalWidth="0" w:num="1">
            <w:col w:w="11380"/>
          </w:cols>
          <w:pgMar w:left="240" w:top="131" w:right="279" w:bottom="0" w:gutter="0" w:footer="0" w:header="0"/>
        </w:sectPr>
      </w:pPr>
    </w:p>
    <w:bookmarkStart w:id="16" w:name="page17"/>
    <w:bookmarkEnd w:id="16"/>
    <w:p>
      <w:pPr>
        <w:ind w:left="540" w:right="360"/>
        <w:spacing w:after="0" w:line="268" w:lineRule="auto"/>
        <w:rPr>
          <w:sz w:val="20"/>
          <w:szCs w:val="20"/>
          <w:color w:val="auto"/>
        </w:rPr>
      </w:pPr>
      <w:r>
        <w:rPr>
          <w:rFonts w:ascii="Arial" w:cs="Arial" w:eastAsia="Arial" w:hAnsi="Arial"/>
          <w:sz w:val="18"/>
          <w:szCs w:val="18"/>
          <w:color w:val="auto"/>
        </w:rPr>
        <w:t>expense, as a result of an increase in headcount in our Thermal and Electrical Products segments, was offset by a reduction in the level of accruals for product warranties in our Thermal Products segment.</w:t>
      </w:r>
    </w:p>
    <w:p>
      <w:pPr>
        <w:spacing w:after="0" w:line="186" w:lineRule="exact"/>
        <w:rPr>
          <w:sz w:val="20"/>
          <w:szCs w:val="20"/>
          <w:color w:val="auto"/>
        </w:rPr>
      </w:pPr>
    </w:p>
    <w:p>
      <w:pPr>
        <w:ind w:left="540" w:right="40"/>
        <w:spacing w:after="0" w:line="255"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$887,000 for the quarter ended June 30, 2014</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$925,000 for the same period in 2013, a decrease of $38,000 or 4%. The decrease in engineering and product development expense primarily reflects decreased spending on third party consultants, material used in new product development and matters related to our intellectual property. These decreases were partially offset by an increase in salaries and benefits expense, primarily reflecting an increase in headcount in our Thermal and Electrical Products segments.</w:t>
      </w:r>
    </w:p>
    <w:p>
      <w:pPr>
        <w:spacing w:after="0" w:line="197" w:lineRule="exact"/>
        <w:rPr>
          <w:sz w:val="20"/>
          <w:szCs w:val="20"/>
          <w:color w:val="auto"/>
        </w:rPr>
      </w:pPr>
    </w:p>
    <w:p>
      <w:pPr>
        <w:jc w:val="both"/>
        <w:ind w:left="540" w:right="120"/>
        <w:spacing w:after="0" w:line="259"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General and administrative expense was $1.6 million for the quarter ended June 30, 2014 compared to $1.5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same period in 2013, an increase of $98,000 or 6%. The increase primarily reflects higher accruals for profit-based bonuses and an increase in the use of third-party professionals who assist us with certain of our strategic initiatives.</w:t>
      </w:r>
    </w:p>
    <w:p>
      <w:pPr>
        <w:spacing w:after="0" w:line="194" w:lineRule="exact"/>
        <w:rPr>
          <w:sz w:val="20"/>
          <w:szCs w:val="20"/>
          <w:color w:val="auto"/>
        </w:rPr>
      </w:pPr>
    </w:p>
    <w:p>
      <w:pPr>
        <w:ind w:left="540" w:right="120"/>
        <w:spacing w:after="0" w:line="335" w:lineRule="auto"/>
        <w:rPr>
          <w:sz w:val="20"/>
          <w:szCs w:val="20"/>
          <w:color w:val="auto"/>
        </w:rPr>
      </w:pPr>
      <w:r>
        <w:rPr>
          <w:rFonts w:ascii="Arial" w:cs="Arial" w:eastAsia="Arial" w:hAnsi="Arial"/>
          <w:sz w:val="15"/>
          <w:szCs w:val="15"/>
          <w:i w:val="1"/>
          <w:iCs w:val="1"/>
          <w:color w:val="auto"/>
        </w:rPr>
        <w:t xml:space="preserve">Income Tax Expense. </w:t>
      </w:r>
      <w:r>
        <w:rPr>
          <w:rFonts w:ascii="Arial" w:cs="Arial" w:eastAsia="Arial" w:hAnsi="Arial"/>
          <w:sz w:val="15"/>
          <w:szCs w:val="15"/>
          <w:color w:val="auto"/>
        </w:rPr>
        <w:t>For the quarter ended June 30, 2014, we recorded income tax expense of $697,000 compared to $484,000 for the same period in</w:t>
      </w:r>
      <w:r>
        <w:rPr>
          <w:rFonts w:ascii="Arial" w:cs="Arial" w:eastAsia="Arial" w:hAnsi="Arial"/>
          <w:sz w:val="15"/>
          <w:szCs w:val="15"/>
          <w:i w:val="1"/>
          <w:iCs w:val="1"/>
          <w:color w:val="auto"/>
        </w:rPr>
        <w:t xml:space="preserve"> </w:t>
      </w:r>
      <w:r>
        <w:rPr>
          <w:rFonts w:ascii="Arial" w:cs="Arial" w:eastAsia="Arial" w:hAnsi="Arial"/>
          <w:sz w:val="15"/>
          <w:szCs w:val="15"/>
          <w:color w:val="auto"/>
        </w:rPr>
        <w:t>2013. Our effective tax rate for the quarter ended June 30, 2014 was 34% compared to 33% for the same period in 2013. On a quarterly basis, we record income tax expense or benefit based on the expected annualized effective tax rate for the various taxing jurisdictions in which we operate our businesses.</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Six Months Ended June 30, 2014 Compared to Six Months Ended June 30, 2013</w:t>
      </w:r>
    </w:p>
    <w:p>
      <w:pPr>
        <w:spacing w:after="0" w:line="225" w:lineRule="exact"/>
        <w:rPr>
          <w:sz w:val="20"/>
          <w:szCs w:val="20"/>
          <w:color w:val="auto"/>
        </w:rPr>
      </w:pPr>
    </w:p>
    <w:p>
      <w:pPr>
        <w:ind w:left="540" w:right="40"/>
        <w:spacing w:after="0" w:line="289"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Net revenues were $21.1 million for the six months ended June 30, 2014 compared to $20.2 million for the same period in 2013,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$949,000 or 5%. For the six months ended June 30, 2014, the net revenues of our Thermal Products segment decreased $311,000 while the net revenues of our Mechanical and Electrical Products segments increased $593,000 and $667,000, respectively, as compared to the same period in 2013. Net revenues from customers outside the ATE market for the six months ended June 30, 2014 decreased $936,000 as compared to the same period in 2013. We believe the decrease in the net revenues of our Thermal Products segment during the first half of 2014 reflects reduced demand from our customers outside the ATE market, primarily during the first quarter of 2014. We believe the increases in the net revenues of our Mechanical and Electrical Products segments during the first six months of 2014 primarily reflect increased demand from our customers in the ATE market as previously discussed in the Overview.</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20"/>
        <w:spacing w:after="0" w:line="289"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Our consolidated gross margin was 49% for the six months ended June 30, 2014 compared to 47% for the same period in 2013. The</w:t>
      </w:r>
      <w:r>
        <w:rPr>
          <w:rFonts w:ascii="Arial" w:cs="Arial" w:eastAsia="Arial" w:hAnsi="Arial"/>
          <w:sz w:val="16"/>
          <w:szCs w:val="16"/>
          <w:i w:val="1"/>
          <w:iCs w:val="1"/>
          <w:color w:val="auto"/>
        </w:rPr>
        <w:t xml:space="preserve"> </w:t>
      </w:r>
      <w:r>
        <w:rPr>
          <w:rFonts w:ascii="Arial" w:cs="Arial" w:eastAsia="Arial" w:hAnsi="Arial"/>
          <w:sz w:val="16"/>
          <w:szCs w:val="16"/>
          <w:color w:val="auto"/>
        </w:rPr>
        <w:t>improvement in our gross margin reflects a reduction in both our material costs and our fixed operating costs as a percentage of net revenues. Our material costs declined from 35% of net revenues for the six months ended June 30, 2013 to 34% for the same period in 2014, reflecting changes in product and customer mix. Although our fixed operating costs increased $33,000 in absolute dollar terms, they were more fully absorbed by the higher net revenue levels in 2014 and, as a result, these costs declined from 15% of net revenues for the six months ended June 30, 2013 to 14% for the same period in 2014. The $33,000 increase in our fixed operating costs primarily reflects an increase in facility related costs for our Thermal Products segment which was partially offset by lower levels of depreciation and a reduction in salaries and benefits expense, reflecting headcount reductions in our Thermal Products segment.</w:t>
      </w:r>
    </w:p>
    <w:p>
      <w:pPr>
        <w:spacing w:after="0" w:line="172" w:lineRule="exact"/>
        <w:rPr>
          <w:sz w:val="20"/>
          <w:szCs w:val="20"/>
          <w:color w:val="auto"/>
        </w:rPr>
      </w:pPr>
    </w:p>
    <w:p>
      <w:pPr>
        <w:ind w:left="540" w:right="20"/>
        <w:spacing w:after="0" w:line="256" w:lineRule="auto"/>
        <w:rPr>
          <w:sz w:val="20"/>
          <w:szCs w:val="20"/>
          <w:color w:val="auto"/>
        </w:rPr>
      </w:pPr>
      <w:r>
        <w:rPr>
          <w:rFonts w:ascii="Arial" w:cs="Arial" w:eastAsia="Arial" w:hAnsi="Arial"/>
          <w:sz w:val="18"/>
          <w:szCs w:val="18"/>
          <w:i w:val="1"/>
          <w:iCs w:val="1"/>
          <w:color w:val="auto"/>
        </w:rPr>
        <w:t xml:space="preserve">Selling Expense. </w:t>
      </w:r>
      <w:r>
        <w:rPr>
          <w:rFonts w:ascii="Arial" w:cs="Arial" w:eastAsia="Arial" w:hAnsi="Arial"/>
          <w:sz w:val="18"/>
          <w:szCs w:val="18"/>
          <w:color w:val="auto"/>
        </w:rPr>
        <w:t>Selling expense was $2.9 million for the six months ended June 30, 2014 compared to $2.7 million for the same period in 2013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$139,000 or 5%. The increase primarily reflects higher salaries and benefits expense as a result of an increase in headcount in our Thermal and Electrical Products segments which was partially offset by a reduction in accruals for product warranties and lower commission expense in our Thermal and Electrical Products segments.</w:t>
      </w:r>
    </w:p>
    <w:p>
      <w:pPr>
        <w:spacing w:after="0" w:line="197"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i w:val="1"/>
          <w:iCs w:val="1"/>
          <w:color w:val="auto"/>
        </w:rPr>
        <w:t xml:space="preserve">Engineering and Product Development Expense. </w:t>
      </w:r>
      <w:r>
        <w:rPr>
          <w:rFonts w:ascii="Arial" w:cs="Arial" w:eastAsia="Arial" w:hAnsi="Arial"/>
          <w:sz w:val="16"/>
          <w:szCs w:val="16"/>
          <w:color w:val="auto"/>
        </w:rPr>
        <w:t>Engineering and product development expense was $1.8 million for the six months ended June 30, 2014</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$1.9 million for the same period in 2013 a decrease of $111,000 or 6%. The decrease in engineering and product development expense primarily reflects decreased spending on matters related to our intellectual property and third party consultants. These decreases were partially offset by an increase in salaries and benefits expense, primarily reflecting an increase in headcount in our Thermal and Electrical Products segments.</w:t>
      </w:r>
    </w:p>
    <w:p>
      <w:pPr>
        <w:spacing w:after="0" w:line="167" w:lineRule="exact"/>
        <w:rPr>
          <w:sz w:val="20"/>
          <w:szCs w:val="20"/>
          <w:color w:val="auto"/>
        </w:rPr>
      </w:pPr>
    </w:p>
    <w:p>
      <w:pPr>
        <w:ind w:left="540" w:right="80"/>
        <w:spacing w:after="0" w:line="259"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General and administrative expense was $3.2 million for the six months ended June 30, 2014 compared to $3.1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same period in 2013 an increase of $74,000 or 2%. The increase primarily reflects an increase in the use of third-party professionals which was partially offset by a reduction in amortization expense related to our intangible assets.</w:t>
      </w:r>
    </w:p>
    <w:p>
      <w:pPr>
        <w:spacing w:after="0" w:line="194" w:lineRule="exact"/>
        <w:rPr>
          <w:sz w:val="20"/>
          <w:szCs w:val="20"/>
          <w:color w:val="auto"/>
        </w:rPr>
      </w:pPr>
    </w:p>
    <w:p>
      <w:pPr>
        <w:ind w:left="540" w:right="60"/>
        <w:spacing w:after="0" w:line="254"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the six months ended June 30, 2014, we recorded income tax expense of $822,000 compared to $562,000 for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2013. Our effective tax rate for the six months ended June 30, 2014 was 33% compared to 30% for the same period in 2013. On a quarterly basis, we record income tax expense or benefit based on the expected annualized effective tax rate for the various taxing jurisdictions in which we operate our businesses. The increase in our effective tax rate in the first six months of 2014 as compared to the same period in 2013 primarily reflects the recording of the effect of the reinstatement of certain domestic research and development tax credits for both 2013 and 2012, which was enacted in January 2013. There was no similar item to record in 2014.</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31"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As discussed more fully in the Overview, our business and results of operations are substantially dependent upon the demand for ATE by semiconductor manufacturers and companies that specialize in the testing of ICs. The cyclical and volatile nature of demand for ATE makes estimates of future revenues, results of operations and net cash flows difficult.</w:t>
      </w:r>
    </w:p>
    <w:p>
      <w:pPr>
        <w:spacing w:after="0" w:line="194" w:lineRule="exact"/>
        <w:rPr>
          <w:sz w:val="20"/>
          <w:szCs w:val="20"/>
          <w:color w:val="auto"/>
        </w:rPr>
      </w:pPr>
    </w:p>
    <w:p>
      <w:pPr>
        <w:ind w:left="540" w:right="500"/>
        <w:spacing w:after="0" w:line="259" w:lineRule="auto"/>
        <w:rPr>
          <w:sz w:val="20"/>
          <w:szCs w:val="20"/>
          <w:color w:val="auto"/>
        </w:rPr>
      </w:pPr>
      <w:r>
        <w:rPr>
          <w:rFonts w:ascii="Arial" w:cs="Arial" w:eastAsia="Arial" w:hAnsi="Arial"/>
          <w:sz w:val="18"/>
          <w:szCs w:val="18"/>
          <w:color w:val="auto"/>
        </w:rPr>
        <w:t>Our primary historical source of liquidity and capital resources has been cash flow generated by our operations and we manage our businesses to maximize operating cash flows as our primary source of liquidity. We use cash to fund growth in our operating assets, for new product research and development and for acquisitions.</w:t>
      </w:r>
    </w:p>
    <w:p>
      <w:pPr>
        <w:sectPr>
          <w:pgSz w:w="11900" w:h="16838" w:orient="portrait"/>
          <w:cols w:equalWidth="0" w:num="1">
            <w:col w:w="11420"/>
          </w:cols>
          <w:pgMar w:left="240" w:top="131" w:right="239" w:bottom="0" w:gutter="0" w:footer="0" w:header="0"/>
        </w:sectPr>
      </w:pPr>
    </w:p>
    <w:bookmarkStart w:id="17" w:name="page18"/>
    <w:bookmarkEnd w:id="17"/>
    <w:p>
      <w:pPr>
        <w:ind w:left="540"/>
        <w:spacing w:after="0"/>
        <w:rPr>
          <w:sz w:val="20"/>
          <w:szCs w:val="20"/>
          <w:color w:val="auto"/>
        </w:rPr>
      </w:pPr>
      <w:r>
        <w:rPr>
          <w:rFonts w:ascii="Arial" w:cs="Arial" w:eastAsia="Arial" w:hAnsi="Arial"/>
          <w:sz w:val="18"/>
          <w:szCs w:val="18"/>
          <w:i w:val="1"/>
          <w:iCs w:val="1"/>
          <w:u w:val="single" w:color="auto"/>
          <w:color w:val="auto"/>
        </w:rPr>
        <w:t>Liquidity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cash and cash equivalents and working capital were as follows:</w:t>
      </w:r>
    </w:p>
    <w:p>
      <w:pPr>
        <w:spacing w:after="0" w:line="248"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i w:val="1"/>
                <w:iCs w:val="1"/>
                <w:color w:val="auto"/>
                <w:w w:val="85"/>
              </w:rPr>
              <w:t>June 30, 2014</w:t>
            </w:r>
          </w:p>
        </w:tc>
        <w:tc>
          <w:tcPr>
            <w:tcW w:w="7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6"/>
              </w:rPr>
              <w:t>Dec. 31, 2013</w:t>
            </w:r>
          </w:p>
        </w:tc>
      </w:tr>
      <w:tr>
        <w:trPr>
          <w:trHeight w:val="235"/>
        </w:trPr>
        <w:tc>
          <w:tcPr>
            <w:tcW w:w="35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$19,616</w:t>
            </w:r>
          </w:p>
        </w:tc>
        <w:tc>
          <w:tcPr>
            <w:tcW w:w="220" w:type="dxa"/>
            <w:vAlign w:val="bottom"/>
          </w:tcPr>
          <w:p>
            <w:pPr>
              <w:spacing w:after="0"/>
              <w:rPr>
                <w:sz w:val="20"/>
                <w:szCs w:val="20"/>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$19,018</w:t>
            </w:r>
          </w:p>
        </w:tc>
      </w:tr>
      <w:tr>
        <w:trPr>
          <w:trHeight w:val="459"/>
        </w:trPr>
        <w:tc>
          <w:tcPr>
            <w:tcW w:w="3520" w:type="dxa"/>
            <w:vAlign w:val="bottom"/>
          </w:tcPr>
          <w:p>
            <w:pPr>
              <w:spacing w:after="0"/>
              <w:rPr>
                <w:sz w:val="20"/>
                <w:szCs w:val="20"/>
                <w:color w:val="auto"/>
              </w:rPr>
            </w:pPr>
            <w:r>
              <w:rPr>
                <w:rFonts w:ascii="Arial" w:cs="Arial" w:eastAsia="Arial" w:hAnsi="Arial"/>
                <w:sz w:val="18"/>
                <w:szCs w:val="18"/>
                <w:color w:val="auto"/>
              </w:rPr>
              <w:t>Working capital</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$26,671</w:t>
            </w:r>
          </w:p>
        </w:tc>
        <w:tc>
          <w:tcPr>
            <w:tcW w:w="2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6"/>
              </w:rPr>
              <w:t>$24,749</w:t>
            </w: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- 19 -</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140"/>
        <w:spacing w:after="0" w:line="259" w:lineRule="auto"/>
        <w:rPr>
          <w:sz w:val="20"/>
          <w:szCs w:val="20"/>
          <w:color w:val="auto"/>
        </w:rPr>
      </w:pPr>
      <w:r>
        <w:rPr>
          <w:rFonts w:ascii="Arial" w:cs="Arial" w:eastAsia="Arial" w:hAnsi="Arial"/>
          <w:sz w:val="18"/>
          <w:szCs w:val="18"/>
          <w:color w:val="auto"/>
        </w:rPr>
        <w:t>As of June 30, 2014, $3.0 million of our cash and cash equivalents was held by our foreign subsidiaries. When these funds are needed for our operations in the U.S., we may be required to accrue and pay U.S. taxes if we repatriate certain of these funds. Our current intent is to indefinitely reinvest these funds in our foreign operations.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We currently expect our cash and cash equivalents and projected future cash flow to be sufficient to support our short term working capital requirements.</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do not currently have any credit facilities under which we can borrow to help fund our working capital or other requirements.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Cash Flows</w:t>
      </w:r>
    </w:p>
    <w:p>
      <w:pPr>
        <w:spacing w:after="0" w:line="225" w:lineRule="exact"/>
        <w:rPr>
          <w:sz w:val="20"/>
          <w:szCs w:val="20"/>
          <w:color w:val="auto"/>
        </w:rPr>
      </w:pPr>
    </w:p>
    <w:p>
      <w:pPr>
        <w:ind w:left="540" w:right="20"/>
        <w:spacing w:after="0" w:line="291"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Net cash provided by operations for the six months ended June 30, 2014 was $1.0 million. During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2014, we recorded net earnings of $1.6 million, which included non-cash charges of $438,000 for depreciation and amortization. During the six months ended June 30, 2014, accounts receivable, inventories and accounts payable increased $2.0 million, $768,000 and $649,000, respectively, compared to the levels at the end of 2013. These increases primarily reflect increased business activity during the first six months of 2014 as compared to the fourth quarter of 2013. During the six months ended June 30, 2014, domestic and foreign income taxes payable increased $534,000 compared to the level at December 31, 2013 reflecting the accrual of taxes due on our income in 2014.</w:t>
      </w:r>
    </w:p>
    <w:p>
      <w:pPr>
        <w:spacing w:after="0" w:line="174" w:lineRule="exact"/>
        <w:rPr>
          <w:sz w:val="20"/>
          <w:szCs w:val="20"/>
          <w:color w:val="auto"/>
        </w:rPr>
      </w:pPr>
    </w:p>
    <w:p>
      <w:pPr>
        <w:ind w:left="540" w:right="100"/>
        <w:spacing w:after="0" w:line="256"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During the six months ended June 30, 2014 purchases of property and equipment were $424,000 which primarily represent additions</w:t>
      </w:r>
      <w:r>
        <w:rPr>
          <w:rFonts w:ascii="Arial" w:cs="Arial" w:eastAsia="Arial" w:hAnsi="Arial"/>
          <w:sz w:val="18"/>
          <w:szCs w:val="18"/>
          <w:i w:val="1"/>
          <w:iCs w:val="1"/>
          <w:color w:val="auto"/>
        </w:rPr>
        <w:t xml:space="preserve"> </w:t>
      </w:r>
      <w:r>
        <w:rPr>
          <w:rFonts w:ascii="Arial" w:cs="Arial" w:eastAsia="Arial" w:hAnsi="Arial"/>
          <w:sz w:val="18"/>
          <w:szCs w:val="18"/>
          <w:color w:val="auto"/>
        </w:rPr>
        <w:t>to leased systems in our Thermal and Mechanical Products segments. We have no significant commitments for capital expenditures for the balance of 2014, however, depending upon changes in market demand or manufacturing and sales strategies, we may make such purchases or investments as we deem necessary and appropriate.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During the six months ended June 30, 2014 there were no cash flows from financing activities.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31" w:lineRule="exact"/>
        <w:rPr>
          <w:sz w:val="20"/>
          <w:szCs w:val="20"/>
          <w:color w:val="auto"/>
        </w:rPr>
      </w:pPr>
    </w:p>
    <w:p>
      <w:pPr>
        <w:ind w:left="540" w:right="160"/>
        <w:spacing w:after="0" w:line="268" w:lineRule="auto"/>
        <w:rPr>
          <w:sz w:val="20"/>
          <w:szCs w:val="20"/>
          <w:color w:val="auto"/>
        </w:rPr>
      </w:pPr>
      <w:r>
        <w:rPr>
          <w:rFonts w:ascii="Arial" w:cs="Arial" w:eastAsia="Arial" w:hAnsi="Arial"/>
          <w:sz w:val="18"/>
          <w:szCs w:val="18"/>
          <w:color w:val="auto"/>
        </w:rPr>
        <w:t>See the Notes to the consolidated financial statements for information concerning the implementation and impact of new or recently adopted accounting standards.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31"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deferred income tax valuation allowances and product warranty reserves.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As of June 30, 2014, there have been no significant changes to the accounting policies that we have deemed critical. These policies are more fully described in our 2013 Form 10-K.</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Off -Balance Sheet Arrangements</w:t>
      </w:r>
    </w:p>
    <w:p>
      <w:pPr>
        <w:spacing w:after="0" w:line="231" w:lineRule="exact"/>
        <w:rPr>
          <w:sz w:val="20"/>
          <w:szCs w:val="20"/>
          <w:color w:val="auto"/>
        </w:rPr>
      </w:pPr>
    </w:p>
    <w:p>
      <w:pPr>
        <w:ind w:left="540" w:right="260"/>
        <w:spacing w:after="0" w:line="259" w:lineRule="auto"/>
        <w:rPr>
          <w:sz w:val="20"/>
          <w:szCs w:val="20"/>
          <w:color w:val="auto"/>
        </w:rPr>
      </w:pPr>
      <w:r>
        <w:rPr>
          <w:rFonts w:ascii="Arial" w:cs="Arial" w:eastAsia="Arial" w:hAnsi="Arial"/>
          <w:sz w:val="18"/>
          <w:szCs w:val="18"/>
          <w:color w:val="auto"/>
        </w:rPr>
        <w:t>There were no off-balance sheet arrangements during the six months ended June 30, 2014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disclosure is not required for a smaller reporting company.</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400"/>
          </w:cols>
          <w:pgMar w:left="240" w:top="347" w:right="259" w:bottom="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inTEST CORPORATION</w:t>
      </w:r>
    </w:p>
    <w:p>
      <w:pPr>
        <w:sectPr>
          <w:pgSz w:w="11900" w:h="16838" w:orient="portrait"/>
          <w:cols w:equalWidth="0" w:num="1">
            <w:col w:w="11400"/>
          </w:cols>
          <w:pgMar w:left="240" w:top="347" w:right="259" w:bottom="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ind w:left="540" w:right="160"/>
        <w:spacing w:after="0" w:line="258" w:lineRule="auto"/>
        <w:rPr>
          <w:sz w:val="20"/>
          <w:szCs w:val="20"/>
          <w:color w:val="auto"/>
        </w:rPr>
      </w:pPr>
      <w:r>
        <w:rPr>
          <w:rFonts w:ascii="Arial" w:cs="Arial" w:eastAsia="Arial" w:hAnsi="Arial"/>
          <w:sz w:val="18"/>
          <w:szCs w:val="18"/>
          <w:b w:val="1"/>
          <w:bCs w:val="1"/>
          <w:color w:val="auto"/>
        </w:rPr>
        <w:t>CEO and CFO Certifications</w:t>
      </w:r>
      <w:r>
        <w:rPr>
          <w:rFonts w:ascii="Arial" w:cs="Arial" w:eastAsia="Arial" w:hAnsi="Arial"/>
          <w:sz w:val="18"/>
          <w:szCs w:val="18"/>
          <w:color w:val="auto"/>
        </w:rPr>
        <w:t>. Included with this Quarterly Report as Exhibits 31.1 and 31.2 are two certifications, one by each of our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and our Chief Financial Officer (the "Section 302 Certifications"). This Item 4 contains information concerning the evaluations of our disclosure controls and procedures that are referred to in the Section 302 Certifications. This information should be read in conjunction with the Section 302 Certifications for a more complete understanding of the topics addressed therein.</w:t>
      </w:r>
    </w:p>
    <w:p>
      <w:pPr>
        <w:spacing w:after="0" w:line="190" w:lineRule="exact"/>
        <w:rPr>
          <w:sz w:val="20"/>
          <w:szCs w:val="20"/>
          <w:color w:val="auto"/>
        </w:rPr>
      </w:pPr>
    </w:p>
    <w:p>
      <w:pPr>
        <w:ind w:left="540" w:right="180"/>
        <w:spacing w:after="0" w:line="262" w:lineRule="auto"/>
        <w:rPr>
          <w:sz w:val="20"/>
          <w:szCs w:val="20"/>
          <w:color w:val="auto"/>
        </w:rPr>
      </w:pPr>
      <w:r>
        <w:rPr>
          <w:rFonts w:ascii="Arial" w:cs="Arial" w:eastAsia="Arial" w:hAnsi="Arial"/>
          <w:sz w:val="18"/>
          <w:szCs w:val="18"/>
          <w:b w:val="1"/>
          <w:bCs w:val="1"/>
          <w:color w:val="auto"/>
        </w:rPr>
        <w:t>Evaluation of Our Disclosure Controls and Procedures</w:t>
      </w:r>
      <w:r>
        <w:rPr>
          <w:rFonts w:ascii="Arial" w:cs="Arial" w:eastAsia="Arial" w:hAnsi="Arial"/>
          <w:sz w:val="18"/>
          <w:szCs w:val="18"/>
          <w:color w:val="auto"/>
        </w:rPr>
        <w:t>. The SEC requires that as of the end of the quarter covered by this Report, our CEO and CFO</w:t>
      </w:r>
      <w:r>
        <w:rPr>
          <w:rFonts w:ascii="Arial" w:cs="Arial" w:eastAsia="Arial" w:hAnsi="Arial"/>
          <w:sz w:val="18"/>
          <w:szCs w:val="18"/>
          <w:b w:val="1"/>
          <w:bCs w:val="1"/>
          <w:color w:val="auto"/>
        </w:rPr>
        <w:t xml:space="preserve"> </w:t>
      </w:r>
      <w:r>
        <w:rPr>
          <w:rFonts w:ascii="Arial" w:cs="Arial" w:eastAsia="Arial" w:hAnsi="Arial"/>
          <w:sz w:val="18"/>
          <w:szCs w:val="18"/>
          <w:color w:val="auto"/>
        </w:rPr>
        <w:t>must evaluate the effectiveness of the design and operation of our disclosure controls and procedures and report on the effectiveness of the design and operation of our disclosure controls and procedures.</w:t>
      </w:r>
    </w:p>
    <w:p>
      <w:pPr>
        <w:spacing w:after="0" w:line="192" w:lineRule="exact"/>
        <w:rPr>
          <w:sz w:val="20"/>
          <w:szCs w:val="20"/>
          <w:color w:val="auto"/>
        </w:rPr>
      </w:pPr>
    </w:p>
    <w:p>
      <w:pPr>
        <w:ind w:left="540" w:right="40"/>
        <w:spacing w:after="0" w:line="255" w:lineRule="auto"/>
        <w:rPr>
          <w:sz w:val="20"/>
          <w:szCs w:val="20"/>
          <w:color w:val="auto"/>
        </w:rPr>
      </w:pPr>
      <w:r>
        <w:rPr>
          <w:rFonts w:ascii="Arial" w:cs="Arial" w:eastAsia="Arial" w:hAnsi="Arial"/>
          <w:sz w:val="18"/>
          <w:szCs w:val="18"/>
          <w:color w:val="auto"/>
        </w:rPr>
        <w:t>"Disclosure controls and procedures" mean the controls and other procedures that are designed with the objective of ensuring that information required to be disclosed in our reports filed under the Securities Exchange Act of 1934 (the "Exchange Act"), such as this Report, is recorded, processed, summarized and reported within the time periods specified in the rules and forms promulgated by the SEC. Disclosure controls and procedures are also designed with the objective of ensuring that such information is accumulated and communicated to our management, including the CEO and CFO, as appropriate, to allow timely decisions regarding required disclosure.</w:t>
      </w:r>
    </w:p>
    <w:p>
      <w:pPr>
        <w:spacing w:after="0" w:line="191"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b w:val="1"/>
          <w:bCs w:val="1"/>
          <w:color w:val="auto"/>
        </w:rPr>
        <w:t>Limitations on the Effectiveness of Controls</w:t>
      </w:r>
      <w:r>
        <w:rPr>
          <w:rFonts w:ascii="Arial" w:cs="Arial" w:eastAsia="Arial" w:hAnsi="Arial"/>
          <w:sz w:val="16"/>
          <w:szCs w:val="16"/>
          <w:color w:val="auto"/>
        </w:rPr>
        <w:t>. Our management, including the CEO and CFO, does not expect that our disclosure controls and</w:t>
      </w:r>
      <w:r>
        <w:rPr>
          <w:rFonts w:ascii="Arial" w:cs="Arial" w:eastAsia="Arial" w:hAnsi="Arial"/>
          <w:sz w:val="16"/>
          <w:szCs w:val="16"/>
          <w:b w:val="1"/>
          <w:bCs w:val="1"/>
          <w:color w:val="auto"/>
        </w:rPr>
        <w:t xml:space="preserve"> </w:t>
      </w:r>
      <w:r>
        <w:rPr>
          <w:rFonts w:ascii="Arial" w:cs="Arial" w:eastAsia="Arial" w:hAnsi="Arial"/>
          <w:sz w:val="16"/>
          <w:szCs w:val="16"/>
          <w:color w:val="auto"/>
        </w:rPr>
        <w:t>procedures or our internal control over financial reporting will prevent all error and all fraud. A control system, no matter how well conceived and operated, can provide only reasonable, as opposed to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an entity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a system of controls may become inadequate because of changes in conditions, or the degree of compliance with the policies or procedures may deteriorate.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75" w:lineRule="exact"/>
        <w:rPr>
          <w:sz w:val="20"/>
          <w:szCs w:val="20"/>
          <w:color w:val="auto"/>
        </w:rPr>
      </w:pPr>
    </w:p>
    <w:p>
      <w:pPr>
        <w:jc w:val="both"/>
        <w:ind w:left="540" w:right="260"/>
        <w:spacing w:after="0" w:line="258" w:lineRule="auto"/>
        <w:rPr>
          <w:sz w:val="20"/>
          <w:szCs w:val="20"/>
          <w:color w:val="auto"/>
        </w:rPr>
      </w:pPr>
      <w:r>
        <w:rPr>
          <w:rFonts w:ascii="Arial" w:cs="Arial" w:eastAsia="Arial" w:hAnsi="Arial"/>
          <w:sz w:val="18"/>
          <w:szCs w:val="18"/>
          <w:b w:val="1"/>
          <w:bCs w:val="1"/>
          <w:color w:val="auto"/>
        </w:rPr>
        <w:t>CEO/CFO Conclusions about the Effectiveness of the Disclosure Controls and Procedures</w:t>
      </w:r>
      <w:r>
        <w:rPr>
          <w:rFonts w:ascii="Arial" w:cs="Arial" w:eastAsia="Arial" w:hAnsi="Arial"/>
          <w:sz w:val="18"/>
          <w:szCs w:val="18"/>
          <w:color w:val="auto"/>
        </w:rPr>
        <w:t>. As required by Rule 13a-15(b), inTEST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2162175</wp:posOffset>
            </wp:positionH>
            <wp:positionV relativeFrom="paragraph">
              <wp:posOffset>365760</wp:posOffset>
            </wp:positionV>
            <wp:extent cx="29413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413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1" w:lineRule="exact"/>
        <w:rPr>
          <w:sz w:val="20"/>
          <w:szCs w:val="20"/>
          <w:color w:val="auto"/>
        </w:rPr>
      </w:pPr>
    </w:p>
    <w:p>
      <w:pPr>
        <w:jc w:val="both"/>
        <w:ind w:left="540" w:right="20"/>
        <w:spacing w:after="0" w:line="268"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1" w:lineRule="exact"/>
        <w:rPr>
          <w:sz w:val="20"/>
          <w:szCs w:val="20"/>
          <w:color w:val="auto"/>
        </w:rPr>
      </w:pPr>
    </w:p>
    <w:p>
      <w:pPr>
        <w:jc w:val="both"/>
        <w:ind w:left="540" w:right="20"/>
        <w:spacing w:after="0" w:line="259" w:lineRule="auto"/>
        <w:rPr>
          <w:sz w:val="20"/>
          <w:szCs w:val="20"/>
          <w:color w:val="auto"/>
        </w:rPr>
      </w:pPr>
      <w:r>
        <w:rPr>
          <w:rFonts w:ascii="Arial" w:cs="Arial" w:eastAsia="Arial" w:hAnsi="Arial"/>
          <w:sz w:val="18"/>
          <w:szCs w:val="18"/>
          <w:color w:val="auto"/>
        </w:rPr>
        <w:t>Information regarding the primary risks and uncertainties that could materially and adversely affect our future performance or could cause actual results to differ materially from those expressed or implied in our forward-looking statements, appears in Part I, Item 1A -- "Risk Factors" of our Annual Report on Form 10-K for the year ended December 31, 2013.</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341" w:right="239" w:bottom="0" w:gutter="0" w:footer="0" w:header="0"/>
        </w:sect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ectPr>
          <w:pgSz w:w="11900" w:h="16838" w:orient="portrait"/>
          <w:cols w:equalWidth="0" w:num="1">
            <w:col w:w="11420"/>
          </w:cols>
          <w:pgMar w:left="240" w:top="341" w:right="239" w:bottom="0" w:gutter="0" w:footer="0" w:header="0"/>
          <w:type w:val="continuous"/>
        </w:sectPr>
      </w:pPr>
    </w:p>
    <w:bookmarkStart w:id="19" w:name="page20"/>
    <w:bookmarkEnd w:id="19"/>
    <w:p>
      <w:pPr>
        <w:ind w:left="5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91" w:lineRule="exact"/>
        <w:rPr>
          <w:sz w:val="20"/>
          <w:szCs w:val="20"/>
          <w:color w:val="auto"/>
        </w:rPr>
      </w:pPr>
    </w:p>
    <w:p>
      <w:pPr>
        <w:ind w:left="540" w:right="100"/>
        <w:spacing w:after="0" w:line="268" w:lineRule="auto"/>
        <w:rPr>
          <w:sz w:val="20"/>
          <w:szCs w:val="20"/>
          <w:color w:val="auto"/>
        </w:rPr>
      </w:pPr>
      <w:r>
        <w:rPr>
          <w:rFonts w:ascii="Arial" w:cs="Arial" w:eastAsia="Arial" w:hAnsi="Arial"/>
          <w:sz w:val="18"/>
          <w:szCs w:val="18"/>
          <w:color w:val="auto"/>
        </w:rPr>
        <w:t>A list of the Exhibits which are required by Item 601 of Regulation S-K and filed with this Report is set forth in the Index to Exhibits immediately following the signature page, which Index to Exhibits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2162175</wp:posOffset>
            </wp:positionH>
            <wp:positionV relativeFrom="paragraph">
              <wp:posOffset>856615</wp:posOffset>
            </wp:positionV>
            <wp:extent cx="29413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413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- 22 -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38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22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inTEST Corporation</w:t>
            </w:r>
          </w:p>
        </w:tc>
      </w:tr>
      <w:tr>
        <w:trPr>
          <w:trHeight w:val="637"/>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1980" w:type="dxa"/>
            <w:vAlign w:val="bottom"/>
            <w:gridSpan w:val="3"/>
          </w:tcPr>
          <w:p>
            <w:pPr>
              <w:ind w:left="120"/>
              <w:spacing w:after="0"/>
              <w:rPr>
                <w:sz w:val="20"/>
                <w:szCs w:val="20"/>
                <w:color w:val="auto"/>
              </w:rPr>
            </w:pPr>
            <w:r>
              <w:rPr>
                <w:rFonts w:ascii="Arial" w:cs="Arial" w:eastAsia="Arial" w:hAnsi="Arial"/>
                <w:sz w:val="18"/>
                <w:szCs w:val="18"/>
                <w:color w:val="auto"/>
              </w:rPr>
              <w:t>August 13, 2014</w:t>
            </w:r>
          </w:p>
        </w:tc>
        <w:tc>
          <w:tcPr>
            <w:tcW w:w="3420" w:type="dxa"/>
            <w:vAlign w:val="bottom"/>
            <w:gridSpan w:val="3"/>
          </w:tcPr>
          <w:p>
            <w:pPr>
              <w:spacing w:after="0"/>
              <w:rPr>
                <w:sz w:val="20"/>
                <w:szCs w:val="20"/>
                <w:color w:val="auto"/>
              </w:rPr>
            </w:pPr>
            <w:r>
              <w:rPr>
                <w:rFonts w:ascii="Arial" w:cs="Arial" w:eastAsia="Arial" w:hAnsi="Arial"/>
                <w:sz w:val="18"/>
                <w:szCs w:val="18"/>
                <w:color w:val="auto"/>
              </w:rPr>
              <w:t>/s/ Robert E. Matthiessen</w:t>
            </w:r>
          </w:p>
        </w:tc>
      </w:t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Robert E. Matthiessen</w:t>
            </w:r>
          </w:p>
        </w:tc>
        <w:tc>
          <w:tcPr>
            <w:tcW w:w="1640" w:type="dxa"/>
            <w:vAlign w:val="bottom"/>
          </w:tcPr>
          <w:p>
            <w:pPr>
              <w:spacing w:after="0"/>
              <w:rPr>
                <w:sz w:val="19"/>
                <w:szCs w:val="19"/>
                <w:color w:val="auto"/>
              </w:rPr>
            </w:pPr>
          </w:p>
        </w:tc>
      </w:tr>
      <w:tr>
        <w:trPr>
          <w:trHeight w:val="222"/>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637"/>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1980" w:type="dxa"/>
            <w:vAlign w:val="bottom"/>
            <w:gridSpan w:val="3"/>
          </w:tcPr>
          <w:p>
            <w:pPr>
              <w:ind w:left="120"/>
              <w:spacing w:after="0"/>
              <w:rPr>
                <w:sz w:val="20"/>
                <w:szCs w:val="20"/>
                <w:color w:val="auto"/>
              </w:rPr>
            </w:pPr>
            <w:r>
              <w:rPr>
                <w:rFonts w:ascii="Arial" w:cs="Arial" w:eastAsia="Arial" w:hAnsi="Arial"/>
                <w:sz w:val="18"/>
                <w:szCs w:val="18"/>
                <w:color w:val="auto"/>
              </w:rPr>
              <w:t>August 13, 2014</w:t>
            </w:r>
          </w:p>
        </w:tc>
        <w:tc>
          <w:tcPr>
            <w:tcW w:w="3420" w:type="dxa"/>
            <w:vAlign w:val="bottom"/>
            <w:gridSpan w:val="3"/>
          </w:tcPr>
          <w:p>
            <w:pPr>
              <w:spacing w:after="0"/>
              <w:rPr>
                <w:sz w:val="20"/>
                <w:szCs w:val="20"/>
                <w:color w:val="auto"/>
              </w:rPr>
            </w:pPr>
            <w:r>
              <w:rPr>
                <w:rFonts w:ascii="Arial" w:cs="Arial" w:eastAsia="Arial" w:hAnsi="Arial"/>
                <w:sz w:val="18"/>
                <w:szCs w:val="18"/>
                <w:color w:val="auto"/>
              </w:rPr>
              <w:t>/s/ Hugh T. Regan, Jr.</w:t>
            </w:r>
          </w:p>
        </w:tc>
      </w:t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Hugh T. Regan, Jr.</w:t>
            </w:r>
          </w:p>
        </w:tc>
        <w:tc>
          <w:tcPr>
            <w:tcW w:w="1900" w:type="dxa"/>
            <w:vAlign w:val="bottom"/>
            <w:gridSpan w:val="2"/>
          </w:tcPr>
          <w:p>
            <w:pPr>
              <w:spacing w:after="0"/>
              <w:rPr>
                <w:sz w:val="19"/>
                <w:szCs w:val="19"/>
                <w:color w:val="auto"/>
              </w:rPr>
            </w:pPr>
          </w:p>
        </w:tc>
      </w:tr>
      <w:tr>
        <w:trPr>
          <w:trHeight w:val="222"/>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Arial" w:cs="Arial" w:eastAsia="Arial" w:hAnsi="Arial"/>
                <w:sz w:val="18"/>
                <w:szCs w:val="18"/>
                <w:i w:val="1"/>
                <w:iCs w:val="1"/>
                <w:color w:val="auto"/>
                <w:w w:val="88"/>
              </w:rPr>
              <w:t>Secretary, Treasurer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2162175</wp:posOffset>
            </wp:positionH>
            <wp:positionV relativeFrom="paragraph">
              <wp:posOffset>631825</wp:posOffset>
            </wp:positionV>
            <wp:extent cx="29413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413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080"/>
        <w:spacing w:after="0"/>
        <w:rPr>
          <w:sz w:val="20"/>
          <w:szCs w:val="20"/>
          <w:color w:val="auto"/>
        </w:rPr>
      </w:pPr>
      <w:r>
        <w:rPr>
          <w:rFonts w:ascii="Arial" w:cs="Arial" w:eastAsia="Arial" w:hAnsi="Arial"/>
          <w:sz w:val="18"/>
          <w:szCs w:val="18"/>
          <w:b w:val="1"/>
          <w:bCs w:val="1"/>
          <w:u w:val="single" w:color="auto"/>
          <w:color w:val="auto"/>
        </w:rPr>
        <w:t>Index to Exhibits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3.2*  ByLaws of inTEST Corporation, as amended on June 23, 2014: Previously filed as</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Exhibit 3.2 of the Company's Form 8-K on June 25, 2014 and incorporated herein by reference.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31.1  Certification of Chief Executive Officer pursuant to Rule 13a-14(a).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31.2  Certification of Chief Financial Officer pursuant to Rule 13a-14(a).</w:t>
      </w:r>
    </w:p>
    <w:p>
      <w:pPr>
        <w:spacing w:after="0" w:line="225" w:lineRule="exact"/>
        <w:rPr>
          <w:sz w:val="20"/>
          <w:szCs w:val="20"/>
          <w:color w:val="auto"/>
        </w:rPr>
      </w:pPr>
    </w:p>
    <w:p>
      <w:pPr>
        <w:ind w:left="440" w:right="4920" w:hanging="438"/>
        <w:spacing w:after="0" w:line="332" w:lineRule="auto"/>
        <w:rPr>
          <w:sz w:val="20"/>
          <w:szCs w:val="20"/>
          <w:color w:val="auto"/>
        </w:rPr>
      </w:pPr>
      <w:r>
        <w:rPr>
          <w:rFonts w:ascii="Arial" w:cs="Arial" w:eastAsia="Arial" w:hAnsi="Arial"/>
          <w:sz w:val="16"/>
          <w:szCs w:val="16"/>
          <w:color w:val="auto"/>
        </w:rPr>
        <w:t>32.1 Certification of Chief Executive Officer pursuant to 18 U.S.C. Section 1350, as adopted pursuant to Section 906 of the Sarbanes-Oxley Act of 2002.</w:t>
      </w:r>
    </w:p>
    <w:p>
      <w:pPr>
        <w:spacing w:after="0" w:line="139" w:lineRule="exact"/>
        <w:rPr>
          <w:sz w:val="20"/>
          <w:szCs w:val="20"/>
          <w:color w:val="auto"/>
        </w:rPr>
      </w:pPr>
    </w:p>
    <w:p>
      <w:pPr>
        <w:ind w:left="440" w:right="4980" w:hanging="438"/>
        <w:spacing w:after="0" w:line="332" w:lineRule="auto"/>
        <w:rPr>
          <w:sz w:val="20"/>
          <w:szCs w:val="20"/>
          <w:color w:val="auto"/>
        </w:rPr>
      </w:pPr>
      <w:r>
        <w:rPr>
          <w:rFonts w:ascii="Arial" w:cs="Arial" w:eastAsia="Arial" w:hAnsi="Arial"/>
          <w:sz w:val="16"/>
          <w:szCs w:val="16"/>
          <w:color w:val="auto"/>
        </w:rPr>
        <w:t>32.2 Certification of Chief Financial Officer pursuant to 18 U.S.C. Section 1350, as adopted pursuant to Section 906 of the Sarbanes-Oxley Act of 2002.</w:t>
      </w:r>
    </w:p>
    <w:p>
      <w:pPr>
        <w:sectPr>
          <w:pgSz w:w="11900" w:h="16838" w:orient="portrait"/>
          <w:cols w:equalWidth="0" w:num="1">
            <w:col w:w="10940"/>
          </w:cols>
          <w:pgMar w:left="240" w:top="131" w:right="719" w:bottom="157"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- 23 -</w:t>
      </w:r>
    </w:p>
    <w:p>
      <w:pPr>
        <w:sectPr>
          <w:pgSz w:w="11900" w:h="16838" w:orient="portrait"/>
          <w:cols w:equalWidth="0" w:num="1">
            <w:col w:w="10940"/>
          </w:cols>
          <w:pgMar w:left="240" w:top="131" w:right="719" w:bottom="157" w:gutter="0" w:footer="0" w:header="0"/>
          <w:type w:val="continuous"/>
        </w:sectPr>
      </w:pPr>
    </w:p>
    <w:bookmarkStart w:id="20" w:name="page21"/>
    <w:bookmarkEnd w:id="20"/>
    <w:p>
      <w:pPr>
        <w:jc w:val="right"/>
        <w:spacing w:after="0"/>
        <w:rPr>
          <w:sz w:val="20"/>
          <w:szCs w:val="20"/>
          <w:color w:val="auto"/>
        </w:rPr>
      </w:pPr>
      <w:r>
        <w:rPr>
          <w:rFonts w:ascii="Arial" w:cs="Arial" w:eastAsia="Arial" w:hAnsi="Arial"/>
          <w:sz w:val="22"/>
          <w:szCs w:val="22"/>
          <w:b w:val="1"/>
          <w:bCs w:val="1"/>
          <w:u w:val="single" w:color="auto"/>
          <w:color w:val="auto"/>
        </w:rPr>
        <w:t>EXHIBIT 31.1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Robert E. Matthiessen, certify that:</w:t>
      </w:r>
    </w:p>
    <w:p>
      <w:pPr>
        <w:spacing w:after="0" w:line="185" w:lineRule="exact"/>
        <w:rPr>
          <w:sz w:val="20"/>
          <w:szCs w:val="20"/>
          <w:color w:val="auto"/>
        </w:rPr>
      </w:pPr>
    </w:p>
    <w:p>
      <w:pPr>
        <w:ind w:left="760" w:hanging="313"/>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13, 2014</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Robert E. Matthiessen</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Robert E. Matthiessen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1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22"/>
          <w:szCs w:val="22"/>
          <w:b w:val="1"/>
          <w:bCs w:val="1"/>
          <w:u w:val="single" w:color="auto"/>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Hugh T. Regan, Jr., certify that:</w:t>
      </w:r>
    </w:p>
    <w:p>
      <w:pPr>
        <w:spacing w:after="0" w:line="185" w:lineRule="exact"/>
        <w:rPr>
          <w:sz w:val="20"/>
          <w:szCs w:val="20"/>
          <w:color w:val="auto"/>
        </w:rPr>
      </w:pPr>
    </w:p>
    <w:p>
      <w:pPr>
        <w:ind w:left="760" w:hanging="313"/>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13, 2014</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Hugh T. Regan, Jr.</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Secretary, Treasurer and Chief Financial Officer</w:t>
      </w:r>
    </w:p>
    <w:p>
      <w:pPr>
        <w:sectPr>
          <w:pgSz w:w="11900" w:h="16838" w:orient="portrait"/>
          <w:cols w:equalWidth="0" w:num="1">
            <w:col w:w="11420"/>
          </w:cols>
          <w:pgMar w:left="240" w:top="11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24"/>
          <w:szCs w:val="2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40"/>
        <w:spacing w:after="0" w:line="270" w:lineRule="auto"/>
        <w:rPr>
          <w:sz w:val="20"/>
          <w:szCs w:val="20"/>
          <w:color w:val="auto"/>
        </w:rPr>
      </w:pPr>
      <w:r>
        <w:rPr>
          <w:rFonts w:ascii="Arial" w:cs="Arial" w:eastAsia="Arial" w:hAnsi="Arial"/>
          <w:sz w:val="23"/>
          <w:szCs w:val="23"/>
          <w:color w:val="auto"/>
        </w:rPr>
        <w:t>In connection with the Quarterly Report of inTEST Corporation (the "Company") on Form 10-Q for the period ending June 30, 2014 as filed with the Securities and Exchange Commission on the date hereof (the "Report"), I, Robert E. Matthiessen, President and Chief Executive Officer of the Company, certify, pursuant to 18 U.S.C. Section 1350, as adopted pursuant to Section 906 of the Sarbanes-Oxley Act of 2002, that:</w:t>
      </w:r>
    </w:p>
    <w:p>
      <w:pPr>
        <w:spacing w:after="0" w:line="228" w:lineRule="exact"/>
        <w:rPr>
          <w:sz w:val="20"/>
          <w:szCs w:val="20"/>
          <w:color w:val="auto"/>
        </w:rPr>
      </w:pPr>
    </w:p>
    <w:p>
      <w:pPr>
        <w:ind w:right="520" w:firstLine="8"/>
        <w:spacing w:after="0" w:line="275" w:lineRule="auto"/>
        <w:tabs>
          <w:tab w:leader="none" w:pos="344" w:val="left"/>
        </w:tabs>
        <w:numPr>
          <w:ilvl w:val="0"/>
          <w:numId w:val="7"/>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7"/>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August 13, 2014</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Robert E. Matthiessen</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Robert E. Matthiessen</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President and Chief Executive Officer</w:t>
      </w:r>
    </w:p>
    <w:p>
      <w:pPr>
        <w:sectPr>
          <w:pgSz w:w="11900" w:h="16838" w:orient="portrait"/>
          <w:cols w:equalWidth="0" w:num="1">
            <w:col w:w="11420"/>
          </w:cols>
          <w:pgMar w:left="240" w:top="11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24"/>
          <w:szCs w:val="2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00"/>
        <w:spacing w:after="0" w:line="286" w:lineRule="auto"/>
        <w:rPr>
          <w:sz w:val="20"/>
          <w:szCs w:val="20"/>
          <w:color w:val="auto"/>
        </w:rPr>
      </w:pPr>
      <w:r>
        <w:rPr>
          <w:rFonts w:ascii="Arial" w:cs="Arial" w:eastAsia="Arial" w:hAnsi="Arial"/>
          <w:sz w:val="22"/>
          <w:szCs w:val="22"/>
          <w:color w:val="auto"/>
        </w:rPr>
        <w:t>In connection with the Quarterly Report of inTEST Corporation (the "Company") on Form 10-Q for the period ending June 30, 2014 as filed with the Securities and Exchange Commission on the date hereof (the "Report"), I, Hugh T. Regan, Jr., Secretary, Treasurer and Chief Financial Officer of the Company, certify, pursuant to 18 U.S.C. Section 1350, as adopted pursuant to Section 906 of the Sarbanes-Oxley Act of 2002, that:</w:t>
      </w:r>
    </w:p>
    <w:p>
      <w:pPr>
        <w:spacing w:after="0" w:line="212" w:lineRule="exact"/>
        <w:rPr>
          <w:sz w:val="20"/>
          <w:szCs w:val="20"/>
          <w:color w:val="auto"/>
        </w:rPr>
      </w:pPr>
    </w:p>
    <w:p>
      <w:pPr>
        <w:ind w:right="520" w:firstLine="8"/>
        <w:spacing w:after="0" w:line="275" w:lineRule="auto"/>
        <w:tabs>
          <w:tab w:leader="none" w:pos="344" w:val="left"/>
        </w:tabs>
        <w:numPr>
          <w:ilvl w:val="0"/>
          <w:numId w:val="8"/>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8"/>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August 13, 2014</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Hugh T. Regan, Jr.</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Hugh T. Regan, Jr.</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Secretary, Treasurer and Chief Financial Officer</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2019-12-06T16:42:15Z</dcterms:created>
  <dcterms:modified xsi:type="dcterms:W3CDTF">2019-12-06T16:42:15Z</dcterms:modified>
</cp:coreProperties>
</file>