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987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135890</wp:posOffset>
            </wp:positionV>
            <wp:extent cx="3987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2013</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118110</wp:posOffset>
            </wp:positionV>
            <wp:extent cx="43776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7769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____</w:t>
      </w:r>
    </w:p>
    <w:p>
      <w:pPr>
        <w:spacing w:after="0" w:line="194"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4"/>
          </w:tcPr>
          <w:p>
            <w:pPr>
              <w:ind w:left="540"/>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gridSpan w:val="2"/>
          </w:tcPr>
          <w:p>
            <w:pPr>
              <w:jc w:val="right"/>
              <w:ind w:right="2592"/>
              <w:spacing w:after="0"/>
              <w:rPr>
                <w:sz w:val="20"/>
                <w:szCs w:val="20"/>
                <w:color w:val="auto"/>
              </w:rPr>
            </w:pPr>
            <w:r>
              <w:rPr>
                <w:rFonts w:ascii="Arial" w:cs="Arial" w:eastAsia="Arial" w:hAnsi="Arial"/>
                <w:sz w:val="18"/>
                <w:szCs w:val="18"/>
                <w:color w:val="auto"/>
              </w:rPr>
              <w:t>___</w:t>
            </w:r>
          </w:p>
        </w:tc>
        <w:tc>
          <w:tcPr>
            <w:tcW w:w="2840" w:type="dxa"/>
            <w:vAlign w:val="bottom"/>
          </w:tcPr>
          <w:p>
            <w:pPr>
              <w:ind w:left="820"/>
              <w:spacing w:after="0"/>
              <w:rPr>
                <w:sz w:val="20"/>
                <w:szCs w:val="20"/>
                <w:color w:val="auto"/>
              </w:rPr>
            </w:pPr>
            <w:r>
              <w:rPr>
                <w:rFonts w:ascii="Arial" w:cs="Arial" w:eastAsia="Arial" w:hAnsi="Arial"/>
                <w:sz w:val="18"/>
                <w:szCs w:val="18"/>
                <w:color w:val="auto"/>
              </w:rPr>
              <w:t>Accelerated filer ___</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2140" w:type="dxa"/>
            <w:vAlign w:val="bottom"/>
            <w:gridSpan w:val="4"/>
          </w:tcPr>
          <w:p>
            <w:pPr>
              <w:ind w:left="540"/>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gridSpan w:val="2"/>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40" w:type="dxa"/>
            <w:vAlign w:val="bottom"/>
          </w:tcPr>
          <w:p>
            <w:pPr>
              <w:ind w:left="880"/>
              <w:spacing w:after="0" w:line="184" w:lineRule="exact"/>
              <w:rPr>
                <w:sz w:val="20"/>
                <w:szCs w:val="20"/>
                <w:color w:val="auto"/>
              </w:rPr>
            </w:pPr>
            <w:r>
              <w:rPr>
                <w:rFonts w:ascii="Arial" w:cs="Arial" w:eastAsia="Arial" w:hAnsi="Arial"/>
                <w:sz w:val="18"/>
                <w:szCs w:val="18"/>
                <w:color w:val="auto"/>
                <w:w w:val="90"/>
              </w:rPr>
              <w:t>Smaller reporting company</w:t>
            </w:r>
          </w:p>
        </w:tc>
        <w:tc>
          <w:tcPr>
            <w:tcW w:w="1220" w:type="dxa"/>
            <w:vAlign w:val="bottom"/>
            <w:gridSpan w:val="4"/>
          </w:tcPr>
          <w:p>
            <w:pPr>
              <w:ind w:left="40"/>
              <w:spacing w:after="0" w:line="184" w:lineRule="exact"/>
              <w:rPr>
                <w:sz w:val="20"/>
                <w:szCs w:val="20"/>
                <w:color w:val="auto"/>
              </w:rPr>
            </w:pPr>
            <w:r>
              <w:rPr>
                <w:rFonts w:ascii="Arial" w:cs="Arial" w:eastAsia="Arial" w:hAnsi="Arial"/>
                <w:sz w:val="18"/>
                <w:szCs w:val="18"/>
                <w:color w:val="auto"/>
              </w:rPr>
              <w:t>X</w:t>
            </w:r>
          </w:p>
        </w:tc>
      </w:tr>
      <w:tr>
        <w:trPr>
          <w:trHeight w:val="444"/>
        </w:trPr>
        <w:tc>
          <w:tcPr>
            <w:tcW w:w="8000" w:type="dxa"/>
            <w:vAlign w:val="bottom"/>
            <w:gridSpan w:val="7"/>
          </w:tcPr>
          <w:p>
            <w:pPr>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 Act).</w:t>
            </w:r>
          </w:p>
        </w:tc>
        <w:tc>
          <w:tcPr>
            <w:tcW w:w="2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142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8000" w:type="dxa"/>
            <w:vAlign w:val="bottom"/>
            <w:gridSpan w:val="7"/>
          </w:tcPr>
          <w:p>
            <w:pPr>
              <w:spacing w:after="0"/>
              <w:rPr>
                <w:sz w:val="20"/>
                <w:szCs w:val="20"/>
                <w:color w:val="auto"/>
              </w:rPr>
            </w:pPr>
            <w:r>
              <w:rPr>
                <w:rFonts w:ascii="Arial" w:cs="Arial" w:eastAsia="Arial" w:hAnsi="Arial"/>
                <w:sz w:val="18"/>
                <w:szCs w:val="18"/>
                <w:color w:val="auto"/>
                <w:w w:val="90"/>
              </w:rPr>
              <w:t>Number of shares of Common Stock, $.01 par value, outstanding as of the close of business on April 30, 2013:</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tcPr>
          <w:p>
            <w:pPr>
              <w:jc w:val="center"/>
              <w:ind w:right="1652"/>
              <w:spacing w:after="0"/>
              <w:rPr>
                <w:sz w:val="20"/>
                <w:szCs w:val="20"/>
                <w:color w:val="auto"/>
              </w:rPr>
            </w:pPr>
            <w:r>
              <w:rPr>
                <w:rFonts w:ascii="Arial" w:cs="Arial" w:eastAsia="Arial" w:hAnsi="Arial"/>
                <w:sz w:val="18"/>
                <w:szCs w:val="18"/>
                <w:color w:val="auto"/>
                <w:w w:val="86"/>
              </w:rPr>
              <w:t>10,472,678</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tcBorders>
              <w:bottom w:val="single" w:sz="8" w:color="9A9A9A"/>
            </w:tcBorders>
            <w:gridSpan w:val="2"/>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r>
      <w:tr>
        <w:trPr>
          <w:trHeight w:val="81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2"/>
          </w:tcPr>
          <w:p>
            <w:pPr>
              <w:jc w:val="center"/>
              <w:ind w:left="1072"/>
              <w:spacing w:after="0"/>
              <w:rPr>
                <w:sz w:val="20"/>
                <w:szCs w:val="20"/>
                <w:color w:val="auto"/>
              </w:rPr>
            </w:pPr>
            <w:r>
              <w:rPr>
                <w:rFonts w:ascii="Arial" w:cs="Arial" w:eastAsia="Arial" w:hAnsi="Arial"/>
                <w:sz w:val="18"/>
                <w:szCs w:val="18"/>
                <w:b w:val="1"/>
                <w:bCs w:val="1"/>
                <w:color w:val="auto"/>
                <w:w w:val="96"/>
              </w:rPr>
              <w:t>inTEST CORPORATION</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tcPr>
          <w:p>
            <w:pPr>
              <w:jc w:val="center"/>
              <w:ind w:right="1632"/>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05"/>
        </w:trPr>
        <w:tc>
          <w:tcPr>
            <w:tcW w:w="516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jc w:val="center"/>
              <w:ind w:left="51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4440" w:type="dxa"/>
            <w:vAlign w:val="bottom"/>
            <w:gridSpan w:val="5"/>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2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r>
      <w:tr>
        <w:trPr>
          <w:trHeight w:val="486"/>
        </w:trPr>
        <w:tc>
          <w:tcPr>
            <w:tcW w:w="720" w:type="dxa"/>
            <w:vAlign w:val="bottom"/>
          </w:tcPr>
          <w:p>
            <w:pPr>
              <w:spacing w:after="0"/>
              <w:rPr>
                <w:sz w:val="24"/>
                <w:szCs w:val="24"/>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Consolidated Balance Sheets as of March 31, 2013 (Unaudited) and December 31, 2012</w:t>
            </w:r>
          </w:p>
        </w:tc>
        <w:tc>
          <w:tcPr>
            <w:tcW w:w="1160" w:type="dxa"/>
            <w:vAlign w:val="bottom"/>
            <w:gridSpan w:val="3"/>
          </w:tcPr>
          <w:p>
            <w:pPr>
              <w:jc w:val="center"/>
              <w:ind w:left="832"/>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Operations for the three months ended March 31,</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2013 and 2012</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gridSpan w:val="3"/>
          </w:tcPr>
          <w:p>
            <w:pPr>
              <w:jc w:val="center"/>
              <w:ind w:left="832"/>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4440" w:type="dxa"/>
            <w:vAlign w:val="bottom"/>
            <w:gridSpan w:val="5"/>
          </w:tcPr>
          <w:p>
            <w:pPr>
              <w:ind w:left="180"/>
              <w:spacing w:after="0"/>
              <w:rPr>
                <w:sz w:val="20"/>
                <w:szCs w:val="20"/>
                <w:color w:val="auto"/>
              </w:rPr>
            </w:pPr>
            <w:r>
              <w:rPr>
                <w:rFonts w:ascii="Arial" w:cs="Arial" w:eastAsia="Arial" w:hAnsi="Arial"/>
                <w:sz w:val="18"/>
                <w:szCs w:val="18"/>
                <w:color w:val="auto"/>
              </w:rPr>
              <w:t>ended March 31, 2013 and 2012</w:t>
            </w:r>
          </w:p>
        </w:tc>
        <w:tc>
          <w:tcPr>
            <w:tcW w:w="2840" w:type="dxa"/>
            <w:vAlign w:val="bottom"/>
          </w:tcPr>
          <w:p>
            <w:pPr>
              <w:spacing w:after="0"/>
              <w:rPr>
                <w:sz w:val="19"/>
                <w:szCs w:val="19"/>
                <w:color w:val="auto"/>
              </w:rPr>
            </w:pPr>
          </w:p>
        </w:tc>
        <w:tc>
          <w:tcPr>
            <w:tcW w:w="1160" w:type="dxa"/>
            <w:vAlign w:val="bottom"/>
            <w:gridSpan w:val="3"/>
          </w:tcPr>
          <w:p>
            <w:pPr>
              <w:jc w:val="center"/>
              <w:ind w:left="832"/>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 of Stockholders' Equity for the three months ended</w:t>
            </w:r>
          </w:p>
        </w:tc>
        <w:tc>
          <w:tcPr>
            <w:tcW w:w="1160" w:type="dxa"/>
            <w:vAlign w:val="bottom"/>
            <w:gridSpan w:val="3"/>
          </w:tcPr>
          <w:p>
            <w:pPr>
              <w:jc w:val="center"/>
              <w:ind w:left="832"/>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w w:val="97"/>
              </w:rPr>
              <w:t>March 31, 2013</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28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160" w:type="dxa"/>
            <w:vAlign w:val="bottom"/>
            <w:gridSpan w:val="3"/>
          </w:tcPr>
          <w:p>
            <w:pPr>
              <w:jc w:val="center"/>
              <w:ind w:left="832"/>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4440" w:type="dxa"/>
            <w:vAlign w:val="bottom"/>
            <w:gridSpan w:val="5"/>
          </w:tcPr>
          <w:p>
            <w:pPr>
              <w:ind w:left="180"/>
              <w:spacing w:after="0"/>
              <w:rPr>
                <w:sz w:val="20"/>
                <w:szCs w:val="20"/>
                <w:color w:val="auto"/>
              </w:rPr>
            </w:pPr>
            <w:r>
              <w:rPr>
                <w:rFonts w:ascii="Arial" w:cs="Arial" w:eastAsia="Arial" w:hAnsi="Arial"/>
                <w:sz w:val="18"/>
                <w:szCs w:val="18"/>
                <w:color w:val="auto"/>
              </w:rPr>
              <w:t>March 31, 2013 and 2012</w:t>
            </w:r>
          </w:p>
        </w:tc>
        <w:tc>
          <w:tcPr>
            <w:tcW w:w="2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5789930</wp:posOffset>
            </wp:positionH>
            <wp:positionV relativeFrom="paragraph">
              <wp:posOffset>-3175000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2" w:orient="portrait"/>
          <w:cols w:equalWidth="0" w:num="1">
            <w:col w:w="11280"/>
          </w:cols>
          <w:pgMar w:left="240" w:top="239" w:right="379" w:bottom="0" w:gutter="0" w:footer="0" w:header="0"/>
        </w:sectPr>
      </w:pPr>
    </w:p>
    <w:bookmarkStart w:id="1" w:name="page2"/>
    <w:bookmarkEnd w:id="1"/>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86"/>
              </w:rPr>
              <w:t>6 - 17</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18 - 23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23 - 24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24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$15,384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$15,576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$147 and $147,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5,784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3,418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1,096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386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363</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26,068</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25,579</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3,975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3,948</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591</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4,568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4,539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(3,389)</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(3,289)</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1,179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1,250</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937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1,034</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2,079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2,194</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186</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$32,603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$ 1,399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$ 1,041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1,171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100" w:type="dxa"/>
            <w:vAlign w:val="bottom"/>
          </w:tcPr>
          <w:p>
            <w:pPr>
              <w:spacing w:after="0"/>
              <w:rPr>
                <w:sz w:val="17"/>
                <w:szCs w:val="17"/>
                <w:color w:val="auto"/>
              </w:rPr>
            </w:pPr>
          </w:p>
        </w:tc>
      </w:tr>
    </w:tbl>
    <w:p>
      <w:pPr>
        <w:sectPr>
          <w:pgSz w:w="11900" w:h="16895"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Deferred</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revenue and customer deposits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204</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255</w:t>
            </w:r>
          </w:p>
        </w:tc>
        <w:tc>
          <w:tcPr>
            <w:tcW w:w="100" w:type="dxa"/>
            <w:vAlign w:val="bottom"/>
          </w:tcPr>
          <w:p>
            <w:pPr>
              <w:spacing w:after="0"/>
              <w:rPr>
                <w:sz w:val="17"/>
                <w:szCs w:val="17"/>
                <w:color w:val="auto"/>
              </w:rPr>
            </w:pPr>
          </w:p>
        </w:tc>
      </w:tr>
      <w:tr>
        <w:trPr>
          <w:trHeight w:val="164"/>
        </w:trPr>
        <w:tc>
          <w:tcPr>
            <w:tcW w:w="7060" w:type="dxa"/>
            <w:vAlign w:val="bottom"/>
            <w:gridSpan w:val="2"/>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410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459</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4,496</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4,579</w:t>
            </w:r>
          </w:p>
        </w:tc>
      </w:tr>
      <w:tr>
        <w:trPr>
          <w:trHeight w:val="424"/>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10,483,255 and 10,453,255 shares issued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26,087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26,030</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928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636</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1,191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1,253</w:t>
            </w:r>
          </w:p>
        </w:tc>
        <w:tc>
          <w:tcPr>
            <w:tcW w:w="100" w:type="dxa"/>
            <w:vAlign w:val="bottom"/>
          </w:tcPr>
          <w:p>
            <w:pPr>
              <w:spacing w:after="0"/>
              <w:rPr>
                <w:sz w:val="17"/>
                <w:szCs w:val="17"/>
                <w:color w:val="auto"/>
              </w:rPr>
            </w:pPr>
          </w:p>
        </w:tc>
      </w:tr>
      <w:tr>
        <w:trPr>
          <w:trHeight w:val="164"/>
        </w:trPr>
        <w:tc>
          <w:tcPr>
            <w:tcW w:w="1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w:t>
            </w:r>
          </w:p>
        </w:tc>
        <w:tc>
          <w:tcPr>
            <w:tcW w:w="594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rPr>
              <w:t>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28,107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27,820</w:t>
            </w:r>
          </w:p>
        </w:tc>
        <w:tc>
          <w:tcPr>
            <w:tcW w:w="100" w:type="dxa"/>
            <w:vAlign w:val="bottom"/>
          </w:tcPr>
          <w:p>
            <w:pPr>
              <w:spacing w:after="0"/>
              <w:rPr>
                <w:sz w:val="15"/>
                <w:szCs w:val="15"/>
                <w:color w:val="auto"/>
              </w:rPr>
            </w:pPr>
          </w:p>
        </w:tc>
      </w:tr>
      <w:tr>
        <w:trPr>
          <w:trHeight w:val="221"/>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$32,603</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19"/>
                <w:szCs w:val="19"/>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3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120" w:type="dxa"/>
            <w:vAlign w:val="bottom"/>
          </w:tcPr>
          <w:p>
            <w:pPr>
              <w:spacing w:after="0"/>
              <w:rPr>
                <w:sz w:val="17"/>
                <w:szCs w:val="17"/>
                <w:color w:val="auto"/>
              </w:rPr>
            </w:pPr>
          </w:p>
        </w:tc>
        <w:tc>
          <w:tcPr>
            <w:tcW w:w="3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120" w:type="dxa"/>
            <w:vAlign w:val="bottom"/>
          </w:tcPr>
          <w:p>
            <w:pPr>
              <w:spacing w:after="0"/>
              <w:rPr>
                <w:sz w:val="17"/>
                <w:szCs w:val="17"/>
                <w:color w:val="auto"/>
              </w:rPr>
            </w:pPr>
          </w:p>
        </w:tc>
        <w:tc>
          <w:tcPr>
            <w:tcW w:w="3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2013</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$ 8,973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$10,731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4,868</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6,135</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4,596</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1,189</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996</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1,556</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4,680</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(84)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Earnings (loss) before income tax expense (benefit)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(71)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(43)</w:t>
            </w:r>
          </w:p>
        </w:tc>
      </w:tr>
      <w:tr>
        <w:trPr>
          <w:trHeight w:val="203"/>
        </w:trPr>
        <w:tc>
          <w:tcPr>
            <w:tcW w:w="61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share-basic</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$0.00</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3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10,327,428 10,205,114</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share-diluted</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$0.00</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3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10,366,312 10,205,114</w:t>
            </w:r>
          </w:p>
        </w:tc>
      </w:tr>
    </w:tbl>
    <w:p>
      <w:pPr>
        <w:sectPr>
          <w:pgSz w:w="11900" w:h="16838" w:orient="portrait"/>
          <w:cols w:equalWidth="0" w:num="1">
            <w:col w:w="10219"/>
          </w:cols>
          <w:pgMar w:left="240" w:top="136" w:right="1440"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w:t>
      </w:r>
    </w:p>
    <w:p>
      <w:pPr>
        <w:ind w:left="540"/>
        <w:spacing w:after="0" w:line="238" w:lineRule="auto"/>
        <w:rPr>
          <w:sz w:val="20"/>
          <w:szCs w:val="20"/>
          <w:color w:val="auto"/>
        </w:rPr>
      </w:pPr>
      <w:r>
        <w:rPr>
          <w:rFonts w:ascii="Courier New" w:cs="Courier New" w:eastAsia="Courier New" w:hAnsi="Courier New"/>
          <w:sz w:val="18"/>
          <w:szCs w:val="18"/>
          <w:color w:val="auto"/>
        </w:rPr>
        <w:t>March 31,</w:t>
      </w:r>
    </w:p>
    <w:p>
      <w:pPr>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tabs>
          <w:tab w:leader="none" w:pos="1360" w:val="left"/>
        </w:tabs>
        <w:rPr>
          <w:sz w:val="20"/>
          <w:szCs w:val="20"/>
          <w:color w:val="auto"/>
        </w:rPr>
      </w:pPr>
      <w:r>
        <w:rPr>
          <w:rFonts w:ascii="Courier New" w:cs="Courier New" w:eastAsia="Courier New" w:hAnsi="Courier New"/>
          <w:sz w:val="18"/>
          <w:szCs w:val="18"/>
          <w:color w:val="auto"/>
        </w:rPr>
        <w:t>2013</w:t>
      </w:r>
      <w:r>
        <w:rPr>
          <w:sz w:val="20"/>
          <w:szCs w:val="20"/>
          <w:color w:val="auto"/>
        </w:rPr>
        <w:tab/>
      </w:r>
      <w:r>
        <w:rPr>
          <w:rFonts w:ascii="Courier New" w:cs="Courier New" w:eastAsia="Courier New" w:hAnsi="Courier New"/>
          <w:sz w:val="18"/>
          <w:szCs w:val="18"/>
          <w:color w:val="auto"/>
        </w:rPr>
        <w:t>2012</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w:t>
        <w:tab/>
        <w:t>-------</w:t>
      </w:r>
    </w:p>
    <w:p>
      <w:pPr>
        <w:ind w:left="120"/>
        <w:spacing w:after="0"/>
        <w:tabs>
          <w:tab w:leader="none" w:pos="420" w:val="left"/>
          <w:tab w:leader="none" w:pos="1260" w:val="left"/>
          <w:tab w:leader="none" w:pos="1580" w:val="left"/>
        </w:tabs>
        <w:rPr>
          <w:sz w:val="20"/>
          <w:szCs w:val="20"/>
          <w:color w:val="auto"/>
        </w:rPr>
      </w:pPr>
      <w:r>
        <w:rPr>
          <w:rFonts w:ascii="Courier New" w:cs="Courier New" w:eastAsia="Courier New" w:hAnsi="Courier New"/>
          <w:sz w:val="18"/>
          <w:szCs w:val="18"/>
          <w:color w:val="auto"/>
        </w:rPr>
        <w:t>$</w:t>
        <w:tab/>
        <w:t>292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(43)</w:t>
      </w:r>
    </w:p>
    <w:p>
      <w:pPr>
        <w:spacing w:after="0" w:line="200" w:lineRule="exact"/>
        <w:rPr>
          <w:sz w:val="20"/>
          <w:szCs w:val="20"/>
          <w:color w:val="auto"/>
        </w:rPr>
      </w:pPr>
    </w:p>
    <w:p>
      <w:pPr>
        <w:sectPr>
          <w:pgSz w:w="11900" w:h="16838" w:orient="portrait"/>
          <w:cols w:equalWidth="0" w:num="2">
            <w:col w:w="6020" w:space="720"/>
            <w:col w:w="3479"/>
          </w:cols>
          <w:pgMar w:left="240" w:top="347"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(62)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right"/>
        <w:ind w:right="1579"/>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6140" w:space="720"/>
            <w:col w:w="740" w:space="420"/>
            <w:col w:w="2199"/>
          </w:cols>
          <w:pgMar w:left="240" w:top="34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347" w:right="1440" w:bottom="0" w:gutter="0" w:footer="0" w:header="0"/>
          <w:type w:val="continuous"/>
        </w:sect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60" w:type="dxa"/>
            <w:vAlign w:val="bottom"/>
            <w:gridSpan w:val="3"/>
          </w:tcPr>
          <w:p>
            <w:pPr>
              <w:jc w:val="center"/>
              <w:ind w:left="333"/>
              <w:spacing w:after="0"/>
              <w:rPr>
                <w:sz w:val="20"/>
                <w:szCs w:val="20"/>
                <w:color w:val="auto"/>
              </w:rPr>
            </w:pPr>
            <w:r>
              <w:rPr>
                <w:rFonts w:ascii="Arial" w:cs="Arial" w:eastAsia="Arial" w:hAnsi="Arial"/>
                <w:sz w:val="18"/>
                <w:szCs w:val="18"/>
                <w:b w:val="1"/>
                <w:bCs w:val="1"/>
                <w:color w:val="auto"/>
                <w:w w:val="96"/>
              </w:rPr>
              <w:t>inTEST CORPORATION</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gridSpan w:val="6"/>
          </w:tcPr>
          <w:p>
            <w:pPr>
              <w:jc w:val="center"/>
              <w:ind w:left="55"/>
              <w:spacing w:after="0"/>
              <w:rPr>
                <w:sz w:val="20"/>
                <w:szCs w:val="20"/>
                <w:color w:val="auto"/>
              </w:rPr>
            </w:pPr>
            <w:r>
              <w:rPr>
                <w:rFonts w:ascii="Arial" w:cs="Arial" w:eastAsia="Arial" w:hAnsi="Arial"/>
                <w:sz w:val="18"/>
                <w:szCs w:val="18"/>
                <w:b w:val="1"/>
                <w:bCs w:val="1"/>
                <w:color w:val="auto"/>
                <w:w w:val="98"/>
              </w:rPr>
              <w:t>CONSOLIDATED STATEMENT OF STOCKHOLDERS' EQUITY</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940" w:type="dxa"/>
            <w:vAlign w:val="bottom"/>
            <w:gridSpan w:val="4"/>
          </w:tcPr>
          <w:p>
            <w:pPr>
              <w:jc w:val="center"/>
              <w:ind w:right="1139"/>
              <w:spacing w:after="0"/>
              <w:rPr>
                <w:sz w:val="20"/>
                <w:szCs w:val="20"/>
                <w:color w:val="auto"/>
              </w:rPr>
            </w:pPr>
            <w:r>
              <w:rPr>
                <w:rFonts w:ascii="Arial" w:cs="Arial" w:eastAsia="Arial" w:hAnsi="Arial"/>
                <w:sz w:val="18"/>
                <w:szCs w:val="18"/>
                <w:color w:val="auto"/>
                <w:w w:val="85"/>
              </w:rPr>
              <w:t>(In thousands, except share data)</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gridSpan w:val="2"/>
          </w:tcPr>
          <w:p>
            <w:pPr>
              <w:jc w:val="center"/>
              <w:ind w:right="259"/>
              <w:spacing w:after="0"/>
              <w:rPr>
                <w:sz w:val="20"/>
                <w:szCs w:val="20"/>
                <w:color w:val="auto"/>
              </w:rPr>
            </w:pPr>
            <w:r>
              <w:rPr>
                <w:rFonts w:ascii="Arial" w:cs="Arial" w:eastAsia="Arial" w:hAnsi="Arial"/>
                <w:sz w:val="18"/>
                <w:szCs w:val="18"/>
                <w:color w:val="auto"/>
                <w:w w:val="91"/>
              </w:rPr>
              <w:t>(Unaudited)</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Courier New" w:cs="Courier New" w:eastAsia="Courier New" w:hAnsi="Courier New"/>
                <w:sz w:val="12"/>
                <w:szCs w:val="12"/>
                <w:color w:val="auto"/>
              </w:rPr>
              <w:t>Accumulated</w:t>
            </w:r>
          </w:p>
        </w:tc>
        <w:tc>
          <w:tcPr>
            <w:tcW w:w="680" w:type="dxa"/>
            <w:vAlign w:val="bottom"/>
          </w:tcPr>
          <w:p>
            <w:pPr>
              <w:spacing w:after="0"/>
              <w:rPr>
                <w:sz w:val="24"/>
                <w:szCs w:val="24"/>
                <w:color w:val="auto"/>
              </w:rPr>
            </w:pPr>
          </w:p>
        </w:tc>
        <w:tc>
          <w:tcPr>
            <w:tcW w:w="1580" w:type="dxa"/>
            <w:vAlign w:val="bottom"/>
          </w:tcPr>
          <w:p>
            <w:pPr>
              <w:jc w:val="right"/>
              <w:ind w:right="1139"/>
              <w:spacing w:after="0"/>
              <w:rPr>
                <w:sz w:val="20"/>
                <w:szCs w:val="20"/>
                <w:color w:val="auto"/>
              </w:rPr>
            </w:pPr>
            <w:r>
              <w:rPr>
                <w:rFonts w:ascii="Courier New" w:cs="Courier New" w:eastAsia="Courier New" w:hAnsi="Courier New"/>
                <w:sz w:val="12"/>
                <w:szCs w:val="12"/>
                <w:color w:val="auto"/>
                <w:w w:val="99"/>
              </w:rPr>
              <w:t>Total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700" w:type="dxa"/>
            <w:vAlign w:val="bottom"/>
          </w:tcPr>
          <w:p>
            <w:pPr>
              <w:spacing w:after="0"/>
              <w:rPr>
                <w:sz w:val="11"/>
                <w:szCs w:val="11"/>
                <w:color w:val="auto"/>
              </w:rPr>
            </w:pPr>
          </w:p>
        </w:tc>
        <w:tc>
          <w:tcPr>
            <w:tcW w:w="980" w:type="dxa"/>
            <w:vAlign w:val="bottom"/>
          </w:tcPr>
          <w:p>
            <w:pPr>
              <w:jc w:val="right"/>
              <w:ind w:right="254"/>
              <w:spacing w:after="0"/>
              <w:rPr>
                <w:sz w:val="20"/>
                <w:szCs w:val="20"/>
                <w:color w:val="auto"/>
              </w:rPr>
            </w:pPr>
            <w:r>
              <w:rPr>
                <w:rFonts w:ascii="Courier New" w:cs="Courier New" w:eastAsia="Courier New" w:hAnsi="Courier New"/>
                <w:sz w:val="12"/>
                <w:szCs w:val="12"/>
                <w:color w:val="auto"/>
              </w:rPr>
              <w:t>Other</w:t>
            </w:r>
          </w:p>
        </w:tc>
        <w:tc>
          <w:tcPr>
            <w:tcW w:w="680" w:type="dxa"/>
            <w:vAlign w:val="bottom"/>
          </w:tcPr>
          <w:p>
            <w:pPr>
              <w:spacing w:after="0"/>
              <w:rPr>
                <w:sz w:val="11"/>
                <w:szCs w:val="11"/>
                <w:color w:val="auto"/>
              </w:rPr>
            </w:pPr>
          </w:p>
        </w:tc>
        <w:tc>
          <w:tcPr>
            <w:tcW w:w="158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Stock-</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Paid-In</w:t>
            </w:r>
          </w:p>
        </w:tc>
        <w:tc>
          <w:tcPr>
            <w:tcW w:w="3940" w:type="dxa"/>
            <w:vAlign w:val="bottom"/>
            <w:gridSpan w:val="4"/>
          </w:tcPr>
          <w:p>
            <w:pPr>
              <w:ind w:left="40"/>
              <w:spacing w:after="0"/>
              <w:rPr>
                <w:sz w:val="20"/>
                <w:szCs w:val="20"/>
                <w:color w:val="auto"/>
              </w:rPr>
            </w:pPr>
            <w:r>
              <w:rPr>
                <w:rFonts w:ascii="Courier New" w:cs="Courier New" w:eastAsia="Courier New" w:hAnsi="Courier New"/>
                <w:sz w:val="12"/>
                <w:szCs w:val="12"/>
                <w:color w:val="auto"/>
              </w:rPr>
              <w:t>Retained Comprehensive Treasury holders'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Shares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Amount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ind w:left="40"/>
              <w:spacing w:after="0"/>
              <w:rPr>
                <w:sz w:val="20"/>
                <w:szCs w:val="20"/>
                <w:color w:val="auto"/>
              </w:rPr>
            </w:pPr>
            <w:r>
              <w:rPr>
                <w:rFonts w:ascii="Courier New" w:cs="Courier New" w:eastAsia="Courier New" w:hAnsi="Courier New"/>
                <w:sz w:val="12"/>
                <w:szCs w:val="12"/>
                <w:color w:val="auto"/>
              </w:rPr>
              <w:t>Earnings</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Earnings</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Stock</w:t>
            </w:r>
          </w:p>
        </w:tc>
        <w:tc>
          <w:tcPr>
            <w:tcW w:w="158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Equity</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6020" w:type="dxa"/>
            <w:vAlign w:val="bottom"/>
            <w:gridSpan w:val="7"/>
          </w:tcPr>
          <w:p>
            <w:pPr>
              <w:jc w:val="right"/>
              <w:ind w:right="999"/>
              <w:spacing w:after="0"/>
              <w:rPr>
                <w:sz w:val="20"/>
                <w:szCs w:val="20"/>
                <w:color w:val="auto"/>
              </w:rPr>
            </w:pPr>
            <w:r>
              <w:rPr>
                <w:rFonts w:ascii="Courier New" w:cs="Courier New" w:eastAsia="Courier New" w:hAnsi="Courier New"/>
                <w:sz w:val="12"/>
                <w:szCs w:val="12"/>
                <w:color w:val="auto"/>
              </w:rPr>
              <w:t>---------- ------ ---------- -------- ------------- -------- -------</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Courier New" w:cs="Courier New" w:eastAsia="Courier New" w:hAnsi="Courier New"/>
                <w:sz w:val="12"/>
                <w:szCs w:val="12"/>
                <w:color w:val="auto"/>
              </w:rPr>
              <w:t>Balance, January 1, 2013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10,453,255</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$26,030</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$636</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$1,253</w:t>
            </w:r>
          </w:p>
        </w:tc>
        <w:tc>
          <w:tcPr>
            <w:tcW w:w="6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$(204)</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w w:val="99"/>
              </w:rPr>
              <w:t>$27,820</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292</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292</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4"/>
              <w:spacing w:after="0"/>
              <w:rPr>
                <w:sz w:val="20"/>
                <w:szCs w:val="20"/>
                <w:color w:val="auto"/>
              </w:rPr>
            </w:pPr>
            <w:r>
              <w:rPr>
                <w:rFonts w:ascii="Courier New" w:cs="Courier New" w:eastAsia="Courier New" w:hAnsi="Courier New"/>
                <w:sz w:val="12"/>
                <w:szCs w:val="12"/>
                <w:color w:val="auto"/>
              </w:rPr>
              <w:t>(62)</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(62)</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rPr>
              <w:t>to restricted stock</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27</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27</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2"/>
                <w:szCs w:val="12"/>
                <w:color w:val="auto"/>
              </w:rPr>
              <w:t>Issuance of non-vested shares</w:t>
            </w: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20,000</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30</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2"/>
                <w:szCs w:val="12"/>
                <w:color w:val="auto"/>
              </w:rPr>
              <w:t>Balance, March 31, 2013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10,483,255</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$26,087</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$928</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$1,191</w:t>
            </w:r>
          </w:p>
        </w:tc>
        <w:tc>
          <w:tcPr>
            <w:tcW w:w="6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$(204)</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w w:val="99"/>
              </w:rPr>
              <w:t>$28,107</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7"/>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3"/>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94"/>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82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40" w:type="dxa"/>
            <w:vAlign w:val="bottom"/>
            <w:gridSpan w:val="6"/>
          </w:tcPr>
          <w:p>
            <w:pPr>
              <w:jc w:val="center"/>
              <w:ind w:left="55"/>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center"/>
              <w:ind w:left="294"/>
              <w:spacing w:after="0"/>
              <w:rPr>
                <w:sz w:val="20"/>
                <w:szCs w:val="20"/>
                <w:color w:val="auto"/>
              </w:rPr>
            </w:pPr>
            <w:r>
              <w:rPr>
                <w:rFonts w:ascii="Arial" w:cs="Arial" w:eastAsia="Arial" w:hAnsi="Arial"/>
                <w:sz w:val="18"/>
                <w:szCs w:val="18"/>
                <w:color w:val="auto"/>
                <w:w w:val="93"/>
              </w:rPr>
              <w:t>- 4 -</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1"/>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60" w:type="dxa"/>
            <w:vAlign w:val="bottom"/>
            <w:gridSpan w:val="3"/>
          </w:tcPr>
          <w:p>
            <w:pPr>
              <w:jc w:val="center"/>
              <w:ind w:left="333"/>
              <w:spacing w:after="0"/>
              <w:rPr>
                <w:sz w:val="20"/>
                <w:szCs w:val="20"/>
                <w:color w:val="auto"/>
              </w:rPr>
            </w:pPr>
            <w:r>
              <w:rPr>
                <w:rFonts w:ascii="Arial" w:cs="Arial" w:eastAsia="Arial" w:hAnsi="Arial"/>
                <w:sz w:val="18"/>
                <w:szCs w:val="18"/>
                <w:b w:val="1"/>
                <w:bCs w:val="1"/>
                <w:color w:val="auto"/>
                <w:w w:val="96"/>
              </w:rPr>
              <w:t>inTEST CORPORATION</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40" w:type="dxa"/>
            <w:vAlign w:val="bottom"/>
            <w:gridSpan w:val="5"/>
          </w:tcPr>
          <w:p>
            <w:pPr>
              <w:jc w:val="center"/>
              <w:ind w:right="319"/>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gridSpan w:val="2"/>
          </w:tcPr>
          <w:p>
            <w:pPr>
              <w:jc w:val="center"/>
              <w:ind w:right="259"/>
              <w:spacing w:after="0"/>
              <w:rPr>
                <w:sz w:val="20"/>
                <w:szCs w:val="20"/>
                <w:color w:val="auto"/>
              </w:rPr>
            </w:pPr>
            <w:r>
              <w:rPr>
                <w:rFonts w:ascii="Arial" w:cs="Arial" w:eastAsia="Arial" w:hAnsi="Arial"/>
                <w:sz w:val="18"/>
                <w:szCs w:val="18"/>
                <w:color w:val="auto"/>
                <w:w w:val="88"/>
              </w:rPr>
              <w:t>(In thousands)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gridSpan w:val="2"/>
          </w:tcPr>
          <w:p>
            <w:pPr>
              <w:jc w:val="right"/>
              <w:ind w:right="539"/>
              <w:spacing w:after="0"/>
              <w:rPr>
                <w:sz w:val="20"/>
                <w:szCs w:val="20"/>
                <w:color w:val="auto"/>
              </w:rPr>
            </w:pPr>
            <w:r>
              <w:rPr>
                <w:rFonts w:ascii="Arial" w:cs="Arial" w:eastAsia="Arial" w:hAnsi="Arial"/>
                <w:sz w:val="18"/>
                <w:szCs w:val="18"/>
                <w:color w:val="auto"/>
              </w:rPr>
              <w:t>(Unaudited)</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gridSpan w:val="3"/>
          </w:tcPr>
          <w:p>
            <w:pPr>
              <w:ind w:left="880"/>
              <w:spacing w:after="0"/>
              <w:rPr>
                <w:sz w:val="20"/>
                <w:szCs w:val="20"/>
                <w:color w:val="auto"/>
              </w:rPr>
            </w:pPr>
            <w:r>
              <w:rPr>
                <w:rFonts w:ascii="Courier New" w:cs="Courier New" w:eastAsia="Courier New" w:hAnsi="Courier New"/>
                <w:sz w:val="12"/>
                <w:szCs w:val="12"/>
                <w:color w:val="auto"/>
              </w:rPr>
              <w:t>Three Months Ended</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March 31,</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40" w:type="dxa"/>
            <w:vAlign w:val="bottom"/>
            <w:gridSpan w:val="3"/>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2013</w:t>
            </w:r>
          </w:p>
        </w:tc>
        <w:tc>
          <w:tcPr>
            <w:tcW w:w="1580" w:type="dxa"/>
            <w:vAlign w:val="bottom"/>
          </w:tcPr>
          <w:p>
            <w:pPr>
              <w:jc w:val="right"/>
              <w:ind w:right="1059"/>
              <w:spacing w:after="0"/>
              <w:rPr>
                <w:sz w:val="20"/>
                <w:szCs w:val="20"/>
                <w:color w:val="auto"/>
              </w:rPr>
            </w:pPr>
            <w:r>
              <w:rPr>
                <w:rFonts w:ascii="Courier New" w:cs="Courier New" w:eastAsia="Courier New" w:hAnsi="Courier New"/>
                <w:sz w:val="12"/>
                <w:szCs w:val="12"/>
                <w:color w:val="auto"/>
              </w:rPr>
              <w:t>2012</w:t>
            </w:r>
          </w:p>
        </w:tc>
        <w:tc>
          <w:tcPr>
            <w:tcW w:w="0" w:type="dxa"/>
            <w:vAlign w:val="bottom"/>
          </w:tcPr>
          <w:p>
            <w:pPr>
              <w:spacing w:after="0"/>
              <w:rPr>
                <w:sz w:val="1"/>
                <w:szCs w:val="1"/>
                <w:color w:val="auto"/>
              </w:rPr>
            </w:pPr>
          </w:p>
        </w:tc>
      </w:tr>
      <w:tr>
        <w:trPr>
          <w:trHeight w:val="137"/>
        </w:trPr>
        <w:tc>
          <w:tcPr>
            <w:tcW w:w="3040" w:type="dxa"/>
            <w:vAlign w:val="bottom"/>
            <w:gridSpan w:val="2"/>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30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Net earnings (loss)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80"/>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292</w:t>
            </w:r>
          </w:p>
        </w:tc>
        <w:tc>
          <w:tcPr>
            <w:tcW w:w="158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   (43)</w:t>
            </w:r>
          </w:p>
        </w:tc>
        <w:tc>
          <w:tcPr>
            <w:tcW w:w="0" w:type="dxa"/>
            <w:vAlign w:val="bottom"/>
          </w:tcPr>
          <w:p>
            <w:pPr>
              <w:spacing w:after="0"/>
              <w:rPr>
                <w:sz w:val="1"/>
                <w:szCs w:val="1"/>
                <w:color w:val="auto"/>
              </w:rPr>
            </w:pPr>
          </w:p>
        </w:tc>
      </w:tr>
      <w:tr>
        <w:trPr>
          <w:trHeight w:val="135"/>
        </w:trPr>
        <w:tc>
          <w:tcPr>
            <w:tcW w:w="5040" w:type="dxa"/>
            <w:vAlign w:val="bottom"/>
            <w:gridSpan w:val="5"/>
          </w:tcPr>
          <w:p>
            <w:pPr>
              <w:spacing w:after="0"/>
              <w:rPr>
                <w:sz w:val="20"/>
                <w:szCs w:val="20"/>
                <w:color w:val="auto"/>
              </w:rPr>
            </w:pPr>
            <w:r>
              <w:rPr>
                <w:rFonts w:ascii="Courier New" w:cs="Courier New" w:eastAsia="Courier New" w:hAnsi="Courier New"/>
                <w:sz w:val="12"/>
                <w:szCs w:val="12"/>
                <w:color w:val="auto"/>
              </w:rPr>
              <w:t>Adjustments to reconcile net earnings (loss) to net cash used in</w:t>
            </w: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w w:val="99"/>
              </w:rPr>
              <w:t>Depreciation and amortization</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221</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218</w:t>
            </w:r>
          </w:p>
        </w:tc>
        <w:tc>
          <w:tcPr>
            <w:tcW w:w="0" w:type="dxa"/>
            <w:vAlign w:val="bottom"/>
          </w:tcPr>
          <w:p>
            <w:pPr>
              <w:spacing w:after="0"/>
              <w:rPr>
                <w:sz w:val="1"/>
                <w:szCs w:val="1"/>
                <w:color w:val="auto"/>
              </w:rPr>
            </w:pPr>
          </w:p>
        </w:tc>
      </w:tr>
      <w:tr>
        <w:trPr>
          <w:trHeight w:val="135"/>
        </w:trPr>
        <w:tc>
          <w:tcPr>
            <w:tcW w:w="35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110</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150</w:t>
            </w: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 loss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w:t>
            </w:r>
          </w:p>
        </w:tc>
        <w:tc>
          <w:tcPr>
            <w:tcW w:w="158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504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98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27</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27</w:t>
            </w:r>
          </w:p>
        </w:tc>
        <w:tc>
          <w:tcPr>
            <w:tcW w:w="0" w:type="dxa"/>
            <w:vAlign w:val="bottom"/>
          </w:tcPr>
          <w:p>
            <w:pPr>
              <w:spacing w:after="0"/>
              <w:rPr>
                <w:sz w:val="1"/>
                <w:szCs w:val="1"/>
                <w:color w:val="auto"/>
              </w:rPr>
            </w:pPr>
          </w:p>
        </w:tc>
      </w:tr>
      <w:tr>
        <w:trPr>
          <w:trHeight w:val="137"/>
        </w:trPr>
        <w:tc>
          <w:tcPr>
            <w:tcW w:w="30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5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bl>
    <w:p>
      <w:pPr>
        <w:sectPr>
          <w:pgSz w:w="11900" w:h="16838" w:orient="portrait"/>
          <w:cols w:equalWidth="0" w:num="1">
            <w:col w:w="10219"/>
          </w:cols>
          <w:pgMar w:left="240" w:top="347" w:right="1440" w:bottom="0" w:gutter="0" w:footer="0" w:header="0"/>
          <w:type w:val="continuous"/>
        </w:sectPr>
      </w:pPr>
    </w:p>
    <w:bookmarkStart w:id="4" w:name="page5"/>
    <w:bookmarkEnd w:id="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52</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 (benefit)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(300)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(574)</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(395)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(187)</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833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(576)</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(58)</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Deferred revenue and customer deposits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(49)</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199</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operating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(134)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Acquisition of business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(3,802)</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(44)</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(3,802)</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stock options exercised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(44)</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all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(192)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(3,856)</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15,576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13,957</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$15,384</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$10,101</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113</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w:t>
            </w:r>
          </w:p>
        </w:tc>
      </w:tr>
      <w:tr>
        <w:trPr>
          <w:trHeight w:val="137"/>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$ 4,026</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r>
      <w:tr>
        <w:trPr>
          <w:trHeight w:val="135"/>
        </w:trPr>
        <w:tc>
          <w:tcPr>
            <w:tcW w:w="5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ind w:left="380"/>
              <w:spacing w:after="0"/>
              <w:rPr>
                <w:sz w:val="20"/>
                <w:szCs w:val="20"/>
                <w:color w:val="auto"/>
              </w:rPr>
            </w:pPr>
            <w:r>
              <w:rPr>
                <w:rFonts w:ascii="Courier New" w:cs="Courier New" w:eastAsia="Courier New" w:hAnsi="Courier New"/>
                <w:sz w:val="12"/>
                <w:szCs w:val="12"/>
                <w:color w:val="auto"/>
              </w:rPr>
              <w:t>Net cash paid for acquisition</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$ 3,802</w:t>
            </w:r>
          </w:p>
        </w:tc>
      </w:tr>
      <w:tr>
        <w:trPr>
          <w:trHeight w:val="137"/>
        </w:trPr>
        <w:tc>
          <w:tcPr>
            <w:tcW w:w="5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7"/>
        </w:trPr>
        <w:tc>
          <w:tcPr>
            <w:tcW w:w="556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59</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energy and telecommunications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6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and the other industries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318"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w:t>
      </w:r>
    </w:p>
    <w:p>
      <w:pPr>
        <w:sectPr>
          <w:pgSz w:w="11900" w:h="16897" w:orient="portrait"/>
          <w:cols w:equalWidth="0" w:num="1">
            <w:col w:w="11400"/>
          </w:cols>
          <w:pgMar w:left="240" w:top="132" w:right="259" w:bottom="0" w:gutter="0" w:footer="0" w:header="0"/>
        </w:sectPr>
      </w:pPr>
    </w:p>
    <w:bookmarkStart w:id="5" w:name="page6"/>
    <w:bookmarkEnd w:id="5"/>
    <w:p>
      <w:pPr>
        <w:ind w:left="532"/>
        <w:spacing w:after="0"/>
        <w:rPr>
          <w:sz w:val="20"/>
          <w:szCs w:val="20"/>
          <w:color w:val="auto"/>
        </w:rPr>
      </w:pPr>
      <w:r>
        <w:rPr>
          <w:rFonts w:ascii="Arial" w:cs="Arial" w:eastAsia="Arial" w:hAnsi="Arial"/>
          <w:sz w:val="18"/>
          <w:szCs w:val="18"/>
          <w:color w:val="auto"/>
        </w:rPr>
        <w:t>intangibles, deferred income tax valuation allowances and product warranty reserves, are particularly impacted by estimates.</w:t>
      </w:r>
    </w:p>
    <w:p>
      <w:pPr>
        <w:spacing w:after="0" w:line="225"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2012 filed with the Securities and Exchange Commission on March 29, 2013 (the "2012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Inventories are valued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excess and obsolete inventory charges we record establish a new cost basis for the related inventories. We incurred excess and obsolete inventory charges of $110 and $150 for the three months ended March 31, 2013 and 2012,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if any,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32"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392"/>
          </w:cols>
          <w:pgMar w:left="248" w:top="131" w:right="259" w:bottom="0" w:gutter="0" w:footer="0" w:header="0"/>
        </w:sectPr>
      </w:pPr>
    </w:p>
    <w:bookmarkStart w:id="6" w:name="page7"/>
    <w:bookmarkEnd w:id="6"/>
    <w:p>
      <w:pPr>
        <w:spacing w:after="0" w:line="7"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quarter ended March 31, 2013.</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10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200" w:lineRule="exact"/>
        <w:rPr>
          <w:sz w:val="20"/>
          <w:szCs w:val="20"/>
          <w:color w:val="auto"/>
        </w:rPr>
      </w:pPr>
    </w:p>
    <w:p>
      <w:pPr>
        <w:spacing w:after="0" w:line="3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3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32" w:right="20"/>
        <w:spacing w:after="0" w:line="323" w:lineRule="auto"/>
        <w:rPr>
          <w:sz w:val="20"/>
          <w:szCs w:val="20"/>
          <w:color w:val="auto"/>
        </w:rPr>
      </w:pPr>
      <w:r>
        <w:rPr>
          <w:rFonts w:ascii="Arial" w:cs="Arial" w:eastAsia="Arial" w:hAnsi="Arial"/>
          <w:sz w:val="15"/>
          <w:szCs w:val="15"/>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w:t>
      </w:r>
    </w:p>
    <w:p>
      <w:pPr>
        <w:sectPr>
          <w:pgSz w:w="11900" w:h="16845" w:orient="portrait"/>
          <w:cols w:equalWidth="0" w:num="1">
            <w:col w:w="11392"/>
          </w:cols>
          <w:pgMar w:left="248" w:top="341" w:right="259" w:bottom="0" w:gutter="0" w:footer="0" w:header="0"/>
        </w:sectPr>
      </w:pPr>
    </w:p>
    <w:bookmarkStart w:id="7" w:name="page8"/>
    <w:bookmarkEnd w:id="7"/>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dilutive.</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64" w:lineRule="exact"/>
        <w:rPr>
          <w:sz w:val="20"/>
          <w:szCs w:val="20"/>
          <w:color w:val="auto"/>
        </w:rPr>
      </w:pPr>
    </w:p>
    <w:p>
      <w:pPr>
        <w:ind w:left="6700"/>
        <w:spacing w:after="0"/>
        <w:rPr>
          <w:sz w:val="20"/>
          <w:szCs w:val="20"/>
          <w:color w:val="auto"/>
        </w:rPr>
      </w:pPr>
      <w:r>
        <w:rPr>
          <w:rFonts w:ascii="Arial" w:cs="Arial" w:eastAsia="Arial" w:hAnsi="Arial"/>
          <w:sz w:val="14"/>
          <w:szCs w:val="14"/>
          <w:b w:val="1"/>
          <w:bCs w:val="1"/>
          <w:i w:val="1"/>
          <w:iCs w:val="1"/>
          <w:color w:val="auto"/>
        </w:rPr>
        <w:t>Three Months Ended</w:t>
      </w:r>
    </w:p>
    <w:p>
      <w:pPr>
        <w:ind w:left="698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-16510</wp:posOffset>
            </wp:positionV>
            <wp:extent cx="688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5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2013</w:t>
            </w:r>
          </w:p>
        </w:tc>
        <w:tc>
          <w:tcPr>
            <w:tcW w:w="26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2012</w:t>
            </w:r>
          </w:p>
        </w:tc>
        <w:tc>
          <w:tcPr>
            <w:tcW w:w="260" w:type="dxa"/>
            <w:vAlign w:val="bottom"/>
          </w:tcPr>
          <w:p>
            <w:pPr>
              <w:spacing w:after="0"/>
              <w:rPr>
                <w:sz w:val="12"/>
                <w:szCs w:val="12"/>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10,327,428</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88"/>
              </w:rPr>
              <w:t>10,205,114</w:t>
            </w:r>
          </w:p>
        </w:tc>
      </w:tr>
      <w:tr>
        <w:trPr>
          <w:trHeight w:val="459"/>
        </w:trPr>
        <w:tc>
          <w:tcPr>
            <w:tcW w:w="59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1"/>
        </w:trPr>
        <w:tc>
          <w:tcPr>
            <w:tcW w:w="592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38,884</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71"/>
        </w:trPr>
        <w:tc>
          <w:tcPr>
            <w:tcW w:w="592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w:t>
            </w: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r>
      <w:tr>
        <w:trPr>
          <w:trHeight w:val="184"/>
        </w:trPr>
        <w:tc>
          <w:tcPr>
            <w:tcW w:w="5920" w:type="dxa"/>
            <w:vAlign w:val="bottom"/>
          </w:tcPr>
          <w:p>
            <w:pPr>
              <w:ind w:left="80"/>
              <w:spacing w:after="0" w:line="184" w:lineRule="exact"/>
              <w:rPr>
                <w:sz w:val="20"/>
                <w:szCs w:val="20"/>
                <w:color w:val="auto"/>
              </w:rPr>
            </w:pPr>
            <w:r>
              <w:rPr>
                <w:rFonts w:ascii="Arial" w:cs="Arial" w:eastAsia="Arial" w:hAnsi="Arial"/>
                <w:sz w:val="18"/>
                <w:szCs w:val="18"/>
                <w:color w:val="auto"/>
              </w:rPr>
              <w:t>outstanding -- diluted</w:t>
            </w:r>
          </w:p>
        </w:tc>
        <w:tc>
          <w:tcPr>
            <w:tcW w:w="80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86"/>
              </w:rPr>
              <w:t>10,366.</w:t>
            </w:r>
            <w:r>
              <w:rPr>
                <w:rFonts w:ascii="Arial" w:cs="Arial" w:eastAsia="Arial" w:hAnsi="Arial"/>
                <w:sz w:val="18"/>
                <w:szCs w:val="18"/>
                <w:u w:val="single" w:color="auto"/>
                <w:color w:val="auto"/>
                <w:w w:val="86"/>
              </w:rPr>
              <w:t>312</w:t>
            </w:r>
          </w:p>
        </w:tc>
        <w:tc>
          <w:tcPr>
            <w:tcW w:w="82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8"/>
              </w:rPr>
              <w:t>10,205,114</w:t>
            </w:r>
          </w:p>
        </w:tc>
      </w:tr>
      <w:tr>
        <w:trPr>
          <w:trHeight w:val="869"/>
        </w:trPr>
        <w:tc>
          <w:tcPr>
            <w:tcW w:w="592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 from calculation</w:t>
            </w: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28,750</w:t>
            </w:r>
          </w:p>
        </w:tc>
        <w:tc>
          <w:tcPr>
            <w:tcW w:w="40" w:type="dxa"/>
            <w:vAlign w:val="bottom"/>
          </w:tcPr>
          <w:p>
            <w:pPr>
              <w:spacing w:after="0"/>
              <w:rPr>
                <w:sz w:val="24"/>
                <w:szCs w:val="24"/>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421,472</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July 2012, the FASB issued amendments to existing guidance on the assessment of impairment for indefinite-lived intangible assets other than goodwill. The amendments permit an entity first to assess qualitative factors to determine whether it is more likely than not that an indefinite-lived intangible asset is impaired as a basis for determining whether it is necessary to perform the quantitative impairment test. If an entity believes, as a result of its qualitative assessment, that it is more-likely-than-not that the fair value is less than its carrying amount, the quantitative impairment test is required. Otherwise, no further testing is required. The amendments are effective for annual and interim impairment tests performed for fiscal years beginning after September 15, 2012. However, an entity can choose to adopt this guidance early even if its annual test date is before the issuance of the final standard, provided that the entity has not yet issued its financial statements for the most recent annual or interim period. We adopted these amendments on January 1, 2013. The adoption of these amendments did not have a material impact on our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89" w:lineRule="auto"/>
        <w:rPr>
          <w:sz w:val="20"/>
          <w:szCs w:val="20"/>
          <w:color w:val="auto"/>
        </w:rPr>
      </w:pPr>
      <w:r>
        <w:rPr>
          <w:rFonts w:ascii="Arial" w:cs="Arial" w:eastAsia="Arial" w:hAnsi="Arial"/>
          <w:sz w:val="16"/>
          <w:szCs w:val="16"/>
          <w:color w:val="auto"/>
        </w:rPr>
        <w:t>In February 2013, the FASB issued amendments to existing guidance on the accounting for accumulated other comprehensive income. The amendments require entities to provide information about the amounts reclassified out of accumulated other comprehensive income by component. In addition, an entity is required to present, either on the face of the financial statements or in the notes, significant amounts reclassified out of accumulated other comprehensive income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amendments are effective for annual and interim periods beginning after December 15, 2012. We adopted these amendments on January 1, 2013. The adoption of these amendments did not have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broadened the product line of inTEST's Thermal Products segment.</w:t>
      </w:r>
    </w:p>
    <w:p>
      <w:pPr>
        <w:spacing w:after="0" w:line="197"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occupied by Thermonics in Sunnyvale, California. This facility is owned by certain shareholders of the seller. We ceased operations at this facility in February 2012 and relocated the Thermonics product line to our facility in Mansfield, Massachusetts where our Temptronic operations are located. During 2012, we recorded a restructuring charge of $313 related to this action. See Note 5 for further detail regarding this charge.</w:t>
      </w:r>
    </w:p>
    <w:p>
      <w:pPr>
        <w:spacing w:after="0" w:line="170"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w:t>
      </w:r>
    </w:p>
    <w:p>
      <w:pPr>
        <w:sectPr>
          <w:pgSz w:w="11900" w:h="16850" w:orient="portrait"/>
          <w:cols w:equalWidth="0" w:num="1">
            <w:col w:w="11360"/>
          </w:cols>
          <w:pgMar w:left="240" w:top="131" w:right="299" w:bottom="0" w:gutter="0" w:footer="0" w:header="0"/>
        </w:sectPr>
      </w:pPr>
    </w:p>
    <w:bookmarkStart w:id="8" w:name="page9"/>
    <w:bookmarkEnd w:id="8"/>
    <w:p>
      <w:pPr>
        <w:ind w:left="540"/>
        <w:spacing w:after="0" w:line="306" w:lineRule="auto"/>
        <w:rPr>
          <w:sz w:val="20"/>
          <w:szCs w:val="20"/>
          <w:color w:val="auto"/>
        </w:rPr>
      </w:pPr>
      <w:r>
        <w:rPr>
          <w:rFonts w:ascii="Arial" w:cs="Arial" w:eastAsia="Arial" w:hAnsi="Arial"/>
          <w:sz w:val="16"/>
          <w:szCs w:val="16"/>
          <w:color w:val="auto"/>
        </w:rPr>
        <w:t>Thermonics. The excess of the purchase price over the identifiable intangible and net tangible assets in the amount of $50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860" w:type="dxa"/>
            <w:vAlign w:val="bottom"/>
          </w:tcPr>
          <w:p>
            <w:pPr>
              <w:spacing w:after="0"/>
              <w:rPr>
                <w:sz w:val="20"/>
                <w:szCs w:val="20"/>
                <w:color w:val="auto"/>
              </w:rPr>
            </w:pPr>
            <w:r>
              <w:rPr>
                <w:rFonts w:ascii="Arial" w:cs="Arial" w:eastAsia="Arial" w:hAnsi="Arial"/>
                <w:sz w:val="18"/>
                <w:szCs w:val="18"/>
                <w:color w:val="auto"/>
                <w:w w:val="99"/>
              </w:rPr>
              <w:t>The following represents the allocation of the purchase price:</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4860" w:type="dxa"/>
            <w:vAlign w:val="bottom"/>
          </w:tcPr>
          <w:p>
            <w:pPr>
              <w:ind w:left="560"/>
              <w:spacing w:after="0"/>
              <w:rPr>
                <w:sz w:val="20"/>
                <w:szCs w:val="20"/>
                <w:color w:val="auto"/>
              </w:rPr>
            </w:pPr>
            <w:r>
              <w:rPr>
                <w:rFonts w:ascii="Arial" w:cs="Arial" w:eastAsia="Arial" w:hAnsi="Arial"/>
                <w:sz w:val="18"/>
                <w:szCs w:val="18"/>
                <w:color w:val="auto"/>
              </w:rPr>
              <w:t>Goodwill</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   50</w:t>
            </w:r>
          </w:p>
        </w:tc>
      </w:tr>
      <w:tr>
        <w:trPr>
          <w:trHeight w:val="459"/>
        </w:trPr>
        <w:tc>
          <w:tcPr>
            <w:tcW w:w="4860" w:type="dxa"/>
            <w:vAlign w:val="bottom"/>
          </w:tcPr>
          <w:p>
            <w:pPr>
              <w:ind w:left="560"/>
              <w:spacing w:after="0"/>
              <w:rPr>
                <w:sz w:val="20"/>
                <w:szCs w:val="20"/>
                <w:color w:val="auto"/>
              </w:rPr>
            </w:pPr>
            <w:r>
              <w:rPr>
                <w:rFonts w:ascii="Arial" w:cs="Arial" w:eastAsia="Arial" w:hAnsi="Arial"/>
                <w:sz w:val="18"/>
                <w:szCs w:val="18"/>
                <w:color w:val="auto"/>
              </w:rPr>
              <w:t>Identifiable intangible assets</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1,728</w:t>
            </w:r>
          </w:p>
        </w:tc>
      </w:tr>
      <w:tr>
        <w:trPr>
          <w:trHeight w:val="459"/>
        </w:trPr>
        <w:tc>
          <w:tcPr>
            <w:tcW w:w="486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86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1,161</w:t>
            </w:r>
          </w:p>
        </w:tc>
      </w:tr>
      <w:tr>
        <w:trPr>
          <w:trHeight w:val="459"/>
        </w:trPr>
        <w:tc>
          <w:tcPr>
            <w:tcW w:w="48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874</w:t>
            </w:r>
          </w:p>
        </w:tc>
      </w:tr>
      <w:tr>
        <w:trPr>
          <w:trHeight w:val="459"/>
        </w:trPr>
        <w:tc>
          <w:tcPr>
            <w:tcW w:w="4860" w:type="dxa"/>
            <w:vAlign w:val="bottom"/>
          </w:tcPr>
          <w:p>
            <w:pPr>
              <w:ind w:left="700"/>
              <w:spacing w:after="0"/>
              <w:rPr>
                <w:sz w:val="20"/>
                <w:szCs w:val="20"/>
                <w:color w:val="auto"/>
              </w:rPr>
            </w:pPr>
            <w:r>
              <w:rPr>
                <w:rFonts w:ascii="Arial" w:cs="Arial" w:eastAsia="Arial" w:hAnsi="Arial"/>
                <w:sz w:val="18"/>
                <w:szCs w:val="18"/>
                <w:color w:val="auto"/>
              </w:rPr>
              <w:t>Property and equipment</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263</w:t>
            </w:r>
          </w:p>
        </w:tc>
      </w:tr>
      <w:tr>
        <w:trPr>
          <w:trHeight w:val="459"/>
        </w:trPr>
        <w:tc>
          <w:tcPr>
            <w:tcW w:w="486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860" w:type="dxa"/>
            <w:vAlign w:val="bottom"/>
          </w:tcPr>
          <w:p>
            <w:pPr>
              <w:ind w:left="680"/>
              <w:spacing w:after="0"/>
              <w:rPr>
                <w:sz w:val="20"/>
                <w:szCs w:val="20"/>
                <w:color w:val="auto"/>
              </w:rPr>
            </w:pPr>
            <w:r>
              <w:rPr>
                <w:rFonts w:ascii="Arial" w:cs="Arial" w:eastAsia="Arial" w:hAnsi="Arial"/>
                <w:sz w:val="18"/>
                <w:szCs w:val="18"/>
                <w:color w:val="auto"/>
              </w:rPr>
              <w:t>Accrued non-compete/non-solicitation payments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860" w:type="dxa"/>
            <w:vAlign w:val="bottom"/>
          </w:tcPr>
          <w:p>
            <w:pPr>
              <w:ind w:left="680"/>
              <w:spacing w:after="0"/>
              <w:rPr>
                <w:sz w:val="20"/>
                <w:szCs w:val="20"/>
                <w:color w:val="auto"/>
              </w:rPr>
            </w:pPr>
            <w:r>
              <w:rPr>
                <w:rFonts w:ascii="Arial" w:cs="Arial" w:eastAsia="Arial" w:hAnsi="Arial"/>
                <w:sz w:val="18"/>
                <w:szCs w:val="18"/>
                <w:color w:val="auto"/>
              </w:rPr>
              <w:t>Accrued sales commissions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860" w:type="dxa"/>
            <w:vAlign w:val="bottom"/>
          </w:tcPr>
          <w:p>
            <w:pPr>
              <w:ind w:left="680"/>
              <w:spacing w:after="0"/>
              <w:rPr>
                <w:sz w:val="20"/>
                <w:szCs w:val="20"/>
                <w:color w:val="auto"/>
              </w:rPr>
            </w:pPr>
            <w:r>
              <w:rPr>
                <w:rFonts w:ascii="Arial" w:cs="Arial" w:eastAsia="Arial" w:hAnsi="Arial"/>
                <w:sz w:val="18"/>
                <w:szCs w:val="18"/>
                <w:color w:val="auto"/>
              </w:rPr>
              <w:t>Accrued warranty</w:t>
            </w:r>
          </w:p>
        </w:tc>
        <w:tc>
          <w:tcPr>
            <w:tcW w:w="580" w:type="dxa"/>
            <w:vAlign w:val="bottom"/>
            <w:gridSpan w:val="2"/>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86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560" w:type="dxa"/>
            <w:vAlign w:val="bottom"/>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3,802</w:t>
            </w: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370" w:lineRule="auto"/>
        <w:rPr>
          <w:sz w:val="20"/>
          <w:szCs w:val="20"/>
          <w:color w:val="auto"/>
        </w:rPr>
      </w:pPr>
      <w:r>
        <w:rPr>
          <w:rFonts w:ascii="Arial" w:cs="Arial" w:eastAsia="Arial" w:hAnsi="Arial"/>
          <w:sz w:val="15"/>
          <w:szCs w:val="15"/>
          <w:color w:val="auto"/>
        </w:rPr>
        <w:t>We estimated the fair value of identifiable intangible assets acquired using a combination of the income, cost and market approaches. The following table provides further information about the finite-lived intangible assets acquired in connection with the acquisition of Thermonics as of the acquisition date:</w:t>
      </w:r>
    </w:p>
    <w:p>
      <w:pPr>
        <w:spacing w:after="0" w:line="7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93"/>
              </w:rPr>
              <w:t>Fair</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6"/>
        </w:trPr>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Value</w:t>
            </w:r>
          </w:p>
        </w:tc>
        <w:tc>
          <w:tcPr>
            <w:tcW w:w="320" w:type="dxa"/>
            <w:vAlign w:val="bottom"/>
            <w:gridSpan w:val="2"/>
          </w:tcPr>
          <w:p>
            <w:pPr>
              <w:spacing w:after="0"/>
              <w:rPr>
                <w:sz w:val="12"/>
                <w:szCs w:val="12"/>
                <w:color w:val="auto"/>
              </w:rPr>
            </w:pPr>
          </w:p>
        </w:tc>
        <w:tc>
          <w:tcPr>
            <w:tcW w:w="6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Useful Life</w:t>
            </w:r>
          </w:p>
        </w:tc>
        <w:tc>
          <w:tcPr>
            <w:tcW w:w="20" w:type="dxa"/>
            <w:vAlign w:val="bottom"/>
          </w:tcPr>
          <w:p>
            <w:pPr>
              <w:spacing w:after="0"/>
              <w:rPr>
                <w:sz w:val="12"/>
                <w:szCs w:val="12"/>
                <w:color w:val="auto"/>
              </w:rPr>
            </w:pPr>
          </w:p>
        </w:tc>
      </w:tr>
      <w:tr>
        <w:trPr>
          <w:trHeight w:val="182"/>
        </w:trPr>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(in months)</w:t>
            </w:r>
          </w:p>
        </w:tc>
      </w:tr>
      <w:tr>
        <w:trPr>
          <w:trHeight w:val="296"/>
        </w:trPr>
        <w:tc>
          <w:tcPr>
            <w:tcW w:w="3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$1,110</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Customer backlog</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Thermonics trade name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Patented technology</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421"/>
        </w:trPr>
        <w:tc>
          <w:tcPr>
            <w:tcW w:w="388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4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39"/>
        </w:trPr>
        <w:tc>
          <w:tcPr>
            <w:tcW w:w="38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1,728</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78.3</w:t>
            </w:r>
          </w:p>
        </w:tc>
      </w:tr>
    </w:tbl>
    <w:p>
      <w:pPr>
        <w:spacing w:after="0" w:line="200" w:lineRule="exact"/>
        <w:rPr>
          <w:sz w:val="20"/>
          <w:szCs w:val="20"/>
          <w:color w:val="auto"/>
        </w:rPr>
      </w:pPr>
    </w:p>
    <w:p>
      <w:pPr>
        <w:spacing w:after="0" w:line="264" w:lineRule="exact"/>
        <w:rPr>
          <w:sz w:val="20"/>
          <w:szCs w:val="20"/>
          <w:color w:val="auto"/>
        </w:rPr>
      </w:pPr>
    </w:p>
    <w:p>
      <w:pPr>
        <w:ind w:left="540" w:right="180"/>
        <w:spacing w:after="0" w:line="370" w:lineRule="auto"/>
        <w:rPr>
          <w:sz w:val="20"/>
          <w:szCs w:val="20"/>
          <w:color w:val="auto"/>
        </w:rPr>
      </w:pPr>
      <w:r>
        <w:rPr>
          <w:rFonts w:ascii="Arial" w:cs="Arial" w:eastAsia="Arial" w:hAnsi="Arial"/>
          <w:sz w:val="15"/>
          <w:szCs w:val="15"/>
          <w:color w:val="auto"/>
        </w:rPr>
        <w:t>For the period from January 16, 2012 to March 31, 2012, Thermonics contributed $669 of net revenues. We do not track net income within our Thermal Products segment by product line. As a result, the net income for Thermonics for the period from January 16, 2012 to March 31, 2012 is not available.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1" w:lineRule="exact"/>
        <w:rPr>
          <w:sz w:val="20"/>
          <w:szCs w:val="20"/>
          <w:color w:val="auto"/>
        </w:rPr>
      </w:pPr>
    </w:p>
    <w:p>
      <w:pPr>
        <w:ind w:left="540" w:right="86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 January 2012. The acquisition of Thermonics is discussed further in Note 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three months ended March 31, 2013.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March 31, 2013 and December 31, 2012:</w:t>
      </w:r>
    </w:p>
    <w:p>
      <w:pPr>
        <w:sectPr>
          <w:pgSz w:w="11900" w:h="16838" w:orient="portrait"/>
          <w:cols w:equalWidth="0" w:num="1">
            <w:col w:w="11400"/>
          </w:cols>
          <w:pgMar w:left="240" w:top="131" w:right="25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i w:val="1"/>
                <w:iCs w:val="1"/>
                <w:color w:val="auto"/>
                <w:w w:val="88"/>
              </w:rPr>
              <w:t>March 31, 2013</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8"/>
        </w:trPr>
        <w:tc>
          <w:tcPr>
            <w:tcW w:w="4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tcPr>
          <w:p>
            <w:pPr>
              <w:jc w:val="center"/>
              <w:ind w:right="92"/>
              <w:spacing w:after="0"/>
              <w:rPr>
                <w:sz w:val="20"/>
                <w:szCs w:val="20"/>
                <w:color w:val="auto"/>
              </w:rPr>
            </w:pPr>
            <w:r>
              <w:rPr>
                <w:rFonts w:ascii="Arial" w:cs="Arial" w:eastAsia="Arial" w:hAnsi="Arial"/>
                <w:sz w:val="12"/>
                <w:szCs w:val="12"/>
                <w:b w:val="1"/>
                <w:bCs w:val="1"/>
                <w:i w:val="1"/>
                <w:iCs w:val="1"/>
                <w:color w:val="auto"/>
                <w:w w:val="80"/>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940"/>
              <w:spacing w:after="0" w:line="158" w:lineRule="exact"/>
              <w:rPr>
                <w:sz w:val="20"/>
                <w:szCs w:val="20"/>
                <w:color w:val="auto"/>
              </w:rPr>
            </w:pPr>
            <w:r>
              <w:rPr>
                <w:rFonts w:ascii="Arial" w:cs="Arial" w:eastAsia="Arial" w:hAnsi="Arial"/>
                <w:sz w:val="14"/>
                <w:szCs w:val="14"/>
                <w:b w:val="1"/>
                <w:bCs w:val="1"/>
                <w:i w:val="1"/>
                <w:iCs w:val="1"/>
                <w:color w:val="auto"/>
                <w:w w:val="79"/>
              </w:rPr>
              <w:t>Net</w:t>
            </w:r>
          </w:p>
        </w:tc>
      </w:tr>
      <w:tr>
        <w:trPr>
          <w:trHeight w:val="149"/>
        </w:trPr>
        <w:tc>
          <w:tcPr>
            <w:tcW w:w="4600" w:type="dxa"/>
            <w:vAlign w:val="bottom"/>
          </w:tcPr>
          <w:p>
            <w:pPr>
              <w:spacing w:after="0"/>
              <w:rPr>
                <w:sz w:val="12"/>
                <w:szCs w:val="12"/>
                <w:color w:val="auto"/>
              </w:rPr>
            </w:pPr>
          </w:p>
        </w:tc>
        <w:tc>
          <w:tcPr>
            <w:tcW w:w="1100" w:type="dxa"/>
            <w:vAlign w:val="bottom"/>
            <w:gridSpan w:val="6"/>
          </w:tcPr>
          <w:p>
            <w:pPr>
              <w:jc w:val="center"/>
              <w:ind w:left="357"/>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2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1"/>
              </w:rPr>
              <w:t>Accumulated</w:t>
            </w:r>
          </w:p>
        </w:tc>
        <w:tc>
          <w:tcPr>
            <w:tcW w:w="13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600" w:type="dxa"/>
            <w:vAlign w:val="bottom"/>
          </w:tcPr>
          <w:p>
            <w:pPr>
              <w:spacing w:after="0"/>
              <w:rPr>
                <w:sz w:val="12"/>
                <w:szCs w:val="12"/>
                <w:color w:val="auto"/>
              </w:rPr>
            </w:pPr>
          </w:p>
        </w:tc>
        <w:tc>
          <w:tcPr>
            <w:tcW w:w="1100" w:type="dxa"/>
            <w:vAlign w:val="bottom"/>
            <w:gridSpan w:val="6"/>
          </w:tcPr>
          <w:p>
            <w:pPr>
              <w:jc w:val="center"/>
              <w:ind w:left="377"/>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900" w:type="dxa"/>
            <w:vAlign w:val="bottom"/>
            <w:gridSpan w:val="5"/>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40" w:type="dxa"/>
            <w:vAlign w:val="bottom"/>
          </w:tcPr>
          <w:p>
            <w:pPr>
              <w:spacing w:after="0"/>
              <w:rPr>
                <w:sz w:val="12"/>
                <w:szCs w:val="12"/>
                <w:color w:val="auto"/>
              </w:rPr>
            </w:pPr>
          </w:p>
        </w:tc>
        <w:tc>
          <w:tcPr>
            <w:tcW w:w="1260" w:type="dxa"/>
            <w:vAlign w:val="bottom"/>
            <w:gridSpan w:val="4"/>
          </w:tcPr>
          <w:p>
            <w:pPr>
              <w:jc w:val="center"/>
              <w:ind w:right="82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600" w:type="dxa"/>
            <w:vAlign w:val="bottom"/>
          </w:tcPr>
          <w:p>
            <w:pPr>
              <w:ind w:left="1100"/>
              <w:spacing w:after="0"/>
              <w:rPr>
                <w:sz w:val="20"/>
                <w:szCs w:val="20"/>
                <w:color w:val="auto"/>
              </w:rPr>
            </w:pPr>
            <w:r>
              <w:rPr>
                <w:rFonts w:ascii="Arial" w:cs="Arial" w:eastAsia="Arial" w:hAnsi="Arial"/>
                <w:sz w:val="18"/>
                <w:szCs w:val="18"/>
                <w:color w:val="auto"/>
              </w:rPr>
              <w:t>Finite-lived intangible assets:</w:t>
            </w:r>
          </w:p>
        </w:tc>
        <w:tc>
          <w:tcPr>
            <w:tcW w:w="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  971</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Patented technology</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336</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Software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148</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Trade name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98</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backlog</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w:t>
            </w: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Non-compete/non-solicitation agreement</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16</w:t>
            </w:r>
          </w:p>
        </w:tc>
      </w:tr>
      <w:tr>
        <w:trPr>
          <w:trHeight w:val="20"/>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finite-lived intangible assets</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2,598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1,029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w w:val="79"/>
              </w:rPr>
              <w:t>1,569</w:t>
            </w:r>
          </w:p>
        </w:tc>
      </w:tr>
      <w:tr>
        <w:trPr>
          <w:trHeight w:val="478"/>
        </w:trPr>
        <w:tc>
          <w:tcPr>
            <w:tcW w:w="4600" w:type="dxa"/>
            <w:vAlign w:val="bottom"/>
          </w:tcPr>
          <w:p>
            <w:pPr>
              <w:ind w:left="1100"/>
              <w:spacing w:after="0"/>
              <w:rPr>
                <w:sz w:val="20"/>
                <w:szCs w:val="20"/>
                <w:color w:val="auto"/>
              </w:rPr>
            </w:pPr>
            <w:r>
              <w:rPr>
                <w:rFonts w:ascii="Arial" w:cs="Arial" w:eastAsia="Arial" w:hAnsi="Arial"/>
                <w:sz w:val="18"/>
                <w:szCs w:val="18"/>
                <w:color w:val="auto"/>
              </w:rPr>
              <w:t>Indefinite-lived intangible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Sigma trademark</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510</w:t>
            </w:r>
          </w:p>
        </w:tc>
      </w:tr>
      <w:tr>
        <w:trPr>
          <w:trHeight w:val="20"/>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intangible assets</w:t>
            </w:r>
          </w:p>
        </w:tc>
        <w:tc>
          <w:tcPr>
            <w:tcW w:w="11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2,079</w:t>
            </w:r>
          </w:p>
        </w:tc>
      </w:tr>
      <w:tr>
        <w:trPr>
          <w:trHeight w:val="20"/>
        </w:trPr>
        <w:tc>
          <w:tcPr>
            <w:tcW w:w="460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856"/>
        </w:trPr>
        <w:tc>
          <w:tcPr>
            <w:tcW w:w="460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760" w:type="dxa"/>
            <w:vAlign w:val="bottom"/>
            <w:gridSpan w:val="6"/>
          </w:tcPr>
          <w:p>
            <w:pPr>
              <w:jc w:val="center"/>
              <w:ind w:left="57"/>
              <w:spacing w:after="0"/>
              <w:rPr>
                <w:sz w:val="20"/>
                <w:szCs w:val="20"/>
                <w:color w:val="auto"/>
              </w:rPr>
            </w:pPr>
            <w:r>
              <w:rPr>
                <w:rFonts w:ascii="Arial" w:cs="Arial" w:eastAsia="Arial" w:hAnsi="Arial"/>
                <w:sz w:val="18"/>
                <w:szCs w:val="18"/>
                <w:color w:val="auto"/>
                <w:w w:val="90"/>
              </w:rPr>
              <w:t>- 11 -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771"/>
        </w:trPr>
        <w:tc>
          <w:tcPr>
            <w:tcW w:w="4600" w:type="dxa"/>
            <w:vAlign w:val="bottom"/>
          </w:tcPr>
          <w:p>
            <w:pPr>
              <w:spacing w:after="0"/>
              <w:rPr>
                <w:sz w:val="24"/>
                <w:szCs w:val="24"/>
                <w:color w:val="auto"/>
              </w:rPr>
            </w:pPr>
          </w:p>
        </w:tc>
        <w:tc>
          <w:tcPr>
            <w:tcW w:w="2120" w:type="dxa"/>
            <w:vAlign w:val="bottom"/>
            <w:gridSpan w:val="12"/>
          </w:tcPr>
          <w:p>
            <w:pPr>
              <w:jc w:val="center"/>
              <w:ind w:left="37"/>
              <w:spacing w:after="0"/>
              <w:rPr>
                <w:sz w:val="20"/>
                <w:szCs w:val="20"/>
                <w:color w:val="auto"/>
              </w:rPr>
            </w:pPr>
            <w:r>
              <w:rPr>
                <w:rFonts w:ascii="Arial" w:cs="Arial" w:eastAsia="Arial" w:hAnsi="Arial"/>
                <w:sz w:val="18"/>
                <w:szCs w:val="18"/>
                <w:b w:val="1"/>
                <w:bCs w:val="1"/>
                <w:color w:val="auto"/>
                <w:w w:val="96"/>
              </w:rPr>
              <w:t>inTEST CORPORATION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2"/>
        </w:trPr>
        <w:tc>
          <w:tcPr>
            <w:tcW w:w="8020" w:type="dxa"/>
            <w:vAlign w:val="bottom"/>
            <w:gridSpan w:val="18"/>
          </w:tcPr>
          <w:p>
            <w:pPr>
              <w:jc w:val="center"/>
              <w:ind w:left="333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16"/>
        </w:trPr>
        <w:tc>
          <w:tcPr>
            <w:tcW w:w="4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10"/>
          </w:tcPr>
          <w:p>
            <w:pPr>
              <w:jc w:val="center"/>
              <w:ind w:right="560"/>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8020" w:type="dxa"/>
            <w:vAlign w:val="bottom"/>
            <w:gridSpan w:val="18"/>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r>
      <w:tr>
        <w:trPr>
          <w:trHeight w:val="608"/>
        </w:trPr>
        <w:tc>
          <w:tcPr>
            <w:tcW w:w="4600" w:type="dxa"/>
            <w:vAlign w:val="bottom"/>
          </w:tcPr>
          <w:p>
            <w:pPr>
              <w:spacing w:after="0"/>
              <w:rPr>
                <w:sz w:val="20"/>
                <w:szCs w:val="20"/>
                <w:color w:val="auto"/>
              </w:rPr>
            </w:pPr>
            <w:r>
              <w:rPr>
                <w:rFonts w:ascii="Arial" w:cs="Arial" w:eastAsia="Arial" w:hAnsi="Arial"/>
                <w:sz w:val="18"/>
                <w:szCs w:val="18"/>
                <w:b w:val="1"/>
                <w:bCs w:val="1"/>
                <w:color w:val="auto"/>
                <w:w w:val="99"/>
              </w:rPr>
              <w:t xml:space="preserve">(4) GOODWILL AND INTANGIBLE ASSETS </w:t>
            </w:r>
            <w:r>
              <w:rPr>
                <w:rFonts w:ascii="Arial" w:cs="Arial" w:eastAsia="Arial" w:hAnsi="Arial"/>
                <w:sz w:val="18"/>
                <w:szCs w:val="18"/>
                <w:color w:val="auto"/>
                <w:w w:val="99"/>
              </w:rPr>
              <w:t>(Continued)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4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4"/>
              </w:rPr>
              <w:t>December 31, 2012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4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tcPr>
          <w:p>
            <w:pPr>
              <w:jc w:val="center"/>
              <w:ind w:right="92"/>
              <w:spacing w:after="0"/>
              <w:rPr>
                <w:sz w:val="20"/>
                <w:szCs w:val="20"/>
                <w:color w:val="auto"/>
              </w:rPr>
            </w:pPr>
            <w:r>
              <w:rPr>
                <w:rFonts w:ascii="Arial" w:cs="Arial" w:eastAsia="Arial" w:hAnsi="Arial"/>
                <w:sz w:val="12"/>
                <w:szCs w:val="12"/>
                <w:b w:val="1"/>
                <w:bCs w:val="1"/>
                <w:i w:val="1"/>
                <w:iCs w:val="1"/>
                <w:color w:val="auto"/>
                <w:w w:val="80"/>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940"/>
              <w:spacing w:after="0" w:line="158" w:lineRule="exact"/>
              <w:rPr>
                <w:sz w:val="20"/>
                <w:szCs w:val="20"/>
                <w:color w:val="auto"/>
              </w:rPr>
            </w:pPr>
            <w:r>
              <w:rPr>
                <w:rFonts w:ascii="Arial" w:cs="Arial" w:eastAsia="Arial" w:hAnsi="Arial"/>
                <w:sz w:val="14"/>
                <w:szCs w:val="14"/>
                <w:b w:val="1"/>
                <w:bCs w:val="1"/>
                <w:i w:val="1"/>
                <w:iCs w:val="1"/>
                <w:color w:val="auto"/>
                <w:w w:val="79"/>
              </w:rPr>
              <w:t>Net</w:t>
            </w:r>
          </w:p>
        </w:tc>
      </w:tr>
      <w:tr>
        <w:trPr>
          <w:trHeight w:val="149"/>
        </w:trPr>
        <w:tc>
          <w:tcPr>
            <w:tcW w:w="4600" w:type="dxa"/>
            <w:vAlign w:val="bottom"/>
          </w:tcPr>
          <w:p>
            <w:pPr>
              <w:spacing w:after="0"/>
              <w:rPr>
                <w:sz w:val="12"/>
                <w:szCs w:val="12"/>
                <w:color w:val="auto"/>
              </w:rPr>
            </w:pPr>
          </w:p>
        </w:tc>
        <w:tc>
          <w:tcPr>
            <w:tcW w:w="1100" w:type="dxa"/>
            <w:vAlign w:val="bottom"/>
            <w:gridSpan w:val="6"/>
          </w:tcPr>
          <w:p>
            <w:pPr>
              <w:jc w:val="center"/>
              <w:ind w:left="357"/>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2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1"/>
              </w:rPr>
              <w:t>Accumulated</w:t>
            </w:r>
          </w:p>
        </w:tc>
        <w:tc>
          <w:tcPr>
            <w:tcW w:w="13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600" w:type="dxa"/>
            <w:vAlign w:val="bottom"/>
          </w:tcPr>
          <w:p>
            <w:pPr>
              <w:spacing w:after="0"/>
              <w:rPr>
                <w:sz w:val="12"/>
                <w:szCs w:val="12"/>
                <w:color w:val="auto"/>
              </w:rPr>
            </w:pPr>
          </w:p>
        </w:tc>
        <w:tc>
          <w:tcPr>
            <w:tcW w:w="1100" w:type="dxa"/>
            <w:vAlign w:val="bottom"/>
            <w:gridSpan w:val="6"/>
          </w:tcPr>
          <w:p>
            <w:pPr>
              <w:jc w:val="center"/>
              <w:ind w:left="377"/>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900" w:type="dxa"/>
            <w:vAlign w:val="bottom"/>
            <w:gridSpan w:val="5"/>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40" w:type="dxa"/>
            <w:vAlign w:val="bottom"/>
          </w:tcPr>
          <w:p>
            <w:pPr>
              <w:spacing w:after="0"/>
              <w:rPr>
                <w:sz w:val="12"/>
                <w:szCs w:val="12"/>
                <w:color w:val="auto"/>
              </w:rPr>
            </w:pPr>
          </w:p>
        </w:tc>
        <w:tc>
          <w:tcPr>
            <w:tcW w:w="1260" w:type="dxa"/>
            <w:vAlign w:val="bottom"/>
            <w:gridSpan w:val="4"/>
          </w:tcPr>
          <w:p>
            <w:pPr>
              <w:jc w:val="center"/>
              <w:ind w:right="82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600" w:type="dxa"/>
            <w:vAlign w:val="bottom"/>
          </w:tcPr>
          <w:p>
            <w:pPr>
              <w:ind w:left="1100"/>
              <w:spacing w:after="0"/>
              <w:rPr>
                <w:sz w:val="20"/>
                <w:szCs w:val="20"/>
                <w:color w:val="auto"/>
              </w:rPr>
            </w:pPr>
            <w:r>
              <w:rPr>
                <w:rFonts w:ascii="Arial" w:cs="Arial" w:eastAsia="Arial" w:hAnsi="Arial"/>
                <w:sz w:val="18"/>
                <w:szCs w:val="18"/>
                <w:color w:val="auto"/>
              </w:rPr>
              <w:t>Finite-lived intangible assets:</w:t>
            </w:r>
          </w:p>
        </w:tc>
        <w:tc>
          <w:tcPr>
            <w:tcW w:w="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w w:val="98"/>
              </w:rPr>
              <w:t>$1,041</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Patented technology</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357</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Software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155</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Trade name</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107</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backlog</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color w:val="auto"/>
              </w:rPr>
              <w:t>-</w:t>
            </w: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Non-compete/non-solicitation agreement</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24</w:t>
            </w:r>
          </w:p>
        </w:tc>
      </w:tr>
      <w:tr>
        <w:trPr>
          <w:trHeight w:val="20"/>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finite-lived intangible assets</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2,598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w w:val="79"/>
              </w:rPr>
              <w:t>1,684</w:t>
            </w:r>
          </w:p>
        </w:tc>
      </w:tr>
      <w:tr>
        <w:trPr>
          <w:trHeight w:val="478"/>
        </w:trPr>
        <w:tc>
          <w:tcPr>
            <w:tcW w:w="4600" w:type="dxa"/>
            <w:vAlign w:val="bottom"/>
          </w:tcPr>
          <w:p>
            <w:pPr>
              <w:ind w:left="1100"/>
              <w:spacing w:after="0"/>
              <w:rPr>
                <w:sz w:val="20"/>
                <w:szCs w:val="20"/>
                <w:color w:val="auto"/>
              </w:rPr>
            </w:pPr>
            <w:r>
              <w:rPr>
                <w:rFonts w:ascii="Arial" w:cs="Arial" w:eastAsia="Arial" w:hAnsi="Arial"/>
                <w:sz w:val="18"/>
                <w:szCs w:val="18"/>
                <w:color w:val="auto"/>
              </w:rPr>
              <w:t>Indefinite-lived intangible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Sigma trademark</w:t>
            </w:r>
          </w:p>
        </w:tc>
        <w:tc>
          <w:tcPr>
            <w:tcW w:w="66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510</w:t>
            </w:r>
          </w:p>
        </w:tc>
      </w:tr>
      <w:tr>
        <w:trPr>
          <w:trHeight w:val="20"/>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intangible assets</w:t>
            </w:r>
          </w:p>
        </w:tc>
        <w:tc>
          <w:tcPr>
            <w:tcW w:w="11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7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2,194</w:t>
            </w:r>
          </w:p>
        </w:tc>
      </w:tr>
      <w:tr>
        <w:trPr>
          <w:trHeight w:val="20"/>
        </w:trPr>
        <w:tc>
          <w:tcPr>
            <w:tcW w:w="4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 The following table provides further information about the estimated useful lives of our finite-lived intangible assets as of March 31, 2013:</w:t>
      </w:r>
    </w:p>
    <w:p>
      <w:pPr>
        <w:spacing w:after="0" w:line="196" w:lineRule="exact"/>
        <w:rPr>
          <w:sz w:val="20"/>
          <w:szCs w:val="20"/>
          <w:color w:val="auto"/>
        </w:rPr>
      </w:pPr>
    </w:p>
    <w:tbl>
      <w:tblPr>
        <w:tblLayout w:type="fixed"/>
        <w:tblInd w:w="648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9"/>
        </w:trPr>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c>
          <w:tcPr>
            <w:tcW w:w="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Useful Life at</w:t>
            </w:r>
          </w:p>
        </w:tc>
      </w:tr>
      <w:tr>
        <w:trPr>
          <w:trHeight w:val="146"/>
        </w:trPr>
        <w:tc>
          <w:tcPr>
            <w:tcW w:w="6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Useful Life</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8"/>
              </w:rPr>
              <w:t>March 31, 2013</w:t>
            </w:r>
          </w:p>
        </w:tc>
      </w:tr>
    </w:tbl>
    <w:p>
      <w:pPr>
        <w:spacing w:after="0" w:line="16"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 - - - (in months) - - - -</w:t>
      </w:r>
    </w:p>
    <w:p>
      <w:pPr>
        <w:sectPr>
          <w:pgSz w:w="11900" w:h="16838" w:orient="portrait"/>
          <w:cols w:equalWidth="0" w:num="1">
            <w:col w:w="11340"/>
          </w:cols>
          <w:pgMar w:left="240" w:top="114" w:right="319" w:bottom="0" w:gutter="0" w:footer="0" w:header="0"/>
        </w:sectPr>
      </w:pPr>
    </w:p>
    <w:bookmarkStart w:id="10" w:name="page11"/>
    <w:bookmarkEnd w:id="10"/>
    <w:tbl>
      <w:tblPr>
        <w:tblLayout w:type="fixed"/>
        <w:tblInd w:w="110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w w:val="96"/>
              </w:rPr>
              <w:t>Finite-lived intangible assets resulting from the acquisition of Sigma:</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72</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120</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60</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3"/>
        </w:trPr>
        <w:tc>
          <w:tcPr>
            <w:tcW w:w="526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Thermonics:</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72</w:t>
            </w: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48</w:t>
            </w: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132</w:t>
            </w:r>
          </w:p>
        </w:tc>
        <w:tc>
          <w:tcPr>
            <w:tcW w:w="78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459"/>
        </w:trPr>
        <w:tc>
          <w:tcPr>
            <w:tcW w:w="526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18</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intangible assets for the three months ended March 31, 2013:</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Balance - January 1, 2013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$2,194</w:t>
            </w:r>
          </w:p>
        </w:tc>
        <w:tc>
          <w:tcPr>
            <w:tcW w:w="40" w:type="dxa"/>
            <w:vAlign w:val="bottom"/>
          </w:tcPr>
          <w:p>
            <w:pPr>
              <w:spacing w:after="0"/>
              <w:rPr>
                <w:sz w:val="19"/>
                <w:szCs w:val="19"/>
                <w:color w:val="auto"/>
              </w:rPr>
            </w:pPr>
          </w:p>
        </w:tc>
      </w:tr>
      <w:tr>
        <w:trPr>
          <w:trHeight w:val="421"/>
        </w:trPr>
        <w:tc>
          <w:tcPr>
            <w:tcW w:w="350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Balance - March 31, 2013</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2,079</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- 12 -</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Total amortization expense for the three months ended March 31, 2013 and 2012 was $115 and $148, respectively. The following table sets forth the estimated annual amortization expense for our finite-lived intangible assets for each of the next five years:</w:t>
      </w:r>
    </w:p>
    <w:p>
      <w:pPr>
        <w:spacing w:after="0" w:line="15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In connection with the acquisition of Thermonics, as discussed further in Note 3, we signed a separate one year lease for the facility in Sunnyvale, California occupied by Thermonics at the time of the acquisition. This facility was owned by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During the fourth quarter of 2012 we received a refund of $46 of lease termination fees paid in the first quarter due to the sale of the leased facility. Accrued restructuring and other charges are included in Other Current Liabilities on our balance sheet.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three months ended March 31, 2012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500" w:type="dxa"/>
            <w:vAlign w:val="bottom"/>
            <w:gridSpan w:val="3"/>
          </w:tcPr>
          <w:p>
            <w:pPr>
              <w:ind w:left="820"/>
              <w:spacing w:after="0"/>
              <w:rPr>
                <w:sz w:val="20"/>
                <w:szCs w:val="20"/>
                <w:color w:val="auto"/>
              </w:rPr>
            </w:pPr>
            <w:r>
              <w:rPr>
                <w:rFonts w:ascii="Arial" w:cs="Arial" w:eastAsia="Arial" w:hAnsi="Arial"/>
                <w:sz w:val="14"/>
                <w:szCs w:val="14"/>
                <w:b w:val="1"/>
                <w:bCs w:val="1"/>
                <w:i w:val="1"/>
                <w:iCs w:val="1"/>
                <w:color w:val="auto"/>
                <w:w w:val="83"/>
              </w:rPr>
              <w:t>Thermonics</w:t>
            </w: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i w:val="1"/>
                <w:iCs w:val="1"/>
                <w:color w:val="auto"/>
                <w:w w:val="80"/>
              </w:rPr>
              <w:t>Relocation</w:t>
            </w:r>
          </w:p>
        </w:tc>
        <w:tc>
          <w:tcPr>
            <w:tcW w:w="40" w:type="dxa"/>
            <w:vAlign w:val="bottom"/>
          </w:tcPr>
          <w:p>
            <w:pPr>
              <w:spacing w:after="0"/>
              <w:rPr>
                <w:sz w:val="12"/>
                <w:szCs w:val="12"/>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460" w:type="dxa"/>
            <w:vAlign w:val="bottom"/>
            <w:gridSpan w:val="2"/>
          </w:tcPr>
          <w:p>
            <w:pPr>
              <w:jc w:val="right"/>
              <w:ind w:right="32"/>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460" w:type="dxa"/>
            <w:vAlign w:val="bottom"/>
            <w:gridSpan w:val="2"/>
          </w:tcPr>
          <w:p>
            <w:pPr>
              <w:jc w:val="right"/>
              <w:ind w:right="32"/>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4"/>
                <w:szCs w:val="24"/>
                <w:color w:val="auto"/>
              </w:rPr>
            </w:pPr>
          </w:p>
        </w:tc>
      </w:tr>
    </w:tbl>
    <w:p>
      <w:pPr>
        <w:sectPr>
          <w:pgSz w:w="11900" w:h="16838" w:orient="portrait"/>
          <w:cols w:equalWidth="0" w:num="1">
            <w:col w:w="11320"/>
          </w:cols>
          <w:pgMar w:left="240" w:top="131" w:right="339" w:bottom="0" w:gutter="0" w:footer="0" w:header="0"/>
        </w:sectPr>
      </w:pPr>
    </w:p>
    <w:bookmarkStart w:id="11" w:name="page12"/>
    <w:bookmarkEnd w:id="11"/>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Cash payments related to facility</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16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60" w:type="dxa"/>
            <w:vAlign w:val="bottom"/>
          </w:tcPr>
          <w:p>
            <w:pPr>
              <w:spacing w:after="0"/>
              <w:rPr>
                <w:sz w:val="15"/>
                <w:szCs w:val="15"/>
                <w:color w:val="auto"/>
              </w:rPr>
            </w:pPr>
          </w:p>
        </w:tc>
        <w:tc>
          <w:tcPr>
            <w:tcW w:w="44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9"/>
              </w:rPr>
              <w:t>(159)</w:t>
            </w:r>
          </w:p>
        </w:tc>
      </w:tr>
      <w:tr>
        <w:trPr>
          <w:trHeight w:val="20"/>
        </w:trPr>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Balance - March 31, 2012</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$ 200</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right="60"/>
        <w:spacing w:after="0" w:line="253" w:lineRule="auto"/>
        <w:rPr>
          <w:sz w:val="20"/>
          <w:szCs w:val="20"/>
          <w:color w:val="auto"/>
        </w:rPr>
      </w:pPr>
      <w:r>
        <w:rPr>
          <w:rFonts w:ascii="Arial" w:cs="Arial" w:eastAsia="Arial" w:hAnsi="Arial"/>
          <w:sz w:val="18"/>
          <w:szCs w:val="18"/>
          <w:color w:val="auto"/>
        </w:rPr>
        <w:t>During the three months ended March 31, 2013, Hakuto Co., Ltd. accounted for 10% of our consolidated net revenues. These revenues were generated by our Thermal Products segment. During the three months ended March 31, 2012, Texas Instruments Incorporated accounted for 19% of our consolidated net revenues. While all three of our operating segments sold products to this customer, these revenues were primarily generated by our Mechanical Products segment. During the three months ended March 31, 2012, Teradyne, Inc. accounted for 13% of our consolidated net revenues. While both our Mechanical Products and our Electrical Products segments sold products to this customer, these revenues were primarily generated by our Electrical Products segment. No other customers accounted for 10% or more of our consolidated net revenues during the three months ended March 31, 2013 and 2012.</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2013 and December 31, 2012 were comprised of the following: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Mar. 31,</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9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60" w:type="dxa"/>
            <w:vAlign w:val="bottom"/>
          </w:tcPr>
          <w:p>
            <w:pPr>
              <w:spacing w:after="0"/>
              <w:rPr>
                <w:sz w:val="12"/>
                <w:szCs w:val="12"/>
                <w:color w:val="auto"/>
              </w:rPr>
            </w:pPr>
          </w:p>
        </w:tc>
      </w:tr>
      <w:tr>
        <w:trPr>
          <w:trHeight w:val="235"/>
        </w:trPr>
        <w:tc>
          <w:tcPr>
            <w:tcW w:w="292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$2,578</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$2,157</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454</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421"/>
        </w:trPr>
        <w:tc>
          <w:tcPr>
            <w:tcW w:w="2920" w:type="dxa"/>
            <w:vAlign w:val="bottom"/>
          </w:tcPr>
          <w:p>
            <w:pPr>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419</w:t>
            </w:r>
          </w:p>
        </w:tc>
      </w:tr>
      <w:tr>
        <w:trPr>
          <w:trHeight w:val="439"/>
        </w:trPr>
        <w:tc>
          <w:tcPr>
            <w:tcW w:w="29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3,418</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3,135</w:t>
            </w:r>
          </w:p>
        </w:tc>
      </w:tr>
      <w:tr>
        <w:trPr>
          <w:trHeight w:val="20"/>
        </w:trPr>
        <w:tc>
          <w:tcPr>
            <w:tcW w:w="2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March 31, 2013 and December 31, 2012 consisted of the following:</w:t>
      </w:r>
    </w:p>
    <w:p>
      <w:pPr>
        <w:spacing w:after="0" w:line="15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7"/>
          </w:tcPr>
          <w:p>
            <w:pPr>
              <w:jc w:val="right"/>
              <w:ind w:right="280"/>
              <w:spacing w:after="0"/>
              <w:rPr>
                <w:sz w:val="20"/>
                <w:szCs w:val="20"/>
                <w:color w:val="auto"/>
              </w:rPr>
            </w:pPr>
            <w:r>
              <w:rPr>
                <w:rFonts w:ascii="Arial" w:cs="Arial" w:eastAsia="Arial" w:hAnsi="Arial"/>
                <w:sz w:val="14"/>
                <w:szCs w:val="14"/>
                <w:b w:val="1"/>
                <w:bCs w:val="1"/>
                <w:i w:val="1"/>
                <w:iCs w:val="1"/>
                <w:color w:val="auto"/>
                <w:w w:val="94"/>
              </w:rPr>
              <w:t>Letters of Credit</w:t>
            </w: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8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180" w:type="dxa"/>
            <w:vAlign w:val="bottom"/>
          </w:tcPr>
          <w:p>
            <w:pPr>
              <w:spacing w:after="0"/>
              <w:rPr>
                <w:sz w:val="12"/>
                <w:szCs w:val="12"/>
                <w:color w:val="auto"/>
              </w:rPr>
            </w:pPr>
          </w:p>
        </w:tc>
        <w:tc>
          <w:tcPr>
            <w:tcW w:w="1120" w:type="dxa"/>
            <w:vAlign w:val="bottom"/>
            <w:gridSpan w:val="2"/>
          </w:tcPr>
          <w:p>
            <w:pPr>
              <w:jc w:val="center"/>
              <w:ind w:right="60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60" w:type="dxa"/>
            <w:vAlign w:val="bottom"/>
          </w:tcPr>
          <w:p>
            <w:pPr>
              <w:spacing w:after="0"/>
              <w:rPr>
                <w:sz w:val="12"/>
                <w:szCs w:val="12"/>
                <w:color w:val="auto"/>
              </w:rPr>
            </w:pPr>
          </w:p>
        </w:tc>
        <w:tc>
          <w:tcPr>
            <w:tcW w:w="1320" w:type="dxa"/>
            <w:vAlign w:val="bottom"/>
            <w:gridSpan w:val="7"/>
          </w:tcPr>
          <w:p>
            <w:pPr>
              <w:jc w:val="right"/>
              <w:ind w:right="140"/>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r>
      <w:tr>
        <w:trPr>
          <w:trHeight w:val="20"/>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8"/>
        </w:trPr>
        <w:tc>
          <w:tcPr>
            <w:tcW w:w="1720" w:type="dxa"/>
            <w:vAlign w:val="bottom"/>
          </w:tcPr>
          <w:p>
            <w:pPr>
              <w:spacing w:after="0"/>
              <w:rPr>
                <w:sz w:val="13"/>
                <w:szCs w:val="13"/>
                <w:color w:val="auto"/>
              </w:rPr>
            </w:pPr>
          </w:p>
        </w:tc>
        <w:tc>
          <w:tcPr>
            <w:tcW w:w="1740" w:type="dxa"/>
            <w:vAlign w:val="bottom"/>
            <w:gridSpan w:val="3"/>
          </w:tcPr>
          <w:p>
            <w:pPr>
              <w:jc w:val="center"/>
              <w:ind w:left="179"/>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120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300" w:type="dxa"/>
            <w:vAlign w:val="bottom"/>
            <w:gridSpan w:val="3"/>
          </w:tcPr>
          <w:p>
            <w:pPr>
              <w:jc w:val="center"/>
              <w:ind w:right="42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920" w:type="dxa"/>
            <w:vAlign w:val="bottom"/>
            <w:gridSpan w:val="5"/>
          </w:tcPr>
          <w:p>
            <w:pPr>
              <w:jc w:val="center"/>
              <w:ind w:right="440"/>
              <w:spacing w:after="0" w:line="158" w:lineRule="exact"/>
              <w:rPr>
                <w:sz w:val="20"/>
                <w:szCs w:val="20"/>
                <w:color w:val="auto"/>
              </w:rPr>
            </w:pPr>
            <w:r>
              <w:rPr>
                <w:rFonts w:ascii="Arial" w:cs="Arial" w:eastAsia="Arial" w:hAnsi="Arial"/>
                <w:sz w:val="14"/>
                <w:szCs w:val="14"/>
                <w:b w:val="1"/>
                <w:bCs w:val="1"/>
                <w:i w:val="1"/>
                <w:iCs w:val="1"/>
                <w:color w:val="auto"/>
                <w:w w:val="91"/>
              </w:rPr>
              <w:t>Mar. 31,</w:t>
            </w:r>
          </w:p>
        </w:tc>
        <w:tc>
          <w:tcPr>
            <w:tcW w:w="4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92"/>
              </w:rPr>
              <w:t>Date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bottom w:val="single" w:sz="8" w:color="auto"/>
            </w:tcBorders>
          </w:tcPr>
          <w:p>
            <w:pPr>
              <w:ind w:left="140"/>
              <w:spacing w:after="0" w:line="146" w:lineRule="exact"/>
              <w:rPr>
                <w:sz w:val="20"/>
                <w:szCs w:val="20"/>
                <w:color w:val="auto"/>
              </w:rPr>
            </w:pPr>
            <w:r>
              <w:rPr>
                <w:rFonts w:ascii="Arial" w:cs="Arial" w:eastAsia="Arial" w:hAnsi="Arial"/>
                <w:sz w:val="14"/>
                <w:szCs w:val="14"/>
                <w:b w:val="1"/>
                <w:bCs w:val="1"/>
                <w:i w:val="1"/>
                <w:iCs w:val="1"/>
                <w:color w:val="auto"/>
              </w:rPr>
              <w:t>Date</w:t>
            </w:r>
          </w:p>
        </w:tc>
        <w:tc>
          <w:tcPr>
            <w:tcW w:w="58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bottom w:val="single" w:sz="8" w:color="auto"/>
            </w:tcBorders>
            <w:gridSpan w:val="3"/>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rPr>
              <w:t>2012</w:t>
            </w:r>
          </w:p>
        </w:tc>
      </w:tr>
      <w:tr>
        <w:trPr>
          <w:trHeight w:val="235"/>
        </w:trPr>
        <w:tc>
          <w:tcPr>
            <w:tcW w:w="1720" w:type="dxa"/>
            <w:vAlign w:val="bottom"/>
          </w:tcPr>
          <w:p>
            <w:pPr>
              <w:spacing w:after="0"/>
              <w:rPr>
                <w:sz w:val="20"/>
                <w:szCs w:val="20"/>
                <w:color w:val="auto"/>
              </w:rPr>
            </w:pPr>
            <w:r>
              <w:rPr>
                <w:rFonts w:ascii="Arial" w:cs="Arial" w:eastAsia="Arial" w:hAnsi="Arial"/>
                <w:sz w:val="18"/>
                <w:szCs w:val="18"/>
                <w:color w:val="auto"/>
              </w:rPr>
              <w:t>Mt. Laurel, NJ</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3/29/2010</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3/31/2014</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4/30/2021</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$250</w:t>
            </w:r>
          </w:p>
        </w:tc>
      </w:tr>
      <w:tr>
        <w:trPr>
          <w:trHeight w:val="421"/>
        </w:trPr>
        <w:tc>
          <w:tcPr>
            <w:tcW w:w="1720" w:type="dxa"/>
            <w:vAlign w:val="bottom"/>
          </w:tcPr>
          <w:p>
            <w:pPr>
              <w:spacing w:after="0"/>
              <w:rPr>
                <w:sz w:val="20"/>
                <w:szCs w:val="20"/>
                <w:color w:val="auto"/>
              </w:rPr>
            </w:pPr>
            <w:r>
              <w:rPr>
                <w:rFonts w:ascii="Arial" w:cs="Arial" w:eastAsia="Arial" w:hAnsi="Arial"/>
                <w:sz w:val="18"/>
                <w:szCs w:val="18"/>
                <w:color w:val="auto"/>
              </w:rPr>
              <w:t>Mansfield, MA</w:t>
            </w: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10/27/2010</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11/08/2013</w:t>
            </w: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8/23/2021</w:t>
            </w:r>
          </w:p>
        </w:tc>
        <w:tc>
          <w:tcPr>
            <w:tcW w:w="20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r>
      <w:tr>
        <w:trPr>
          <w:trHeight w:val="439"/>
        </w:trPr>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450</w:t>
            </w:r>
          </w:p>
        </w:tc>
      </w:tr>
    </w:tbl>
    <w:p>
      <w:pPr>
        <w:spacing w:after="0" w:line="202" w:lineRule="exact"/>
        <w:rPr>
          <w:sz w:val="20"/>
          <w:szCs w:val="20"/>
          <w:color w:val="auto"/>
        </w:rPr>
      </w:pPr>
    </w:p>
    <w:p>
      <w:pPr>
        <w:ind w:left="540" w:right="9460" w:hanging="532"/>
        <w:spacing w:after="0" w:line="577" w:lineRule="auto"/>
        <w:tabs>
          <w:tab w:leader="none" w:pos="29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spacing w:after="0" w:line="259" w:lineRule="auto"/>
        <w:rPr>
          <w:sz w:val="20"/>
          <w:szCs w:val="20"/>
          <w:color w:val="auto"/>
        </w:rPr>
      </w:pPr>
      <w:r>
        <w:rPr>
          <w:rFonts w:ascii="Arial" w:cs="Arial" w:eastAsia="Arial" w:hAnsi="Arial"/>
          <w:sz w:val="18"/>
          <w:szCs w:val="18"/>
          <w:color w:val="auto"/>
        </w:rPr>
        <w:t>Warranty expense for the three months ended March 31, 2013 and 2012 was $19 and $45, respectively. Accrued warranty costs are included in Other Current Liabilities on our balance sheet. The following table sets forth the changes in the liability for product warranties for the three months ended March 31, 2013:</w:t>
      </w:r>
    </w:p>
    <w:p>
      <w:pPr>
        <w:spacing w:after="0" w:line="167" w:lineRule="exact"/>
        <w:rPr>
          <w:sz w:val="20"/>
          <w:szCs w:val="20"/>
          <w:color w:val="auto"/>
        </w:rPr>
      </w:pPr>
    </w:p>
    <w:tbl>
      <w:tblPr>
        <w:tblLayout w:type="fixed"/>
        <w:tblInd w:w="164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Balance - January 1, 2013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$197</w:t>
            </w:r>
          </w:p>
        </w:tc>
        <w:tc>
          <w:tcPr>
            <w:tcW w:w="40" w:type="dxa"/>
            <w:vAlign w:val="bottom"/>
          </w:tcPr>
          <w:p>
            <w:pPr>
              <w:spacing w:after="0"/>
              <w:rPr>
                <w:sz w:val="19"/>
                <w:szCs w:val="19"/>
                <w:color w:val="auto"/>
              </w:rPr>
            </w:pP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421"/>
        </w:trPr>
        <w:tc>
          <w:tcPr>
            <w:tcW w:w="336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39"/>
        </w:trPr>
        <w:tc>
          <w:tcPr>
            <w:tcW w:w="3360" w:type="dxa"/>
            <w:vAlign w:val="bottom"/>
          </w:tcPr>
          <w:p>
            <w:pPr>
              <w:spacing w:after="0"/>
              <w:rPr>
                <w:sz w:val="20"/>
                <w:szCs w:val="20"/>
                <w:color w:val="auto"/>
              </w:rPr>
            </w:pPr>
            <w:r>
              <w:rPr>
                <w:rFonts w:ascii="Arial" w:cs="Arial" w:eastAsia="Arial" w:hAnsi="Arial"/>
                <w:sz w:val="18"/>
                <w:szCs w:val="18"/>
                <w:color w:val="auto"/>
              </w:rPr>
              <w:t>Balance - March 31, 2013</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198</w:t>
            </w:r>
          </w:p>
        </w:tc>
        <w:tc>
          <w:tcPr>
            <w:tcW w:w="40" w:type="dxa"/>
            <w:vAlign w:val="bottom"/>
          </w:tcPr>
          <w:p>
            <w:pPr>
              <w:spacing w:after="0"/>
              <w:rPr>
                <w:sz w:val="24"/>
                <w:szCs w:val="24"/>
                <w:color w:val="auto"/>
              </w:rPr>
            </w:pPr>
          </w:p>
        </w:tc>
      </w:tr>
    </w:tbl>
    <w:p>
      <w:pPr>
        <w:sectPr>
          <w:pgSz w:w="11900" w:h="16838" w:orient="portrait"/>
          <w:cols w:equalWidth="0" w:num="1">
            <w:col w:w="11420"/>
          </w:cols>
          <w:pgMar w:left="240" w:top="158"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As of March 31, 2013, we had outstanding stock options and unvested restricted stock awards granted under stock-based employee compensation plans that are described more fully in Note 15 to the consolidated financial statements in our 2012 Form 10-K.</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March 31, 2013, total compensation expense to be recognized in future periods was $137. The weighted average period over which this expense is expected to be recognized is 1.7 years. All of this expense is related to nonvested shares of restricted stock.</w:t>
      </w: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540" w:right="7260" w:hanging="532"/>
        <w:spacing w:after="0" w:line="478" w:lineRule="auto"/>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Restricted Stock Awards</w:t>
      </w:r>
    </w:p>
    <w:p>
      <w:pPr>
        <w:spacing w:after="0" w:line="5" w:lineRule="exact"/>
        <w:rPr>
          <w:sz w:val="20"/>
          <w:szCs w:val="20"/>
          <w:color w:val="auto"/>
        </w:rPr>
      </w:pPr>
    </w:p>
    <w:p>
      <w:pPr>
        <w:ind w:left="540" w:right="300"/>
        <w:spacing w:after="0" w:line="306" w:lineRule="auto"/>
        <w:rPr>
          <w:sz w:val="20"/>
          <w:szCs w:val="20"/>
          <w:color w:val="auto"/>
        </w:rPr>
      </w:pPr>
      <w:r>
        <w:rPr>
          <w:rFonts w:ascii="Arial" w:cs="Arial" w:eastAsia="Arial" w:hAnsi="Arial"/>
          <w:sz w:val="16"/>
          <w:szCs w:val="16"/>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ended March 31, 2013 and 2012, respectively, related to nonvested shares:</w:t>
      </w:r>
    </w:p>
    <w:p>
      <w:pPr>
        <w:spacing w:after="0" w:line="131" w:lineRule="exact"/>
        <w:rPr>
          <w:sz w:val="20"/>
          <w:szCs w:val="20"/>
          <w:color w:val="auto"/>
        </w:rPr>
      </w:pPr>
    </w:p>
    <w:p>
      <w:pPr>
        <w:ind w:left="5140"/>
        <w:spacing w:after="0"/>
        <w:rPr>
          <w:sz w:val="20"/>
          <w:szCs w:val="20"/>
          <w:color w:val="auto"/>
        </w:rPr>
      </w:pPr>
      <w:r>
        <w:rPr>
          <w:rFonts w:ascii="Arial" w:cs="Arial" w:eastAsia="Arial" w:hAnsi="Arial"/>
          <w:sz w:val="14"/>
          <w:szCs w:val="14"/>
          <w:b w:val="1"/>
          <w:bCs w:val="1"/>
          <w:i w:val="1"/>
          <w:iCs w:val="1"/>
          <w:color w:val="auto"/>
        </w:rPr>
        <w:t>Three Months Ended</w:t>
      </w:r>
    </w:p>
    <w:p>
      <w:pPr>
        <w:ind w:left="542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-16510</wp:posOffset>
            </wp:positionV>
            <wp:extent cx="645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795" cy="8890"/>
                    </a:xfrm>
                    <a:prstGeom prst="rect">
                      <a:avLst/>
                    </a:prstGeom>
                    <a:noFill/>
                  </pic:spPr>
                </pic:pic>
              </a:graphicData>
            </a:graphic>
          </wp:anchor>
        </w:drawing>
      </w:r>
    </w:p>
    <w:p>
      <w:pPr>
        <w:spacing w:after="0" w:line="10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76"/>
              </w:rPr>
              <w:t>2013</w:t>
            </w:r>
          </w:p>
        </w:tc>
        <w:tc>
          <w:tcPr>
            <w:tcW w:w="10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4"/>
                <w:szCs w:val="14"/>
                <w:color w:val="auto"/>
              </w:rPr>
            </w:pPr>
          </w:p>
        </w:tc>
      </w:tr>
      <w:tr>
        <w:trPr>
          <w:trHeight w:val="20"/>
        </w:trPr>
        <w:tc>
          <w:tcPr>
            <w:tcW w:w="36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1"/>
        </w:trPr>
        <w:tc>
          <w:tcPr>
            <w:tcW w:w="362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$ 1</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$ 2</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Selling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w w:val="94"/>
              </w:rPr>
              <w:t>Engineering and product development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421"/>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w:t>
            </w:r>
          </w:p>
        </w:tc>
      </w:tr>
      <w:tr>
        <w:trPr>
          <w:trHeight w:val="439"/>
        </w:trPr>
        <w:tc>
          <w:tcPr>
            <w:tcW w:w="36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$ 27</w:t>
            </w:r>
          </w:p>
        </w:tc>
        <w:tc>
          <w:tcPr>
            <w:tcW w:w="3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$ 27</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months ended March 31, 2013 or 2012.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three months ended March 31, 2013:</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220" w:type="dxa"/>
            <w:vAlign w:val="bottom"/>
            <w:gridSpan w:val="2"/>
          </w:tcPr>
          <w:p>
            <w:pPr>
              <w:spacing w:after="0"/>
              <w:rPr>
                <w:sz w:val="12"/>
                <w:szCs w:val="12"/>
                <w:color w:val="auto"/>
              </w:rPr>
            </w:pPr>
          </w:p>
        </w:tc>
        <w:tc>
          <w:tcPr>
            <w:tcW w:w="7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January 1, 2013</w:t>
            </w: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108,750</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0"/>
                <w:szCs w:val="20"/>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4"/>
                <w:szCs w:val="24"/>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(50,000)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4"/>
                <w:szCs w:val="24"/>
                <w:color w:val="auto"/>
              </w:rPr>
            </w:pPr>
          </w:p>
        </w:tc>
      </w:tr>
      <w:tr>
        <w:trPr>
          <w:trHeight w:val="421"/>
        </w:trPr>
        <w:tc>
          <w:tcPr>
            <w:tcW w:w="4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March 31, 2013</w:t>
            </w:r>
          </w:p>
        </w:tc>
        <w:tc>
          <w:tcPr>
            <w:tcW w:w="76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78,750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2013:</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580" w:type="dxa"/>
            <w:vAlign w:val="bottom"/>
          </w:tcPr>
          <w:p>
            <w:pPr>
              <w:spacing w:after="0"/>
              <w:rPr>
                <w:sz w:val="12"/>
                <w:szCs w:val="12"/>
                <w:color w:val="auto"/>
              </w:rPr>
            </w:pPr>
          </w:p>
        </w:tc>
        <w:tc>
          <w:tcPr>
            <w:tcW w:w="8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580" w:type="dxa"/>
            <w:vAlign w:val="bottom"/>
          </w:tcPr>
          <w:p>
            <w:pPr>
              <w:spacing w:after="0"/>
              <w:rPr>
                <w:sz w:val="12"/>
                <w:szCs w:val="12"/>
                <w:color w:val="auto"/>
              </w:rPr>
            </w:pPr>
          </w:p>
        </w:tc>
        <w:tc>
          <w:tcPr>
            <w:tcW w:w="54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300" w:type="dxa"/>
            <w:vAlign w:val="bottom"/>
            <w:gridSpan w:val="3"/>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w w:val="95"/>
              </w:rPr>
              <w:t>Options outstanding, January 1, 2013 (219,000 exercisable)</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219,000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$ 3.17</w:t>
            </w:r>
          </w:p>
        </w:tc>
      </w:tr>
      <w:tr>
        <w:trPr>
          <w:trHeight w:val="459"/>
        </w:trPr>
        <w:tc>
          <w:tcPr>
            <w:tcW w:w="4580" w:type="dxa"/>
            <w:vAlign w:val="bottom"/>
          </w:tcPr>
          <w:p>
            <w:pPr>
              <w:ind w:left="140"/>
              <w:spacing w:after="0"/>
              <w:rPr>
                <w:sz w:val="20"/>
                <w:szCs w:val="20"/>
                <w:color w:val="auto"/>
              </w:rPr>
            </w:pPr>
            <w:r>
              <w:rPr>
                <w:rFonts w:ascii="Arial" w:cs="Arial" w:eastAsia="Arial" w:hAnsi="Arial"/>
                <w:sz w:val="18"/>
                <w:szCs w:val="18"/>
                <w:color w:val="auto"/>
              </w:rPr>
              <w:t>Granted</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5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40" w:type="dxa"/>
            <w:vAlign w:val="bottom"/>
            <w:gridSpan w:val="5"/>
          </w:tcPr>
          <w:p>
            <w:pPr>
              <w:jc w:val="right"/>
              <w:ind w:right="140"/>
              <w:spacing w:after="0"/>
              <w:rPr>
                <w:sz w:val="20"/>
                <w:szCs w:val="20"/>
                <w:color w:val="auto"/>
              </w:rPr>
            </w:pPr>
            <w:r>
              <w:rPr>
                <w:rFonts w:ascii="Arial" w:cs="Arial" w:eastAsia="Arial" w:hAnsi="Arial"/>
                <w:sz w:val="18"/>
                <w:szCs w:val="18"/>
                <w:color w:val="auto"/>
              </w:rPr>
              <w:t>(10,000)</w:t>
            </w: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421"/>
        </w:trPr>
        <w:tc>
          <w:tcPr>
            <w:tcW w:w="458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840" w:type="dxa"/>
            <w:vAlign w:val="bottom"/>
            <w:gridSpan w:val="5"/>
          </w:tcPr>
          <w:p>
            <w:pPr>
              <w:jc w:val="right"/>
              <w:ind w:right="140"/>
              <w:spacing w:after="0"/>
              <w:rPr>
                <w:sz w:val="20"/>
                <w:szCs w:val="20"/>
                <w:color w:val="auto"/>
              </w:rPr>
            </w:pPr>
            <w:r>
              <w:rPr>
                <w:rFonts w:ascii="Arial" w:cs="Arial" w:eastAsia="Arial" w:hAnsi="Arial"/>
                <w:sz w:val="18"/>
                <w:szCs w:val="18"/>
                <w:color w:val="auto"/>
                <w:w w:val="88"/>
              </w:rPr>
              <w:t>(189,000)</w:t>
            </w: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8"/>
                <w:szCs w:val="18"/>
                <w:color w:val="auto"/>
                <w:w w:val="98"/>
              </w:rPr>
              <w:t>Options outstanding, March 31, 2013 (20,000 exercisable)</w:t>
            </w:r>
          </w:p>
        </w:tc>
        <w:tc>
          <w:tcPr>
            <w:tcW w:w="80" w:type="dxa"/>
            <w:vAlign w:val="bottom"/>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r>
    </w:tbl>
    <w:p>
      <w:pPr>
        <w:spacing w:after="0" w:line="200" w:lineRule="exact"/>
        <w:rPr>
          <w:sz w:val="20"/>
          <w:szCs w:val="20"/>
          <w:color w:val="auto"/>
        </w:rPr>
      </w:pPr>
    </w:p>
    <w:p>
      <w:pPr>
        <w:sectPr>
          <w:pgSz w:w="11900" w:h="16838" w:orient="portrait"/>
          <w:cols w:equalWidth="0" w:num="1">
            <w:col w:w="11280"/>
          </w:cols>
          <w:pgMar w:left="240" w:top="125" w:right="379" w:bottom="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EMPLOYEE BENEFIT PLANS</w:t>
      </w:r>
    </w:p>
    <w:p>
      <w:pPr>
        <w:sectPr>
          <w:pgSz w:w="11900" w:h="16838" w:orient="portrait"/>
          <w:cols w:equalWidth="0" w:num="1">
            <w:col w:w="11280"/>
          </w:cols>
          <w:pgMar w:left="240" w:top="125" w:right="379" w:bottom="0" w:gutter="0" w:footer="0" w:header="0"/>
          <w:type w:val="continuous"/>
        </w:sectPr>
      </w:pPr>
    </w:p>
    <w:bookmarkStart w:id="13" w:name="page14"/>
    <w:bookmarkEnd w:id="13"/>
    <w:p>
      <w:pPr>
        <w:ind w:left="540" w:right="120"/>
        <w:spacing w:after="0" w:line="256" w:lineRule="auto"/>
        <w:rPr>
          <w:sz w:val="20"/>
          <w:szCs w:val="20"/>
          <w:color w:val="auto"/>
        </w:rPr>
      </w:pPr>
      <w:r>
        <w:rPr>
          <w:rFonts w:ascii="Arial" w:cs="Arial" w:eastAsia="Arial" w:hAnsi="Arial"/>
          <w:sz w:val="18"/>
          <w:szCs w:val="18"/>
          <w:color w:val="auto"/>
        </w:rPr>
        <w:t>We have a defined contribution 401(k) plan for our employees who work in the U.S. (the "inTEST 401(k) Plan"). All permanent employees of inTEST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EMPLOYEE BENEFIT PLANS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Temptronic adopted a defined contribution 401(k) plan for its domestic employees in 1988, that was merged into the inTEST 401(k) Plan effective September 1, 2002. Prior to January 1, 2013, the inTEST 401(k) Plan retained the matching provisions of the prior Temptronic plan for all Temptronic employees, which included discretionary employer matching contributions of $0.50 on the dollar up to 6% of the employees' annual compensation, with a maximum limit of $3. The eligibility and vesting provisions of the prior Temptronic plan were conformed to those for inTEST Corporation and inTEST Silicon Valley Corporation employees.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Prior to January 1, 2013, in addition to the employer matching contributions for which Temptronic employees were eligible, Temptronic employees participating in the inTEST 401(k) plan were also eligible to receive profit sharing contributions which are more fully described in Note 16 to our 2012 Form 10-K. During the third quarter of 2012, our Board of Directors approved an amendment to the inTEST 401(k) Plan. The amendment terminated the profit sharing contributions for Temptronic employees effective December 31, 2012. In addition, the amendment conformed the employer matching provisions for the Temptronic employees with those currently in place for inTEST Corporation and inTEST Silicon Valley employees effective January 1, 2013.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The Thermal Products segment includes the operations of Temptronic, Thermonics (which we acquired in January 2012 as discussed further in Note 3), Sigma, inTEST Thermal Solutions GmbH (formerly Temptronic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40"/>
        <w:spacing w:after="0" w:line="323" w:lineRule="auto"/>
        <w:rPr>
          <w:sz w:val="20"/>
          <w:szCs w:val="20"/>
          <w:color w:val="auto"/>
        </w:rPr>
      </w:pPr>
      <w:r>
        <w:rPr>
          <w:rFonts w:ascii="Arial" w:cs="Arial" w:eastAsia="Arial" w:hAnsi="Arial"/>
          <w:sz w:val="15"/>
          <w:szCs w:val="15"/>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energy and telecommunications industries. Intercompany pricing between segments is either a multiple of cost for component parts or list price for finished goods.</w:t>
      </w:r>
    </w:p>
    <w:p>
      <w:pPr>
        <w:spacing w:after="0" w:line="11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60" w:type="dxa"/>
            <w:vAlign w:val="bottom"/>
            <w:gridSpan w:val="17"/>
          </w:tcPr>
          <w:p>
            <w:pPr>
              <w:jc w:val="center"/>
              <w:ind w:left="494"/>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6"/>
          </w:tcPr>
          <w:p>
            <w:pPr>
              <w:jc w:val="center"/>
              <w:ind w:right="152"/>
              <w:spacing w:after="0" w:line="146" w:lineRule="exact"/>
              <w:rPr>
                <w:sz w:val="20"/>
                <w:szCs w:val="20"/>
                <w:color w:val="auto"/>
              </w:rPr>
            </w:pPr>
            <w:r>
              <w:rPr>
                <w:rFonts w:ascii="Arial" w:cs="Arial" w:eastAsia="Arial" w:hAnsi="Arial"/>
                <w:sz w:val="14"/>
                <w:szCs w:val="14"/>
                <w:b w:val="1"/>
                <w:bCs w:val="1"/>
                <w:i w:val="1"/>
                <w:iCs w:val="1"/>
                <w:color w:val="auto"/>
                <w:w w:val="86"/>
              </w:rPr>
              <w:t>March 31,</w:t>
            </w:r>
          </w:p>
        </w:tc>
        <w:tc>
          <w:tcPr>
            <w:tcW w:w="3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8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2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2012</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7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Thermal Products</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$5,898</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w w:val="93"/>
              </w:rPr>
              <w:t>$ 6,111</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Mechanical Products</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1,796</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Electrical Products</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1,282</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Intersegment sales</w:t>
            </w:r>
          </w:p>
        </w:tc>
        <w:tc>
          <w:tcPr>
            <w:tcW w:w="900" w:type="dxa"/>
            <w:vAlign w:val="bottom"/>
            <w:gridSpan w:val="2"/>
          </w:tcPr>
          <w:p>
            <w:pPr>
              <w:spacing w:after="0"/>
              <w:rPr>
                <w:sz w:val="24"/>
                <w:szCs w:val="24"/>
                <w:color w:val="auto"/>
              </w:rPr>
            </w:pP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(3)</w:t>
            </w:r>
          </w:p>
        </w:tc>
        <w:tc>
          <w:tcPr>
            <w:tcW w:w="620" w:type="dxa"/>
            <w:vAlign w:val="bottom"/>
            <w:gridSpan w:val="9"/>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40" w:type="dxa"/>
            <w:vAlign w:val="bottom"/>
          </w:tcPr>
          <w:p>
            <w:pPr>
              <w:spacing w:after="0"/>
              <w:rPr>
                <w:sz w:val="24"/>
                <w:szCs w:val="24"/>
                <w:color w:val="auto"/>
              </w:rPr>
            </w:pPr>
          </w:p>
        </w:tc>
        <w:tc>
          <w:tcPr>
            <w:tcW w:w="13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8,973</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10,731</w:t>
            </w: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8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Thermal Products</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Mechanical Products</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Electrical Products</w:t>
            </w:r>
          </w:p>
        </w:tc>
        <w:tc>
          <w:tcPr>
            <w:tcW w:w="1120" w:type="dxa"/>
            <w:vAlign w:val="bottom"/>
            <w:gridSpan w:val="5"/>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40" w:type="dxa"/>
            <w:vAlign w:val="bottom"/>
            <w:gridSpan w:val="5"/>
          </w:tcPr>
          <w:p>
            <w:pPr>
              <w:spacing w:after="0"/>
              <w:rPr>
                <w:sz w:val="24"/>
                <w:szCs w:val="24"/>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$ 3</w:t>
            </w:r>
          </w:p>
        </w:tc>
        <w:tc>
          <w:tcPr>
            <w:tcW w:w="28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72"/>
        </w:trPr>
        <w:tc>
          <w:tcPr>
            <w:tcW w:w="374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- 16 -</w:t>
            </w: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1" w:right="299" w:bottom="20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gridSpan w:val="14"/>
          </w:tcPr>
          <w:p>
            <w:pPr>
              <w:jc w:val="center"/>
              <w:ind w:left="3332"/>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8020" w:type="dxa"/>
            <w:vAlign w:val="bottom"/>
            <w:gridSpan w:val="14"/>
          </w:tcPr>
          <w:p>
            <w:pPr>
              <w:jc w:val="center"/>
              <w:ind w:left="33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420" w:type="dxa"/>
            <w:vAlign w:val="bottom"/>
            <w:gridSpan w:val="6"/>
          </w:tcPr>
          <w:p>
            <w:pPr>
              <w:jc w:val="center"/>
              <w:ind w:right="16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14"/>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c>
          <w:tcPr>
            <w:tcW w:w="0" w:type="dxa"/>
            <w:vAlign w:val="bottom"/>
          </w:tcPr>
          <w:p>
            <w:pPr>
              <w:spacing w:after="0"/>
              <w:rPr>
                <w:sz w:val="1"/>
                <w:szCs w:val="1"/>
                <w:color w:val="auto"/>
              </w:rPr>
            </w:pPr>
          </w:p>
        </w:tc>
      </w:tr>
      <w:tr>
        <w:trPr>
          <w:trHeight w:val="783"/>
        </w:trPr>
        <w:tc>
          <w:tcPr>
            <w:tcW w:w="5080" w:type="dxa"/>
            <w:vAlign w:val="bottom"/>
          </w:tcPr>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11"/>
          </w:tcPr>
          <w:p>
            <w:pPr>
              <w:jc w:val="center"/>
              <w:ind w:right="1100"/>
              <w:spacing w:after="0"/>
              <w:rPr>
                <w:sz w:val="20"/>
                <w:szCs w:val="20"/>
                <w:color w:val="auto"/>
              </w:rPr>
            </w:pPr>
            <w:r>
              <w:rPr>
                <w:rFonts w:ascii="Arial" w:cs="Arial" w:eastAsia="Arial" w:hAnsi="Arial"/>
                <w:sz w:val="14"/>
                <w:szCs w:val="14"/>
                <w:b w:val="1"/>
                <w:bCs w:val="1"/>
                <w:i w:val="1"/>
                <w:iCs w:val="1"/>
                <w:color w:val="auto"/>
                <w:w w:val="72"/>
              </w:rPr>
              <w:t>Three Months Ended</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bottom w:val="single" w:sz="8" w:color="auto"/>
            </w:tcBorders>
            <w:gridSpan w:val="8"/>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1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80" w:type="dxa"/>
            <w:vAlign w:val="bottom"/>
            <w:vMerge w:val="restart"/>
          </w:tcPr>
          <w:p>
            <w:pPr>
              <w:ind w:left="1100"/>
              <w:spacing w:after="0"/>
              <w:rPr>
                <w:sz w:val="20"/>
                <w:szCs w:val="20"/>
                <w:color w:val="auto"/>
              </w:rPr>
            </w:pPr>
            <w:r>
              <w:rPr>
                <w:rFonts w:ascii="Arial" w:cs="Arial" w:eastAsia="Arial" w:hAnsi="Arial"/>
                <w:sz w:val="18"/>
                <w:szCs w:val="18"/>
                <w:b w:val="1"/>
                <w:bCs w:val="1"/>
                <w:i w:val="1"/>
                <w:iCs w:val="1"/>
                <w:color w:val="auto"/>
                <w:w w:val="88"/>
              </w:rPr>
              <w:t>Earnings (loss) before income tax expense (benefit):</w:t>
            </w:r>
          </w:p>
        </w:tc>
        <w:tc>
          <w:tcPr>
            <w:tcW w:w="56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2012</w:t>
            </w:r>
          </w:p>
        </w:tc>
        <w:tc>
          <w:tcPr>
            <w:tcW w:w="80" w:type="dxa"/>
            <w:vAlign w:val="bottom"/>
            <w:vMerge w:val="restart"/>
          </w:tcPr>
          <w:p>
            <w:pPr>
              <w:spacing w:after="0"/>
              <w:rPr>
                <w:sz w:val="13"/>
                <w:szCs w:val="13"/>
                <w:color w:val="auto"/>
              </w:rPr>
            </w:pPr>
          </w:p>
        </w:tc>
        <w:tc>
          <w:tcPr>
            <w:tcW w:w="9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50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Thermal Products</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24"/>
                <w:szCs w:val="24"/>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$ 317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Mechanical Products</w:t>
            </w:r>
          </w:p>
        </w:tc>
        <w:tc>
          <w:tcPr>
            <w:tcW w:w="1420" w:type="dxa"/>
            <w:vAlign w:val="bottom"/>
            <w:gridSpan w:val="6"/>
          </w:tcPr>
          <w:p>
            <w:pPr>
              <w:jc w:val="right"/>
              <w:ind w:right="180"/>
              <w:spacing w:after="0"/>
              <w:rPr>
                <w:sz w:val="20"/>
                <w:szCs w:val="20"/>
                <w:color w:val="auto"/>
              </w:rPr>
            </w:pPr>
            <w:r>
              <w:rPr>
                <w:rFonts w:ascii="Arial" w:cs="Arial" w:eastAsia="Arial" w:hAnsi="Arial"/>
                <w:sz w:val="18"/>
                <w:szCs w:val="18"/>
                <w:color w:val="auto"/>
              </w:rPr>
              <w:t>(686)</w:t>
            </w:r>
          </w:p>
        </w:tc>
        <w:tc>
          <w:tcPr>
            <w:tcW w:w="1520" w:type="dxa"/>
            <w:vAlign w:val="bottom"/>
            <w:gridSpan w:val="7"/>
          </w:tcPr>
          <w:p>
            <w:pPr>
              <w:jc w:val="right"/>
              <w:ind w:right="8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Electrical Products</w:t>
            </w:r>
          </w:p>
        </w:tc>
        <w:tc>
          <w:tcPr>
            <w:tcW w:w="1420" w:type="dxa"/>
            <w:vAlign w:val="bottom"/>
            <w:gridSpan w:val="6"/>
          </w:tcPr>
          <w:p>
            <w:pPr>
              <w:jc w:val="right"/>
              <w:ind w:right="180"/>
              <w:spacing w:after="0"/>
              <w:rPr>
                <w:sz w:val="20"/>
                <w:szCs w:val="20"/>
                <w:color w:val="auto"/>
              </w:rPr>
            </w:pPr>
            <w:r>
              <w:rPr>
                <w:rFonts w:ascii="Arial" w:cs="Arial" w:eastAsia="Arial" w:hAnsi="Arial"/>
                <w:sz w:val="18"/>
                <w:szCs w:val="18"/>
                <w:color w:val="auto"/>
              </w:rPr>
              <w:t>(8)</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365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80" w:type="dxa"/>
            <w:vAlign w:val="bottom"/>
          </w:tcPr>
          <w:p>
            <w:pPr>
              <w:ind w:left="1100"/>
              <w:spacing w:after="0"/>
              <w:rPr>
                <w:sz w:val="20"/>
                <w:szCs w:val="20"/>
                <w:color w:val="auto"/>
              </w:rPr>
            </w:pPr>
            <w:r>
              <w:rPr>
                <w:rFonts w:ascii="Arial" w:cs="Arial" w:eastAsia="Arial" w:hAnsi="Arial"/>
                <w:sz w:val="18"/>
                <w:szCs w:val="18"/>
                <w:color w:val="auto"/>
              </w:rPr>
              <w:t>Corporate</w:t>
            </w:r>
          </w:p>
        </w:tc>
        <w:tc>
          <w:tcPr>
            <w:tcW w:w="840" w:type="dxa"/>
            <w:vAlign w:val="bottom"/>
            <w:gridSpan w:val="2"/>
          </w:tcPr>
          <w:p>
            <w:pPr>
              <w:spacing w:after="0"/>
              <w:rPr>
                <w:sz w:val="24"/>
                <w:szCs w:val="24"/>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8"/>
                <w:szCs w:val="18"/>
                <w:color w:val="auto"/>
              </w:rPr>
              <w:t>(94)</w:t>
            </w:r>
          </w:p>
        </w:tc>
        <w:tc>
          <w:tcPr>
            <w:tcW w:w="1520" w:type="dxa"/>
            <w:vAlign w:val="bottom"/>
            <w:gridSpan w:val="7"/>
          </w:tcPr>
          <w:p>
            <w:pPr>
              <w:jc w:val="right"/>
              <w:ind w:right="8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  370</w:t>
            </w:r>
          </w:p>
        </w:tc>
        <w:tc>
          <w:tcPr>
            <w:tcW w:w="220" w:type="dxa"/>
            <w:vAlign w:val="bottom"/>
          </w:tcPr>
          <w:p>
            <w:pPr>
              <w:spacing w:after="0"/>
              <w:rPr>
                <w:sz w:val="24"/>
                <w:szCs w:val="24"/>
                <w:color w:val="auto"/>
              </w:rPr>
            </w:pPr>
          </w:p>
        </w:tc>
        <w:tc>
          <w:tcPr>
            <w:tcW w:w="1520" w:type="dxa"/>
            <w:vAlign w:val="bottom"/>
            <w:gridSpan w:val="7"/>
          </w:tcPr>
          <w:p>
            <w:pPr>
              <w:jc w:val="right"/>
              <w:ind w:right="840"/>
              <w:spacing w:after="0"/>
              <w:rPr>
                <w:sz w:val="20"/>
                <w:szCs w:val="20"/>
                <w:color w:val="auto"/>
              </w:rPr>
            </w:pPr>
            <w:r>
              <w:rPr>
                <w:rFonts w:ascii="Arial" w:cs="Arial" w:eastAsia="Arial" w:hAnsi="Arial"/>
                <w:sz w:val="18"/>
                <w:szCs w:val="18"/>
                <w:color w:val="auto"/>
              </w:rPr>
              <w:t>$ (71)</w:t>
            </w:r>
          </w:p>
        </w:tc>
        <w:tc>
          <w:tcPr>
            <w:tcW w:w="0" w:type="dxa"/>
            <w:vAlign w:val="bottom"/>
          </w:tcPr>
          <w:p>
            <w:pPr>
              <w:spacing w:after="0"/>
              <w:rPr>
                <w:sz w:val="1"/>
                <w:szCs w:val="1"/>
                <w:color w:val="auto"/>
              </w:rPr>
            </w:pPr>
          </w:p>
        </w:tc>
      </w:tr>
      <w:tr>
        <w:trPr>
          <w:trHeight w:val="410"/>
        </w:trPr>
        <w:tc>
          <w:tcPr>
            <w:tcW w:w="508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Net earnings (loss):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Thermal Products</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$ 914</w:t>
            </w:r>
          </w:p>
        </w:tc>
        <w:tc>
          <w:tcPr>
            <w:tcW w:w="220" w:type="dxa"/>
            <w:vAlign w:val="bottom"/>
          </w:tcPr>
          <w:p>
            <w:pPr>
              <w:spacing w:after="0"/>
              <w:rPr>
                <w:sz w:val="24"/>
                <w:szCs w:val="24"/>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$ 190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Mechanical Products</w:t>
            </w:r>
          </w:p>
        </w:tc>
        <w:tc>
          <w:tcPr>
            <w:tcW w:w="1420" w:type="dxa"/>
            <w:vAlign w:val="bottom"/>
            <w:gridSpan w:val="6"/>
          </w:tcPr>
          <w:p>
            <w:pPr>
              <w:jc w:val="right"/>
              <w:ind w:right="180"/>
              <w:spacing w:after="0"/>
              <w:rPr>
                <w:sz w:val="20"/>
                <w:szCs w:val="20"/>
                <w:color w:val="auto"/>
              </w:rPr>
            </w:pPr>
            <w:r>
              <w:rPr>
                <w:rFonts w:ascii="Arial" w:cs="Arial" w:eastAsia="Arial" w:hAnsi="Arial"/>
                <w:sz w:val="18"/>
                <w:szCs w:val="18"/>
                <w:color w:val="auto"/>
              </w:rPr>
              <w:t>(542)</w:t>
            </w:r>
          </w:p>
        </w:tc>
        <w:tc>
          <w:tcPr>
            <w:tcW w:w="1520" w:type="dxa"/>
            <w:vAlign w:val="bottom"/>
            <w:gridSpan w:val="7"/>
          </w:tcPr>
          <w:p>
            <w:pPr>
              <w:jc w:val="right"/>
              <w:ind w:right="8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Electrical Products</w:t>
            </w:r>
          </w:p>
        </w:tc>
        <w:tc>
          <w:tcPr>
            <w:tcW w:w="1420" w:type="dxa"/>
            <w:vAlign w:val="bottom"/>
            <w:gridSpan w:val="6"/>
          </w:tcPr>
          <w:p>
            <w:pPr>
              <w:jc w:val="right"/>
              <w:ind w:right="180"/>
              <w:spacing w:after="0"/>
              <w:rPr>
                <w:sz w:val="20"/>
                <w:szCs w:val="20"/>
                <w:color w:val="auto"/>
              </w:rPr>
            </w:pPr>
            <w:r>
              <w:rPr>
                <w:rFonts w:ascii="Arial" w:cs="Arial" w:eastAsia="Arial" w:hAnsi="Arial"/>
                <w:sz w:val="18"/>
                <w:szCs w:val="18"/>
                <w:color w:val="auto"/>
              </w:rPr>
              <w:t>(6)</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219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80" w:type="dxa"/>
            <w:vAlign w:val="bottom"/>
          </w:tcPr>
          <w:p>
            <w:pPr>
              <w:ind w:left="1100"/>
              <w:spacing w:after="0"/>
              <w:rPr>
                <w:sz w:val="20"/>
                <w:szCs w:val="20"/>
                <w:color w:val="auto"/>
              </w:rPr>
            </w:pPr>
            <w:r>
              <w:rPr>
                <w:rFonts w:ascii="Arial" w:cs="Arial" w:eastAsia="Arial" w:hAnsi="Arial"/>
                <w:sz w:val="18"/>
                <w:szCs w:val="18"/>
                <w:color w:val="auto"/>
              </w:rPr>
              <w:t>Corporate</w:t>
            </w:r>
          </w:p>
        </w:tc>
        <w:tc>
          <w:tcPr>
            <w:tcW w:w="840" w:type="dxa"/>
            <w:vAlign w:val="bottom"/>
            <w:gridSpan w:val="2"/>
          </w:tcPr>
          <w:p>
            <w:pPr>
              <w:spacing w:after="0"/>
              <w:rPr>
                <w:sz w:val="24"/>
                <w:szCs w:val="24"/>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8"/>
                <w:szCs w:val="18"/>
                <w:color w:val="auto"/>
              </w:rPr>
              <w:t>(74)</w:t>
            </w:r>
          </w:p>
        </w:tc>
        <w:tc>
          <w:tcPr>
            <w:tcW w:w="1520" w:type="dxa"/>
            <w:vAlign w:val="bottom"/>
            <w:gridSpan w:val="7"/>
          </w:tcPr>
          <w:p>
            <w:pPr>
              <w:jc w:val="right"/>
              <w:ind w:right="8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75"/>
              </w:rPr>
              <w:t>$ 292</w:t>
            </w:r>
          </w:p>
        </w:tc>
        <w:tc>
          <w:tcPr>
            <w:tcW w:w="220" w:type="dxa"/>
            <w:vAlign w:val="bottom"/>
          </w:tcPr>
          <w:p>
            <w:pPr>
              <w:spacing w:after="0"/>
              <w:rPr>
                <w:sz w:val="24"/>
                <w:szCs w:val="24"/>
                <w:color w:val="auto"/>
              </w:rPr>
            </w:pPr>
          </w:p>
        </w:tc>
        <w:tc>
          <w:tcPr>
            <w:tcW w:w="1520" w:type="dxa"/>
            <w:vAlign w:val="bottom"/>
            <w:gridSpan w:val="7"/>
          </w:tcPr>
          <w:p>
            <w:pPr>
              <w:jc w:val="right"/>
              <w:ind w:right="840"/>
              <w:spacing w:after="0"/>
              <w:rPr>
                <w:sz w:val="20"/>
                <w:szCs w:val="20"/>
                <w:color w:val="auto"/>
              </w:rPr>
            </w:pPr>
            <w:r>
              <w:rPr>
                <w:rFonts w:ascii="Arial" w:cs="Arial" w:eastAsia="Arial" w:hAnsi="Arial"/>
                <w:sz w:val="18"/>
                <w:szCs w:val="18"/>
                <w:color w:val="auto"/>
              </w:rPr>
              <w:t>$ (43)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8"/>
              </w:rPr>
              <w:t>Mar. 31,</w:t>
            </w:r>
          </w:p>
        </w:tc>
        <w:tc>
          <w:tcPr>
            <w:tcW w:w="1520" w:type="dxa"/>
            <w:vAlign w:val="bottom"/>
            <w:gridSpan w:val="7"/>
          </w:tcPr>
          <w:p>
            <w:pPr>
              <w:jc w:val="center"/>
              <w:ind w:right="98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163"/>
        </w:trPr>
        <w:tc>
          <w:tcPr>
            <w:tcW w:w="5080" w:type="dxa"/>
            <w:vAlign w:val="bottom"/>
          </w:tcPr>
          <w:p>
            <w:pPr>
              <w:spacing w:after="0"/>
              <w:rPr>
                <w:sz w:val="14"/>
                <w:szCs w:val="14"/>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4"/>
                <w:szCs w:val="14"/>
                <w:b w:val="1"/>
                <w:bCs w:val="1"/>
                <w:i w:val="1"/>
                <w:i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508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Identifiable assets:</w:t>
            </w:r>
          </w:p>
        </w:tc>
        <w:tc>
          <w:tcPr>
            <w:tcW w:w="5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Thermal Products</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$21,990</w:t>
            </w:r>
          </w:p>
        </w:tc>
        <w:tc>
          <w:tcPr>
            <w:tcW w:w="220" w:type="dxa"/>
            <w:vAlign w:val="bottom"/>
          </w:tcPr>
          <w:p>
            <w:pPr>
              <w:spacing w:after="0"/>
              <w:rPr>
                <w:sz w:val="24"/>
                <w:szCs w:val="24"/>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w w:val="95"/>
              </w:rPr>
              <w:t>$20,849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80" w:type="dxa"/>
            <w:vAlign w:val="bottom"/>
          </w:tcPr>
          <w:p>
            <w:pPr>
              <w:ind w:left="1100"/>
              <w:spacing w:after="0"/>
              <w:rPr>
                <w:sz w:val="20"/>
                <w:szCs w:val="20"/>
                <w:color w:val="auto"/>
              </w:rPr>
            </w:pPr>
            <w:r>
              <w:rPr>
                <w:rFonts w:ascii="Arial" w:cs="Arial" w:eastAsia="Arial" w:hAnsi="Arial"/>
                <w:sz w:val="18"/>
                <w:szCs w:val="18"/>
                <w:color w:val="auto"/>
              </w:rPr>
              <w:t>Mechanical Products</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6,951</w:t>
            </w:r>
          </w:p>
        </w:tc>
        <w:tc>
          <w:tcPr>
            <w:tcW w:w="220" w:type="dxa"/>
            <w:vAlign w:val="bottom"/>
          </w:tcPr>
          <w:p>
            <w:pPr>
              <w:spacing w:after="0"/>
              <w:rPr>
                <w:sz w:val="24"/>
                <w:szCs w:val="24"/>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7,737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80" w:type="dxa"/>
            <w:vAlign w:val="bottom"/>
          </w:tcPr>
          <w:p>
            <w:pPr>
              <w:ind w:left="1100"/>
              <w:spacing w:after="0"/>
              <w:rPr>
                <w:sz w:val="20"/>
                <w:szCs w:val="20"/>
                <w:color w:val="auto"/>
              </w:rPr>
            </w:pPr>
            <w:r>
              <w:rPr>
                <w:rFonts w:ascii="Arial" w:cs="Arial" w:eastAsia="Arial" w:hAnsi="Arial"/>
                <w:sz w:val="18"/>
                <w:szCs w:val="18"/>
                <w:color w:val="auto"/>
              </w:rPr>
              <w:t>Electrical Products</w:t>
            </w:r>
          </w:p>
        </w:tc>
        <w:tc>
          <w:tcPr>
            <w:tcW w:w="840" w:type="dxa"/>
            <w:vAlign w:val="bottom"/>
            <w:gridSpan w:val="2"/>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5"/>
              </w:rPr>
              <w:t>3,662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3,813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80" w:type="dxa"/>
            <w:vAlign w:val="bottom"/>
          </w:tcPr>
          <w:p>
            <w:pPr>
              <w:spacing w:after="0"/>
              <w:rPr>
                <w:sz w:val="24"/>
                <w:szCs w:val="24"/>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32,603</w:t>
            </w:r>
          </w:p>
        </w:tc>
        <w:tc>
          <w:tcPr>
            <w:tcW w:w="220" w:type="dxa"/>
            <w:vAlign w:val="bottom"/>
          </w:tcPr>
          <w:p>
            <w:pPr>
              <w:spacing w:after="0"/>
              <w:rPr>
                <w:sz w:val="24"/>
                <w:szCs w:val="24"/>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32,399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14"/>
          </w:tcPr>
          <w:p>
            <w:pPr>
              <w:jc w:val="center"/>
              <w:ind w:right="200"/>
              <w:spacing w:after="0"/>
              <w:rPr>
                <w:sz w:val="20"/>
                <w:szCs w:val="20"/>
                <w:color w:val="auto"/>
              </w:rPr>
            </w:pPr>
            <w:r>
              <w:rPr>
                <w:rFonts w:ascii="Arial" w:cs="Arial" w:eastAsia="Arial" w:hAnsi="Arial"/>
                <w:sz w:val="14"/>
                <w:szCs w:val="14"/>
                <w:b w:val="1"/>
                <w:bCs w:val="1"/>
                <w:i w:val="1"/>
                <w:iCs w:val="1"/>
                <w:color w:val="auto"/>
                <w:w w:val="86"/>
              </w:rPr>
              <w:t>Three Months Ended</w:t>
            </w:r>
          </w:p>
        </w:tc>
      </w:tr>
      <w:tr>
        <w:trPr>
          <w:trHeight w:val="146"/>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8"/>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280" w:type="dxa"/>
            <w:vAlign w:val="bottom"/>
            <w:gridSpan w:val="3"/>
          </w:tcPr>
          <w:p>
            <w:pPr>
              <w:spacing w:after="0"/>
              <w:rPr>
                <w:sz w:val="12"/>
                <w:szCs w:val="12"/>
                <w:color w:val="auto"/>
              </w:rPr>
            </w:pPr>
          </w:p>
        </w:tc>
      </w:tr>
      <w:tr>
        <w:trPr>
          <w:trHeight w:val="156"/>
        </w:trPr>
        <w:tc>
          <w:tcPr>
            <w:tcW w:w="4480" w:type="dxa"/>
            <w:vAlign w:val="bottom"/>
          </w:tcPr>
          <w:p>
            <w:pPr>
              <w:spacing w:after="0"/>
              <w:rPr>
                <w:sz w:val="13"/>
                <w:szCs w:val="13"/>
                <w:color w:val="auto"/>
              </w:rPr>
            </w:pPr>
          </w:p>
        </w:tc>
        <w:tc>
          <w:tcPr>
            <w:tcW w:w="680" w:type="dxa"/>
            <w:vAlign w:val="bottom"/>
            <w:gridSpan w:val="6"/>
          </w:tcPr>
          <w:p>
            <w:pPr>
              <w:jc w:val="right"/>
              <w:ind w:right="6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860" w:type="dxa"/>
            <w:vAlign w:val="bottom"/>
            <w:gridSpan w:val="8"/>
          </w:tcPr>
          <w:p>
            <w:pPr>
              <w:jc w:val="right"/>
              <w:ind w:right="4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40" w:type="dxa"/>
            <w:vAlign w:val="bottom"/>
          </w:tcPr>
          <w:p>
            <w:pPr>
              <w:spacing w:after="0"/>
              <w:rPr>
                <w:sz w:val="13"/>
                <w:szCs w:val="13"/>
                <w:color w:val="auto"/>
              </w:rPr>
            </w:pPr>
          </w:p>
        </w:tc>
      </w:tr>
      <w:tr>
        <w:trPr>
          <w:trHeight w:val="451"/>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U.S.</w:t>
            </w: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$ 3,214</w:t>
            </w:r>
          </w:p>
        </w:tc>
        <w:tc>
          <w:tcPr>
            <w:tcW w:w="900" w:type="dxa"/>
            <w:vAlign w:val="bottom"/>
            <w:gridSpan w:val="9"/>
          </w:tcPr>
          <w:p>
            <w:pPr>
              <w:jc w:val="right"/>
              <w:spacing w:after="0"/>
              <w:rPr>
                <w:sz w:val="20"/>
                <w:szCs w:val="20"/>
                <w:color w:val="auto"/>
              </w:rPr>
            </w:pPr>
            <w:r>
              <w:rPr>
                <w:rFonts w:ascii="Arial" w:cs="Arial" w:eastAsia="Arial" w:hAnsi="Arial"/>
                <w:sz w:val="18"/>
                <w:szCs w:val="18"/>
                <w:color w:val="auto"/>
              </w:rPr>
              <w:t>$ 4,196</w:t>
            </w:r>
          </w:p>
        </w:tc>
      </w:tr>
      <w:tr>
        <w:trPr>
          <w:trHeight w:val="421"/>
        </w:trPr>
        <w:tc>
          <w:tcPr>
            <w:tcW w:w="4480" w:type="dxa"/>
            <w:vAlign w:val="bottom"/>
          </w:tcPr>
          <w:p>
            <w:pPr>
              <w:spacing w:after="0"/>
              <w:rPr>
                <w:sz w:val="20"/>
                <w:szCs w:val="20"/>
                <w:color w:val="auto"/>
              </w:rPr>
            </w:pPr>
            <w:r>
              <w:rPr>
                <w:rFonts w:ascii="Arial" w:cs="Arial" w:eastAsia="Arial" w:hAnsi="Arial"/>
                <w:sz w:val="18"/>
                <w:szCs w:val="18"/>
                <w:color w:val="auto"/>
              </w:rPr>
              <w:t>Foreign</w:t>
            </w:r>
          </w:p>
        </w:tc>
        <w:tc>
          <w:tcPr>
            <w:tcW w:w="180" w:type="dxa"/>
            <w:vAlign w:val="bottom"/>
            <w:gridSpan w:val="2"/>
          </w:tcPr>
          <w:p>
            <w:pPr>
              <w:spacing w:after="0"/>
              <w:rPr>
                <w:sz w:val="24"/>
                <w:szCs w:val="24"/>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5,759</w:t>
            </w:r>
          </w:p>
        </w:tc>
        <w:tc>
          <w:tcPr>
            <w:tcW w:w="380" w:type="dxa"/>
            <w:vAlign w:val="bottom"/>
            <w:gridSpan w:val="3"/>
          </w:tcPr>
          <w:p>
            <w:pPr>
              <w:spacing w:after="0"/>
              <w:rPr>
                <w:sz w:val="24"/>
                <w:szCs w:val="24"/>
                <w:color w:val="auto"/>
              </w:rPr>
            </w:pPr>
          </w:p>
        </w:tc>
        <w:tc>
          <w:tcPr>
            <w:tcW w:w="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6,535</w:t>
            </w:r>
          </w:p>
        </w:tc>
      </w:tr>
      <w:tr>
        <w:trPr>
          <w:trHeight w:val="439"/>
        </w:trPr>
        <w:tc>
          <w:tcPr>
            <w:tcW w:w="4480" w:type="dxa"/>
            <w:vAlign w:val="bottom"/>
          </w:tcPr>
          <w:p>
            <w:pPr>
              <w:spacing w:after="0"/>
              <w:rPr>
                <w:sz w:val="24"/>
                <w:szCs w:val="24"/>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$ 8,973</w:t>
            </w:r>
          </w:p>
        </w:tc>
        <w:tc>
          <w:tcPr>
            <w:tcW w:w="90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10,731</w:t>
            </w: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601"/>
        </w:trPr>
        <w:tc>
          <w:tcPr>
            <w:tcW w:w="4480" w:type="dxa"/>
            <w:vAlign w:val="bottom"/>
          </w:tcPr>
          <w:p>
            <w:pPr>
              <w:spacing w:after="0"/>
              <w:rPr>
                <w:sz w:val="24"/>
                <w:szCs w:val="24"/>
                <w:color w:val="auto"/>
              </w:rPr>
            </w:pPr>
          </w:p>
        </w:tc>
        <w:tc>
          <w:tcPr>
            <w:tcW w:w="680" w:type="dxa"/>
            <w:vAlign w:val="bottom"/>
            <w:gridSpan w:val="6"/>
          </w:tcPr>
          <w:p>
            <w:pPr>
              <w:jc w:val="center"/>
              <w:ind w:right="140"/>
              <w:spacing w:after="0"/>
              <w:rPr>
                <w:sz w:val="20"/>
                <w:szCs w:val="20"/>
                <w:color w:val="auto"/>
              </w:rPr>
            </w:pPr>
            <w:r>
              <w:rPr>
                <w:rFonts w:ascii="Arial" w:cs="Arial" w:eastAsia="Arial" w:hAnsi="Arial"/>
                <w:sz w:val="14"/>
                <w:szCs w:val="14"/>
                <w:b w:val="1"/>
                <w:bCs w:val="1"/>
                <w:i w:val="1"/>
                <w:iCs w:val="1"/>
                <w:color w:val="auto"/>
                <w:w w:val="88"/>
              </w:rPr>
              <w:t>Mar. 31,</w:t>
            </w:r>
          </w:p>
        </w:tc>
        <w:tc>
          <w:tcPr>
            <w:tcW w:w="220" w:type="dxa"/>
            <w:vAlign w:val="bottom"/>
          </w:tcPr>
          <w:p>
            <w:pPr>
              <w:spacing w:after="0"/>
              <w:rPr>
                <w:sz w:val="24"/>
                <w:szCs w:val="24"/>
                <w:color w:val="auto"/>
              </w:rPr>
            </w:pPr>
          </w:p>
        </w:tc>
        <w:tc>
          <w:tcPr>
            <w:tcW w:w="680" w:type="dxa"/>
            <w:vAlign w:val="bottom"/>
            <w:gridSpan w:val="8"/>
          </w:tcPr>
          <w:p>
            <w:pPr>
              <w:jc w:val="center"/>
              <w:ind w:right="1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4480" w:type="dxa"/>
            <w:vAlign w:val="bottom"/>
          </w:tcPr>
          <w:p>
            <w:pPr>
              <w:spacing w:after="0"/>
              <w:rPr>
                <w:sz w:val="14"/>
                <w:szCs w:val="14"/>
                <w:color w:val="auto"/>
              </w:rPr>
            </w:pPr>
          </w:p>
        </w:tc>
        <w:tc>
          <w:tcPr>
            <w:tcW w:w="540" w:type="dxa"/>
            <w:vAlign w:val="bottom"/>
            <w:gridSpan w:val="5"/>
          </w:tcPr>
          <w:p>
            <w:pPr>
              <w:jc w:val="right"/>
              <w:ind w:right="72"/>
              <w:spacing w:after="0"/>
              <w:rPr>
                <w:sz w:val="20"/>
                <w:szCs w:val="20"/>
                <w:color w:val="auto"/>
              </w:rPr>
            </w:pPr>
            <w:r>
              <w:rPr>
                <w:rFonts w:ascii="Arial" w:cs="Arial" w:eastAsia="Arial" w:hAnsi="Arial"/>
                <w:sz w:val="14"/>
                <w:szCs w:val="14"/>
                <w:b w:val="1"/>
                <w:bCs w:val="1"/>
                <w:i w:val="1"/>
                <w:iCs w:val="1"/>
                <w:color w:val="auto"/>
              </w:rPr>
              <w:t>2013</w:t>
            </w:r>
          </w:p>
        </w:tc>
        <w:tc>
          <w:tcPr>
            <w:tcW w:w="140" w:type="dxa"/>
            <w:vAlign w:val="bottom"/>
          </w:tcPr>
          <w:p>
            <w:pPr>
              <w:spacing w:after="0"/>
              <w:rPr>
                <w:sz w:val="14"/>
                <w:szCs w:val="14"/>
                <w:color w:val="auto"/>
              </w:rPr>
            </w:pPr>
          </w:p>
        </w:tc>
        <w:tc>
          <w:tcPr>
            <w:tcW w:w="620" w:type="dxa"/>
            <w:vAlign w:val="bottom"/>
            <w:gridSpan w:val="6"/>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2"/>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59"/>
        </w:trPr>
        <w:tc>
          <w:tcPr>
            <w:tcW w:w="4480" w:type="dxa"/>
            <w:vAlign w:val="bottom"/>
          </w:tcPr>
          <w:p>
            <w:pPr>
              <w:spacing w:after="0"/>
              <w:rPr>
                <w:sz w:val="20"/>
                <w:szCs w:val="20"/>
                <w:color w:val="auto"/>
              </w:rPr>
            </w:pPr>
            <w:r>
              <w:rPr>
                <w:rFonts w:ascii="Arial" w:cs="Arial" w:eastAsia="Arial" w:hAnsi="Arial"/>
                <w:sz w:val="18"/>
                <w:szCs w:val="18"/>
                <w:color w:val="auto"/>
              </w:rPr>
              <w:t>U.S.</w:t>
            </w: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  871</w:t>
            </w:r>
          </w:p>
        </w:tc>
        <w:tc>
          <w:tcPr>
            <w:tcW w:w="900" w:type="dxa"/>
            <w:vAlign w:val="bottom"/>
            <w:gridSpan w:val="9"/>
          </w:tcPr>
          <w:p>
            <w:pPr>
              <w:jc w:val="right"/>
              <w:ind w:right="40"/>
              <w:spacing w:after="0"/>
              <w:rPr>
                <w:sz w:val="20"/>
                <w:szCs w:val="20"/>
                <w:color w:val="auto"/>
              </w:rPr>
            </w:pPr>
            <w:r>
              <w:rPr>
                <w:rFonts w:ascii="Arial" w:cs="Arial" w:eastAsia="Arial" w:hAnsi="Arial"/>
                <w:sz w:val="18"/>
                <w:szCs w:val="18"/>
                <w:color w:val="auto"/>
              </w:rPr>
              <w:t>$  899</w:t>
            </w:r>
          </w:p>
        </w:tc>
      </w:tr>
      <w:tr>
        <w:trPr>
          <w:trHeight w:val="421"/>
        </w:trPr>
        <w:tc>
          <w:tcPr>
            <w:tcW w:w="44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gridSpan w:val="3"/>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400" w:type="dxa"/>
            <w:vAlign w:val="bottom"/>
            <w:gridSpan w:val="4"/>
          </w:tcPr>
          <w:p>
            <w:pPr>
              <w:spacing w:after="0"/>
              <w:rPr>
                <w:sz w:val="24"/>
                <w:szCs w:val="24"/>
                <w:color w:val="auto"/>
              </w:rPr>
            </w:pPr>
          </w:p>
        </w:tc>
        <w:tc>
          <w:tcPr>
            <w:tcW w:w="500" w:type="dxa"/>
            <w:vAlign w:val="bottom"/>
            <w:gridSpan w:val="5"/>
          </w:tcPr>
          <w:p>
            <w:pPr>
              <w:jc w:val="right"/>
              <w:ind w:right="40"/>
              <w:spacing w:after="0"/>
              <w:rPr>
                <w:sz w:val="20"/>
                <w:szCs w:val="20"/>
                <w:color w:val="auto"/>
              </w:rPr>
            </w:pPr>
            <w:r>
              <w:rPr>
                <w:rFonts w:ascii="Arial" w:cs="Arial" w:eastAsia="Arial" w:hAnsi="Arial"/>
                <w:sz w:val="18"/>
                <w:szCs w:val="18"/>
                <w:color w:val="auto"/>
              </w:rPr>
              <w:t>351</w:t>
            </w:r>
          </w:p>
        </w:tc>
      </w:tr>
      <w:tr>
        <w:trPr>
          <w:trHeight w:val="20"/>
        </w:trPr>
        <w:tc>
          <w:tcPr>
            <w:tcW w:w="4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80" w:type="dxa"/>
            <w:vAlign w:val="bottom"/>
          </w:tcPr>
          <w:p>
            <w:pPr>
              <w:spacing w:after="0"/>
              <w:rPr>
                <w:sz w:val="24"/>
                <w:szCs w:val="24"/>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1,179</w:t>
            </w:r>
          </w:p>
        </w:tc>
        <w:tc>
          <w:tcPr>
            <w:tcW w:w="900" w:type="dxa"/>
            <w:vAlign w:val="bottom"/>
            <w:gridSpan w:val="9"/>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1,250</w:t>
            </w: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60"/>
          </w:cols>
          <w:pgMar w:left="240" w:top="125" w:right="399" w:bottom="184" w:gutter="0" w:footer="0" w:header="0"/>
        </w:sectPr>
      </w:pPr>
    </w:p>
    <w:bookmarkStart w:id="15" w:name="page16"/>
    <w:bookmarkEnd w:id="15"/>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1585595</wp:posOffset>
            </wp:positionH>
            <wp:positionV relativeFrom="page">
              <wp:posOffset>88900</wp:posOffset>
            </wp:positionV>
            <wp:extent cx="43903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9039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2012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2012 Form 10-K. Material changes to such risk factors may be reported in subsequent Quarterly Reports on Form 10-Q in Part II, Item 1A. There have been no such changes from the risk factors set forth in our 2012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the semiconductor test industry, such as the automotive, consumer electronics, defense/aerospace, energy and telecommunications industries. We believe that these industries usually are less cyclical than the ATE industry.</w:t>
      </w:r>
    </w:p>
    <w:p>
      <w:pPr>
        <w:spacing w:after="0" w:line="174"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line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 These shifts in market practices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919" w:orient="portrait"/>
          <w:cols w:equalWidth="0" w:num="1">
            <w:col w:w="11400"/>
          </w:cols>
          <w:pgMar w:left="240" w:top="374" w:right="259" w:bottom="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4"/>
          <w:szCs w:val="14"/>
          <w:b w:val="1"/>
          <w:bCs w:val="1"/>
          <w:i w:val="1"/>
          <w:i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-8890</wp:posOffset>
            </wp:positionV>
            <wp:extent cx="967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88"/>
              </w:rPr>
              <w:t>Mar. 31,</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center"/>
              <w:ind w:left="112"/>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56"/>
        </w:trPr>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50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40" w:type="dxa"/>
            <w:vAlign w:val="bottom"/>
          </w:tcPr>
          <w:p>
            <w:pPr>
              <w:spacing w:after="0"/>
              <w:rPr>
                <w:sz w:val="13"/>
                <w:szCs w:val="13"/>
                <w:color w:val="auto"/>
              </w:rPr>
            </w:pPr>
          </w:p>
        </w:tc>
      </w:tr>
    </w:tbl>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sectPr>
          <w:pgSz w:w="11900" w:h="16838" w:orient="portrait"/>
          <w:cols w:equalWidth="0" w:num="2">
            <w:col w:w="5060" w:space="720"/>
            <w:col w:w="5620"/>
          </w:cols>
          <w:pgMar w:left="240" w:top="142" w:right="259" w:bottom="0" w:gutter="0" w:footer="0" w:header="0"/>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$5,898</w:t>
            </w:r>
          </w:p>
        </w:tc>
        <w:tc>
          <w:tcPr>
            <w:tcW w:w="240" w:type="dxa"/>
            <w:vAlign w:val="bottom"/>
          </w:tcPr>
          <w:p>
            <w:pPr>
              <w:spacing w:after="0"/>
              <w:rPr>
                <w:sz w:val="19"/>
                <w:szCs w:val="19"/>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w w:val="83"/>
              </w:rPr>
              <w:t>$ 6,111</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83"/>
              </w:rPr>
              <w:t>$5,656</w:t>
            </w: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2,514</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1,639</w:t>
            </w: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2,116</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976</w:t>
            </w:r>
          </w:p>
        </w:tc>
      </w:tr>
      <w:tr>
        <w:trPr>
          <w:trHeight w:val="421"/>
        </w:trPr>
        <w:tc>
          <w:tcPr>
            <w:tcW w:w="4680" w:type="dxa"/>
            <w:vAlign w:val="bottom"/>
          </w:tcPr>
          <w:p>
            <w:pPr>
              <w:spacing w:after="0"/>
              <w:rPr>
                <w:sz w:val="20"/>
                <w:szCs w:val="20"/>
                <w:color w:val="auto"/>
              </w:rPr>
            </w:pPr>
            <w:r>
              <w:rPr>
                <w:rFonts w:ascii="Arial" w:cs="Arial" w:eastAsia="Arial" w:hAnsi="Arial"/>
                <w:sz w:val="18"/>
                <w:szCs w:val="18"/>
                <w:color w:val="auto"/>
              </w:rPr>
              <w:t>Intersegment sales</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(10)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6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8,973</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10,731</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8,270</w:t>
            </w:r>
          </w:p>
        </w:tc>
      </w:tr>
      <w:tr>
        <w:trPr>
          <w:trHeight w:val="41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Mecahnical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10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21"/>
        </w:trPr>
        <w:tc>
          <w:tcPr>
            <w:tcW w:w="4680" w:type="dxa"/>
            <w:vAlign w:val="bottom"/>
          </w:tcPr>
          <w:p>
            <w:pPr>
              <w:spacing w:after="0"/>
              <w:rPr>
                <w:sz w:val="20"/>
                <w:szCs w:val="20"/>
                <w:color w:val="auto"/>
              </w:rPr>
            </w:pPr>
            <w:r>
              <w:rPr>
                <w:rFonts w:ascii="Arial" w:cs="Arial" w:eastAsia="Arial" w:hAnsi="Arial"/>
                <w:sz w:val="18"/>
                <w:szCs w:val="18"/>
                <w:color w:val="auto"/>
              </w:rPr>
              <w:t>Electrical Products</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46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$ 3</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$ 10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$ 1</w:t>
            </w:r>
          </w:p>
        </w:tc>
      </w:tr>
      <w:tr>
        <w:trPr>
          <w:trHeight w:val="471"/>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 (net of</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$5,898</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w w:val="83"/>
              </w:rPr>
              <w:t>$ 6,111</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83"/>
              </w:rPr>
              <w:t>$5,656</w:t>
            </w: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2,504</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1,638</w:t>
            </w:r>
          </w:p>
        </w:tc>
      </w:tr>
      <w:tr>
        <w:trPr>
          <w:trHeight w:val="421"/>
        </w:trPr>
        <w:tc>
          <w:tcPr>
            <w:tcW w:w="468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2,116</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976</w:t>
            </w:r>
          </w:p>
        </w:tc>
      </w:tr>
      <w:tr>
        <w:trPr>
          <w:trHeight w:val="20"/>
        </w:trPr>
        <w:tc>
          <w:tcPr>
            <w:tcW w:w="46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6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8,973</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10,731</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8,270</w:t>
            </w:r>
          </w:p>
        </w:tc>
      </w:tr>
      <w:tr>
        <w:trPr>
          <w:trHeight w:val="41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spacing w:after="0"/>
              <w:rPr>
                <w:sz w:val="20"/>
                <w:szCs w:val="20"/>
                <w:color w:val="auto"/>
              </w:rPr>
            </w:pPr>
            <w:r>
              <w:rPr>
                <w:rFonts w:ascii="Arial" w:cs="Arial" w:eastAsia="Arial" w:hAnsi="Arial"/>
                <w:sz w:val="18"/>
                <w:szCs w:val="18"/>
                <w:color w:val="auto"/>
              </w:rPr>
              <w:t>U.S.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$3,214</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w w:val="83"/>
              </w:rPr>
              <w:t>$ 4,196</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83"/>
              </w:rPr>
              <w:t>$3,863</w:t>
            </w:r>
          </w:p>
        </w:tc>
      </w:tr>
      <w:tr>
        <w:trPr>
          <w:trHeight w:val="421"/>
        </w:trPr>
        <w:tc>
          <w:tcPr>
            <w:tcW w:w="4680" w:type="dxa"/>
            <w:vAlign w:val="bottom"/>
          </w:tcPr>
          <w:p>
            <w:pPr>
              <w:spacing w:after="0"/>
              <w:rPr>
                <w:sz w:val="20"/>
                <w:szCs w:val="20"/>
                <w:color w:val="auto"/>
              </w:rPr>
            </w:pPr>
            <w:r>
              <w:rPr>
                <w:rFonts w:ascii="Arial" w:cs="Arial" w:eastAsia="Arial" w:hAnsi="Arial"/>
                <w:sz w:val="18"/>
                <w:szCs w:val="18"/>
                <w:color w:val="auto"/>
              </w:rPr>
              <w:t>Foreign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5,759</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6,535</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4,407</w:t>
            </w:r>
          </w:p>
        </w:tc>
      </w:tr>
      <w:tr>
        <w:trPr>
          <w:trHeight w:val="20"/>
        </w:trPr>
        <w:tc>
          <w:tcPr>
            <w:tcW w:w="46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6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8,973</w:t>
            </w:r>
          </w:p>
        </w:tc>
        <w:tc>
          <w:tcPr>
            <w:tcW w:w="2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10,731</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8,270</w:t>
            </w:r>
          </w:p>
        </w:tc>
      </w:tr>
      <w:tr>
        <w:trPr>
          <w:trHeight w:val="20"/>
        </w:trPr>
        <w:tc>
          <w:tcPr>
            <w:tcW w:w="46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540"/>
        <w:spacing w:after="0" w:line="310" w:lineRule="auto"/>
        <w:rPr>
          <w:sz w:val="20"/>
          <w:szCs w:val="20"/>
          <w:color w:val="auto"/>
        </w:rPr>
      </w:pPr>
      <w:r>
        <w:rPr>
          <w:rFonts w:ascii="Arial" w:cs="Arial" w:eastAsia="Arial" w:hAnsi="Arial"/>
          <w:sz w:val="15"/>
          <w:szCs w:val="15"/>
          <w:color w:val="auto"/>
        </w:rPr>
        <w:t>Our consolidated net revenues for the quarter ended March 31, 2013 decreased $1.8 million or 16% as compared to the same period in 2012. For the quarter ended March 31, 2013, net revenues (net of intersegment sales) of our Thermal, Mechanical and Electrical Products segments decreased $213,000 or 4%, $711,000 or 28% and $834,000 or 39%, respectively, as compared to the same period in 2012. Our consolidated net revenues for the quarter ended March 31, 2013 increased $703,000 or 9% as compared to the quarter ended December 31, 2012. Net revenues (net of intersegment sales) of our Thermal, Mechanical and Electrical Products segments increased $242,000 or 4%, $155,000 or 10% and $306,000 or 31%, respectively, for the first quarter of 2013 as compared to the fourth quarter of 2012. Net revenues from customers in various industries outside of the ATE industry and those net revenues as a percentage of our total consolidated net revenues were $1.7 million or 19%, respectively, for the quarter ended March 31, 2013, compared to $1.3 million or 15%, respectively, for the quarter ended December 31, 2012, and $2.4 million or 22%, respectively, for the quarter ended March 31, 2012.</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We believe the decline in the level of net revenues of our Thermal Products segment in the first quarter of 2013 as compared to the same period in 2012 reflects in part that this segment, which has historically lagged our other two product segments in regard to experiencing the impact of both increases and decreases in the levels of demand within the ATE industry was impacted during the first quarter of 2013 by the decline in demand in the ATE industry which we began to see impacting our Mechanical Products segment during the second quarter of 2011. In addition, our Thermal Products segment sells to industries outside of the ATE industry. This diversification has, in the past, helped to balance the impact of changing levels of demand in the ATE industry. However, during the first quarter of 2013, we experienced weakened levels of demand in certain of these industries as well, which contributed to the overall level of decrease experienced by this product segment in the first quarter of 2013 as compared to the same period in 2012. During the fourth quarter of 2012, we began to see some improvement in demand within the Thermal Products segment resulting in an increase of approximately $763,000 or 13% in orders for the fourth quarter of 2012 as compared to the third quarter of 2012. This resulted in an increase in the net revenues of this segment in the first quarter of 2013 as compared to the fourth quarter of 2012. However, demand slowed again in the first quarter of 2013 which resulted in a decline in orders for this segment of $1.7 million or 27% for the first quarter of 2013 as compared to the fourth quarter of 2012.</w:t>
      </w:r>
    </w:p>
    <w:p>
      <w:pPr>
        <w:sectPr>
          <w:pgSz w:w="11900" w:h="16838" w:orient="portrait"/>
          <w:cols w:equalWidth="0" w:num="1">
            <w:col w:w="11400"/>
          </w:cols>
          <w:pgMar w:left="240" w:top="142" w:right="259" w:bottom="0" w:gutter="0" w:footer="0" w:header="0"/>
          <w:type w:val="continuous"/>
        </w:sectPr>
      </w:pPr>
    </w:p>
    <w:bookmarkStart w:id="17" w:name="page18"/>
    <w:bookmarkEnd w:id="17"/>
    <w:p>
      <w:pPr>
        <w:spacing w:after="0" w:line="26"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We believe the decline in the level of net revenues in our Mechanical Products segment in the first quarter of 2013 as compared to the same period in 2012 reflects reduced demand within the ATE industry, which we had begun to see reflected in the level of our orders for this segment during the second quarter of 2011. Although overall demand within the ATE industry remained at a reduced level throughout 2012 and into the first quarter of 2013, the impact of this decline in demand on our Mechanical Products segment was partially offset during the first quarter of 2012 by increased demand from a major customer that had recently completed an acquisition. As a result, this customer had higher than typical demand for certain of our equipment as a part of the process of integrating its post-acquisition operations. This same customer also purchases products from our Electrical Products segment. In addition, our Electrical Products segment experienced a significant increase in demand from another customer during the first half of 2012. However, the level of demand from this OEM customer weakened significantly during the second half of 2012 which resulted in a decline in the net revenues of our Electrical Products segment in the fourth quarter of 2012 as compared to the third quarter of 2012 and which continued to impact the level of net revenues of this segment in the first quarter of 2013. For our Mechanical Products segment, we have recently begun to see an increase in demand which we attribute to increased demand within the ATE industry. This increase in demand resulted in a $605,000 or 37% increase in the orders of this segment in the first quarter of 2013 as compared to the fourth quarter of 2012. Our Electrical Products segment began to experience an increase in demand late in the first quarter of 2013 which has continued into the second quarter of 2013.</w:t>
      </w:r>
    </w:p>
    <w:p>
      <w:pPr>
        <w:spacing w:after="0" w:line="175" w:lineRule="exact"/>
        <w:rPr>
          <w:sz w:val="20"/>
          <w:szCs w:val="20"/>
          <w:color w:val="auto"/>
        </w:rPr>
      </w:pPr>
    </w:p>
    <w:p>
      <w:pPr>
        <w:ind w:left="540" w:right="20"/>
        <w:spacing w:after="0" w:line="253" w:lineRule="auto"/>
        <w:rPr>
          <w:sz w:val="20"/>
          <w:szCs w:val="20"/>
          <w:color w:val="auto"/>
        </w:rPr>
      </w:pPr>
      <w:r>
        <w:rPr>
          <w:rFonts w:ascii="Arial" w:cs="Arial" w:eastAsia="Arial" w:hAnsi="Arial"/>
          <w:sz w:val="18"/>
          <w:szCs w:val="18"/>
          <w:color w:val="auto"/>
        </w:rPr>
        <w:t>Total orders for the quarter ended March 31, 2013 were $7.7 million compared to $9.3 million for the quarter ended December 31, 2012 and $12.9 million for the quarter ended March 31, 2012. For the quarter ended March 31, 2013, orders for our Thermal, Mechanical and Electrical Products segments were $4.7 million, $2.2 million and $759,000, respectively, compared to $6.4 million, $1.6 million and $1.3 million for the quarter ended December 31, 2012, respectively, and $5.3 million, $3.8 million and $3.8 million for the quarter ended March 31, 2012, respectively. Orders from customers in various industries outside of the ATE industry and those orders as a percentage of our total consolidated orders were $1.2 million or 16%, respectively, for the quarter ended March 31, 2013, compared to $1.9 million or 20%, respectively, for the quarter ended December 31, 2012, and $1.7 million or 13%, respectively, for the quarter ended March 31, 2012.We cannot be certain what the level of our orders or net revenues will be in any future period for any of our product segments.</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340"/>
        <w:spacing w:after="0" w:line="291" w:lineRule="auto"/>
        <w:rPr>
          <w:sz w:val="20"/>
          <w:szCs w:val="20"/>
          <w:color w:val="auto"/>
        </w:rPr>
      </w:pPr>
      <w:r>
        <w:rPr>
          <w:rFonts w:ascii="Arial" w:cs="Arial" w:eastAsia="Arial" w:hAnsi="Arial"/>
          <w:sz w:val="16"/>
          <w:szCs w:val="16"/>
          <w:color w:val="auto"/>
        </w:rPr>
        <w:t>At March 31, 2013, our backlog of unfilled orders for all products was approximately $2.9 million compared with approximately $4.2 million at December 31, 2012 and $7.0 million at March 31, 2012. Our backlog includes customer orders which we have accepted, substantially all of which we expect to deliver in 2013.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and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energy and telecommunications industries. The mix of customers during any given period will affect our gross margin due to differing sales discounts and commissions. For the quarters ended March 31, 2013 and 2012, our OEM sales as a percentage of net revenues were 9% and 15%, respectively.</w:t>
      </w:r>
    </w:p>
    <w:p>
      <w:pPr>
        <w:spacing w:after="0" w:line="170"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ectPr>
          <w:pgSz w:w="11900" w:h="16865" w:orient="portrait"/>
          <w:cols w:equalWidth="0" w:num="1">
            <w:col w:w="11420"/>
          </w:cols>
          <w:pgMar w:left="240" w:top="347" w:right="239" w:bottom="0" w:gutter="0" w:footer="0" w:header="0"/>
        </w:sectPr>
      </w:pPr>
    </w:p>
    <w:p>
      <w:pPr>
        <w:spacing w:after="0" w:line="157"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i w:val="1"/>
          <w:iCs w:val="1"/>
          <w:color w:val="auto"/>
        </w:rPr>
        <w:t>Percentage of Net Revenues</w:t>
      </w:r>
    </w:p>
    <w:p>
      <w:pPr>
        <w:sectPr>
          <w:pgSz w:w="11900" w:h="16865" w:orient="portrait"/>
          <w:cols w:equalWidth="0" w:num="1">
            <w:col w:w="11420"/>
          </w:cols>
          <w:pgMar w:left="240" w:top="347" w:right="239" w:bottom="0" w:gutter="0" w:footer="0" w:header="0"/>
          <w:type w:val="continuous"/>
        </w:sectPr>
      </w:pPr>
    </w:p>
    <w:bookmarkStart w:id="18" w:name="page19"/>
    <w:bookmarkEnd w:id="18"/>
    <w:tbl>
      <w:tblPr>
        <w:tblLayout w:type="fixed"/>
        <w:tblInd w:w="5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11"/>
          </w:tcPr>
          <w:p>
            <w:pPr>
              <w:jc w:val="right"/>
              <w:ind w:right="100"/>
              <w:spacing w:after="0"/>
              <w:rPr>
                <w:sz w:val="20"/>
                <w:szCs w:val="20"/>
                <w:color w:val="auto"/>
              </w:rPr>
            </w:pPr>
            <w:r>
              <w:rPr>
                <w:rFonts w:ascii="Arial" w:cs="Arial" w:eastAsia="Arial" w:hAnsi="Arial"/>
                <w:sz w:val="14"/>
                <w:szCs w:val="14"/>
                <w:b w:val="1"/>
                <w:bCs w:val="1"/>
                <w:i w:val="1"/>
                <w:iCs w:val="1"/>
                <w:color w:val="auto"/>
                <w:w w:val="85"/>
              </w:rPr>
              <w:t>Quarters Ended March 31,</w:t>
            </w:r>
          </w:p>
        </w:tc>
      </w:tr>
      <w:tr>
        <w:trPr>
          <w:trHeight w:val="318"/>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gridSpan w:val="2"/>
          </w:tcPr>
          <w:p>
            <w:pPr>
              <w:spacing w:after="0"/>
              <w:rPr>
                <w:sz w:val="24"/>
                <w:szCs w:val="24"/>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w w:val="83"/>
              </w:rPr>
              <w:t>2013</w:t>
            </w: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76"/>
              </w:rPr>
              <w:t>2012</w:t>
            </w: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1"/>
        </w:trPr>
        <w:tc>
          <w:tcPr>
            <w:tcW w:w="3940" w:type="dxa"/>
            <w:vAlign w:val="bottom"/>
          </w:tcPr>
          <w:p>
            <w:pPr>
              <w:spacing w:after="0"/>
              <w:rPr>
                <w:sz w:val="20"/>
                <w:szCs w:val="20"/>
                <w:color w:val="auto"/>
              </w:rPr>
            </w:pPr>
            <w:r>
              <w:rPr>
                <w:rFonts w:ascii="Arial" w:cs="Arial" w:eastAsia="Arial" w:hAnsi="Arial"/>
                <w:sz w:val="18"/>
                <w:szCs w:val="18"/>
                <w:color w:val="auto"/>
              </w:rPr>
              <w:t>Net revenues</w:t>
            </w:r>
          </w:p>
        </w:tc>
        <w:tc>
          <w:tcPr>
            <w:tcW w:w="1160" w:type="dxa"/>
            <w:vAlign w:val="bottom"/>
            <w:gridSpan w:val="7"/>
          </w:tcPr>
          <w:p>
            <w:pPr>
              <w:jc w:val="right"/>
              <w:ind w:right="180"/>
              <w:spacing w:after="0"/>
              <w:rPr>
                <w:sz w:val="20"/>
                <w:szCs w:val="20"/>
                <w:color w:val="auto"/>
              </w:rPr>
            </w:pPr>
            <w:r>
              <w:rPr>
                <w:rFonts w:ascii="Arial" w:cs="Arial" w:eastAsia="Arial" w:hAnsi="Arial"/>
                <w:sz w:val="18"/>
                <w:szCs w:val="18"/>
                <w:color w:val="auto"/>
              </w:rPr>
              <w:t>100.0%</w:t>
            </w: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100.0%</w:t>
            </w: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440" w:type="dxa"/>
            <w:vAlign w:val="bottom"/>
            <w:gridSpan w:val="2"/>
          </w:tcPr>
          <w:p>
            <w:pPr>
              <w:spacing w:after="0"/>
              <w:rPr>
                <w:sz w:val="24"/>
                <w:szCs w:val="24"/>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57.</w:t>
            </w:r>
            <w:r>
              <w:rPr>
                <w:rFonts w:ascii="Arial" w:cs="Arial" w:eastAsia="Arial" w:hAnsi="Arial"/>
                <w:sz w:val="18"/>
                <w:szCs w:val="18"/>
                <w:u w:val="single" w:color="auto"/>
                <w:color w:val="auto"/>
                <w:w w:val="91"/>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Gross margin</w:t>
            </w:r>
          </w:p>
        </w:tc>
        <w:tc>
          <w:tcPr>
            <w:tcW w:w="440" w:type="dxa"/>
            <w:vAlign w:val="bottom"/>
            <w:gridSpan w:val="2"/>
          </w:tcPr>
          <w:p>
            <w:pPr>
              <w:spacing w:after="0"/>
              <w:rPr>
                <w:sz w:val="24"/>
                <w:szCs w:val="24"/>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42.</w:t>
            </w:r>
            <w:r>
              <w:rPr>
                <w:rFonts w:ascii="Arial" w:cs="Arial" w:eastAsia="Arial" w:hAnsi="Arial"/>
                <w:sz w:val="18"/>
                <w:szCs w:val="18"/>
                <w:u w:val="single" w:color="auto"/>
                <w:color w:val="auto"/>
                <w:w w:val="91"/>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Selling expense</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500" w:type="dxa"/>
            <w:vAlign w:val="bottom"/>
            <w:gridSpan w:val="4"/>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Other income</w:t>
            </w:r>
          </w:p>
        </w:tc>
        <w:tc>
          <w:tcPr>
            <w:tcW w:w="500" w:type="dxa"/>
            <w:vAlign w:val="bottom"/>
            <w:gridSpan w:val="4"/>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w w:val="95"/>
              </w:rPr>
              <w:t>Earnings (loss) before income tax expense (benefit)</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Net earnings (loss)</w:t>
            </w:r>
          </w:p>
        </w:tc>
        <w:tc>
          <w:tcPr>
            <w:tcW w:w="540" w:type="dxa"/>
            <w:vAlign w:val="bottom"/>
            <w:gridSpan w:val="5"/>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2013 Compared to Quarter Ended March 31, 2012</w:t>
      </w:r>
    </w:p>
    <w:p>
      <w:pPr>
        <w:spacing w:after="0" w:line="225"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$9.0 million for the quarter ended March 31, 2013 compared to $10.7 million for the same period in 2012,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or 16%. We believe the decrease in our net revenues during the first quarter of 2013 primarily reflects the factors previously discussed in the Overview.</w:t>
      </w:r>
    </w:p>
    <w:p>
      <w:pPr>
        <w:spacing w:after="0" w:line="194"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During the quarter ended March 31, 2013, our net revenues from customers in the U.S. decreased 23% and our net revenues from foreign customers decreased 12%, respectively, as compared to the same period in 2012. The impact of changes in foreign currency exchange rates on the decrease in net revenues from foreign customers was less than 1%.</w:t>
      </w:r>
    </w:p>
    <w:p>
      <w:pPr>
        <w:spacing w:after="0" w:line="194"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46% for the quarter ended March 31, 2013 compared to 43% for the same period in 2012. The improvement in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was primarily the result of a reduction in our component material costs as a percentage of net revenues, which decreased from 36% in the first quarter of 2012 to 34% in the first quarter of 2013, due to changes in customer mix. To a lesser extent, the increase in gross margin also reflects a reduction in our fixed operating costs during the first quarter of 2013, both in absolute dollar terms and as a percentage of net revenues. For the quarter ended March 31, 2013, our fixed operating costs declined $364,000 as compared to the same period in 2012. As a percentage of net revenues, these costs decreased from 17% for the quarter ended March 31, 2012 to 16% for the quarter ended March 31, 2013. The decline in the absolute dollar value of our fixed operating costs in the first quarter of 2013 as compared to the same period in 2012 reflects reduced headcount in our Thermal and Mechanical Products segments. In addition, during the first quarter of 2012, we were in the process of integrating the operations of Thermonics, which we acquired in January 2012. As a result, we experienced reduced production efficiency in our Thermal Products segment during the first quarter of 2012 as compared to the first quarter of 2013.</w:t>
      </w:r>
    </w:p>
    <w:p>
      <w:pPr>
        <w:spacing w:after="0" w:line="17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$1.2 million for the quarter ended March 31, 2013 compared to $1.4 million for the same period in 2012,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$217,000 or 15%. The decrease primarily reflects lower levels of commission expense reflecting the lower net revenue levels in the first quarter of 2013 as compared to the first quarter of 2012.</w:t>
      </w:r>
    </w:p>
    <w:p>
      <w:pPr>
        <w:spacing w:after="0" w:line="194"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$996,000 for the first quarter of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$924,000 for the same period in 2012, an increase of $72,000 or 8%. The increase in engineering and product development expense primarily reflects increased spending on matters related to our intellectual property.</w:t>
      </w:r>
    </w:p>
    <w:p>
      <w:pPr>
        <w:spacing w:after="0" w:line="194"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$1.6 million for the first quarter of 2013 compared to $2.0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2012, a decrease of $435,000 or 22%. During the first quarter of 2012, we recorded $337,000 in costs associated with the acquisition of Thermonics. There were no similar costs recorded in the first quarter of 2013.</w:t>
      </w:r>
    </w:p>
    <w:p>
      <w:pPr>
        <w:spacing w:after="0" w:line="19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were $359,000 for the first quarter of 2012. There were no similar charges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2013. The restructuring and other charges recorded during the first quarter of 2012 represent facility closure costs related to the closure of the Sunnyvale, California facility occupied by Thermonics at the time of our acquisition of this operation.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Income Tax Expense (Benefit). </w:t>
      </w:r>
      <w:r>
        <w:rPr>
          <w:rFonts w:ascii="Arial" w:cs="Arial" w:eastAsia="Arial" w:hAnsi="Arial"/>
          <w:sz w:val="15"/>
          <w:szCs w:val="15"/>
          <w:color w:val="auto"/>
        </w:rPr>
        <w:t>For the quarter ended March 31, 2013, we recorded income tax expense of $78,000 compared to an income tax benefit of</w:t>
      </w:r>
    </w:p>
    <w:p>
      <w:pPr>
        <w:sectPr>
          <w:pgSz w:w="11900" w:h="16838" w:orient="portrait"/>
          <w:cols w:equalWidth="0" w:num="1">
            <w:col w:w="11380"/>
          </w:cols>
          <w:pgMar w:left="240" w:top="100" w:right="279" w:bottom="0" w:gutter="0" w:footer="0" w:header="0"/>
        </w:sectPr>
      </w:pPr>
    </w:p>
    <w:bookmarkStart w:id="19" w:name="page20"/>
    <w:bookmarkEnd w:id="19"/>
    <w:p>
      <w:pPr>
        <w:ind w:left="540" w:right="80"/>
        <w:spacing w:after="0" w:line="255" w:lineRule="auto"/>
        <w:rPr>
          <w:sz w:val="20"/>
          <w:szCs w:val="20"/>
          <w:color w:val="auto"/>
        </w:rPr>
      </w:pPr>
      <w:r>
        <w:rPr>
          <w:rFonts w:ascii="Arial" w:cs="Arial" w:eastAsia="Arial" w:hAnsi="Arial"/>
          <w:sz w:val="18"/>
          <w:szCs w:val="18"/>
          <w:color w:val="auto"/>
        </w:rPr>
        <w:t>$28,000 for the same period in 2012. Our effective tax rate for the quarter ended March 31, 2013 was 21% compared to an effective tax rate of 39% for the same period in 2012. On a quarterly basis, we record income tax expense or benefit based on the expected annualized effective tax rate for the various taxing jurisdictions in which we operate our businesses. The reduction in our effective tax rate in the first quarter of 2013 as compared to the same period in 2012 primarily reflects the recording of the effect of the reinstatement of certain domestic research and development tax credits. This change was enacted in January 2013.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Net cash used in operations for the three months ended March 31, 2013 was $134,000 compared to $86,000 for the same period in 2012. During the first quarter of 2013, we recorded net earnings of $292,000 compared to a net loss of $43,000 for the same period in 2012. However, the positive impact on cash of our net earnings was offset by increases of $300,000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$395,000 in inventories and trade accounts receivable, respectively, reflecting the increased business activity in the first quarter of 2013 as compared to the fourth quarter of 2012. These increases were partially offset by a $358,000 increase in accounts payable during the first quarter of 2013, also reflecting the increased business activity as compared to the quarter ended December 31, 2012. During the first quarter of 2013, accrued wages and benefits decreased $385,000 reflecting the payout of profit related bonuses accrued on the prior year's results.</w:t>
      </w:r>
    </w:p>
    <w:p>
      <w:pPr>
        <w:spacing w:after="0" w:line="16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no significant commitments for capital expenditures for the balance of 2013, however, depending upon changes in market demand, we may make such purchases as we deem necessary and appropriate.</w:t>
      </w:r>
    </w:p>
    <w:p>
      <w:pPr>
        <w:spacing w:after="0" w:line="186"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As of March 31, 2013, we had cash and cash equivalents of $15.4 million. We currently expect our cash and cash equivalents and projected future cash flow to be sufficient to support our short term working capital requirements. We do not currently have any credit facilities under which we can borrow to help fund our working capital or other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2013, there have been no significant changes to the accounting policies that we have deemed critical. These policies are more fully described in our 2012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20"/>
          </w:cols>
          <w:pgMar w:left="240" w:top="131" w:right="239" w:bottom="204"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CONTROLS AND PROCEDURES </w:t>
      </w:r>
      <w:r>
        <w:rPr>
          <w:rFonts w:ascii="Arial" w:cs="Arial" w:eastAsia="Arial" w:hAnsi="Arial"/>
          <w:sz w:val="16"/>
          <w:szCs w:val="16"/>
          <w:color w:val="auto"/>
        </w:rPr>
        <w:t>(Continued)</w:t>
      </w:r>
    </w:p>
    <w:p>
      <w:pPr>
        <w:sectPr>
          <w:pgSz w:w="11900" w:h="16838" w:orient="portrait"/>
          <w:cols w:equalWidth="0" w:num="1">
            <w:col w:w="11420"/>
          </w:cols>
          <w:pgMar w:left="240" w:top="131" w:right="239" w:bottom="204" w:gutter="0" w:footer="0" w:header="0"/>
          <w:type w:val="continuous"/>
        </w:sectPr>
      </w:pPr>
    </w:p>
    <w:bookmarkStart w:id="20" w:name="page21"/>
    <w:bookmarkEnd w:id="20"/>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365760</wp:posOffset>
            </wp:positionV>
            <wp:extent cx="43903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903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2012.</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359410</wp:posOffset>
            </wp:positionV>
            <wp:extent cx="43903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90390" cy="42545"/>
                    </a:xfrm>
                    <a:prstGeom prst="rect">
                      <a:avLst/>
                    </a:prstGeom>
                    <a:noFill/>
                  </pic:spPr>
                </pic:pic>
              </a:graphicData>
            </a:graphic>
          </wp:anchor>
        </w:drawing>
      </w:r>
    </w:p>
    <w:p>
      <w:pPr>
        <w:sectPr>
          <w:pgSz w:w="11900" w:h="16838" w:orient="portrait"/>
          <w:cols w:equalWidth="0" w:num="1">
            <w:col w:w="11420"/>
          </w:cols>
          <w:pgMar w:left="240" w:top="125" w:right="239" w:bottom="824" w:gutter="0" w:footer="0" w:header="0"/>
        </w:sectPr>
      </w:pPr>
    </w:p>
    <w:bookmarkStart w:id="21" w:name="page22"/>
    <w:bookmarkEnd w:id="21"/>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15, 2013</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15, 2013</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135890</wp:posOffset>
            </wp:positionV>
            <wp:extent cx="43903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903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 w:right="522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4660"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940"/>
          </w:cols>
          <w:pgMar w:left="240" w:top="125" w:right="71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15,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15,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March 31, 2013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15,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March 31, 2013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15,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2019-12-06T17:27:34Z</dcterms:created>
  <dcterms:modified xsi:type="dcterms:W3CDTF">2019-12-06T17:27:34Z</dcterms:modified>
</cp:coreProperties>
</file>