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9878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135890</wp:posOffset>
            </wp:positionV>
            <wp:extent cx="39878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September 30, 2011</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46" w:lineRule="exact"/>
        <w:rPr>
          <w:sz w:val="24"/>
          <w:szCs w:val="24"/>
          <w:color w:val="auto"/>
        </w:rPr>
      </w:pPr>
    </w:p>
    <w:p>
      <w:pPr>
        <w:jc w:val="center"/>
        <w:ind w:right="-139"/>
        <w:spacing w:after="0"/>
        <w:rPr>
          <w:sz w:val="20"/>
          <w:szCs w:val="20"/>
          <w:color w:val="auto"/>
        </w:rPr>
      </w:pPr>
      <w:r>
        <w:rPr>
          <w:rFonts w:ascii="Arial" w:cs="Arial" w:eastAsia="Arial" w:hAnsi="Arial"/>
          <w:sz w:val="24"/>
          <w:szCs w:val="24"/>
          <w:u w:val="single" w:color="auto"/>
          <w:color w:val="0000FF"/>
        </w:rPr>
        <w:t>inTEST Corporation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gridSpan w:val="4"/>
          </w:tcPr>
          <w:p>
            <w:pPr>
              <w:ind w:left="540"/>
              <w:spacing w:after="0"/>
              <w:rPr>
                <w:sz w:val="20"/>
                <w:szCs w:val="20"/>
                <w:color w:val="auto"/>
              </w:rPr>
            </w:pPr>
            <w:r>
              <w:rPr>
                <w:rFonts w:ascii="Arial" w:cs="Arial" w:eastAsia="Arial" w:hAnsi="Arial"/>
                <w:sz w:val="18"/>
                <w:szCs w:val="18"/>
                <w:color w:val="auto"/>
                <w:w w:val="88"/>
              </w:rPr>
              <w:t>Large accelerated filer</w:t>
            </w:r>
          </w:p>
        </w:tc>
        <w:tc>
          <w:tcPr>
            <w:tcW w:w="3020" w:type="dxa"/>
            <w:vAlign w:val="bottom"/>
          </w:tcPr>
          <w:p>
            <w:pPr>
              <w:jc w:val="right"/>
              <w:ind w:right="2592"/>
              <w:spacing w:after="0"/>
              <w:rPr>
                <w:sz w:val="20"/>
                <w:szCs w:val="20"/>
                <w:color w:val="auto"/>
              </w:rPr>
            </w:pPr>
            <w:r>
              <w:rPr>
                <w:rFonts w:ascii="Arial" w:cs="Arial" w:eastAsia="Arial" w:hAnsi="Arial"/>
                <w:sz w:val="18"/>
                <w:szCs w:val="18"/>
                <w:color w:val="auto"/>
              </w:rPr>
              <w:t>___</w:t>
            </w:r>
          </w:p>
        </w:tc>
        <w:tc>
          <w:tcPr>
            <w:tcW w:w="3600" w:type="dxa"/>
            <w:vAlign w:val="bottom"/>
            <w:gridSpan w:val="3"/>
          </w:tcPr>
          <w:p>
            <w:pPr>
              <w:ind w:left="160"/>
              <w:spacing w:after="0"/>
              <w:rPr>
                <w:sz w:val="20"/>
                <w:szCs w:val="20"/>
                <w:color w:val="auto"/>
              </w:rPr>
            </w:pPr>
            <w:r>
              <w:rPr>
                <w:rFonts w:ascii="Arial" w:cs="Arial" w:eastAsia="Arial" w:hAnsi="Arial"/>
                <w:sz w:val="18"/>
                <w:szCs w:val="18"/>
                <w:color w:val="auto"/>
              </w:rPr>
              <w:t>Accelerated filer ___</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4"/>
        </w:trPr>
        <w:tc>
          <w:tcPr>
            <w:tcW w:w="2140" w:type="dxa"/>
            <w:vAlign w:val="bottom"/>
            <w:gridSpan w:val="4"/>
          </w:tcPr>
          <w:p>
            <w:pPr>
              <w:ind w:left="540"/>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tcPr>
          <w:p>
            <w:pPr>
              <w:jc w:val="right"/>
              <w:ind w:right="9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3600" w:type="dxa"/>
            <w:vAlign w:val="bottom"/>
            <w:gridSpan w:val="3"/>
          </w:tcPr>
          <w:p>
            <w:pPr>
              <w:ind w:left="220"/>
              <w:spacing w:after="0" w:line="184" w:lineRule="exact"/>
              <w:rPr>
                <w:sz w:val="20"/>
                <w:szCs w:val="20"/>
                <w:color w:val="auto"/>
              </w:rPr>
            </w:pPr>
            <w:r>
              <w:rPr>
                <w:rFonts w:ascii="Arial" w:cs="Arial" w:eastAsia="Arial" w:hAnsi="Arial"/>
                <w:sz w:val="18"/>
                <w:szCs w:val="18"/>
                <w:color w:val="auto"/>
              </w:rPr>
              <w:t>Smaller reporting company X</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44"/>
        </w:trPr>
        <w:tc>
          <w:tcPr>
            <w:tcW w:w="8760" w:type="dxa"/>
            <w:vAlign w:val="bottom"/>
            <w:gridSpan w:val="8"/>
          </w:tcPr>
          <w:p>
            <w:pPr>
              <w:spacing w:after="0"/>
              <w:rPr>
                <w:sz w:val="20"/>
                <w:szCs w:val="20"/>
                <w:color w:val="auto"/>
              </w:rPr>
            </w:pPr>
            <w:r>
              <w:rPr>
                <w:rFonts w:ascii="Arial" w:cs="Arial" w:eastAsia="Arial" w:hAnsi="Arial"/>
                <w:sz w:val="18"/>
                <w:szCs w:val="18"/>
                <w:color w:val="auto"/>
                <w:w w:val="97"/>
              </w:rPr>
              <w:t>Indicate by check mark whether the registrant is a shell company (as defined in Rule 12b-2 of the Exchange Act).</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720" w:type="dxa"/>
            <w:vAlign w:val="bottom"/>
          </w:tcPr>
          <w:p>
            <w:pPr>
              <w:spacing w:after="0" w:line="184" w:lineRule="exact"/>
              <w:rPr>
                <w:sz w:val="20"/>
                <w:szCs w:val="20"/>
                <w:color w:val="auto"/>
              </w:rPr>
            </w:pPr>
            <w:r>
              <w:rPr>
                <w:rFonts w:ascii="Arial" w:cs="Arial" w:eastAsia="Arial" w:hAnsi="Arial"/>
                <w:sz w:val="18"/>
                <w:szCs w:val="18"/>
                <w:color w:val="auto"/>
                <w:w w:val="98"/>
              </w:rPr>
              <w:t>YES ___</w:t>
            </w:r>
          </w:p>
        </w:tc>
        <w:tc>
          <w:tcPr>
            <w:tcW w:w="142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NO X</w:t>
            </w:r>
          </w:p>
        </w:tc>
        <w:tc>
          <w:tcPr>
            <w:tcW w:w="30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11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3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1"/>
        </w:trPr>
        <w:tc>
          <w:tcPr>
            <w:tcW w:w="8760" w:type="dxa"/>
            <w:vAlign w:val="bottom"/>
            <w:gridSpan w:val="8"/>
          </w:tcPr>
          <w:p>
            <w:pPr>
              <w:spacing w:after="0"/>
              <w:rPr>
                <w:sz w:val="20"/>
                <w:szCs w:val="20"/>
                <w:color w:val="auto"/>
              </w:rPr>
            </w:pPr>
            <w:r>
              <w:rPr>
                <w:rFonts w:ascii="Arial" w:cs="Arial" w:eastAsia="Arial" w:hAnsi="Arial"/>
                <w:sz w:val="18"/>
                <w:szCs w:val="18"/>
                <w:color w:val="auto"/>
                <w:w w:val="96"/>
              </w:rPr>
              <w:t>Number of shares of Common Stock, $.01 par value, outstanding as of the close of business on October 31, 2011: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80" w:type="dxa"/>
            <w:vAlign w:val="bottom"/>
          </w:tcPr>
          <w:p>
            <w:pPr>
              <w:jc w:val="center"/>
              <w:ind w:right="992"/>
              <w:spacing w:after="0"/>
              <w:rPr>
                <w:sz w:val="20"/>
                <w:szCs w:val="20"/>
                <w:color w:val="auto"/>
              </w:rPr>
            </w:pPr>
            <w:r>
              <w:rPr>
                <w:rFonts w:ascii="Arial" w:cs="Arial" w:eastAsia="Arial" w:hAnsi="Arial"/>
                <w:sz w:val="18"/>
                <w:szCs w:val="18"/>
                <w:color w:val="auto"/>
                <w:w w:val="86"/>
              </w:rPr>
              <w:t>10,386,927</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75"/>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20" w:type="dxa"/>
            <w:vAlign w:val="bottom"/>
            <w:gridSpan w:val="4"/>
          </w:tcPr>
          <w:p>
            <w:pPr>
              <w:jc w:val="center"/>
              <w:ind w:left="452"/>
              <w:spacing w:after="0"/>
              <w:rPr>
                <w:sz w:val="20"/>
                <w:szCs w:val="20"/>
                <w:color w:val="auto"/>
              </w:rPr>
            </w:pPr>
            <w:r>
              <w:rPr>
                <w:rFonts w:ascii="Arial" w:cs="Arial" w:eastAsia="Arial" w:hAnsi="Arial"/>
                <w:sz w:val="18"/>
                <w:szCs w:val="18"/>
                <w:b w:val="1"/>
                <w:bCs w:val="1"/>
                <w:color w:val="auto"/>
                <w:w w:val="96"/>
              </w:rPr>
              <w:t>inTEST CORPORATION</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00" w:type="dxa"/>
            <w:vAlign w:val="bottom"/>
            <w:gridSpan w:val="3"/>
          </w:tcPr>
          <w:p>
            <w:pPr>
              <w:jc w:val="center"/>
              <w:ind w:right="248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05"/>
        </w:trPr>
        <w:tc>
          <w:tcPr>
            <w:tcW w:w="5160" w:type="dxa"/>
            <w:vAlign w:val="bottom"/>
            <w:gridSpan w:val="5"/>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gridSpan w:val="2"/>
          </w:tcPr>
          <w:p>
            <w:pPr>
              <w:jc w:val="center"/>
              <w:ind w:left="19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1.</w:t>
            </w:r>
          </w:p>
        </w:tc>
        <w:tc>
          <w:tcPr>
            <w:tcW w:w="4440" w:type="dxa"/>
            <w:vAlign w:val="bottom"/>
            <w:gridSpan w:val="4"/>
          </w:tcPr>
          <w:p>
            <w:pPr>
              <w:ind w:left="80"/>
              <w:spacing w:after="0"/>
              <w:rPr>
                <w:sz w:val="20"/>
                <w:szCs w:val="20"/>
                <w:color w:val="auto"/>
              </w:rPr>
            </w:pPr>
            <w:r>
              <w:rPr>
                <w:rFonts w:ascii="Arial" w:cs="Arial" w:eastAsia="Arial" w:hAnsi="Arial"/>
                <w:sz w:val="18"/>
                <w:szCs w:val="18"/>
                <w:b w:val="1"/>
                <w:bCs w:val="1"/>
                <w:i w:val="1"/>
                <w:iCs w:val="1"/>
                <w:color w:val="auto"/>
              </w:rPr>
              <w:t>Financial Statements</w:t>
            </w:r>
          </w:p>
        </w:tc>
        <w:tc>
          <w:tcPr>
            <w:tcW w:w="2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513"/>
        </w:trPr>
        <w:tc>
          <w:tcPr>
            <w:tcW w:w="720" w:type="dxa"/>
            <w:vAlign w:val="bottom"/>
          </w:tcPr>
          <w:p>
            <w:pPr>
              <w:spacing w:after="0"/>
              <w:rPr>
                <w:sz w:val="24"/>
                <w:szCs w:val="24"/>
                <w:color w:val="auto"/>
              </w:rPr>
            </w:pPr>
          </w:p>
        </w:tc>
        <w:tc>
          <w:tcPr>
            <w:tcW w:w="8040" w:type="dxa"/>
            <w:vAlign w:val="bottom"/>
            <w:gridSpan w:val="7"/>
          </w:tcPr>
          <w:p>
            <w:pPr>
              <w:ind w:left="80"/>
              <w:spacing w:after="0"/>
              <w:rPr>
                <w:sz w:val="20"/>
                <w:szCs w:val="20"/>
                <w:color w:val="auto"/>
              </w:rPr>
            </w:pPr>
            <w:r>
              <w:rPr>
                <w:rFonts w:ascii="Arial" w:cs="Arial" w:eastAsia="Arial" w:hAnsi="Arial"/>
                <w:sz w:val="18"/>
                <w:szCs w:val="18"/>
                <w:color w:val="auto"/>
              </w:rPr>
              <w:t>Consolidated Balance Sheets as of September 30, 2011 (Unaudited) and December 31, 2010</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1</w:t>
            </w:r>
          </w:p>
        </w:tc>
      </w:tr>
      <w:tr>
        <w:trPr>
          <w:trHeight w:val="237"/>
        </w:trPr>
        <w:tc>
          <w:tcPr>
            <w:tcW w:w="720" w:type="dxa"/>
            <w:vAlign w:val="bottom"/>
          </w:tcPr>
          <w:p>
            <w:pPr>
              <w:spacing w:after="0"/>
              <w:rPr>
                <w:sz w:val="20"/>
                <w:szCs w:val="20"/>
                <w:color w:val="auto"/>
              </w:rPr>
            </w:pPr>
          </w:p>
        </w:tc>
        <w:tc>
          <w:tcPr>
            <w:tcW w:w="8040" w:type="dxa"/>
            <w:vAlign w:val="bottom"/>
            <w:gridSpan w:val="7"/>
          </w:tcPr>
          <w:p>
            <w:pPr>
              <w:ind w:left="80"/>
              <w:spacing w:after="0"/>
              <w:rPr>
                <w:sz w:val="20"/>
                <w:szCs w:val="20"/>
                <w:color w:val="auto"/>
              </w:rPr>
            </w:pPr>
            <w:r>
              <w:rPr>
                <w:rFonts w:ascii="Arial" w:cs="Arial" w:eastAsia="Arial" w:hAnsi="Arial"/>
                <w:sz w:val="18"/>
                <w:szCs w:val="18"/>
                <w:color w:val="auto"/>
                <w:w w:val="89"/>
              </w:rPr>
              <w:t>Unaudited Consolidated Statements of Operations for the three months and nine months ended September 30,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w w:val="99"/>
              </w:rPr>
              <w:t>2011 and 2010</w:t>
            </w:r>
          </w:p>
        </w:tc>
        <w:tc>
          <w:tcPr>
            <w:tcW w:w="30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2</w:t>
            </w:r>
          </w:p>
        </w:tc>
      </w:tr>
      <w:tr>
        <w:trPr>
          <w:trHeight w:val="237"/>
        </w:trPr>
        <w:tc>
          <w:tcPr>
            <w:tcW w:w="720" w:type="dxa"/>
            <w:vAlign w:val="bottom"/>
          </w:tcPr>
          <w:p>
            <w:pPr>
              <w:spacing w:after="0"/>
              <w:rPr>
                <w:sz w:val="20"/>
                <w:szCs w:val="20"/>
                <w:color w:val="auto"/>
              </w:rPr>
            </w:pPr>
          </w:p>
        </w:tc>
        <w:tc>
          <w:tcPr>
            <w:tcW w:w="8040" w:type="dxa"/>
            <w:vAlign w:val="bottom"/>
            <w:gridSpan w:val="7"/>
          </w:tcPr>
          <w:p>
            <w:pPr>
              <w:ind w:left="80"/>
              <w:spacing w:after="0"/>
              <w:rPr>
                <w:sz w:val="20"/>
                <w:szCs w:val="20"/>
                <w:color w:val="auto"/>
              </w:rPr>
            </w:pPr>
            <w:r>
              <w:rPr>
                <w:rFonts w:ascii="Arial" w:cs="Arial" w:eastAsia="Arial" w:hAnsi="Arial"/>
                <w:sz w:val="18"/>
                <w:szCs w:val="18"/>
                <w:color w:val="auto"/>
                <w:w w:val="96"/>
              </w:rPr>
              <w:t>Unaudited Consolidated Statements of Comprehensive Earnings for the three months and nine months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4440" w:type="dxa"/>
            <w:vAlign w:val="bottom"/>
            <w:gridSpan w:val="4"/>
          </w:tcPr>
          <w:p>
            <w:pPr>
              <w:ind w:left="200"/>
              <w:spacing w:after="0"/>
              <w:rPr>
                <w:sz w:val="20"/>
                <w:szCs w:val="20"/>
                <w:color w:val="auto"/>
              </w:rPr>
            </w:pPr>
            <w:r>
              <w:rPr>
                <w:rFonts w:ascii="Arial" w:cs="Arial" w:eastAsia="Arial" w:hAnsi="Arial"/>
                <w:sz w:val="18"/>
                <w:szCs w:val="18"/>
                <w:color w:val="auto"/>
              </w:rPr>
              <w:t>ended September 30, 2011 and 2010</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3</w:t>
            </w:r>
          </w:p>
        </w:tc>
      </w:tr>
      <w:tr>
        <w:trPr>
          <w:trHeight w:val="243"/>
        </w:trPr>
        <w:tc>
          <w:tcPr>
            <w:tcW w:w="720" w:type="dxa"/>
            <w:vAlign w:val="bottom"/>
          </w:tcPr>
          <w:p>
            <w:pPr>
              <w:spacing w:after="0"/>
              <w:rPr>
                <w:sz w:val="21"/>
                <w:szCs w:val="21"/>
                <w:color w:val="auto"/>
              </w:rPr>
            </w:pPr>
          </w:p>
        </w:tc>
        <w:tc>
          <w:tcPr>
            <w:tcW w:w="8040" w:type="dxa"/>
            <w:vAlign w:val="bottom"/>
            <w:gridSpan w:val="7"/>
          </w:tcPr>
          <w:p>
            <w:pPr>
              <w:ind w:left="80"/>
              <w:spacing w:after="0"/>
              <w:rPr>
                <w:sz w:val="20"/>
                <w:szCs w:val="20"/>
                <w:color w:val="auto"/>
              </w:rPr>
            </w:pPr>
            <w:r>
              <w:rPr>
                <w:rFonts w:ascii="Arial" w:cs="Arial" w:eastAsia="Arial" w:hAnsi="Arial"/>
                <w:sz w:val="18"/>
                <w:szCs w:val="18"/>
                <w:color w:val="auto"/>
                <w:w w:val="93"/>
              </w:rPr>
              <w:t>Unaudited Consolidated Statement of Stockholders' Equity for the nine months ended September 30, 2011</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4</w:t>
            </w:r>
          </w:p>
        </w:tc>
      </w:tr>
      <w:tr>
        <w:trPr>
          <w:trHeight w:val="243"/>
        </w:trPr>
        <w:tc>
          <w:tcPr>
            <w:tcW w:w="720" w:type="dxa"/>
            <w:vAlign w:val="bottom"/>
          </w:tcPr>
          <w:p>
            <w:pPr>
              <w:spacing w:after="0"/>
              <w:rPr>
                <w:sz w:val="21"/>
                <w:szCs w:val="21"/>
                <w:color w:val="auto"/>
              </w:rPr>
            </w:pPr>
          </w:p>
        </w:tc>
        <w:tc>
          <w:tcPr>
            <w:tcW w:w="8040" w:type="dxa"/>
            <w:vAlign w:val="bottom"/>
            <w:gridSpan w:val="7"/>
          </w:tcPr>
          <w:p>
            <w:pPr>
              <w:ind w:left="80"/>
              <w:spacing w:after="0"/>
              <w:rPr>
                <w:sz w:val="20"/>
                <w:szCs w:val="20"/>
                <w:color w:val="auto"/>
              </w:rPr>
            </w:pPr>
            <w:r>
              <w:rPr>
                <w:rFonts w:ascii="Arial" w:cs="Arial" w:eastAsia="Arial" w:hAnsi="Arial"/>
                <w:sz w:val="18"/>
                <w:szCs w:val="18"/>
                <w:color w:val="auto"/>
                <w:w w:val="91"/>
              </w:rPr>
              <w:t>Unaudited Consolidated Statements of Cash Flows for the nine months ended September 30, 2011 and 2010</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5</w:t>
            </w:r>
          </w:p>
        </w:tc>
      </w:tr>
    </w:tbl>
    <w:p>
      <w:pPr>
        <w:sectPr>
          <w:pgSz w:w="11900" w:h="16936"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740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91"/>
              </w:rPr>
              <w:t>6 - 15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95"/>
              </w:rPr>
              <w:t>Management's Discussion and Analysis of Financial Condition and Results of Operations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16 - 23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132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[Removed and Reserved]</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25</w:t>
            </w:r>
          </w:p>
        </w:tc>
      </w:tr>
      <w:tr>
        <w:trPr>
          <w:trHeight w:val="243"/>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1.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Sept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2011</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2010</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$12,064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$ 6,895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$147 and $150,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6,816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6,244</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4,674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3,489</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367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430</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24,404</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17,058</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3,551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3,534</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513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765</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4,064</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4,299</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(2,966)</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(3,581)</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1,098</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718</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2,422</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1,077</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171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199</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$31,227</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$21,408</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$ 1,733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$ 1,672</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1,715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1,779</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522</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374"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20" w:type="dxa"/>
            <w:vAlign w:val="bottom"/>
          </w:tcPr>
          <w:p>
            <w:pPr>
              <w:ind w:left="220"/>
              <w:spacing w:after="0"/>
              <w:rPr>
                <w:sz w:val="20"/>
                <w:szCs w:val="20"/>
                <w:color w:val="auto"/>
              </w:rPr>
            </w:pPr>
            <w:r>
              <w:rPr>
                <w:rFonts w:ascii="Courier New" w:cs="Courier New" w:eastAsia="Courier New" w:hAnsi="Courier New"/>
                <w:sz w:val="18"/>
                <w:szCs w:val="18"/>
                <w:color w:val="auto"/>
              </w:rPr>
              <w:t>Accrued rent</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403</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83</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373</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warranty</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419</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100" w:type="dxa"/>
            <w:vAlign w:val="bottom"/>
          </w:tcPr>
          <w:p>
            <w:pPr>
              <w:spacing w:after="0"/>
              <w:rPr>
                <w:sz w:val="17"/>
                <w:szCs w:val="17"/>
                <w:color w:val="auto"/>
              </w:rPr>
            </w:pPr>
          </w:p>
        </w:tc>
      </w:tr>
      <w:tr>
        <w:trPr>
          <w:trHeight w:val="164"/>
        </w:trPr>
        <w:tc>
          <w:tcPr>
            <w:tcW w:w="7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358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478</w:t>
            </w:r>
          </w:p>
        </w:tc>
        <w:tc>
          <w:tcPr>
            <w:tcW w:w="100" w:type="dxa"/>
            <w:vAlign w:val="bottom"/>
          </w:tcPr>
          <w:p>
            <w:pPr>
              <w:spacing w:after="0"/>
              <w:rPr>
                <w:sz w:val="14"/>
                <w:szCs w:val="14"/>
                <w:color w:val="auto"/>
              </w:rPr>
            </w:pPr>
          </w:p>
        </w:tc>
      </w:tr>
      <w:tr>
        <w:trPr>
          <w:trHeight w:val="183"/>
        </w:trPr>
        <w:tc>
          <w:tcPr>
            <w:tcW w:w="7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5,786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5,265</w:t>
            </w:r>
          </w:p>
        </w:tc>
        <w:tc>
          <w:tcPr>
            <w:tcW w:w="100" w:type="dxa"/>
            <w:vAlign w:val="bottom"/>
          </w:tcPr>
          <w:p>
            <w:pPr>
              <w:spacing w:after="0"/>
              <w:rPr>
                <w:sz w:val="15"/>
                <w:szCs w:val="15"/>
                <w:color w:val="auto"/>
              </w:rPr>
            </w:pPr>
          </w:p>
        </w:tc>
      </w:tr>
      <w:tr>
        <w:trPr>
          <w:trHeight w:val="183"/>
        </w:trPr>
        <w:tc>
          <w:tcPr>
            <w:tcW w:w="7120" w:type="dxa"/>
            <w:vAlign w:val="bottom"/>
          </w:tcPr>
          <w:p>
            <w:pPr>
              <w:spacing w:after="0" w:line="182" w:lineRule="exact"/>
              <w:rPr>
                <w:sz w:val="20"/>
                <w:szCs w:val="20"/>
                <w:color w:val="auto"/>
              </w:rPr>
            </w:pPr>
            <w:r>
              <w:rPr>
                <w:rFonts w:ascii="Courier New" w:cs="Courier New" w:eastAsia="Courier New" w:hAnsi="Courier New"/>
                <w:sz w:val="18"/>
                <w:szCs w:val="18"/>
                <w:color w:val="auto"/>
              </w:rPr>
              <w:t>Deferred rent, net of current portion</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39</w:t>
            </w:r>
          </w:p>
        </w:tc>
        <w:tc>
          <w:tcPr>
            <w:tcW w:w="100" w:type="dxa"/>
            <w:vAlign w:val="bottom"/>
          </w:tcPr>
          <w:p>
            <w:pPr>
              <w:spacing w:after="0"/>
              <w:rPr>
                <w:sz w:val="15"/>
                <w:szCs w:val="15"/>
                <w:color w:val="auto"/>
              </w:rPr>
            </w:pPr>
          </w:p>
        </w:tc>
      </w:tr>
      <w:tr>
        <w:trPr>
          <w:trHeight w:val="183"/>
        </w:trPr>
        <w:tc>
          <w:tcPr>
            <w:tcW w:w="7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liabilities</w:t>
            </w:r>
          </w:p>
        </w:tc>
        <w:tc>
          <w:tcPr>
            <w:tcW w:w="90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5,786</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5,304</w:t>
            </w:r>
          </w:p>
        </w:tc>
      </w:tr>
      <w:tr>
        <w:trPr>
          <w:trHeight w:val="221"/>
        </w:trPr>
        <w:tc>
          <w:tcPr>
            <w:tcW w:w="71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10,463,255 and 10,464,505 shares issued, respectively</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26,008</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25,973</w:t>
            </w:r>
          </w:p>
        </w:tc>
        <w:tc>
          <w:tcPr>
            <w:tcW w:w="100" w:type="dxa"/>
            <w:vAlign w:val="bottom"/>
          </w:tcPr>
          <w:p>
            <w:pPr>
              <w:spacing w:after="0"/>
              <w:rPr>
                <w:sz w:val="17"/>
                <w:szCs w:val="17"/>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16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(1,455)</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(10,549)</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1,311</w:t>
            </w:r>
          </w:p>
        </w:tc>
        <w:tc>
          <w:tcPr>
            <w:tcW w:w="100" w:type="dxa"/>
            <w:vAlign w:val="bottom"/>
          </w:tcPr>
          <w:p>
            <w:pPr>
              <w:spacing w:after="0"/>
              <w:rPr>
                <w:sz w:val="17"/>
                <w:szCs w:val="17"/>
                <w:color w:val="auto"/>
              </w:rPr>
            </w:pPr>
          </w:p>
        </w:tc>
      </w:tr>
      <w:tr>
        <w:trPr>
          <w:trHeight w:val="164"/>
        </w:trPr>
        <w:tc>
          <w:tcPr>
            <w:tcW w:w="7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w w:val="99"/>
              </w:rPr>
              <w:t>Treasury stock, at cost; 76,328 and 119,029 shares, respectively</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(472)</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(736)</w:t>
            </w:r>
          </w:p>
        </w:tc>
      </w:tr>
      <w:tr>
        <w:trPr>
          <w:trHeight w:val="183"/>
        </w:trPr>
        <w:tc>
          <w:tcPr>
            <w:tcW w:w="7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25,441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16,104</w:t>
            </w:r>
          </w:p>
        </w:tc>
        <w:tc>
          <w:tcPr>
            <w:tcW w:w="100" w:type="dxa"/>
            <w:vAlign w:val="bottom"/>
          </w:tcPr>
          <w:p>
            <w:pPr>
              <w:spacing w:after="0"/>
              <w:rPr>
                <w:sz w:val="15"/>
                <w:szCs w:val="15"/>
                <w:color w:val="auto"/>
              </w:rPr>
            </w:pPr>
          </w:p>
        </w:tc>
      </w:tr>
      <w:tr>
        <w:trPr>
          <w:trHeight w:val="221"/>
        </w:trPr>
        <w:tc>
          <w:tcPr>
            <w:tcW w:w="712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$31,227</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$21,408</w:t>
            </w:r>
          </w:p>
        </w:tc>
        <w:tc>
          <w:tcPr>
            <w:tcW w:w="100" w:type="dxa"/>
            <w:vAlign w:val="bottom"/>
          </w:tcPr>
          <w:p>
            <w:pPr>
              <w:spacing w:after="0"/>
              <w:rPr>
                <w:sz w:val="19"/>
                <w:szCs w:val="19"/>
                <w:color w:val="auto"/>
              </w:rPr>
            </w:pPr>
          </w:p>
        </w:tc>
      </w:tr>
      <w:tr>
        <w:trPr>
          <w:trHeight w:val="203"/>
        </w:trPr>
        <w:tc>
          <w:tcPr>
            <w:tcW w:w="712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9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OPERATIONS</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and per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48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2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640" w:type="dxa"/>
            <w:vAlign w:val="bottom"/>
          </w:tcPr>
          <w:p>
            <w:pPr>
              <w:spacing w:after="0"/>
              <w:rPr>
                <w:sz w:val="17"/>
                <w:szCs w:val="17"/>
                <w:color w:val="auto"/>
              </w:rPr>
            </w:pPr>
          </w:p>
        </w:tc>
        <w:tc>
          <w:tcPr>
            <w:tcW w:w="248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rPr>
              <w:t>Sept. 30,</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640" w:type="dxa"/>
            <w:vAlign w:val="bottom"/>
          </w:tcPr>
          <w:p>
            <w:pPr>
              <w:spacing w:after="0"/>
              <w:rPr>
                <w:sz w:val="17"/>
                <w:szCs w:val="17"/>
                <w:color w:val="auto"/>
              </w:rPr>
            </w:pPr>
          </w:p>
        </w:tc>
        <w:tc>
          <w:tcPr>
            <w:tcW w:w="24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2011</w:t>
            </w:r>
          </w:p>
        </w:tc>
        <w:tc>
          <w:tcPr>
            <w:tcW w:w="2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2010</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2010</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$11,681</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$11,305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$37,185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$36,094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5,548</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5,853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19,161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18,737</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6,133</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5,452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18,024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17,357</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1,461</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4,433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4,427</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767</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2,444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2,255</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1,448</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4,748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4,689</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3,718</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3,766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11,625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11,371</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2,415</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6,399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5,986</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Earnings before income tax expense (benefit)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2,420</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6,470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(2,762)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$ 5,182</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$ 1,678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$ 9,094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$ 5,958</w:t>
            </w:r>
          </w:p>
        </w:tc>
      </w:tr>
      <w:tr>
        <w:trPr>
          <w:trHeight w:val="203"/>
        </w:trPr>
        <w:tc>
          <w:tcPr>
            <w:tcW w:w="4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$0.51</w:t>
            </w:r>
          </w:p>
        </w:tc>
        <w:tc>
          <w:tcPr>
            <w:tcW w:w="22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$0.17</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$0.90</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$0.60</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10,182,795</w:t>
            </w:r>
          </w:p>
        </w:tc>
        <w:tc>
          <w:tcPr>
            <w:tcW w:w="35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10,033,034 10,132,807 10,011,173</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$0.50</w:t>
            </w:r>
          </w:p>
        </w:tc>
        <w:tc>
          <w:tcPr>
            <w:tcW w:w="22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$0.17</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$0.88</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$0.59</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10,297,284</w:t>
            </w:r>
          </w:p>
        </w:tc>
        <w:tc>
          <w:tcPr>
            <w:tcW w:w="35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10,194,580 10,287,055 10,127,329</w:t>
            </w:r>
          </w:p>
        </w:tc>
      </w:tr>
    </w:tbl>
    <w:p>
      <w:pPr>
        <w:sectPr>
          <w:pgSz w:w="11900" w:h="16838" w:orient="portrait"/>
          <w:cols w:equalWidth="0" w:num="1">
            <w:col w:w="10219"/>
          </w:cols>
          <w:pgMar w:left="240" w:top="136" w:right="1440" w:bottom="159" w:gutter="0" w:footer="0" w:header="0"/>
        </w:sectPr>
      </w:pPr>
    </w:p>
    <w:bookmarkStart w:id="3" w:name="page4"/>
    <w:bookmarkEnd w:id="3"/>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CONSOLIDATED STATEMENTS OF COMPREHENSIVE EARNINGS</w:t>
      </w:r>
    </w:p>
    <w:p>
      <w:pPr>
        <w:jc w:val="center"/>
        <w:ind w:right="-1200"/>
        <w:spacing w:after="0" w:line="232" w:lineRule="auto"/>
        <w:rPr>
          <w:sz w:val="20"/>
          <w:szCs w:val="20"/>
          <w:color w:val="auto"/>
        </w:rPr>
      </w:pPr>
      <w:r>
        <w:rPr>
          <w:rFonts w:ascii="Arial" w:cs="Arial" w:eastAsia="Arial" w:hAnsi="Arial"/>
          <w:sz w:val="22"/>
          <w:szCs w:val="22"/>
          <w:color w:val="auto"/>
        </w:rPr>
        <w:t>(In thousands)</w:t>
      </w:r>
    </w:p>
    <w:p>
      <w:pPr>
        <w:jc w:val="center"/>
        <w:ind w:right="-1200"/>
        <w:spacing w:after="0"/>
        <w:rPr>
          <w:sz w:val="20"/>
          <w:szCs w:val="20"/>
          <w:color w:val="auto"/>
        </w:rPr>
      </w:pPr>
      <w:r>
        <w:rPr>
          <w:rFonts w:ascii="Arial" w:cs="Arial" w:eastAsia="Arial" w:hAnsi="Arial"/>
          <w:sz w:val="22"/>
          <w:szCs w:val="22"/>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2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Sept. 30,</w:t>
            </w:r>
          </w:p>
        </w:tc>
        <w:tc>
          <w:tcPr>
            <w:tcW w:w="20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320" w:type="dxa"/>
            <w:vAlign w:val="bottom"/>
          </w:tcPr>
          <w:p>
            <w:pPr>
              <w:spacing w:after="0"/>
              <w:rPr>
                <w:sz w:val="17"/>
                <w:szCs w:val="17"/>
                <w:color w:val="auto"/>
              </w:rPr>
            </w:pPr>
          </w:p>
        </w:tc>
        <w:tc>
          <w:tcPr>
            <w:tcW w:w="2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2011</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2010</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2011</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2010</w:t>
            </w:r>
          </w:p>
        </w:tc>
      </w:tr>
      <w:tr>
        <w:trPr>
          <w:trHeight w:val="203"/>
        </w:trPr>
        <w:tc>
          <w:tcPr>
            <w:tcW w:w="4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$ 5,182</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$ 1,678</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$ 9,094</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$ 5,958</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(143)</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96</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(56)</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203"/>
        </w:trPr>
        <w:tc>
          <w:tcPr>
            <w:tcW w:w="4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$ 5,039</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$ 1,774</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$ 9,038</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$ 5,934</w:t>
            </w:r>
          </w:p>
        </w:tc>
      </w:tr>
      <w:tr>
        <w:trPr>
          <w:trHeight w:val="203"/>
        </w:trPr>
        <w:tc>
          <w:tcPr>
            <w:tcW w:w="4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 OF STOCKHOLDERS' EQUITY</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Accumulated</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Common</w:t>
            </w:r>
          </w:p>
        </w:tc>
        <w:tc>
          <w:tcPr>
            <w:tcW w:w="46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920" w:type="dxa"/>
            <w:vAlign w:val="bottom"/>
          </w:tcPr>
          <w:p>
            <w:pPr>
              <w:spacing w:after="0"/>
              <w:rPr>
                <w:sz w:val="11"/>
                <w:szCs w:val="11"/>
                <w:color w:val="auto"/>
              </w:rPr>
            </w:pP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Other</w:t>
            </w:r>
          </w:p>
        </w:tc>
        <w:tc>
          <w:tcPr>
            <w:tcW w:w="720" w:type="dxa"/>
            <w:vAlign w:val="bottom"/>
          </w:tcPr>
          <w:p>
            <w:pPr>
              <w:spacing w:after="0"/>
              <w:rPr>
                <w:sz w:val="11"/>
                <w:szCs w:val="11"/>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160" w:type="dxa"/>
            <w:vAlign w:val="bottom"/>
          </w:tcPr>
          <w:p>
            <w:pPr>
              <w:spacing w:after="0"/>
              <w:rPr>
                <w:sz w:val="11"/>
                <w:szCs w:val="11"/>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Paid-In</w:t>
            </w:r>
          </w:p>
        </w:tc>
        <w:tc>
          <w:tcPr>
            <w:tcW w:w="35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Accumulated Comprehensive Treasury Stockholders'</w:t>
            </w:r>
          </w:p>
        </w:tc>
      </w:tr>
      <w:tr>
        <w:trPr>
          <w:trHeight w:val="135"/>
        </w:trPr>
        <w:tc>
          <w:tcPr>
            <w:tcW w:w="2160" w:type="dxa"/>
            <w:vAlign w:val="bottom"/>
          </w:tcPr>
          <w:p>
            <w:pPr>
              <w:spacing w:after="0"/>
              <w:rPr>
                <w:sz w:val="11"/>
                <w:szCs w:val="11"/>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6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Capital</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Deficit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Earnings</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Stock</w:t>
            </w: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2"/>
              </w:rPr>
              <w:t>------</w:t>
            </w:r>
          </w:p>
        </w:tc>
        <w:tc>
          <w:tcPr>
            <w:tcW w:w="44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January 1, 2011</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10,464,505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$25,973</w:t>
            </w: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$(10,549)</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$1,311</w:t>
            </w:r>
          </w:p>
        </w:tc>
        <w:tc>
          <w:tcPr>
            <w:tcW w:w="7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$(736)</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$16,104</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9,094</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9,094</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(56)</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(56)</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119</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119</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Stock options exercised</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10,000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(11,250)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Issuance of 42,701 shares to</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satisfy profit sharing</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liability</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(114)</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150</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Sept. 30, 2011</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10,463,255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$26,008</w:t>
            </w: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(1,455)</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$1,255</w:t>
            </w:r>
          </w:p>
        </w:tc>
        <w:tc>
          <w:tcPr>
            <w:tcW w:w="7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$(472)</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$25,441</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bl>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left="3594"/>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594"/>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91"/>
              </w:rPr>
              <w:t>(Unaudited)</w:t>
            </w:r>
          </w:p>
        </w:tc>
        <w:tc>
          <w:tcPr>
            <w:tcW w:w="0" w:type="dxa"/>
            <w:vAlign w:val="bottom"/>
          </w:tcPr>
          <w:p>
            <w:pPr>
              <w:spacing w:after="0"/>
              <w:rPr>
                <w:sz w:val="1"/>
                <w:szCs w:val="1"/>
                <w:color w:val="auto"/>
              </w:rPr>
            </w:pPr>
          </w:p>
        </w:tc>
      </w:tr>
      <w:tr>
        <w:trPr>
          <w:trHeight w:val="711"/>
        </w:trPr>
        <w:tc>
          <w:tcPr>
            <w:tcW w:w="5120" w:type="dxa"/>
            <w:vAlign w:val="bottom"/>
          </w:tcPr>
          <w:p>
            <w:pPr>
              <w:spacing w:after="0"/>
              <w:rPr>
                <w:sz w:val="24"/>
                <w:szCs w:val="24"/>
                <w:color w:val="auto"/>
              </w:rPr>
            </w:pPr>
          </w:p>
        </w:tc>
        <w:tc>
          <w:tcPr>
            <w:tcW w:w="2660" w:type="dxa"/>
            <w:vAlign w:val="bottom"/>
            <w:gridSpan w:val="2"/>
          </w:tcPr>
          <w:p>
            <w:pPr>
              <w:jc w:val="right"/>
              <w:ind w:right="1299"/>
              <w:spacing w:after="0"/>
              <w:rPr>
                <w:sz w:val="20"/>
                <w:szCs w:val="20"/>
                <w:color w:val="auto"/>
              </w:rPr>
            </w:pPr>
            <w:r>
              <w:rPr>
                <w:rFonts w:ascii="Courier New" w:cs="Courier New" w:eastAsia="Courier New" w:hAnsi="Courier New"/>
                <w:sz w:val="12"/>
                <w:szCs w:val="12"/>
                <w:color w:val="auto"/>
              </w:rPr>
              <w:t>Nine Months Ended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519"/>
              <w:spacing w:after="0"/>
              <w:rPr>
                <w:sz w:val="20"/>
                <w:szCs w:val="20"/>
                <w:color w:val="auto"/>
              </w:rPr>
            </w:pPr>
            <w:r>
              <w:rPr>
                <w:rFonts w:ascii="Courier New" w:cs="Courier New" w:eastAsia="Courier New" w:hAnsi="Courier New"/>
                <w:sz w:val="12"/>
                <w:szCs w:val="12"/>
                <w:color w:val="auto"/>
              </w:rPr>
              <w:t>Sept. 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2011</w:t>
            </w:r>
          </w:p>
        </w:tc>
        <w:tc>
          <w:tcPr>
            <w:tcW w:w="1900" w:type="dxa"/>
            <w:vAlign w:val="bottom"/>
          </w:tcPr>
          <w:p>
            <w:pPr>
              <w:jc w:val="right"/>
              <w:ind w:right="1299"/>
              <w:spacing w:after="0"/>
              <w:rPr>
                <w:sz w:val="20"/>
                <w:szCs w:val="20"/>
                <w:color w:val="auto"/>
              </w:rPr>
            </w:pPr>
            <w:r>
              <w:rPr>
                <w:rFonts w:ascii="Courier New" w:cs="Courier New" w:eastAsia="Courier New" w:hAnsi="Courier New"/>
                <w:sz w:val="12"/>
                <w:szCs w:val="12"/>
                <w:color w:val="auto"/>
              </w:rPr>
              <w:t>2010</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760" w:type="dxa"/>
            <w:vAlign w:val="bottom"/>
          </w:tcPr>
          <w:p>
            <w:pPr>
              <w:jc w:val="right"/>
              <w:ind w:right="114"/>
              <w:spacing w:after="0"/>
              <w:rPr>
                <w:sz w:val="20"/>
                <w:szCs w:val="20"/>
                <w:color w:val="auto"/>
              </w:rPr>
            </w:pPr>
            <w:r>
              <w:rPr>
                <w:rFonts w:ascii="Courier New" w:cs="Courier New" w:eastAsia="Courier New" w:hAnsi="Courier New"/>
                <w:sz w:val="12"/>
                <w:szCs w:val="12"/>
                <w:color w:val="auto"/>
              </w:rPr>
              <w:t>-------</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760" w:type="dxa"/>
            <w:vAlign w:val="bottom"/>
          </w:tcPr>
          <w:p>
            <w:pPr>
              <w:jc w:val="right"/>
              <w:ind w:right="114"/>
              <w:spacing w:after="0"/>
              <w:rPr>
                <w:sz w:val="20"/>
                <w:szCs w:val="20"/>
                <w:color w:val="auto"/>
              </w:rPr>
            </w:pPr>
            <w:r>
              <w:rPr>
                <w:rFonts w:ascii="Courier New" w:cs="Courier New" w:eastAsia="Courier New" w:hAnsi="Courier New"/>
                <w:sz w:val="12"/>
                <w:szCs w:val="12"/>
                <w:color w:val="auto"/>
              </w:rPr>
              <w:t>$ 9,094</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$ 5,958</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220"/>
              <w:spacing w:after="0"/>
              <w:rPr>
                <w:sz w:val="20"/>
                <w:szCs w:val="20"/>
                <w:color w:val="auto"/>
              </w:rPr>
            </w:pPr>
            <w:r>
              <w:rPr>
                <w:rFonts w:ascii="Courier New" w:cs="Courier New" w:eastAsia="Courier New" w:hAnsi="Courier New"/>
                <w:sz w:val="12"/>
                <w:szCs w:val="12"/>
                <w:color w:val="auto"/>
              </w:rPr>
              <w:t>by operating activities:</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760" w:type="dxa"/>
            <w:vAlign w:val="bottom"/>
          </w:tcPr>
          <w:p>
            <w:pPr>
              <w:jc w:val="right"/>
              <w:ind w:right="114"/>
              <w:spacing w:after="0"/>
              <w:rPr>
                <w:sz w:val="20"/>
                <w:szCs w:val="20"/>
                <w:color w:val="auto"/>
              </w:rPr>
            </w:pPr>
            <w:r>
              <w:rPr>
                <w:rFonts w:ascii="Courier New" w:cs="Courier New" w:eastAsia="Courier New" w:hAnsi="Courier New"/>
                <w:sz w:val="12"/>
                <w:szCs w:val="12"/>
                <w:color w:val="auto"/>
              </w:rPr>
              <w:t>304</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281</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(gain) loss</w:t>
            </w:r>
          </w:p>
        </w:tc>
        <w:tc>
          <w:tcPr>
            <w:tcW w:w="760" w:type="dxa"/>
            <w:vAlign w:val="bottom"/>
          </w:tcPr>
          <w:p>
            <w:pPr>
              <w:jc w:val="right"/>
              <w:ind w:right="54"/>
              <w:spacing w:after="0"/>
              <w:rPr>
                <w:sz w:val="20"/>
                <w:szCs w:val="20"/>
                <w:color w:val="auto"/>
              </w:rPr>
            </w:pPr>
            <w:r>
              <w:rPr>
                <w:rFonts w:ascii="Courier New" w:cs="Courier New" w:eastAsia="Courier New" w:hAnsi="Courier New"/>
                <w:sz w:val="12"/>
                <w:szCs w:val="12"/>
                <w:color w:val="auto"/>
              </w:rPr>
              <w:t>(10)</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10</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760" w:type="dxa"/>
            <w:vAlign w:val="bottom"/>
          </w:tcPr>
          <w:p>
            <w:pPr>
              <w:jc w:val="right"/>
              <w:ind w:right="114"/>
              <w:spacing w:after="0"/>
              <w:rPr>
                <w:sz w:val="20"/>
                <w:szCs w:val="20"/>
                <w:color w:val="auto"/>
              </w:rPr>
            </w:pPr>
            <w:r>
              <w:rPr>
                <w:rFonts w:ascii="Courier New" w:cs="Courier New" w:eastAsia="Courier New" w:hAnsi="Courier New"/>
                <w:sz w:val="12"/>
                <w:szCs w:val="12"/>
                <w:color w:val="auto"/>
              </w:rPr>
              <w:t>119</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166</w:t>
            </w:r>
          </w:p>
        </w:tc>
        <w:tc>
          <w:tcPr>
            <w:tcW w:w="0" w:type="dxa"/>
            <w:vAlign w:val="bottom"/>
          </w:tcPr>
          <w:p>
            <w:pPr>
              <w:spacing w:after="0"/>
              <w:rPr>
                <w:sz w:val="1"/>
                <w:szCs w:val="1"/>
                <w:color w:val="auto"/>
              </w:rPr>
            </w:pPr>
          </w:p>
        </w:tc>
      </w:tr>
      <w:tr>
        <w:trPr>
          <w:trHeight w:val="137"/>
        </w:trPr>
        <w:tc>
          <w:tcPr>
            <w:tcW w:w="588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Profit sharing expense funded through the issuance of treasury stock   150</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75</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sectPr>
      </w:pPr>
    </w:p>
    <w:bookmarkStart w:id="4" w:name="page5"/>
    <w:bookmarkEnd w:id="4"/>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Gain on sale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benefit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(2,905)</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(601)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(2,540)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(1,186)</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(131)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(89)</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(250)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62</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(1,025)</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865</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314</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320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(49)</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warranty</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38</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restructuring and other charges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(130)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Customer deposits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341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(32)</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(121)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186</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Deferred rent, net of current portion</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(39)</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5,809</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3,643</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(685)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(84)</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(645)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(84)</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5,169</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3,550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6,895</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2,647</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$12,064</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$ 6,197</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171</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448</w:t>
            </w:r>
          </w:p>
        </w:tc>
        <w:tc>
          <w:tcPr>
            <w:tcW w:w="0" w:type="dxa"/>
            <w:vAlign w:val="bottom"/>
          </w:tcPr>
          <w:p>
            <w:pPr>
              <w:spacing w:after="0"/>
              <w:rPr>
                <w:sz w:val="1"/>
                <w:szCs w:val="1"/>
                <w:color w:val="auto"/>
              </w:rPr>
            </w:pPr>
          </w:p>
        </w:tc>
      </w:tr>
      <w:tr>
        <w:trPr>
          <w:trHeight w:val="137"/>
        </w:trPr>
        <w:tc>
          <w:tcPr>
            <w:tcW w:w="5120" w:type="dxa"/>
            <w:vAlign w:val="bottom"/>
          </w:tcPr>
          <w:p>
            <w:pPr>
              <w:spacing w:after="0"/>
              <w:rPr>
                <w:sz w:val="20"/>
                <w:szCs w:val="20"/>
                <w:color w:val="auto"/>
              </w:rPr>
            </w:pPr>
            <w:r>
              <w:rPr>
                <w:rFonts w:ascii="Courier New" w:cs="Courier New" w:eastAsia="Courier New" w:hAnsi="Courier New"/>
                <w:sz w:val="12"/>
                <w:szCs w:val="12"/>
                <w:color w:val="auto"/>
              </w:rPr>
              <w:t>Forfeitures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332" w:lineRule="auto"/>
        <w:rPr>
          <w:sz w:val="20"/>
          <w:szCs w:val="20"/>
          <w:color w:val="auto"/>
        </w:rPr>
      </w:pPr>
      <w:r>
        <w:rPr>
          <w:rFonts w:ascii="Arial" w:cs="Arial" w:eastAsia="Arial" w:hAnsi="Arial"/>
          <w:sz w:val="16"/>
          <w:szCs w:val="16"/>
          <w:color w:val="auto"/>
        </w:rPr>
        <w:t>We are an independent designer, manufacturer and marketer of mechanical, thermal and electrical products that are primarily used by semiconductor manufacturers in conjunction with automatic test equipment ("ATE") in the testing of integrated circuits ("ICs" or "semiconductors").</w:t>
      </w:r>
    </w:p>
    <w:p>
      <w:pPr>
        <w:spacing w:after="0" w:line="139"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Mechanical Products, Thermal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our ability to safeguard patents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342"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income taxes and product warranty reserves, are particularly impacted by estimates.</w:t>
      </w:r>
    </w:p>
    <w:p>
      <w:pPr>
        <w:spacing w:after="0" w:line="174"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w:t>
      </w:r>
    </w:p>
    <w:p>
      <w:pPr>
        <w:sectPr>
          <w:pgSz w:w="11900" w:h="16939" w:orient="portrait"/>
          <w:cols w:equalWidth="0" w:num="1">
            <w:col w:w="11400"/>
          </w:cols>
          <w:pgMar w:left="240" w:top="132" w:right="259" w:bottom="0" w:gutter="0" w:footer="0" w:header="0"/>
        </w:sectPr>
      </w:pPr>
    </w:p>
    <w:bookmarkStart w:id="5" w:name="page6"/>
    <w:bookmarkEnd w:id="5"/>
    <w:p>
      <w:pPr>
        <w:spacing w:after="0" w:line="46" w:lineRule="exact"/>
        <w:rPr>
          <w:sz w:val="20"/>
          <w:szCs w:val="20"/>
          <w:color w:val="auto"/>
        </w:rPr>
      </w:pPr>
    </w:p>
    <w:p>
      <w:pPr>
        <w:ind w:left="532" w:right="260"/>
        <w:spacing w:after="0" w:line="306" w:lineRule="auto"/>
        <w:rPr>
          <w:sz w:val="20"/>
          <w:szCs w:val="20"/>
          <w:color w:val="auto"/>
        </w:rPr>
      </w:pPr>
      <w:r>
        <w:rPr>
          <w:rFonts w:ascii="Arial" w:cs="Arial" w:eastAsia="Arial" w:hAnsi="Arial"/>
          <w:sz w:val="16"/>
          <w:szCs w:val="16"/>
          <w:color w:val="auto"/>
        </w:rPr>
        <w:t>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2010 filed with the Securities and Exchange Commission on March 31, 2011 (the "2010 Form 10-K").</w:t>
      </w:r>
    </w:p>
    <w:p>
      <w:pPr>
        <w:spacing w:after="0" w:line="161"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40"/>
        <w:spacing w:after="0" w:line="289"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charges for excess and obsolete inventory we record establish a new cost basis for the related inventory. We incurred excess and obsolete inventory charges of $278 and $421 for the nine months ended September 30, 2011 and 2010, respectively.</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8"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74" w:lineRule="exact"/>
        <w:rPr>
          <w:sz w:val="20"/>
          <w:szCs w:val="20"/>
          <w:color w:val="auto"/>
        </w:rPr>
      </w:pPr>
    </w:p>
    <w:p>
      <w:pPr>
        <w:ind w:left="532" w:right="120"/>
        <w:spacing w:after="0" w:line="253" w:lineRule="auto"/>
        <w:rPr>
          <w:sz w:val="20"/>
          <w:szCs w:val="20"/>
          <w:color w:val="auto"/>
        </w:rPr>
      </w:pPr>
      <w:r>
        <w:rPr>
          <w:rFonts w:ascii="Arial" w:cs="Arial" w:eastAsia="Arial" w:hAnsi="Arial"/>
          <w:sz w:val="18"/>
          <w:szCs w:val="18"/>
          <w:color w:val="auto"/>
        </w:rPr>
        <w:t>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201" w:lineRule="exact"/>
        <w:rPr>
          <w:sz w:val="20"/>
          <w:szCs w:val="20"/>
          <w:color w:val="auto"/>
        </w:rPr>
      </w:pPr>
    </w:p>
    <w:p>
      <w:pPr>
        <w:ind w:left="532"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60"/>
        <w:spacing w:after="0" w:line="256" w:lineRule="auto"/>
        <w:rPr>
          <w:sz w:val="20"/>
          <w:szCs w:val="20"/>
          <w:color w:val="auto"/>
        </w:rPr>
      </w:pPr>
      <w:r>
        <w:rPr>
          <w:rFonts w:ascii="Arial" w:cs="Arial" w:eastAsia="Arial" w:hAnsi="Arial"/>
          <w:sz w:val="18"/>
          <w:szCs w:val="18"/>
          <w:color w:val="auto"/>
        </w:rPr>
        <w:t>We account for stock-based compensation in accordance with Accounting Standards Codification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9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32" w:right="320"/>
        <w:spacing w:after="0" w:line="268" w:lineRule="auto"/>
        <w:rPr>
          <w:sz w:val="20"/>
          <w:szCs w:val="20"/>
          <w:color w:val="auto"/>
        </w:rPr>
      </w:pPr>
      <w:r>
        <w:rPr>
          <w:rFonts w:ascii="Arial" w:cs="Arial" w:eastAsia="Arial" w:hAnsi="Arial"/>
          <w:sz w:val="18"/>
          <w:szCs w:val="18"/>
          <w:color w:val="auto"/>
        </w:rPr>
        <w:t>We have made an assessment of our operations and determined there were no material subsequent events requiring adjustment to, or disclosure in, our consolidated financial statements for the three and nine months ended September 30, 2011.</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10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32"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ectPr>
          <w:pgSz w:w="11900" w:h="16885" w:orient="portrait"/>
          <w:cols w:equalWidth="0" w:num="1">
            <w:col w:w="11412"/>
          </w:cols>
          <w:pgMar w:left="248" w:top="131" w:right="239" w:bottom="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recognize a liability for restructuring costs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For the nine months ended September 30, 2011, we recorded an income tax benefit of $2,624 compared with income tax expense of $17 for the same period in 2010.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third quarter of 2011, we reversed $2,905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jc w:val="both"/>
        <w:ind w:left="540" w:right="60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10"/>
          </w:tcPr>
          <w:p>
            <w:pPr>
              <w:ind w:left="20"/>
              <w:spacing w:after="0"/>
              <w:rPr>
                <w:sz w:val="20"/>
                <w:szCs w:val="20"/>
                <w:color w:val="auto"/>
              </w:rPr>
            </w:pPr>
            <w:r>
              <w:rPr>
                <w:rFonts w:ascii="Arial" w:cs="Arial" w:eastAsia="Arial" w:hAnsi="Arial"/>
                <w:sz w:val="14"/>
                <w:szCs w:val="14"/>
                <w:b w:val="1"/>
                <w:bCs w:val="1"/>
                <w:i w:val="1"/>
                <w:iCs w:val="1"/>
                <w:color w:val="auto"/>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9"/>
          </w:tcPr>
          <w:p>
            <w:pPr>
              <w:jc w:val="right"/>
              <w:ind w:right="360"/>
              <w:spacing w:after="0"/>
              <w:rPr>
                <w:sz w:val="20"/>
                <w:szCs w:val="20"/>
                <w:color w:val="auto"/>
              </w:rPr>
            </w:pPr>
            <w:r>
              <w:rPr>
                <w:rFonts w:ascii="Arial" w:cs="Arial" w:eastAsia="Arial" w:hAnsi="Arial"/>
                <w:sz w:val="14"/>
                <w:szCs w:val="14"/>
                <w:b w:val="1"/>
                <w:bCs w:val="1"/>
                <w:i w:val="1"/>
                <w:iCs w:val="1"/>
                <w:color w:val="auto"/>
                <w:w w:val="87"/>
              </w:rPr>
              <w:t>Nine Months Ended</w:t>
            </w:r>
          </w:p>
        </w:tc>
      </w:tr>
      <w:tr>
        <w:trPr>
          <w:trHeight w:val="146"/>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6"/>
          </w:tcPr>
          <w:p>
            <w:pPr>
              <w:ind w:left="80"/>
              <w:spacing w:after="0" w:line="146" w:lineRule="exact"/>
              <w:rPr>
                <w:sz w:val="20"/>
                <w:szCs w:val="20"/>
                <w:color w:val="auto"/>
              </w:rPr>
            </w:pPr>
            <w:r>
              <w:rPr>
                <w:rFonts w:ascii="Arial" w:cs="Arial" w:eastAsia="Arial" w:hAnsi="Arial"/>
                <w:sz w:val="14"/>
                <w:szCs w:val="14"/>
                <w:b w:val="1"/>
                <w:bCs w:val="1"/>
                <w:i w:val="1"/>
                <w:iCs w:val="1"/>
                <w:color w:val="auto"/>
              </w:rPr>
              <w:t>Sept. 30,</w:t>
            </w:r>
          </w:p>
        </w:tc>
        <w:tc>
          <w:tcPr>
            <w:tcW w:w="4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5"/>
          </w:tcPr>
          <w:p>
            <w:pPr>
              <w:ind w:left="60"/>
              <w:spacing w:after="0" w:line="146" w:lineRule="exact"/>
              <w:rPr>
                <w:sz w:val="20"/>
                <w:szCs w:val="20"/>
                <w:color w:val="auto"/>
              </w:rPr>
            </w:pPr>
            <w:r>
              <w:rPr>
                <w:rFonts w:ascii="Arial" w:cs="Arial" w:eastAsia="Arial" w:hAnsi="Arial"/>
                <w:sz w:val="14"/>
                <w:szCs w:val="14"/>
                <w:b w:val="1"/>
                <w:bCs w:val="1"/>
                <w:i w:val="1"/>
                <w:iCs w:val="1"/>
                <w:color w:val="auto"/>
              </w:rPr>
              <w:t>Sept. 30,</w:t>
            </w:r>
          </w:p>
        </w:tc>
        <w:tc>
          <w:tcPr>
            <w:tcW w:w="440" w:type="dxa"/>
            <w:vAlign w:val="bottom"/>
            <w:gridSpan w:val="2"/>
          </w:tcPr>
          <w:p>
            <w:pPr>
              <w:spacing w:after="0"/>
              <w:rPr>
                <w:sz w:val="12"/>
                <w:szCs w:val="12"/>
                <w:color w:val="auto"/>
              </w:rPr>
            </w:pPr>
          </w:p>
        </w:tc>
      </w:tr>
      <w:tr>
        <w:trPr>
          <w:trHeight w:val="156"/>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320" w:type="dxa"/>
            <w:vAlign w:val="bottom"/>
          </w:tcPr>
          <w:p>
            <w:pPr>
              <w:spacing w:after="0"/>
              <w:rPr>
                <w:sz w:val="13"/>
                <w:szCs w:val="13"/>
                <w:color w:val="auto"/>
              </w:rPr>
            </w:pPr>
          </w:p>
        </w:tc>
        <w:tc>
          <w:tcPr>
            <w:tcW w:w="940" w:type="dxa"/>
            <w:vAlign w:val="bottom"/>
            <w:gridSpan w:val="6"/>
          </w:tcPr>
          <w:p>
            <w:pPr>
              <w:jc w:val="right"/>
              <w:ind w:right="252"/>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620" w:type="dxa"/>
            <w:vAlign w:val="bottom"/>
            <w:gridSpan w:val="5"/>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320" w:type="dxa"/>
            <w:vAlign w:val="bottom"/>
          </w:tcPr>
          <w:p>
            <w:pPr>
              <w:spacing w:after="0"/>
              <w:rPr>
                <w:sz w:val="13"/>
                <w:szCs w:val="13"/>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79"/>
              </w:rPr>
              <w:t>10,182,795</w:t>
            </w:r>
          </w:p>
        </w:tc>
        <w:tc>
          <w:tcPr>
            <w:tcW w:w="60" w:type="dxa"/>
            <w:vAlign w:val="bottom"/>
          </w:tcPr>
          <w:p>
            <w:pPr>
              <w:spacing w:after="0"/>
              <w:rPr>
                <w:sz w:val="20"/>
                <w:szCs w:val="20"/>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w w:val="95"/>
              </w:rPr>
              <w:t>10,033,034</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10,132,807</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10,011,173</w:t>
            </w:r>
          </w:p>
        </w:tc>
      </w:tr>
      <w:tr>
        <w:trPr>
          <w:trHeight w:val="459"/>
        </w:trPr>
        <w:tc>
          <w:tcPr>
            <w:tcW w:w="53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1"/>
        </w:trPr>
        <w:tc>
          <w:tcPr>
            <w:tcW w:w="5320" w:type="dxa"/>
            <w:vAlign w:val="bottom"/>
          </w:tcPr>
          <w:p>
            <w:pPr>
              <w:ind w:left="220"/>
              <w:spacing w:after="0"/>
              <w:rPr>
                <w:sz w:val="20"/>
                <w:szCs w:val="20"/>
                <w:color w:val="auto"/>
              </w:rPr>
            </w:pPr>
            <w:r>
              <w:rPr>
                <w:rFonts w:ascii="Arial" w:cs="Arial" w:eastAsia="Arial" w:hAnsi="Arial"/>
                <w:sz w:val="18"/>
                <w:szCs w:val="18"/>
                <w:color w:val="auto"/>
                <w:w w:val="99"/>
              </w:rPr>
              <w:t>Employee stock options and unvested shares of restricted stock</w:t>
            </w: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114,489</w:t>
            </w:r>
          </w:p>
        </w:tc>
        <w:tc>
          <w:tcPr>
            <w:tcW w:w="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161,546</w:t>
            </w:r>
          </w:p>
        </w:tc>
        <w:tc>
          <w:tcPr>
            <w:tcW w:w="240" w:type="dxa"/>
            <w:vAlign w:val="bottom"/>
            <w:gridSpan w:val="2"/>
          </w:tcPr>
          <w:p>
            <w:pPr>
              <w:spacing w:after="0"/>
              <w:rPr>
                <w:sz w:val="24"/>
                <w:szCs w:val="24"/>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154,248</w:t>
            </w:r>
          </w:p>
        </w:tc>
        <w:tc>
          <w:tcPr>
            <w:tcW w:w="260" w:type="dxa"/>
            <w:vAlign w:val="bottom"/>
            <w:gridSpan w:val="2"/>
          </w:tcPr>
          <w:p>
            <w:pPr>
              <w:spacing w:after="0"/>
              <w:rPr>
                <w:sz w:val="24"/>
                <w:szCs w:val="24"/>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116,156</w:t>
            </w:r>
          </w:p>
        </w:tc>
      </w:tr>
      <w:tr>
        <w:trPr>
          <w:trHeight w:val="439"/>
        </w:trPr>
        <w:tc>
          <w:tcPr>
            <w:tcW w:w="532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79"/>
              </w:rPr>
              <w:t>10,297,284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86"/>
              </w:rPr>
              <w:t>10,194,580</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10,287,055</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10,127,329</w:t>
            </w:r>
          </w:p>
        </w:tc>
      </w:tr>
      <w:tr>
        <w:trPr>
          <w:trHeight w:val="20"/>
        </w:trPr>
        <w:tc>
          <w:tcPr>
            <w:tcW w:w="5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80"/>
          </w:cols>
          <w:pgMar w:left="240" w:top="131" w:right="279" w:bottom="549" w:gutter="0" w:footer="0" w:header="0"/>
        </w:sectPr>
      </w:pPr>
    </w:p>
    <w:bookmarkStart w:id="7" w:name="page8"/>
    <w:bookmarkEnd w:id="7"/>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480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114,280</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155,861</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79,633</w:t>
            </w:r>
          </w:p>
        </w:tc>
        <w:tc>
          <w:tcPr>
            <w:tcW w:w="740" w:type="dxa"/>
            <w:vAlign w:val="bottom"/>
          </w:tcPr>
          <w:p>
            <w:pPr>
              <w:jc w:val="right"/>
              <w:spacing w:after="0"/>
              <w:rPr>
                <w:sz w:val="20"/>
                <w:szCs w:val="20"/>
                <w:color w:val="auto"/>
              </w:rPr>
            </w:pPr>
            <w:r>
              <w:rPr>
                <w:rFonts w:ascii="Arial" w:cs="Arial" w:eastAsia="Arial" w:hAnsi="Arial"/>
                <w:sz w:val="18"/>
                <w:szCs w:val="18"/>
                <w:color w:val="auto"/>
              </w:rPr>
              <w:t>255,835</w:t>
            </w:r>
          </w:p>
        </w:tc>
      </w:tr>
      <w:tr>
        <w:trPr>
          <w:trHeight w:val="459"/>
        </w:trPr>
        <w:tc>
          <w:tcPr>
            <w:tcW w:w="4800" w:type="dxa"/>
            <w:vAlign w:val="bottom"/>
          </w:tcPr>
          <w:p>
            <w:pPr>
              <w:spacing w:after="0"/>
              <w:rPr>
                <w:sz w:val="20"/>
                <w:szCs w:val="20"/>
                <w:color w:val="auto"/>
              </w:rPr>
            </w:pPr>
            <w:r>
              <w:rPr>
                <w:rFonts w:ascii="Arial" w:cs="Arial" w:eastAsia="Arial" w:hAnsi="Arial"/>
                <w:sz w:val="18"/>
                <w:szCs w:val="18"/>
                <w:color w:val="auto"/>
              </w:rPr>
              <w:t>Weighted average exercise price of excluded securities</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$3.85</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$3.91</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$4.17</w:t>
            </w:r>
          </w:p>
        </w:tc>
        <w:tc>
          <w:tcPr>
            <w:tcW w:w="740" w:type="dxa"/>
            <w:vAlign w:val="bottom"/>
          </w:tcPr>
          <w:p>
            <w:pPr>
              <w:jc w:val="right"/>
              <w:spacing w:after="0"/>
              <w:rPr>
                <w:sz w:val="20"/>
                <w:szCs w:val="20"/>
                <w:color w:val="auto"/>
              </w:rPr>
            </w:pPr>
            <w:r>
              <w:rPr>
                <w:rFonts w:ascii="Arial" w:cs="Arial" w:eastAsia="Arial" w:hAnsi="Arial"/>
                <w:sz w:val="18"/>
                <w:szCs w:val="18"/>
                <w:color w:val="auto"/>
              </w:rPr>
              <w:t>$3.72</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120"/>
        <w:spacing w:after="0" w:line="290" w:lineRule="auto"/>
        <w:rPr>
          <w:sz w:val="20"/>
          <w:szCs w:val="20"/>
          <w:color w:val="auto"/>
        </w:rPr>
      </w:pPr>
      <w:r>
        <w:rPr>
          <w:rFonts w:ascii="Arial" w:cs="Arial" w:eastAsia="Arial" w:hAnsi="Arial"/>
          <w:sz w:val="16"/>
          <w:szCs w:val="16"/>
          <w:color w:val="auto"/>
        </w:rPr>
        <w:t>In January 2010, the Financial Accounting Standards Board (the "FASB") issued an amendment to an accounting standard regarding disclosure guidance with respect to fair value measurements. Specifically, the new guidance requires disclosure of amounts transferred in and out of Levels 1 and 2 fair value measurements, a reconciliation presented on a gross basis rather than a net basis of activity in Level 3 fair value measurements, greater disaggregation of the assets and liabilities for which fair value measurements are presented and more robust disclosure of the valuation techniques and inputs used to measure Level 2 and 3 fair value measurements. This amendment was effective for interim and annual reporting periods beginning after December 15, 2009, with the exception of the new guidance around the Level 3 activity reconciliations, which was effective for fiscal years beginning after December 15, 2010. The adoption of this amendment did not have any impact on our consolidated financial statements.</w:t>
      </w:r>
    </w:p>
    <w:p>
      <w:pPr>
        <w:spacing w:after="0" w:line="172" w:lineRule="exact"/>
        <w:rPr>
          <w:sz w:val="20"/>
          <w:szCs w:val="20"/>
          <w:color w:val="auto"/>
        </w:rPr>
      </w:pPr>
    </w:p>
    <w:p>
      <w:pPr>
        <w:ind w:left="540" w:right="240"/>
        <w:spacing w:after="0" w:line="255" w:lineRule="auto"/>
        <w:rPr>
          <w:sz w:val="20"/>
          <w:szCs w:val="20"/>
          <w:color w:val="auto"/>
        </w:rPr>
      </w:pPr>
      <w:r>
        <w:rPr>
          <w:rFonts w:ascii="Arial" w:cs="Arial" w:eastAsia="Arial" w:hAnsi="Arial"/>
          <w:sz w:val="18"/>
          <w:szCs w:val="18"/>
          <w:color w:val="auto"/>
        </w:rPr>
        <w:t>In July 2010, the FASB issued an amendment to an accounting standard that requires additional disclosure about the credit quality of financing receivables, such as aging information and credit quality indicators. Both new and existing disclosures must be disaggregated by portfolio segment or class, if applicable. The disaggregation of information is based on how allowances for credit losses are developed and how credit exposure is managed. This amendment was effective for interim periods and fiscal years ending after December 15, 2010. The adoption of this amendment did not have any impact on our consolidated financial statements.</w:t>
      </w:r>
    </w:p>
    <w:p>
      <w:pPr>
        <w:spacing w:after="0" w:line="197"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In December 2010, the FASB issued an amendment to goodwill impairment testing. The amendment modifies Step I of the goodwill impairment test for reporting units with zero or negative carrying amounts. For those reporting units, an entity is required to perform Step II of the goodwill impairment test if it is more likely than not that a goodwill impairment exists. In determining whether it is more likely than not that goodwill impairment exists, an entity should consider whether there are any adverse qualitative factors indicating that impairment may exist. The qualitative factors are consistent with the existing guidance and examples, which require that goodwill of a reporting unit be tested for impairment between annual tests if an event occurs or circumstances change that would more likely than not reduce the fair value of a reporting unit below its carrying amount. The amendment is effective for fiscal years, and interim periods within those years, beginning after December 15, 2010. The adoption of this guidance did not have any impact on our consolidated financial statements.</w:t>
      </w:r>
    </w:p>
    <w:p>
      <w:pPr>
        <w:spacing w:after="0" w:line="172"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In December 2010, the FASB issued an amendment to the disclosure of supplementary pro forma information for business combinations. The amendment specifies that if a public entity presents comparative financial statements, the entity should disclose revenue and earnings of the combined entity as though the business combination that occurred during the current year had occurred as of the beginning of the comparable prior annual reporting period only. The amendment also expands the supplemental pro forma disclosures to include a description of the nature and amount of material, nonrecurring pro forma adjustments directly attributable to the business combination included in the reported pro forma revenue and earnings. The amendment is effective prospectively for business combinations for which the acquisition date is on or after the beginning of the first annual reporting period beginning on or after December 15, 2010. We will implement this guidance in the event we consummate a business acquisition in the future.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In June 2011, the FASB issued an amendment to ASC Topic 220, Comprehensive Income. Under the amendment, an entity has the option to present the total of comprehensive income, the components of net income, and the components of other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amendment eliminates the option to present the components of other comprehensive income as part of the statement of changes in stockholders' equity. Reclassification adjustments between net income and other comprehensive income must be shown on the face of the statement(s), with no resulting change in net earnings. The amendment does not change the items that must be reported in other comprehensive income or when an item of other comprehensive income must be reclassified to net income. The amendment is effective for fiscal years beginning after December 15, 2011. We do not expect the adoption of this amendment to have a material impact on our consolidated financial statements.</w:t>
      </w:r>
    </w:p>
    <w:p>
      <w:pPr>
        <w:spacing w:after="0" w:line="172"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In September 2011, the FASB issued an amendment to existing guidance on the assessment of goodwill impairment which provides an entity the option to first assess qualitative factors to determine whether it is necessary to perform the current two-step test for goodwill impairment. If an entity believes, as a result of its qualitative assessment, that it is more-likely-than-not that the fair value of a reporting unit is less than its carrying amount, the quantitative impairment test is required. Otherwise, no further testing is required. The update also amends the examples of events or circumstances that would be considered in a goodwill impairment evaluation. The amendment is effective for annual and interim goodwill impairment tests performed for fiscal years beginning after December 15, 2011. However, an entity can choose to adopt this guidance early even if its annual test date is before the issuance of the final standard, provided that the entity has not yet performed its 2011 annual impairment test or issued its financial statements. We do not expect the adoption of this amendment to have a material impact on our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jc w:val="both"/>
        <w:ind w:left="540" w:right="180"/>
        <w:spacing w:after="0" w:line="259" w:lineRule="auto"/>
        <w:rPr>
          <w:sz w:val="20"/>
          <w:szCs w:val="20"/>
          <w:color w:val="auto"/>
        </w:rPr>
      </w:pPr>
      <w:r>
        <w:rPr>
          <w:rFonts w:ascii="Arial" w:cs="Arial" w:eastAsia="Arial" w:hAnsi="Arial"/>
          <w:sz w:val="18"/>
          <w:szCs w:val="18"/>
          <w:color w:val="auto"/>
        </w:rPr>
        <w:t>As of September 30, 2011 and December 31, 2010, our goodwill totaled $1,656 and our indefinite-lived intangible asset totaled $510. The goodwill and indefinite-lived intangible asset are both a result of our acquisition of Sigma Systems Corp. ("Sigma") in October 2008 and are allocated to our Thermal Products reporting unit.</w:t>
      </w:r>
    </w:p>
    <w:p>
      <w:pPr>
        <w:sectPr>
          <w:pgSz w:w="11900" w:h="16838" w:orient="portrait"/>
          <w:cols w:equalWidth="0" w:num="1">
            <w:col w:w="11420"/>
          </w:cols>
          <w:pgMar w:left="240" w:top="131" w:right="239" w:bottom="0" w:gutter="0" w:footer="0" w:header="0"/>
        </w:sectPr>
      </w:pPr>
    </w:p>
    <w:bookmarkStart w:id="8" w:name="page9"/>
    <w:bookmarkEnd w:id="8"/>
    <w:p>
      <w:pPr>
        <w:ind w:left="540"/>
        <w:spacing w:after="0" w:line="254" w:lineRule="auto"/>
        <w:rPr>
          <w:sz w:val="20"/>
          <w:szCs w:val="20"/>
          <w:color w:val="auto"/>
        </w:rPr>
      </w:pPr>
      <w:r>
        <w:rPr>
          <w:rFonts w:ascii="Arial" w:cs="Arial" w:eastAsia="Arial" w:hAnsi="Arial"/>
          <w:sz w:val="18"/>
          <w:szCs w:val="18"/>
          <w:color w:val="auto"/>
        </w:rPr>
        <w:t>As of September 30, 2011 and December 31, 2010, we had finite-lived intangible assets which totaled $466 and $567, net of accumulated amortization of $404 and $303, respectively. At September 30, 2011 and December 31, 2010 we had three finite-lived intangible assets which consisted of customer relationships, software and patents held by Sigma at the time of our acquisition of this operation in October 2008. These intangible assets are being amortized on a straight-line basis over estimated useful lives of 72 months, 120 months and 60 months, respectively. As of September 30, 2011, these assets had remaining estimated useful lives of 36 months, 84 months, and 24 months, respectively. These intangible assets are allocated to our Thermal Products segment.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changes in the amount of the carrying value of finite-lived intangible assets for the nine months ended September 30, 2011:</w:t>
      </w:r>
    </w:p>
    <w:p>
      <w:pPr>
        <w:spacing w:after="0" w:line="233"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Balance - January 1, 2011</w:t>
            </w:r>
          </w:p>
        </w:tc>
        <w:tc>
          <w:tcPr>
            <w:tcW w:w="320" w:type="dxa"/>
            <w:vAlign w:val="bottom"/>
          </w:tcPr>
          <w:p>
            <w:pPr>
              <w:spacing w:after="0"/>
              <w:rPr>
                <w:sz w:val="20"/>
                <w:szCs w:val="20"/>
                <w:color w:val="auto"/>
              </w:rPr>
            </w:pPr>
            <w:r>
              <w:rPr>
                <w:rFonts w:ascii="Arial" w:cs="Arial" w:eastAsia="Arial" w:hAnsi="Arial"/>
                <w:sz w:val="16"/>
                <w:szCs w:val="16"/>
                <w:color w:val="auto"/>
                <w:w w:val="78"/>
              </w:rPr>
              <w:t>$567</w:t>
            </w:r>
          </w:p>
        </w:tc>
        <w:tc>
          <w:tcPr>
            <w:tcW w:w="60" w:type="dxa"/>
            <w:vAlign w:val="bottom"/>
          </w:tcPr>
          <w:p>
            <w:pPr>
              <w:spacing w:after="0"/>
              <w:rPr>
                <w:sz w:val="19"/>
                <w:szCs w:val="19"/>
                <w:color w:val="auto"/>
              </w:rPr>
            </w:pPr>
          </w:p>
        </w:tc>
      </w:tr>
      <w:tr>
        <w:trPr>
          <w:trHeight w:val="421"/>
        </w:trPr>
        <w:tc>
          <w:tcPr>
            <w:tcW w:w="3640" w:type="dxa"/>
            <w:vAlign w:val="bottom"/>
          </w:tcPr>
          <w:p>
            <w:pPr>
              <w:spacing w:after="0"/>
              <w:rPr>
                <w:sz w:val="20"/>
                <w:szCs w:val="20"/>
                <w:color w:val="auto"/>
              </w:rPr>
            </w:pPr>
            <w:r>
              <w:rPr>
                <w:rFonts w:ascii="Arial" w:cs="Arial" w:eastAsia="Arial" w:hAnsi="Arial"/>
                <w:sz w:val="18"/>
                <w:szCs w:val="18"/>
                <w:color w:val="auto"/>
              </w:rPr>
              <w:t>Amortization</w:t>
            </w:r>
          </w:p>
        </w:tc>
        <w:tc>
          <w:tcPr>
            <w:tcW w:w="380" w:type="dxa"/>
            <w:vAlign w:val="bottom"/>
            <w:gridSpan w:val="2"/>
          </w:tcPr>
          <w:p>
            <w:pPr>
              <w:spacing w:after="0"/>
              <w:rPr>
                <w:sz w:val="20"/>
                <w:szCs w:val="20"/>
                <w:color w:val="auto"/>
              </w:rPr>
            </w:pPr>
            <w:r>
              <w:rPr>
                <w:rFonts w:ascii="Arial" w:cs="Arial" w:eastAsia="Arial" w:hAnsi="Arial"/>
                <w:sz w:val="18"/>
                <w:szCs w:val="18"/>
                <w:color w:val="auto"/>
                <w:w w:val="85"/>
              </w:rPr>
              <w:t>(101)</w:t>
            </w:r>
          </w:p>
        </w:tc>
      </w:tr>
      <w:tr>
        <w:trPr>
          <w:trHeight w:val="20"/>
        </w:trPr>
        <w:tc>
          <w:tcPr>
            <w:tcW w:w="3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Balance - September 30, 2011</w:t>
            </w:r>
          </w:p>
        </w:tc>
        <w:tc>
          <w:tcPr>
            <w:tcW w:w="320" w:type="dxa"/>
            <w:vAlign w:val="bottom"/>
          </w:tcPr>
          <w:p>
            <w:pPr>
              <w:spacing w:after="0"/>
              <w:rPr>
                <w:sz w:val="20"/>
                <w:szCs w:val="20"/>
                <w:color w:val="auto"/>
              </w:rPr>
            </w:pPr>
            <w:r>
              <w:rPr>
                <w:rFonts w:ascii="Arial" w:cs="Arial" w:eastAsia="Arial" w:hAnsi="Arial"/>
                <w:sz w:val="16"/>
                <w:szCs w:val="16"/>
                <w:u w:val="single" w:color="auto"/>
                <w:color w:val="auto"/>
                <w:w w:val="78"/>
              </w:rPr>
              <w:t>$</w:t>
            </w:r>
            <w:r>
              <w:rPr>
                <w:rFonts w:ascii="Arial" w:cs="Arial" w:eastAsia="Arial" w:hAnsi="Arial"/>
                <w:sz w:val="16"/>
                <w:szCs w:val="16"/>
                <w:color w:val="auto"/>
                <w:w w:val="78"/>
              </w:rPr>
              <w:t>466</w:t>
            </w:r>
          </w:p>
        </w:tc>
        <w:tc>
          <w:tcPr>
            <w:tcW w:w="60" w:type="dxa"/>
            <w:vAlign w:val="bottom"/>
          </w:tcPr>
          <w:p>
            <w:pPr>
              <w:spacing w:after="0"/>
              <w:rPr>
                <w:sz w:val="24"/>
                <w:szCs w:val="24"/>
                <w:color w:val="auto"/>
              </w:rPr>
            </w:pPr>
          </w:p>
        </w:tc>
      </w:tr>
      <w:tr>
        <w:trPr>
          <w:trHeight w:val="20"/>
        </w:trPr>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Estimated annual amortization expense for 2011 is $135. The following table sets forth the estimated annual amortization expense for our finite-lived intangible assets for each of the next five calendar years:</w:t>
      </w:r>
    </w:p>
    <w:p>
      <w:pPr>
        <w:spacing w:after="0" w:line="19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2012</w:t>
            </w:r>
          </w:p>
        </w:tc>
        <w:tc>
          <w:tcPr>
            <w:tcW w:w="2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2013</w:t>
            </w:r>
          </w:p>
        </w:tc>
        <w:tc>
          <w:tcPr>
            <w:tcW w:w="20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2014</w:t>
            </w:r>
          </w:p>
        </w:tc>
        <w:tc>
          <w:tcPr>
            <w:tcW w:w="2000" w:type="dxa"/>
            <w:vAlign w:val="bottom"/>
          </w:tcPr>
          <w:p>
            <w:pPr>
              <w:jc w:val="right"/>
              <w:spacing w:after="0"/>
              <w:rPr>
                <w:sz w:val="20"/>
                <w:szCs w:val="20"/>
                <w:color w:val="auto"/>
              </w:rPr>
            </w:pPr>
            <w:r>
              <w:rPr>
                <w:rFonts w:ascii="Arial" w:cs="Arial" w:eastAsia="Arial" w:hAnsi="Arial"/>
                <w:sz w:val="18"/>
                <w:szCs w:val="18"/>
                <w:color w:val="auto"/>
              </w:rPr>
              <w:t>$ 73</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2015</w:t>
            </w:r>
          </w:p>
        </w:tc>
        <w:tc>
          <w:tcPr>
            <w:tcW w:w="2000" w:type="dxa"/>
            <w:vAlign w:val="bottom"/>
          </w:tcPr>
          <w:p>
            <w:pPr>
              <w:jc w:val="right"/>
              <w:spacing w:after="0"/>
              <w:rPr>
                <w:sz w:val="20"/>
                <w:szCs w:val="20"/>
                <w:color w:val="auto"/>
              </w:rPr>
            </w:pPr>
            <w:r>
              <w:rPr>
                <w:rFonts w:ascii="Arial" w:cs="Arial" w:eastAsia="Arial" w:hAnsi="Arial"/>
                <w:sz w:val="18"/>
                <w:szCs w:val="18"/>
                <w:color w:val="auto"/>
              </w:rPr>
              <w:t>$ 27</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2016</w:t>
            </w:r>
          </w:p>
        </w:tc>
        <w:tc>
          <w:tcPr>
            <w:tcW w:w="2000" w:type="dxa"/>
            <w:vAlign w:val="bottom"/>
          </w:tcPr>
          <w:p>
            <w:pPr>
              <w:jc w:val="right"/>
              <w:spacing w:after="0"/>
              <w:rPr>
                <w:sz w:val="20"/>
                <w:szCs w:val="20"/>
                <w:color w:val="auto"/>
              </w:rPr>
            </w:pPr>
            <w:r>
              <w:rPr>
                <w:rFonts w:ascii="Arial" w:cs="Arial" w:eastAsia="Arial" w:hAnsi="Arial"/>
                <w:sz w:val="18"/>
                <w:szCs w:val="18"/>
                <w:color w:val="auto"/>
              </w:rPr>
              <w:t>$ 27</w:t>
            </w:r>
          </w:p>
        </w:tc>
      </w:tr>
    </w:tbl>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91"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In response to the significant decline in our orders and net revenues during 2008 and 2009, we took actions to reduce our cost structure, including facility closures, workforce reductions and salary and benefits reductions. 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Also on this date, we restored the fees paid to our Board of Directors, which had been reduced by approximately 50%.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77"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During the nine months ended September 30, 2011 and 2010, we did not record any restructuring charges. Changes in our liability for restructuring and other charges for the nine months ended September 30, 2010 are summarized as follows:</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640" w:type="dxa"/>
            <w:vAlign w:val="bottom"/>
            <w:gridSpan w:val="5"/>
          </w:tcPr>
          <w:p>
            <w:pPr>
              <w:jc w:val="center"/>
              <w:ind w:right="40"/>
              <w:spacing w:after="0"/>
              <w:rPr>
                <w:sz w:val="20"/>
                <w:szCs w:val="20"/>
                <w:color w:val="auto"/>
              </w:rPr>
            </w:pPr>
            <w:r>
              <w:rPr>
                <w:rFonts w:ascii="Arial" w:cs="Arial" w:eastAsia="Arial" w:hAnsi="Arial"/>
                <w:sz w:val="14"/>
                <w:szCs w:val="14"/>
                <w:b w:val="1"/>
                <w:bCs w:val="1"/>
                <w:i w:val="1"/>
                <w:iCs w:val="1"/>
                <w:color w:val="auto"/>
                <w:w w:val="85"/>
              </w:rPr>
              <w:t>Sigma</w:t>
            </w:r>
          </w:p>
        </w:tc>
      </w:tr>
      <w:tr>
        <w:trPr>
          <w:trHeight w:val="146"/>
        </w:trPr>
        <w:tc>
          <w:tcPr>
            <w:tcW w:w="4520" w:type="dxa"/>
            <w:vAlign w:val="bottom"/>
          </w:tcPr>
          <w:p>
            <w:pPr>
              <w:spacing w:after="0"/>
              <w:rPr>
                <w:sz w:val="12"/>
                <w:szCs w:val="12"/>
                <w:color w:val="auto"/>
              </w:rPr>
            </w:pPr>
          </w:p>
        </w:tc>
        <w:tc>
          <w:tcPr>
            <w:tcW w:w="640" w:type="dxa"/>
            <w:vAlign w:val="bottom"/>
            <w:gridSpan w:val="5"/>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r>
      <w:tr>
        <w:trPr>
          <w:trHeight w:val="235"/>
        </w:trPr>
        <w:tc>
          <w:tcPr>
            <w:tcW w:w="452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0"/>
                <w:szCs w:val="20"/>
                <w:color w:val="auto"/>
              </w:rPr>
            </w:pPr>
          </w:p>
        </w:tc>
      </w:tr>
      <w:tr>
        <w:trPr>
          <w:trHeight w:val="453"/>
        </w:trPr>
        <w:tc>
          <w:tcPr>
            <w:tcW w:w="4520" w:type="dxa"/>
            <w:vAlign w:val="bottom"/>
          </w:tcPr>
          <w:p>
            <w:pPr>
              <w:spacing w:after="0"/>
              <w:rPr>
                <w:sz w:val="20"/>
                <w:szCs w:val="20"/>
                <w:color w:val="auto"/>
              </w:rPr>
            </w:pPr>
            <w:r>
              <w:rPr>
                <w:rFonts w:ascii="Arial" w:cs="Arial" w:eastAsia="Arial" w:hAnsi="Arial"/>
                <w:sz w:val="18"/>
                <w:szCs w:val="18"/>
                <w:color w:val="auto"/>
              </w:rPr>
              <w:t>Accruals for one-time termination benefits and facility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520" w:type="dxa"/>
            <w:vAlign w:val="bottom"/>
          </w:tcPr>
          <w:p>
            <w:pPr>
              <w:ind w:left="80"/>
              <w:spacing w:after="0"/>
              <w:rPr>
                <w:sz w:val="20"/>
                <w:szCs w:val="20"/>
                <w:color w:val="auto"/>
              </w:rPr>
            </w:pPr>
            <w:r>
              <w:rPr>
                <w:rFonts w:ascii="Arial" w:cs="Arial" w:eastAsia="Arial" w:hAnsi="Arial"/>
                <w:sz w:val="18"/>
                <w:szCs w:val="18"/>
                <w:color w:val="auto"/>
              </w:rPr>
              <w:t>closure costs</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453"/>
        </w:trPr>
        <w:tc>
          <w:tcPr>
            <w:tcW w:w="4520" w:type="dxa"/>
            <w:vAlign w:val="bottom"/>
          </w:tcPr>
          <w:p>
            <w:pPr>
              <w:spacing w:after="0"/>
              <w:rPr>
                <w:sz w:val="20"/>
                <w:szCs w:val="20"/>
                <w:color w:val="auto"/>
              </w:rPr>
            </w:pPr>
            <w:r>
              <w:rPr>
                <w:rFonts w:ascii="Arial" w:cs="Arial" w:eastAsia="Arial" w:hAnsi="Arial"/>
                <w:sz w:val="18"/>
                <w:szCs w:val="18"/>
                <w:color w:val="auto"/>
              </w:rPr>
              <w:t>Severance and other cash payments related to one-time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452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 and facility closure costs</w:t>
            </w:r>
          </w:p>
        </w:tc>
        <w:tc>
          <w:tcPr>
            <w:tcW w:w="64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(130)</w:t>
            </w: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520" w:type="dxa"/>
            <w:vAlign w:val="bottom"/>
          </w:tcPr>
          <w:p>
            <w:pPr>
              <w:spacing w:after="0"/>
              <w:rPr>
                <w:sz w:val="20"/>
                <w:szCs w:val="20"/>
                <w:color w:val="auto"/>
              </w:rPr>
            </w:pPr>
            <w:r>
              <w:rPr>
                <w:rFonts w:ascii="Arial" w:cs="Arial" w:eastAsia="Arial" w:hAnsi="Arial"/>
                <w:sz w:val="18"/>
                <w:szCs w:val="18"/>
                <w:color w:val="auto"/>
              </w:rPr>
              <w:t>Balance - September 30, 2010</w:t>
            </w:r>
          </w:p>
        </w:tc>
        <w:tc>
          <w:tcPr>
            <w:tcW w:w="220" w:type="dxa"/>
            <w:vAlign w:val="bottom"/>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right="100"/>
        <w:spacing w:after="0" w:line="323" w:lineRule="auto"/>
        <w:rPr>
          <w:sz w:val="20"/>
          <w:szCs w:val="20"/>
          <w:color w:val="auto"/>
        </w:rPr>
      </w:pPr>
      <w:r>
        <w:rPr>
          <w:rFonts w:ascii="Arial" w:cs="Arial" w:eastAsia="Arial" w:hAnsi="Arial"/>
          <w:sz w:val="15"/>
          <w:szCs w:val="15"/>
          <w:color w:val="auto"/>
        </w:rPr>
        <w:t>Texas Instruments Incorporated accounted for 12% and 13% of our consolidated net revenues for the nine months ended September 30, 2011 and 2010, respectively. Teradyne, Inc. accounted for 14% of our consolidated net revenues for the nine months ended September 30, 2010. While all three of our operating segments sold products to these customers, these revenues were primarily generated by our Mechanical Products and Electrical Products segments. During the nine months ended September 30, 2011 and 2010, no other customer accounted for 10% or more of our consolidated net revenues.</w:t>
      </w:r>
    </w:p>
    <w:p>
      <w:pPr>
        <w:sectPr>
          <w:pgSz w:w="11900" w:h="16838" w:orient="portrait"/>
          <w:cols w:equalWidth="0" w:num="1">
            <w:col w:w="11340"/>
          </w:cols>
          <w:pgMar w:left="240" w:top="347" w:right="31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September 30, 2011 and December 31, 2010 were comprised of the following:</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40" w:type="dxa"/>
            <w:vAlign w:val="bottom"/>
            <w:gridSpan w:val="4"/>
          </w:tcPr>
          <w:p>
            <w:pPr>
              <w:ind w:left="680"/>
              <w:spacing w:after="0"/>
              <w:rPr>
                <w:sz w:val="20"/>
                <w:szCs w:val="20"/>
                <w:color w:val="auto"/>
              </w:rPr>
            </w:pPr>
            <w:r>
              <w:rPr>
                <w:rFonts w:ascii="Arial" w:cs="Arial" w:eastAsia="Arial" w:hAnsi="Arial"/>
                <w:sz w:val="14"/>
                <w:szCs w:val="14"/>
                <w:b w:val="1"/>
                <w:bCs w:val="1"/>
                <w:i w:val="1"/>
                <w:iCs w:val="1"/>
                <w:color w:val="auto"/>
              </w:rPr>
              <w:t>Sept. 30,</w:t>
            </w:r>
          </w:p>
        </w:tc>
        <w:tc>
          <w:tcPr>
            <w:tcW w:w="580" w:type="dxa"/>
            <w:vAlign w:val="bottom"/>
            <w:gridSpan w:val="5"/>
          </w:tcPr>
          <w:p>
            <w:pPr>
              <w:jc w:val="center"/>
              <w:ind w:right="8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2011</w:t>
            </w:r>
          </w:p>
        </w:tc>
        <w:tc>
          <w:tcPr>
            <w:tcW w:w="24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Raw materials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$3,387</w:t>
            </w:r>
          </w:p>
        </w:tc>
        <w:tc>
          <w:tcPr>
            <w:tcW w:w="24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$2,268</w:t>
            </w:r>
          </w:p>
        </w:tc>
        <w:tc>
          <w:tcPr>
            <w:tcW w:w="60" w:type="dxa"/>
            <w:vAlign w:val="bottom"/>
          </w:tcPr>
          <w:p>
            <w:pPr>
              <w:spacing w:after="0"/>
              <w:rPr>
                <w:sz w:val="20"/>
                <w:szCs w:val="20"/>
                <w:color w:val="auto"/>
              </w:rPr>
            </w:pP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Work in process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24"/>
                <w:szCs w:val="24"/>
                <w:color w:val="auto"/>
              </w:rPr>
            </w:pP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4"/>
                <w:szCs w:val="24"/>
                <w:color w:val="auto"/>
              </w:rPr>
            </w:pPr>
          </w:p>
        </w:tc>
      </w:tr>
      <w:tr>
        <w:trPr>
          <w:trHeight w:val="421"/>
        </w:trPr>
        <w:tc>
          <w:tcPr>
            <w:tcW w:w="2780" w:type="dxa"/>
            <w:vAlign w:val="bottom"/>
          </w:tcPr>
          <w:p>
            <w:pPr>
              <w:spacing w:after="0"/>
              <w:rPr>
                <w:sz w:val="20"/>
                <w:szCs w:val="20"/>
                <w:color w:val="auto"/>
              </w:rPr>
            </w:pPr>
            <w:r>
              <w:rPr>
                <w:rFonts w:ascii="Arial" w:cs="Arial" w:eastAsia="Arial" w:hAnsi="Arial"/>
                <w:sz w:val="18"/>
                <w:szCs w:val="18"/>
                <w:color w:val="auto"/>
              </w:rPr>
              <w:t>Finished goods</w:t>
            </w:r>
          </w:p>
        </w:tc>
        <w:tc>
          <w:tcPr>
            <w:tcW w:w="7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24"/>
                <w:szCs w:val="24"/>
                <w:color w:val="auto"/>
              </w:rPr>
            </w:pPr>
          </w:p>
        </w:tc>
      </w:tr>
      <w:tr>
        <w:trPr>
          <w:trHeight w:val="439"/>
        </w:trPr>
        <w:tc>
          <w:tcPr>
            <w:tcW w:w="27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4,674</w:t>
            </w:r>
          </w:p>
        </w:tc>
        <w:tc>
          <w:tcPr>
            <w:tcW w:w="2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3,489</w:t>
            </w:r>
          </w:p>
        </w:tc>
        <w:tc>
          <w:tcPr>
            <w:tcW w:w="60" w:type="dxa"/>
            <w:vAlign w:val="bottom"/>
          </w:tcPr>
          <w:p>
            <w:pPr>
              <w:spacing w:after="0"/>
              <w:rPr>
                <w:sz w:val="24"/>
                <w:szCs w:val="24"/>
                <w:color w:val="auto"/>
              </w:rPr>
            </w:pP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5"/>
        </w:trPr>
        <w:tc>
          <w:tcPr>
            <w:tcW w:w="2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- 11 -</w:t>
            </w:r>
          </w:p>
        </w:tc>
      </w:tr>
    </w:tbl>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At December 31, 2010, we had a secured credit facility that provided for maximum borrowings of $250 and was secured by pledged certificates of deposit totaling $250. During the quarter ended September 30, 2011, this facility was terminated. While this facility was in place, we did not use it to borrow any funds. Our usage consisted of the issuance of two letters of credit in the face amounts of $200 and $50, respectively. These letters of credit were issued as security deposits under two of our operating leases. We paid a quarterly fee of 1.5% per annum on the total amount of the outstanding letters of credit. At the time this facility was terminated, the $200 letter of credit that had been issued under this facility had already been terminated, as discussed below, and the $50 letter of credit that had been issued under this facility was converted to a standalone letter of credit which is secured by a pledged certificate of deposit.</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At December 31, 2010, we had an outstanding letter of credit in the amount of $200. This letter of credit was originally issued in December 2000 as a security deposit under a lease that our Temptronic subsidiary entered into for its facility in Sharon, Massachusetts. This letter of credit expired January 1, 2011 and was renewed for an additional year. The terms of the lease required that the letter of credit be renewed at least thirty days prior to its expiration date for successive terms of not less than one year throughout the entire lease term, which ended February 28, 2011. As a result of the termination of this lease in February 2011, this letter of credit was cancelled effective July 12, 2011.</w:t>
      </w:r>
    </w:p>
    <w:p>
      <w:pPr>
        <w:spacing w:after="0" w:line="170"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At each of September 30, 2011 and December 31, 2010, we had an outstanding letter of credit in the amount of $50. This letter of credit is secured by a pledged certificate of deposit in the amount of $50. This letter of credit was originally issued in September 2004 as a portion of the security deposit under a lease that we entered into for a facility for our Electrical Products operation based in northern California. This letter of credit expires September 13, 2012. The terms of the lease require that the letter of credit be renewed at least thirty days prior to its expiration date for successive terms of not less than one year until June 30, 2012, which is sixty days after the expiration of the lease term.</w:t>
      </w:r>
    </w:p>
    <w:p>
      <w:pPr>
        <w:spacing w:after="0" w:line="170"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At each of September 30, 2011 and December 31, 2010, we had an outstanding letter of credit in the amount of $250. This letter of credit is secured by a pledged certificate of deposit in the amount of $250. This letter of credit was originally issued in April 2010 as a security deposit under a lease that we have entered into for a facility in Mt. Laurel, New Jersey. Our Mechanical Products operation, which was located in Cherry Hill, New Jersey on December 31, 2010, relocated to this smaller facility in Mt. Laurel, New Jersey during the first quarter of 2011. This letter of credit expires April 1, 2012; however, the terms of the lease require that the letter of credit be renewed at least thirty days prior to its expiration date for successive terms of not less than one year throughout the entire lease term, which ends April 30, 2021. Provided that there is no event of default as defined under the terms and conditions of the lease, the required amount of the letter of credit shall decrease to $125 as of the sixty-fourth month of the term of the lease and to $90 as of the one-hundredth month of the term of the lease.</w:t>
      </w:r>
    </w:p>
    <w:p>
      <w:pPr>
        <w:spacing w:after="0" w:line="172" w:lineRule="exact"/>
        <w:rPr>
          <w:sz w:val="20"/>
          <w:szCs w:val="20"/>
          <w:color w:val="auto"/>
        </w:rPr>
      </w:pPr>
    </w:p>
    <w:p>
      <w:pPr>
        <w:ind w:left="540" w:right="80"/>
        <w:spacing w:after="0" w:line="289" w:lineRule="auto"/>
        <w:rPr>
          <w:sz w:val="20"/>
          <w:szCs w:val="20"/>
          <w:color w:val="auto"/>
        </w:rPr>
      </w:pPr>
      <w:r>
        <w:rPr>
          <w:rFonts w:ascii="Arial" w:cs="Arial" w:eastAsia="Arial" w:hAnsi="Arial"/>
          <w:sz w:val="16"/>
          <w:szCs w:val="16"/>
          <w:color w:val="auto"/>
        </w:rPr>
        <w:t>At each of September 30, 2011 and December 31, 2010, we had an outstanding letter of credit in the amount of $200. This letter of credit is secured by a pledged certificate of deposit in the amount of $200. This letter of credit was originally issued in November 2010 as a security deposit under a lease that we have entered into for a facility in Mansfield, Massachusetts. Our Thermal Products operation, which was located in Sharon, Massachusetts on December 31, 2010, relocated to this facility in Mansfield, Massachusetts during the first quarter of 2011. This letter of credit expires November 8, 2011; however, the terms of the lease require that the letter of credit be renewed at least thirty days prior to its expiration date for successive terms of not less than one year throughout the entire lease term, which ends August 23, 2021. Provided that there is no event of default as defined under the terms and conditions of the lease, the required amount of the letter of credit shall decrease to $100 as of the thirty-seventh month of the term of the lease and to $50 as of the sixty-first month of the term of the lease.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LEASEHOLD IMPROVEMENTS AND DEFERRED RENT</w:t>
      </w:r>
    </w:p>
    <w:p>
      <w:pPr>
        <w:spacing w:after="0" w:line="191"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 Amortization of deferred rent for the nine months ended September 30, 2011 and 2010 was $88 and $88, respectively.</w:t>
      </w:r>
    </w:p>
    <w:p>
      <w:pPr>
        <w:sectPr>
          <w:pgSz w:w="11900" w:h="16838" w:orient="portrait"/>
          <w:cols w:equalWidth="0" w:num="1">
            <w:col w:w="11400"/>
          </w:cols>
          <w:pgMar w:left="240" w:top="341" w:right="259" w:bottom="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- 12 -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540" w:right="9440" w:hanging="532"/>
        <w:spacing w:after="0" w:line="577" w:lineRule="auto"/>
        <w:tabs>
          <w:tab w:leader="none" w:pos="29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120"/>
        <w:spacing w:after="0" w:line="268" w:lineRule="auto"/>
        <w:rPr>
          <w:sz w:val="20"/>
          <w:szCs w:val="20"/>
          <w:color w:val="auto"/>
        </w:rPr>
      </w:pPr>
      <w:r>
        <w:rPr>
          <w:rFonts w:ascii="Arial" w:cs="Arial" w:eastAsia="Arial" w:hAnsi="Arial"/>
          <w:sz w:val="18"/>
          <w:szCs w:val="18"/>
          <w:color w:val="auto"/>
        </w:rPr>
        <w:t>Warranty expense for the nine months ended September 30, 2011 and 2010 was $90 and $144, respectively. The following table sets forth the changes in the liability for product warranties for the nine months ended September 30, 2011:</w:t>
      </w:r>
    </w:p>
    <w:p>
      <w:pPr>
        <w:spacing w:after="0" w:line="15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Balance - January 1, 2011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$274</w:t>
            </w:r>
          </w:p>
        </w:tc>
        <w:tc>
          <w:tcPr>
            <w:tcW w:w="40" w:type="dxa"/>
            <w:vAlign w:val="bottom"/>
          </w:tcPr>
          <w:p>
            <w:pPr>
              <w:spacing w:after="0"/>
              <w:rPr>
                <w:sz w:val="19"/>
                <w:szCs w:val="19"/>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Payments made under product warranty</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(133)</w:t>
            </w:r>
          </w:p>
        </w:tc>
      </w:tr>
      <w:tr>
        <w:trPr>
          <w:trHeight w:val="421"/>
        </w:trPr>
        <w:tc>
          <w:tcPr>
            <w:tcW w:w="498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4"/>
                <w:szCs w:val="24"/>
                <w:color w:val="auto"/>
              </w:rPr>
            </w:pPr>
          </w:p>
        </w:tc>
      </w:tr>
      <w:tr>
        <w:trPr>
          <w:trHeight w:val="439"/>
        </w:trPr>
        <w:tc>
          <w:tcPr>
            <w:tcW w:w="4980" w:type="dxa"/>
            <w:vAlign w:val="bottom"/>
          </w:tcPr>
          <w:p>
            <w:pPr>
              <w:spacing w:after="0"/>
              <w:rPr>
                <w:sz w:val="20"/>
                <w:szCs w:val="20"/>
                <w:color w:val="auto"/>
              </w:rPr>
            </w:pPr>
            <w:r>
              <w:rPr>
                <w:rFonts w:ascii="Arial" w:cs="Arial" w:eastAsia="Arial" w:hAnsi="Arial"/>
                <w:sz w:val="18"/>
                <w:szCs w:val="18"/>
                <w:color w:val="auto"/>
              </w:rPr>
              <w:t>Balance - September 30, 2011</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231</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right="260"/>
        <w:spacing w:after="0" w:line="332" w:lineRule="auto"/>
        <w:rPr>
          <w:sz w:val="20"/>
          <w:szCs w:val="20"/>
          <w:color w:val="auto"/>
        </w:rPr>
      </w:pPr>
      <w:r>
        <w:rPr>
          <w:rFonts w:ascii="Arial" w:cs="Arial" w:eastAsia="Arial" w:hAnsi="Arial"/>
          <w:sz w:val="16"/>
          <w:szCs w:val="16"/>
          <w:color w:val="auto"/>
        </w:rPr>
        <w:t>As of September 30, 2011, we have outstanding stock options and unvested restricted stock awards granted under stock-based employee compensation plans that are described more fully in Note 15 to the consolidated financial statements in our 2010 Form 10-K.</w:t>
      </w:r>
    </w:p>
    <w:p>
      <w:pPr>
        <w:spacing w:after="0" w:line="13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September 30, 2011, total compensation expense to be recognized in future periods was $259. The weighted average period over which this expense is expected to be recognized is 2.4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420"/>
        <w:spacing w:after="0" w:line="256" w:lineRule="auto"/>
        <w:rPr>
          <w:sz w:val="20"/>
          <w:szCs w:val="20"/>
          <w:color w:val="auto"/>
        </w:rPr>
      </w:pPr>
      <w:r>
        <w:rPr>
          <w:rFonts w:ascii="Arial" w:cs="Arial" w:eastAsia="Arial" w:hAnsi="Arial"/>
          <w:sz w:val="18"/>
          <w:szCs w:val="18"/>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months and nine months ended September 30, 2011 and 2010, respectively, related to nonvested shares: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80" w:type="dxa"/>
            <w:vAlign w:val="bottom"/>
            <w:gridSpan w:val="11"/>
          </w:tcPr>
          <w:p>
            <w:pPr>
              <w:jc w:val="center"/>
              <w:ind w:left="18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380" w:type="dxa"/>
            <w:vAlign w:val="bottom"/>
            <w:gridSpan w:val="8"/>
          </w:tcPr>
          <w:p>
            <w:pPr>
              <w:jc w:val="center"/>
              <w:spacing w:after="0"/>
              <w:rPr>
                <w:sz w:val="20"/>
                <w:szCs w:val="20"/>
                <w:color w:val="auto"/>
              </w:rPr>
            </w:pPr>
            <w:r>
              <w:rPr>
                <w:rFonts w:ascii="Arial" w:cs="Arial" w:eastAsia="Arial" w:hAnsi="Arial"/>
                <w:sz w:val="14"/>
                <w:szCs w:val="14"/>
                <w:b w:val="1"/>
                <w:bCs w:val="1"/>
                <w:i w:val="1"/>
                <w:iCs w:val="1"/>
                <w:color w:val="auto"/>
                <w:w w:val="87"/>
              </w:rPr>
              <w:t>Nine Months Ended</w:t>
            </w:r>
          </w:p>
        </w:tc>
      </w:tr>
      <w:tr>
        <w:trPr>
          <w:trHeight w:val="146"/>
        </w:trPr>
        <w:tc>
          <w:tcPr>
            <w:tcW w:w="3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3660" w:type="dxa"/>
            <w:vAlign w:val="bottom"/>
          </w:tcPr>
          <w:p>
            <w:pPr>
              <w:spacing w:after="0"/>
              <w:rPr>
                <w:sz w:val="13"/>
                <w:szCs w:val="13"/>
                <w:color w:val="auto"/>
              </w:rPr>
            </w:pPr>
          </w:p>
        </w:tc>
        <w:tc>
          <w:tcPr>
            <w:tcW w:w="960" w:type="dxa"/>
            <w:vAlign w:val="bottom"/>
            <w:gridSpan w:val="5"/>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280" w:type="dxa"/>
            <w:vAlign w:val="bottom"/>
          </w:tcPr>
          <w:p>
            <w:pPr>
              <w:spacing w:after="0"/>
              <w:rPr>
                <w:sz w:val="13"/>
                <w:szCs w:val="13"/>
                <w:color w:val="auto"/>
              </w:rPr>
            </w:pPr>
          </w:p>
        </w:tc>
        <w:tc>
          <w:tcPr>
            <w:tcW w:w="440" w:type="dxa"/>
            <w:vAlign w:val="bottom"/>
            <w:gridSpan w:val="5"/>
          </w:tcPr>
          <w:p>
            <w:pPr>
              <w:jc w:val="right"/>
              <w:ind w:right="120"/>
              <w:spacing w:after="0" w:line="155" w:lineRule="exact"/>
              <w:rPr>
                <w:sz w:val="20"/>
                <w:szCs w:val="20"/>
                <w:color w:val="auto"/>
              </w:rPr>
            </w:pPr>
            <w:r>
              <w:rPr>
                <w:rFonts w:ascii="Arial" w:cs="Arial" w:eastAsia="Arial" w:hAnsi="Arial"/>
                <w:sz w:val="14"/>
                <w:szCs w:val="14"/>
                <w:b w:val="1"/>
                <w:bCs w:val="1"/>
                <w:i w:val="1"/>
                <w:iCs w:val="1"/>
                <w:color w:val="auto"/>
                <w:w w:val="96"/>
              </w:rPr>
              <w:t>2010</w:t>
            </w:r>
          </w:p>
        </w:tc>
        <w:tc>
          <w:tcPr>
            <w:tcW w:w="74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220" w:type="dxa"/>
            <w:vAlign w:val="bottom"/>
          </w:tcPr>
          <w:p>
            <w:pPr>
              <w:spacing w:after="0"/>
              <w:rPr>
                <w:sz w:val="13"/>
                <w:szCs w:val="13"/>
                <w:color w:val="auto"/>
              </w:rPr>
            </w:pPr>
          </w:p>
        </w:tc>
        <w:tc>
          <w:tcPr>
            <w:tcW w:w="42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i w:val="1"/>
                <w:iCs w:val="1"/>
                <w:color w:val="auto"/>
                <w:w w:val="89"/>
              </w:rPr>
              <w:t>2010</w:t>
            </w:r>
          </w:p>
        </w:tc>
      </w:tr>
      <w:tr>
        <w:trPr>
          <w:trHeight w:val="20"/>
        </w:trPr>
        <w:tc>
          <w:tcPr>
            <w:tcW w:w="36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3660" w:type="dxa"/>
            <w:vAlign w:val="bottom"/>
          </w:tcPr>
          <w:p>
            <w:pPr>
              <w:spacing w:after="0"/>
              <w:rPr>
                <w:sz w:val="20"/>
                <w:szCs w:val="20"/>
                <w:color w:val="auto"/>
              </w:rPr>
            </w:pPr>
            <w:r>
              <w:rPr>
                <w:rFonts w:ascii="Arial" w:cs="Arial" w:eastAsia="Arial" w:hAnsi="Arial"/>
                <w:sz w:val="18"/>
                <w:szCs w:val="18"/>
                <w:color w:val="auto"/>
              </w:rPr>
              <w:t>Cost of revenues</w:t>
            </w:r>
          </w:p>
        </w:tc>
        <w:tc>
          <w:tcPr>
            <w:tcW w:w="580" w:type="dxa"/>
            <w:vAlign w:val="bottom"/>
            <w:gridSpan w:val="2"/>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  3</w:t>
            </w:r>
          </w:p>
        </w:tc>
        <w:tc>
          <w:tcPr>
            <w:tcW w:w="280" w:type="dxa"/>
            <w:vAlign w:val="bottom"/>
          </w:tcPr>
          <w:p>
            <w:pPr>
              <w:spacing w:after="0"/>
              <w:rPr>
                <w:sz w:val="20"/>
                <w:szCs w:val="20"/>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  3</w:t>
            </w:r>
          </w:p>
        </w:tc>
        <w:tc>
          <w:tcPr>
            <w:tcW w:w="960" w:type="dxa"/>
            <w:vAlign w:val="bottom"/>
            <w:gridSpan w:val="5"/>
          </w:tcPr>
          <w:p>
            <w:pPr>
              <w:jc w:val="right"/>
              <w:ind w:right="220"/>
              <w:spacing w:after="0"/>
              <w:rPr>
                <w:sz w:val="20"/>
                <w:szCs w:val="20"/>
                <w:color w:val="auto"/>
              </w:rPr>
            </w:pPr>
            <w:r>
              <w:rPr>
                <w:rFonts w:ascii="Arial" w:cs="Arial" w:eastAsia="Arial" w:hAnsi="Arial"/>
                <w:sz w:val="18"/>
                <w:szCs w:val="18"/>
                <w:color w:val="auto"/>
              </w:rPr>
              <w:t>$   9</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8</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Selling expense</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960" w:type="dxa"/>
            <w:vAlign w:val="bottom"/>
            <w:gridSpan w:val="5"/>
          </w:tcPr>
          <w:p>
            <w:pPr>
              <w:jc w:val="right"/>
              <w:ind w:right="220"/>
              <w:spacing w:after="0"/>
              <w:rPr>
                <w:sz w:val="20"/>
                <w:szCs w:val="20"/>
                <w:color w:val="auto"/>
              </w:rPr>
            </w:pPr>
            <w:r>
              <w:rPr>
                <w:rFonts w:ascii="Arial" w:cs="Arial" w:eastAsia="Arial" w:hAnsi="Arial"/>
                <w:sz w:val="18"/>
                <w:szCs w:val="18"/>
                <w:color w:val="auto"/>
              </w:rPr>
              <w:t>13</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w w:val="96"/>
              </w:rPr>
              <w:t>Engineering and product development expense</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960" w:type="dxa"/>
            <w:vAlign w:val="bottom"/>
            <w:gridSpan w:val="5"/>
          </w:tcPr>
          <w:p>
            <w:pPr>
              <w:jc w:val="right"/>
              <w:ind w:right="220"/>
              <w:spacing w:after="0"/>
              <w:rPr>
                <w:sz w:val="20"/>
                <w:szCs w:val="20"/>
                <w:color w:val="auto"/>
              </w:rPr>
            </w:pPr>
            <w:r>
              <w:rPr>
                <w:rFonts w:ascii="Arial" w:cs="Arial" w:eastAsia="Arial" w:hAnsi="Arial"/>
                <w:sz w:val="18"/>
                <w:szCs w:val="18"/>
                <w:color w:val="auto"/>
              </w:rPr>
              <w:t>34</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421"/>
        </w:trPr>
        <w:tc>
          <w:tcPr>
            <w:tcW w:w="36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00" w:type="dxa"/>
            <w:vAlign w:val="bottom"/>
            <w:gridSpan w:val="3"/>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116</w:t>
            </w:r>
          </w:p>
        </w:tc>
      </w:tr>
      <w:tr>
        <w:trPr>
          <w:trHeight w:val="439"/>
        </w:trPr>
        <w:tc>
          <w:tcPr>
            <w:tcW w:w="3660" w:type="dxa"/>
            <w:vAlign w:val="bottom"/>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w:t>
            </w:r>
          </w:p>
        </w:tc>
        <w:tc>
          <w:tcPr>
            <w:tcW w:w="960" w:type="dxa"/>
            <w:vAlign w:val="bottom"/>
            <w:gridSpan w:val="5"/>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w:t>
            </w:r>
          </w:p>
        </w:tc>
        <w:tc>
          <w:tcPr>
            <w:tcW w:w="4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166</w:t>
            </w:r>
          </w:p>
        </w:tc>
      </w:tr>
      <w:tr>
        <w:trPr>
          <w:trHeight w:val="20"/>
        </w:trPr>
        <w:tc>
          <w:tcPr>
            <w:tcW w:w="3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nine months ended September 30, 2011 or 2010.</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nine months ended September 30, 2011:</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Grant Date</w:t>
            </w:r>
          </w:p>
        </w:tc>
      </w:tr>
      <w:tr>
        <w:trPr>
          <w:trHeight w:val="146"/>
        </w:trPr>
        <w:tc>
          <w:tcPr>
            <w:tcW w:w="4620" w:type="dxa"/>
            <w:vAlign w:val="bottom"/>
          </w:tcPr>
          <w:p>
            <w:pPr>
              <w:spacing w:after="0"/>
              <w:rPr>
                <w:sz w:val="12"/>
                <w:szCs w:val="12"/>
                <w:color w:val="auto"/>
              </w:rPr>
            </w:pPr>
          </w:p>
        </w:tc>
        <w:tc>
          <w:tcPr>
            <w:tcW w:w="760" w:type="dxa"/>
            <w:vAlign w:val="bottom"/>
            <w:gridSpan w:val="4"/>
          </w:tcPr>
          <w:p>
            <w:pPr>
              <w:jc w:val="right"/>
              <w:ind w:right="200"/>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46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620" w:type="dxa"/>
            <w:vAlign w:val="bottom"/>
          </w:tcPr>
          <w:p>
            <w:pPr>
              <w:spacing w:after="0"/>
              <w:rPr>
                <w:sz w:val="20"/>
                <w:szCs w:val="20"/>
                <w:color w:val="auto"/>
              </w:rPr>
            </w:pPr>
            <w:r>
              <w:rPr>
                <w:rFonts w:ascii="Arial" w:cs="Arial" w:eastAsia="Arial" w:hAnsi="Arial"/>
                <w:sz w:val="18"/>
                <w:szCs w:val="18"/>
                <w:color w:val="auto"/>
              </w:rPr>
              <w:t>Nonvested shares outstanding, January 1, 2011</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303,250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0"/>
                <w:szCs w:val="20"/>
                <w:color w:val="auto"/>
              </w:rPr>
            </w:pPr>
          </w:p>
        </w:tc>
      </w:tr>
      <w:tr>
        <w:trPr>
          <w:trHeight w:val="459"/>
        </w:trPr>
        <w:tc>
          <w:tcPr>
            <w:tcW w:w="4620" w:type="dxa"/>
            <w:vAlign w:val="bottom"/>
          </w:tcPr>
          <w:p>
            <w:pPr>
              <w:ind w:left="140"/>
              <w:spacing w:after="0"/>
              <w:rPr>
                <w:sz w:val="20"/>
                <w:szCs w:val="20"/>
                <w:color w:val="auto"/>
              </w:rPr>
            </w:pPr>
            <w:r>
              <w:rPr>
                <w:rFonts w:ascii="Arial" w:cs="Arial" w:eastAsia="Arial" w:hAnsi="Arial"/>
                <w:sz w:val="18"/>
                <w:szCs w:val="18"/>
                <w:color w:val="auto"/>
              </w:rPr>
              <w:t>Granted</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59"/>
        </w:trPr>
        <w:tc>
          <w:tcPr>
            <w:tcW w:w="4620" w:type="dxa"/>
            <w:vAlign w:val="bottom"/>
          </w:tcPr>
          <w:p>
            <w:pPr>
              <w:ind w:left="140"/>
              <w:spacing w:after="0"/>
              <w:rPr>
                <w:sz w:val="20"/>
                <w:szCs w:val="20"/>
                <w:color w:val="auto"/>
              </w:rPr>
            </w:pPr>
            <w:r>
              <w:rPr>
                <w:rFonts w:ascii="Arial" w:cs="Arial" w:eastAsia="Arial" w:hAnsi="Arial"/>
                <w:sz w:val="18"/>
                <w:szCs w:val="18"/>
                <w:color w:val="auto"/>
              </w:rPr>
              <w:t>Vested</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(97,000)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4"/>
                <w:szCs w:val="24"/>
                <w:color w:val="auto"/>
              </w:rPr>
            </w:pPr>
          </w:p>
        </w:tc>
      </w:tr>
      <w:tr>
        <w:trPr>
          <w:trHeight w:val="421"/>
        </w:trPr>
        <w:tc>
          <w:tcPr>
            <w:tcW w:w="46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(11,250)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4"/>
                <w:szCs w:val="24"/>
                <w:color w:val="auto"/>
              </w:rPr>
            </w:pPr>
          </w:p>
        </w:tc>
      </w:tr>
      <w:tr>
        <w:trPr>
          <w:trHeight w:val="439"/>
        </w:trPr>
        <w:tc>
          <w:tcPr>
            <w:tcW w:w="4620" w:type="dxa"/>
            <w:vAlign w:val="bottom"/>
          </w:tcPr>
          <w:p>
            <w:pPr>
              <w:spacing w:after="0"/>
              <w:rPr>
                <w:sz w:val="20"/>
                <w:szCs w:val="20"/>
                <w:color w:val="auto"/>
              </w:rPr>
            </w:pPr>
            <w:r>
              <w:rPr>
                <w:rFonts w:ascii="Arial" w:cs="Arial" w:eastAsia="Arial" w:hAnsi="Arial"/>
                <w:sz w:val="18"/>
                <w:szCs w:val="18"/>
                <w:color w:val="auto"/>
              </w:rPr>
              <w:t>Nonvested shares outstanding, September 30, 2011</w:t>
            </w: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195,000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4"/>
                <w:szCs w:val="24"/>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00"/>
          </w:cols>
          <w:pgMar w:left="240" w:top="131" w:right="259" w:bottom="0" w:gutter="0" w:footer="0" w:header="0"/>
        </w:sectPr>
      </w:pPr>
    </w:p>
    <w:bookmarkStart w:id="11" w:name="page12"/>
    <w:bookmarkEnd w:id="11"/>
    <w:p>
      <w:pPr>
        <w:spacing w:after="0" w:line="62" w:lineRule="exact"/>
        <w:rPr>
          <w:sz w:val="20"/>
          <w:szCs w:val="20"/>
          <w:color w:val="auto"/>
        </w:rPr>
      </w:pPr>
    </w:p>
    <w:p>
      <w:pPr>
        <w:ind w:left="540" w:right="7420" w:hanging="532"/>
        <w:spacing w:after="0" w:line="478" w:lineRule="auto"/>
        <w:tabs>
          <w:tab w:leader="none" w:pos="3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Stock Options</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2011:</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800" w:type="dxa"/>
            <w:vAlign w:val="bottom"/>
          </w:tcPr>
          <w:p>
            <w:pPr>
              <w:spacing w:after="0"/>
              <w:rPr>
                <w:sz w:val="12"/>
                <w:szCs w:val="12"/>
                <w:color w:val="auto"/>
              </w:rPr>
            </w:pPr>
          </w:p>
        </w:tc>
        <w:tc>
          <w:tcPr>
            <w:tcW w:w="8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6"/>
        </w:trPr>
        <w:tc>
          <w:tcPr>
            <w:tcW w:w="4800" w:type="dxa"/>
            <w:vAlign w:val="bottom"/>
          </w:tcPr>
          <w:p>
            <w:pPr>
              <w:spacing w:after="0"/>
              <w:rPr>
                <w:sz w:val="12"/>
                <w:szCs w:val="12"/>
                <w:color w:val="auto"/>
              </w:rPr>
            </w:pPr>
          </w:p>
        </w:tc>
        <w:tc>
          <w:tcPr>
            <w:tcW w:w="54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280" w:type="dxa"/>
            <w:vAlign w:val="bottom"/>
            <w:gridSpan w:val="2"/>
          </w:tcPr>
          <w:p>
            <w:pPr>
              <w:spacing w:after="0"/>
              <w:rPr>
                <w:sz w:val="12"/>
                <w:szCs w:val="12"/>
                <w:color w:val="auto"/>
              </w:rPr>
            </w:pPr>
          </w:p>
        </w:tc>
        <w:tc>
          <w:tcPr>
            <w:tcW w:w="8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Exercise Price</w:t>
            </w: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Options outstanding, January 1, 2011 (337,000 exercisable)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337,000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459"/>
        </w:trPr>
        <w:tc>
          <w:tcPr>
            <w:tcW w:w="4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80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w w:val="98"/>
              </w:rPr>
              <w:t>(10,000)</w:t>
            </w: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421"/>
        </w:trPr>
        <w:tc>
          <w:tcPr>
            <w:tcW w:w="480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10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4800" w:type="dxa"/>
            <w:vAlign w:val="bottom"/>
          </w:tcPr>
          <w:p>
            <w:pPr>
              <w:spacing w:after="0"/>
              <w:rPr>
                <w:sz w:val="20"/>
                <w:szCs w:val="20"/>
                <w:color w:val="auto"/>
              </w:rPr>
            </w:pPr>
            <w:r>
              <w:rPr>
                <w:rFonts w:ascii="Arial" w:cs="Arial" w:eastAsia="Arial" w:hAnsi="Arial"/>
                <w:sz w:val="18"/>
                <w:szCs w:val="18"/>
                <w:color w:val="auto"/>
                <w:w w:val="93"/>
              </w:rPr>
              <w:t>Options outstanding, September 30, 2011 (327,000 exercisable)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327,000</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48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91"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We have a defined contribution 401(k) plan (the "inTEST 401(k) Plan") for our employees who work in the U.S. As a part of this plan, we may match a portion of employee contributions. This plan, including our discretionary employer matching contributions, is more fully discussed in Note 16 to the consolidated financial statements in our 2010 Form 10-K. Effective April 1, 2010, we restored the 401(k) Plan discretionary matching contribution for all domestic employees which had been eliminated for most of these employees at the beginning of 2009.</w:t>
      </w:r>
    </w:p>
    <w:p>
      <w:pPr>
        <w:spacing w:after="0" w:line="167"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In addition to the employer matching contributions for which employees of our Temptronic subsidiary are eligible, upon the termination of the Temptronic Equity Participation Plan ("EPP"), we acknowledged that it was our intention to contribute $3,000 in the aggregate to the inTEST 401(k) Plan as a form of profit sharing (not to exceed $300 per year) for the benefit of Temptronic employees. The amount of these profit sharing contributions approximates the amount that we had been committed to contribute to the EPP as of its termination date. All such profit sharing contributions are at the discretion of management, and will be allocated to employees annually in essentially the same manner in which the shares held by the EPP had been allocated. The vesting provisions for these contributions are the same as those of the inTEST 401(k) Plan. Effective January 1, 2009, we temporarily suspended profit sharing contributions due to operating losses being incurred by Temptronic. Effective April 1, 2010, profit sharing contributions were reinstated. Accruals for profit sharing contributions totaling $225 and $150 were made during the nine months ended September 30, 2011 and 2010, respectively. Through September 30, 2011, we had made a total of $1,778 in profit sharing contributions. We have historically funded these obligations through the use of treasury shares during the quarter subsequent to the quarter in which we record the profit sharing liability, although management has the discretion to use cash to fund these obligations. Our current intention is to use cash to fund these obligations when our stock price is below $3.00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We have three reportable segments, which are also our reporting units: Mechanical Products, Thermal Products and Electrical Products. 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7" w:lineRule="exact"/>
        <w:rPr>
          <w:sz w:val="20"/>
          <w:szCs w:val="20"/>
          <w:color w:val="auto"/>
        </w:rPr>
      </w:pPr>
    </w:p>
    <w:p>
      <w:pPr>
        <w:jc w:val="both"/>
        <w:ind w:left="540" w:right="24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Sigma Systems Corp., Temptronic GmbH (Germany), and inTEST Pte, Limited (Singapore). Sales of this segment consist primarily of temperature management systems which we design, manufacture and market under our Temptronic and Sigma Systems product lines. In addition, this segment provides post warranty service and support.</w:t>
      </w:r>
    </w:p>
    <w:p>
      <w:pPr>
        <w:spacing w:after="0" w:line="161"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80"/>
        <w:spacing w:after="0" w:line="259" w:lineRule="auto"/>
        <w:rPr>
          <w:sz w:val="20"/>
          <w:szCs w:val="20"/>
          <w:color w:val="auto"/>
        </w:rPr>
      </w:pPr>
      <w:r>
        <w:rPr>
          <w:rFonts w:ascii="Arial" w:cs="Arial" w:eastAsia="Arial" w:hAnsi="Arial"/>
          <w:sz w:val="18"/>
          <w:szCs w:val="18"/>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aerospace,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automotive, communications, consumer electronics, defense and medical industries. Intercompany pricing between segments is either a multiple of cost for component parts or list price for finished goods.</w:t>
      </w:r>
    </w:p>
    <w:p>
      <w:pPr>
        <w:sectPr>
          <w:pgSz w:w="11900" w:h="16900"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8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5"/>
          </w:tcPr>
          <w:p>
            <w:pPr>
              <w:jc w:val="center"/>
              <w:ind w:right="38"/>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800" w:type="dxa"/>
            <w:vAlign w:val="bottom"/>
            <w:gridSpan w:val="6"/>
          </w:tcPr>
          <w:p>
            <w:pPr>
              <w:jc w:val="center"/>
              <w:ind w:left="232"/>
              <w:spacing w:after="0"/>
              <w:rPr>
                <w:sz w:val="20"/>
                <w:szCs w:val="20"/>
                <w:color w:val="auto"/>
              </w:rPr>
            </w:pPr>
            <w:r>
              <w:rPr>
                <w:rFonts w:ascii="Arial" w:cs="Arial" w:eastAsia="Arial" w:hAnsi="Arial"/>
                <w:sz w:val="14"/>
                <w:szCs w:val="14"/>
                <w:b w:val="1"/>
                <w:bCs w:val="1"/>
                <w:i w:val="1"/>
                <w:iCs w:val="1"/>
                <w:color w:val="auto"/>
                <w:w w:val="87"/>
              </w:rPr>
              <w:t>Nine Months Ended</w:t>
            </w:r>
          </w:p>
        </w:tc>
      </w:tr>
      <w:tr>
        <w:trPr>
          <w:trHeight w:val="146"/>
        </w:trPr>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79"/>
              </w:rPr>
              <w:t>Sept. 30,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6"/>
        </w:trPr>
        <w:tc>
          <w:tcPr>
            <w:tcW w:w="200" w:type="dxa"/>
            <w:vAlign w:val="bottom"/>
            <w:gridSpan w:val="2"/>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6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b w:val="1"/>
                <w:bCs w:val="1"/>
                <w:i w:val="1"/>
                <w:iCs w:val="1"/>
                <w:color w:val="auto"/>
                <w:w w:val="74"/>
              </w:rPr>
              <w:t>2010</w:t>
            </w:r>
          </w:p>
        </w:tc>
        <w:tc>
          <w:tcPr>
            <w:tcW w:w="1500" w:type="dxa"/>
            <w:vAlign w:val="bottom"/>
            <w:gridSpan w:val="4"/>
          </w:tcPr>
          <w:p>
            <w:pPr>
              <w:jc w:val="right"/>
              <w:ind w:right="60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9"/>
              </w:rPr>
              <w:t>2010</w:t>
            </w:r>
          </w:p>
        </w:tc>
      </w:tr>
      <w:tr>
        <w:trPr>
          <w:trHeight w:val="20"/>
        </w:trPr>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-213995</wp:posOffset>
            </wp:positionV>
            <wp:extent cx="21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90" cy="8890"/>
                    </a:xfrm>
                    <a:prstGeom prst="rect">
                      <a:avLst/>
                    </a:prstGeom>
                    <a:noFill/>
                  </pic:spPr>
                </pic:pic>
              </a:graphicData>
            </a:graphic>
          </wp:anchor>
        </w:drawing>
      </w:r>
    </w:p>
    <w:p>
      <w:pPr>
        <w:spacing w:after="0" w:line="215" w:lineRule="exact"/>
        <w:rPr>
          <w:sz w:val="20"/>
          <w:szCs w:val="20"/>
          <w:color w:val="auto"/>
        </w:rPr>
      </w:pPr>
    </w:p>
    <w:p>
      <w:pPr>
        <w:sectPr>
          <w:pgSz w:w="11900" w:h="16900" w:orient="portrait"/>
          <w:cols w:equalWidth="0" w:num="2">
            <w:col w:w="4240" w:space="720"/>
            <w:col w:w="6440"/>
          </w:cols>
          <w:pgMar w:left="240" w:top="125" w:right="25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Mechanical Products</w:t>
            </w:r>
          </w:p>
        </w:tc>
        <w:tc>
          <w:tcPr>
            <w:tcW w:w="2160" w:type="dxa"/>
            <w:vAlign w:val="bottom"/>
            <w:gridSpan w:val="3"/>
          </w:tcPr>
          <w:p>
            <w:pPr>
              <w:jc w:val="right"/>
              <w:ind w:right="140"/>
              <w:spacing w:after="0"/>
              <w:rPr>
                <w:sz w:val="20"/>
                <w:szCs w:val="20"/>
                <w:color w:val="auto"/>
              </w:rPr>
            </w:pPr>
            <w:r>
              <w:rPr>
                <w:rFonts w:ascii="Arial" w:cs="Arial" w:eastAsia="Arial" w:hAnsi="Arial"/>
                <w:sz w:val="18"/>
                <w:szCs w:val="18"/>
                <w:color w:val="auto"/>
              </w:rPr>
              <w:t>$ 3,172</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$ 3,952</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$13,299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$16,486</w:t>
            </w:r>
          </w:p>
        </w:tc>
      </w:tr>
      <w:tr>
        <w:trPr>
          <w:trHeight w:val="459"/>
        </w:trPr>
        <w:tc>
          <w:tcPr>
            <w:tcW w:w="2940" w:type="dxa"/>
            <w:vAlign w:val="bottom"/>
          </w:tcPr>
          <w:p>
            <w:pPr>
              <w:spacing w:after="0"/>
              <w:rPr>
                <w:sz w:val="20"/>
                <w:szCs w:val="20"/>
                <w:color w:val="auto"/>
              </w:rPr>
            </w:pPr>
            <w:r>
              <w:rPr>
                <w:rFonts w:ascii="Arial" w:cs="Arial" w:eastAsia="Arial" w:hAnsi="Arial"/>
                <w:sz w:val="18"/>
                <w:szCs w:val="18"/>
                <w:color w:val="auto"/>
              </w:rPr>
              <w:t>Thermal Products</w:t>
            </w:r>
          </w:p>
        </w:tc>
        <w:tc>
          <w:tcPr>
            <w:tcW w:w="2160" w:type="dxa"/>
            <w:vAlign w:val="bottom"/>
            <w:gridSpan w:val="3"/>
          </w:tcPr>
          <w:p>
            <w:pPr>
              <w:jc w:val="right"/>
              <w:ind w:right="140"/>
              <w:spacing w:after="0"/>
              <w:rPr>
                <w:sz w:val="20"/>
                <w:szCs w:val="20"/>
                <w:color w:val="auto"/>
              </w:rPr>
            </w:pPr>
            <w:r>
              <w:rPr>
                <w:rFonts w:ascii="Arial" w:cs="Arial" w:eastAsia="Arial" w:hAnsi="Arial"/>
                <w:sz w:val="18"/>
                <w:szCs w:val="18"/>
                <w:color w:val="auto"/>
              </w:rPr>
              <w:t>7,572</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4,830</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19,593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13,068</w:t>
            </w:r>
          </w:p>
        </w:tc>
      </w:tr>
      <w:tr>
        <w:trPr>
          <w:trHeight w:val="459"/>
        </w:trPr>
        <w:tc>
          <w:tcPr>
            <w:tcW w:w="2940" w:type="dxa"/>
            <w:vAlign w:val="bottom"/>
          </w:tcPr>
          <w:p>
            <w:pPr>
              <w:spacing w:after="0"/>
              <w:rPr>
                <w:sz w:val="20"/>
                <w:szCs w:val="20"/>
                <w:color w:val="auto"/>
              </w:rPr>
            </w:pPr>
            <w:r>
              <w:rPr>
                <w:rFonts w:ascii="Arial" w:cs="Arial" w:eastAsia="Arial" w:hAnsi="Arial"/>
                <w:sz w:val="18"/>
                <w:szCs w:val="18"/>
                <w:color w:val="auto"/>
              </w:rPr>
              <w:t>Electrical Products</w:t>
            </w:r>
          </w:p>
        </w:tc>
        <w:tc>
          <w:tcPr>
            <w:tcW w:w="2160" w:type="dxa"/>
            <w:vAlign w:val="bottom"/>
            <w:gridSpan w:val="3"/>
          </w:tcPr>
          <w:p>
            <w:pPr>
              <w:jc w:val="right"/>
              <w:ind w:right="140"/>
              <w:spacing w:after="0"/>
              <w:rPr>
                <w:sz w:val="20"/>
                <w:szCs w:val="20"/>
                <w:color w:val="auto"/>
              </w:rPr>
            </w:pPr>
            <w:r>
              <w:rPr>
                <w:rFonts w:ascii="Arial" w:cs="Arial" w:eastAsia="Arial" w:hAnsi="Arial"/>
                <w:sz w:val="18"/>
                <w:szCs w:val="18"/>
                <w:color w:val="auto"/>
              </w:rPr>
              <w:t>941</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2,552</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4,327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6,590</w:t>
            </w:r>
          </w:p>
        </w:tc>
      </w:tr>
      <w:tr>
        <w:trPr>
          <w:trHeight w:val="421"/>
        </w:trPr>
        <w:tc>
          <w:tcPr>
            <w:tcW w:w="2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(29)</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900" w:orient="portrait"/>
          <w:cols w:equalWidth="0" w:num="1">
            <w:col w:w="11400"/>
          </w:cols>
          <w:pgMar w:left="240" w:top="125" w:right="259" w:bottom="0" w:gutter="0" w:footer="0" w:header="0"/>
          <w:type w:val="continuous"/>
        </w:sectPr>
      </w:pPr>
    </w:p>
    <w:bookmarkStart w:id="12" w:name="page13"/>
    <w:bookmarkEnd w:id="1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400" w:type="dxa"/>
            <w:vAlign w:val="bottom"/>
          </w:tcPr>
          <w:p>
            <w:pPr>
              <w:spacing w:after="0"/>
              <w:rPr>
                <w:sz w:val="20"/>
                <w:szCs w:val="20"/>
                <w:color w:val="auto"/>
              </w:rPr>
            </w:pPr>
            <w:r>
              <w:rPr>
                <w:rFonts w:ascii="Arial" w:cs="Arial" w:eastAsia="Arial" w:hAnsi="Arial"/>
                <w:sz w:val="18"/>
                <w:szCs w:val="18"/>
                <w:color w:val="auto"/>
              </w:rPr>
              <w:t>Intersegment sales</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92"/>
        </w:trPr>
        <w:tc>
          <w:tcPr>
            <w:tcW w:w="440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11,681</w:t>
            </w:r>
          </w:p>
        </w:tc>
        <w:tc>
          <w:tcPr>
            <w:tcW w:w="28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11,305</w:t>
            </w:r>
          </w:p>
        </w:tc>
        <w:tc>
          <w:tcPr>
            <w:tcW w:w="320" w:type="dxa"/>
            <w:vAlign w:val="bottom"/>
          </w:tcPr>
          <w:p>
            <w:pPr>
              <w:spacing w:after="0"/>
              <w:rPr>
                <w:sz w:val="24"/>
                <w:szCs w:val="24"/>
                <w:color w:val="auto"/>
              </w:rPr>
            </w:pPr>
          </w:p>
        </w:tc>
        <w:tc>
          <w:tcPr>
            <w:tcW w:w="56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37,185</w:t>
            </w:r>
          </w:p>
        </w:tc>
        <w:tc>
          <w:tcPr>
            <w:tcW w:w="3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36,094</w:t>
            </w:r>
          </w:p>
        </w:tc>
        <w:tc>
          <w:tcPr>
            <w:tcW w:w="40" w:type="dxa"/>
            <w:vAlign w:val="bottom"/>
          </w:tcPr>
          <w:p>
            <w:pPr>
              <w:spacing w:after="0"/>
              <w:rPr>
                <w:sz w:val="24"/>
                <w:szCs w:val="24"/>
                <w:color w:val="auto"/>
              </w:rPr>
            </w:pPr>
          </w:p>
        </w:tc>
      </w:tr>
      <w:tr>
        <w:trPr>
          <w:trHeight w:val="410"/>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Mechanical Products</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320" w:type="dxa"/>
            <w:vAlign w:val="bottom"/>
            <w:gridSpan w:val="5"/>
          </w:tcPr>
          <w:p>
            <w:pPr>
              <w:ind w:left="22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Thermal Products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421"/>
        </w:trPr>
        <w:tc>
          <w:tcPr>
            <w:tcW w:w="4400" w:type="dxa"/>
            <w:vAlign w:val="bottom"/>
          </w:tcPr>
          <w:p>
            <w:pPr>
              <w:spacing w:after="0"/>
              <w:rPr>
                <w:sz w:val="20"/>
                <w:szCs w:val="20"/>
                <w:color w:val="auto"/>
              </w:rPr>
            </w:pPr>
            <w:r>
              <w:rPr>
                <w:rFonts w:ascii="Arial" w:cs="Arial" w:eastAsia="Arial" w:hAnsi="Arial"/>
                <w:sz w:val="18"/>
                <w:szCs w:val="18"/>
                <w:color w:val="auto"/>
              </w:rPr>
              <w:t>Electrical Products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41</w:t>
            </w:r>
          </w:p>
        </w:tc>
        <w:tc>
          <w:tcPr>
            <w:tcW w:w="40" w:type="dxa"/>
            <w:vAlign w:val="bottom"/>
          </w:tcPr>
          <w:p>
            <w:pPr>
              <w:spacing w:after="0"/>
              <w:rPr>
                <w:sz w:val="24"/>
                <w:szCs w:val="24"/>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0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$ 29</w:t>
            </w:r>
          </w:p>
        </w:tc>
        <w:tc>
          <w:tcPr>
            <w:tcW w:w="320" w:type="dxa"/>
            <w:vAlign w:val="bottom"/>
          </w:tcPr>
          <w:p>
            <w:pPr>
              <w:spacing w:after="0"/>
              <w:rPr>
                <w:sz w:val="24"/>
                <w:szCs w:val="24"/>
                <w:color w:val="auto"/>
              </w:rPr>
            </w:pPr>
          </w:p>
        </w:tc>
        <w:tc>
          <w:tcPr>
            <w:tcW w:w="32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50</w:t>
            </w:r>
          </w:p>
        </w:tc>
        <w:tc>
          <w:tcPr>
            <w:tcW w:w="40" w:type="dxa"/>
            <w:vAlign w:val="bottom"/>
          </w:tcPr>
          <w:p>
            <w:pPr>
              <w:spacing w:after="0"/>
              <w:rPr>
                <w:sz w:val="24"/>
                <w:szCs w:val="24"/>
                <w:color w:val="auto"/>
              </w:rPr>
            </w:pPr>
          </w:p>
        </w:tc>
      </w:tr>
      <w:tr>
        <w:trPr>
          <w:trHeight w:val="410"/>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218</w:t>
            </w:r>
          </w:p>
        </w:tc>
        <w:tc>
          <w:tcPr>
            <w:tcW w:w="28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277</w:t>
            </w: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$1,330</w:t>
            </w:r>
          </w:p>
        </w:tc>
        <w:tc>
          <w:tcPr>
            <w:tcW w:w="3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$3,191</w:t>
            </w:r>
          </w:p>
        </w:tc>
        <w:tc>
          <w:tcPr>
            <w:tcW w:w="40" w:type="dxa"/>
            <w:vAlign w:val="bottom"/>
          </w:tcPr>
          <w:p>
            <w:pPr>
              <w:spacing w:after="0"/>
              <w:rPr>
                <w:sz w:val="24"/>
                <w:szCs w:val="24"/>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Thermal Products</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2,346</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624</w:t>
            </w: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4,939</w:t>
            </w:r>
          </w:p>
        </w:tc>
        <w:tc>
          <w:tcPr>
            <w:tcW w:w="3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1,123</w:t>
            </w:r>
          </w:p>
        </w:tc>
        <w:tc>
          <w:tcPr>
            <w:tcW w:w="40" w:type="dxa"/>
            <w:vAlign w:val="bottom"/>
          </w:tcPr>
          <w:p>
            <w:pPr>
              <w:spacing w:after="0"/>
              <w:rPr>
                <w:sz w:val="24"/>
                <w:szCs w:val="24"/>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Electrical Products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791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615</w:t>
            </w:r>
          </w:p>
        </w:tc>
        <w:tc>
          <w:tcPr>
            <w:tcW w:w="3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1,916</w:t>
            </w:r>
          </w:p>
        </w:tc>
        <w:tc>
          <w:tcPr>
            <w:tcW w:w="40" w:type="dxa"/>
            <w:vAlign w:val="bottom"/>
          </w:tcPr>
          <w:p>
            <w:pPr>
              <w:spacing w:after="0"/>
              <w:rPr>
                <w:sz w:val="24"/>
                <w:szCs w:val="24"/>
                <w:color w:val="auto"/>
              </w:rPr>
            </w:pPr>
          </w:p>
        </w:tc>
      </w:tr>
      <w:tr>
        <w:trPr>
          <w:trHeight w:val="421"/>
        </w:trPr>
        <w:tc>
          <w:tcPr>
            <w:tcW w:w="440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7"/>
          </w:tcPr>
          <w:p>
            <w:pPr>
              <w:ind w:left="240"/>
              <w:spacing w:after="0"/>
              <w:rPr>
                <w:sz w:val="20"/>
                <w:szCs w:val="20"/>
                <w:color w:val="auto"/>
              </w:rPr>
            </w:pPr>
            <w:r>
              <w:rPr>
                <w:rFonts w:ascii="Arial" w:cs="Arial" w:eastAsia="Arial" w:hAnsi="Arial"/>
                <w:sz w:val="18"/>
                <w:szCs w:val="18"/>
                <w:color w:val="auto"/>
              </w:rPr>
              <w:t>(414)</w:t>
            </w:r>
          </w:p>
        </w:tc>
        <w:tc>
          <w:tcPr>
            <w:tcW w:w="600" w:type="dxa"/>
            <w:vAlign w:val="bottom"/>
            <w:gridSpan w:val="6"/>
          </w:tcPr>
          <w:p>
            <w:pPr>
              <w:ind w:left="220"/>
              <w:spacing w:after="0"/>
              <w:rPr>
                <w:sz w:val="20"/>
                <w:szCs w:val="20"/>
                <w:color w:val="auto"/>
              </w:rPr>
            </w:pPr>
            <w:r>
              <w:rPr>
                <w:rFonts w:ascii="Arial" w:cs="Arial" w:eastAsia="Arial" w:hAnsi="Arial"/>
                <w:sz w:val="18"/>
                <w:szCs w:val="18"/>
                <w:color w:val="auto"/>
                <w:w w:val="85"/>
              </w:rPr>
              <w:t>(255)</w:t>
            </w: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0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2,420</w:t>
            </w:r>
          </w:p>
        </w:tc>
        <w:tc>
          <w:tcPr>
            <w:tcW w:w="280" w:type="dxa"/>
            <w:vAlign w:val="bottom"/>
          </w:tcPr>
          <w:p>
            <w:pPr>
              <w:spacing w:after="0"/>
              <w:rPr>
                <w:sz w:val="24"/>
                <w:szCs w:val="24"/>
                <w:color w:val="auto"/>
              </w:rPr>
            </w:pPr>
          </w:p>
        </w:tc>
        <w:tc>
          <w:tcPr>
            <w:tcW w:w="880" w:type="dxa"/>
            <w:vAlign w:val="bottom"/>
            <w:gridSpan w:val="6"/>
          </w:tcPr>
          <w:p>
            <w:pPr>
              <w:jc w:val="right"/>
              <w:ind w:right="3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1,694</w:t>
            </w:r>
          </w:p>
        </w:tc>
        <w:tc>
          <w:tcPr>
            <w:tcW w:w="56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6,470</w:t>
            </w:r>
          </w:p>
        </w:tc>
        <w:tc>
          <w:tcPr>
            <w:tcW w:w="3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5,975</w:t>
            </w:r>
          </w:p>
        </w:tc>
        <w:tc>
          <w:tcPr>
            <w:tcW w:w="40" w:type="dxa"/>
            <w:vAlign w:val="bottom"/>
          </w:tcPr>
          <w:p>
            <w:pPr>
              <w:spacing w:after="0"/>
              <w:rPr>
                <w:sz w:val="24"/>
                <w:szCs w:val="24"/>
                <w:color w:val="auto"/>
              </w:rPr>
            </w:pPr>
          </w:p>
        </w:tc>
      </w:tr>
      <w:tr>
        <w:trPr>
          <w:trHeight w:val="410"/>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Mechanical Products</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8"/>
              </w:rPr>
              <w:t>$1,540</w:t>
            </w:r>
          </w:p>
        </w:tc>
        <w:tc>
          <w:tcPr>
            <w:tcW w:w="28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263</w:t>
            </w: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$2,567</w:t>
            </w:r>
          </w:p>
        </w:tc>
        <w:tc>
          <w:tcPr>
            <w:tcW w:w="3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$3,169</w:t>
            </w:r>
          </w:p>
        </w:tc>
        <w:tc>
          <w:tcPr>
            <w:tcW w:w="40" w:type="dxa"/>
            <w:vAlign w:val="bottom"/>
          </w:tcPr>
          <w:p>
            <w:pPr>
              <w:spacing w:after="0"/>
              <w:rPr>
                <w:sz w:val="24"/>
                <w:szCs w:val="24"/>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Thermal Products</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3,203</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623</w:t>
            </w: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5,737</w:t>
            </w:r>
          </w:p>
        </w:tc>
        <w:tc>
          <w:tcPr>
            <w:tcW w:w="3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1,129</w:t>
            </w:r>
          </w:p>
        </w:tc>
        <w:tc>
          <w:tcPr>
            <w:tcW w:w="40" w:type="dxa"/>
            <w:vAlign w:val="bottom"/>
          </w:tcPr>
          <w:p>
            <w:pPr>
              <w:spacing w:after="0"/>
              <w:rPr>
                <w:sz w:val="24"/>
                <w:szCs w:val="24"/>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Electrical Products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508</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791</w:t>
            </w:r>
          </w:p>
        </w:tc>
        <w:tc>
          <w:tcPr>
            <w:tcW w:w="560" w:type="dxa"/>
            <w:vAlign w:val="bottom"/>
            <w:gridSpan w:val="6"/>
          </w:tcPr>
          <w:p>
            <w:pPr>
              <w:jc w:val="right"/>
              <w:spacing w:after="0"/>
              <w:rPr>
                <w:sz w:val="20"/>
                <w:szCs w:val="20"/>
                <w:color w:val="auto"/>
              </w:rPr>
            </w:pPr>
            <w:r>
              <w:rPr>
                <w:rFonts w:ascii="Arial" w:cs="Arial" w:eastAsia="Arial" w:hAnsi="Arial"/>
                <w:sz w:val="18"/>
                <w:szCs w:val="18"/>
                <w:color w:val="auto"/>
              </w:rPr>
              <w:t>1,168</w:t>
            </w:r>
          </w:p>
        </w:tc>
        <w:tc>
          <w:tcPr>
            <w:tcW w:w="3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1,916</w:t>
            </w:r>
          </w:p>
        </w:tc>
        <w:tc>
          <w:tcPr>
            <w:tcW w:w="40" w:type="dxa"/>
            <w:vAlign w:val="bottom"/>
          </w:tcPr>
          <w:p>
            <w:pPr>
              <w:spacing w:after="0"/>
              <w:rPr>
                <w:sz w:val="24"/>
                <w:szCs w:val="24"/>
                <w:color w:val="auto"/>
              </w:rPr>
            </w:pPr>
          </w:p>
        </w:tc>
      </w:tr>
      <w:tr>
        <w:trPr>
          <w:trHeight w:val="421"/>
        </w:trPr>
        <w:tc>
          <w:tcPr>
            <w:tcW w:w="440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900" w:type="dxa"/>
            <w:vAlign w:val="bottom"/>
            <w:gridSpan w:val="7"/>
          </w:tcPr>
          <w:p>
            <w:pPr>
              <w:ind w:left="240"/>
              <w:spacing w:after="0"/>
              <w:rPr>
                <w:sz w:val="20"/>
                <w:szCs w:val="20"/>
                <w:color w:val="auto"/>
              </w:rPr>
            </w:pPr>
            <w:r>
              <w:rPr>
                <w:rFonts w:ascii="Arial" w:cs="Arial" w:eastAsia="Arial" w:hAnsi="Arial"/>
                <w:sz w:val="18"/>
                <w:szCs w:val="18"/>
                <w:color w:val="auto"/>
              </w:rPr>
              <w:t>(378)</w:t>
            </w:r>
          </w:p>
        </w:tc>
        <w:tc>
          <w:tcPr>
            <w:tcW w:w="600" w:type="dxa"/>
            <w:vAlign w:val="bottom"/>
            <w:gridSpan w:val="6"/>
          </w:tcPr>
          <w:p>
            <w:pPr>
              <w:ind w:left="220"/>
              <w:spacing w:after="0"/>
              <w:rPr>
                <w:sz w:val="20"/>
                <w:szCs w:val="20"/>
                <w:color w:val="auto"/>
              </w:rPr>
            </w:pPr>
            <w:r>
              <w:rPr>
                <w:rFonts w:ascii="Arial" w:cs="Arial" w:eastAsia="Arial" w:hAnsi="Arial"/>
                <w:sz w:val="18"/>
                <w:szCs w:val="18"/>
                <w:color w:val="auto"/>
                <w:w w:val="85"/>
              </w:rPr>
              <w:t>(256)</w:t>
            </w: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5,182</w:t>
            </w:r>
          </w:p>
        </w:tc>
        <w:tc>
          <w:tcPr>
            <w:tcW w:w="2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800" w:type="dxa"/>
            <w:vAlign w:val="bottom"/>
            <w:gridSpan w:val="4"/>
          </w:tcPr>
          <w:p>
            <w:pPr>
              <w:jc w:val="right"/>
              <w:ind w:right="3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1,678</w:t>
            </w:r>
          </w:p>
        </w:tc>
        <w:tc>
          <w:tcPr>
            <w:tcW w:w="56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9,094</w:t>
            </w:r>
          </w:p>
        </w:tc>
        <w:tc>
          <w:tcPr>
            <w:tcW w:w="340" w:type="dxa"/>
            <w:vAlign w:val="bottom"/>
          </w:tcPr>
          <w:p>
            <w:pPr>
              <w:spacing w:after="0"/>
              <w:rPr>
                <w:sz w:val="24"/>
                <w:szCs w:val="24"/>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5,958</w:t>
            </w:r>
          </w:p>
        </w:tc>
        <w:tc>
          <w:tcPr>
            <w:tcW w:w="40" w:type="dxa"/>
            <w:vAlign w:val="bottom"/>
          </w:tcPr>
          <w:p>
            <w:pPr>
              <w:spacing w:after="0"/>
              <w:rPr>
                <w:sz w:val="24"/>
                <w:szCs w:val="24"/>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20"/>
          </w:cols>
          <w:pgMar w:left="780" w:top="120" w:right="399" w:bottom="0" w:gutter="0" w:footer="0" w:header="0"/>
        </w:sectPr>
      </w:pPr>
    </w:p>
    <w:p>
      <w:pPr>
        <w:spacing w:after="0" w:line="75"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Identifiable assets: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i w:val="1"/>
          <w:iCs w:val="1"/>
          <w:color w:val="auto"/>
        </w:rPr>
        <w:t>Sept.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4"/>
          <w:szCs w:val="14"/>
          <w:b w:val="1"/>
          <w:bCs w:val="1"/>
          <w:i w:val="1"/>
          <w:iCs w:val="1"/>
          <w:color w:val="auto"/>
        </w:rPr>
        <w:t>2011</w:t>
      </w:r>
      <w:r>
        <w:rPr>
          <w:sz w:val="20"/>
          <w:szCs w:val="20"/>
          <w:color w:val="auto"/>
        </w:rPr>
        <w:tab/>
      </w:r>
      <w:r>
        <w:rPr>
          <w:rFonts w:ascii="Arial" w:cs="Arial" w:eastAsia="Arial" w:hAnsi="Arial"/>
          <w:sz w:val="14"/>
          <w:szCs w:val="14"/>
          <w:b w:val="1"/>
          <w:bCs w:val="1"/>
          <w:i w:val="1"/>
          <w:i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-8890</wp:posOffset>
            </wp:positionV>
            <wp:extent cx="902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2335" cy="8890"/>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5340" w:space="720"/>
            <w:col w:w="4660"/>
          </w:cols>
          <w:pgMar w:left="780" w:top="120" w:right="399" w:bottom="0" w:gutter="0" w:footer="0" w:header="0"/>
          <w:type w:val="continuous"/>
        </w:sectPr>
      </w:pPr>
    </w:p>
    <w:tbl>
      <w:tblPr>
        <w:tblLayout w:type="fixed"/>
        <w:tblInd w:w="20" w:type="dxa"/>
        <w:tblCellMar>
          <w:top w:w="0" w:type="dxa"/>
          <w:left w:w="0" w:type="dxa"/>
          <w:bottom w:w="0" w:type="dxa"/>
          <w:right w:w="0" w:type="dxa"/>
        </w:tblCellMar>
      </w:tblP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Mechanical Products</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9,783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7,617</w:t>
            </w:r>
          </w:p>
        </w:tc>
      </w:tr>
      <w:tr>
        <w:trPr>
          <w:trHeight w:val="459"/>
        </w:trPr>
        <w:tc>
          <w:tcPr>
            <w:tcW w:w="6140" w:type="dxa"/>
            <w:vAlign w:val="bottom"/>
          </w:tcPr>
          <w:p>
            <w:pPr>
              <w:spacing w:after="0"/>
              <w:rPr>
                <w:sz w:val="20"/>
                <w:szCs w:val="20"/>
                <w:color w:val="auto"/>
              </w:rPr>
            </w:pPr>
            <w:r>
              <w:rPr>
                <w:rFonts w:ascii="Arial" w:cs="Arial" w:eastAsia="Arial" w:hAnsi="Arial"/>
                <w:sz w:val="18"/>
                <w:szCs w:val="18"/>
                <w:color w:val="auto"/>
              </w:rPr>
              <w:t>Thermal Products</w:t>
            </w:r>
          </w:p>
        </w:tc>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18,090</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11,315</w:t>
            </w:r>
          </w:p>
        </w:tc>
      </w:tr>
      <w:tr>
        <w:trPr>
          <w:trHeight w:val="421"/>
        </w:trPr>
        <w:tc>
          <w:tcPr>
            <w:tcW w:w="6140" w:type="dxa"/>
            <w:vAlign w:val="bottom"/>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40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r>
      <w:tr>
        <w:trPr>
          <w:trHeight w:val="439"/>
        </w:trPr>
        <w:tc>
          <w:tcPr>
            <w:tcW w:w="61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31,227</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21,408</w:t>
            </w:r>
          </w:p>
        </w:tc>
      </w:tr>
      <w:tr>
        <w:trPr>
          <w:trHeight w:val="20"/>
        </w:trPr>
        <w:tc>
          <w:tcPr>
            <w:tcW w:w="61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ectPr>
          <w:pgSz w:w="11900" w:h="16838" w:orient="portrait"/>
          <w:cols w:equalWidth="0" w:num="1">
            <w:col w:w="10720"/>
          </w:cols>
          <w:pgMar w:left="780" w:top="120" w:right="399"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161"/>
        </w:trPr>
        <w:tc>
          <w:tcPr>
            <w:tcW w:w="1500" w:type="dxa"/>
            <w:vAlign w:val="bottom"/>
            <w:gridSpan w:val="7"/>
          </w:tcPr>
          <w:p>
            <w:pPr>
              <w:jc w:val="center"/>
              <w:ind w:right="32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1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1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240" w:type="dxa"/>
            <w:vAlign w:val="bottom"/>
          </w:tcPr>
          <w:p>
            <w:pPr>
              <w:spacing w:after="0"/>
              <w:rPr>
                <w:sz w:val="12"/>
                <w:szCs w:val="12"/>
                <w:color w:val="auto"/>
              </w:rPr>
            </w:pPr>
          </w:p>
        </w:tc>
      </w:tr>
      <w:tr>
        <w:trPr>
          <w:trHeight w:val="156"/>
        </w:trPr>
        <w:tc>
          <w:tcPr>
            <w:tcW w:w="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460" w:type="dxa"/>
            <w:vAlign w:val="bottom"/>
          </w:tcPr>
          <w:p>
            <w:pPr>
              <w:spacing w:after="0"/>
              <w:rPr>
                <w:sz w:val="13"/>
                <w:szCs w:val="13"/>
                <w:color w:val="auto"/>
              </w:rPr>
            </w:pPr>
          </w:p>
        </w:tc>
        <w:tc>
          <w:tcPr>
            <w:tcW w:w="60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1300" w:type="dxa"/>
            <w:vAlign w:val="bottom"/>
            <w:gridSpan w:val="4"/>
          </w:tcPr>
          <w:p>
            <w:pPr>
              <w:jc w:val="right"/>
              <w:ind w:right="64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24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70"/>
              </w:rPr>
              <w:t>2010</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bl>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$ 4,797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4,595</w:t>
            </w:r>
          </w:p>
        </w:tc>
        <w:tc>
          <w:tcPr>
            <w:tcW w:w="640" w:type="dxa"/>
            <w:vAlign w:val="bottom"/>
            <w:gridSpan w:val="6"/>
          </w:tcPr>
          <w:p>
            <w:pPr>
              <w:jc w:val="right"/>
              <w:spacing w:after="0"/>
              <w:rPr>
                <w:sz w:val="20"/>
                <w:szCs w:val="20"/>
                <w:color w:val="auto"/>
              </w:rPr>
            </w:pPr>
            <w:r>
              <w:rPr>
                <w:rFonts w:ascii="Arial" w:cs="Arial" w:eastAsia="Arial" w:hAnsi="Arial"/>
                <w:sz w:val="18"/>
                <w:szCs w:val="18"/>
                <w:color w:val="auto"/>
                <w:w w:val="95"/>
              </w:rPr>
              <w:t>$13,820</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$12,807</w:t>
            </w:r>
          </w:p>
        </w:tc>
      </w:tr>
      <w:tr>
        <w:trPr>
          <w:trHeight w:val="421"/>
        </w:trPr>
        <w:tc>
          <w:tcPr>
            <w:tcW w:w="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3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2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23,365</w:t>
            </w:r>
          </w:p>
        </w:tc>
        <w:tc>
          <w:tcPr>
            <w:tcW w:w="360" w:type="dxa"/>
            <w:vAlign w:val="bottom"/>
            <w:gridSpan w:val="3"/>
          </w:tcPr>
          <w:p>
            <w:pPr>
              <w:spacing w:after="0"/>
              <w:rPr>
                <w:sz w:val="24"/>
                <w:szCs w:val="24"/>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23,287</w:t>
            </w:r>
          </w:p>
        </w:tc>
      </w:tr>
      <w:tr>
        <w:trPr>
          <w:trHeight w:val="439"/>
        </w:trPr>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11,681</w:t>
            </w:r>
          </w:p>
        </w:tc>
        <w:tc>
          <w:tcPr>
            <w:tcW w:w="3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11,305</w:t>
            </w:r>
          </w:p>
        </w:tc>
        <w:tc>
          <w:tcPr>
            <w:tcW w:w="24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37,185</w:t>
            </w:r>
          </w:p>
        </w:tc>
        <w:tc>
          <w:tcPr>
            <w:tcW w:w="9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36,094</w:t>
            </w:r>
          </w:p>
        </w:tc>
      </w:tr>
      <w:tr>
        <w:trPr>
          <w:trHeight w:val="20"/>
        </w:trPr>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506"/>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6"/>
          </w:tcPr>
          <w:p>
            <w:pPr>
              <w:jc w:val="center"/>
              <w:ind w:right="120"/>
              <w:spacing w:after="0"/>
              <w:rPr>
                <w:sz w:val="20"/>
                <w:szCs w:val="20"/>
                <w:color w:val="auto"/>
              </w:rPr>
            </w:pPr>
            <w:r>
              <w:rPr>
                <w:rFonts w:ascii="Arial" w:cs="Arial" w:eastAsia="Arial" w:hAnsi="Arial"/>
                <w:sz w:val="14"/>
                <w:szCs w:val="14"/>
                <w:b w:val="1"/>
                <w:bCs w:val="1"/>
                <w:i w:val="1"/>
                <w:iCs w:val="1"/>
                <w:color w:val="auto"/>
                <w:w w:val="83"/>
              </w:rPr>
              <w:t>Sept. 30,</w:t>
            </w:r>
          </w:p>
        </w:tc>
        <w:tc>
          <w:tcPr>
            <w:tcW w:w="240" w:type="dxa"/>
            <w:vAlign w:val="bottom"/>
          </w:tcPr>
          <w:p>
            <w:pPr>
              <w:spacing w:after="0"/>
              <w:rPr>
                <w:sz w:val="24"/>
                <w:szCs w:val="24"/>
                <w:color w:val="auto"/>
              </w:rPr>
            </w:pPr>
          </w:p>
        </w:tc>
        <w:tc>
          <w:tcPr>
            <w:tcW w:w="660" w:type="dxa"/>
            <w:vAlign w:val="bottom"/>
            <w:gridSpan w:val="6"/>
          </w:tcPr>
          <w:p>
            <w:pPr>
              <w:jc w:val="center"/>
              <w:ind w:right="12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i w:val="1"/>
                <w:iCs w:val="1"/>
                <w:color w:val="auto"/>
              </w:rPr>
              <w:t>2011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i w:val="1"/>
                <w:iCs w:val="1"/>
                <w:color w:val="auto"/>
              </w:rPr>
              <w:t>2010</w:t>
            </w:r>
          </w:p>
        </w:tc>
        <w:tc>
          <w:tcPr>
            <w:tcW w:w="120" w:type="dxa"/>
            <w:vAlign w:val="bottom"/>
          </w:tcPr>
          <w:p>
            <w:pPr>
              <w:spacing w:after="0"/>
              <w:rPr>
                <w:sz w:val="14"/>
                <w:szCs w:val="14"/>
                <w:color w:val="auto"/>
              </w:rPr>
            </w:pPr>
          </w:p>
        </w:tc>
      </w:tr>
      <w:tr>
        <w:trPr>
          <w:trHeight w:val="262"/>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$ 813</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$359</w:t>
            </w:r>
          </w:p>
        </w:tc>
      </w:tr>
      <w:tr>
        <w:trPr>
          <w:trHeight w:val="421"/>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gridSpan w:val="4"/>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285</w:t>
            </w:r>
          </w:p>
        </w:tc>
        <w:tc>
          <w:tcPr>
            <w:tcW w:w="580" w:type="dxa"/>
            <w:vAlign w:val="bottom"/>
            <w:gridSpan w:val="5"/>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359</w:t>
            </w:r>
          </w:p>
        </w:tc>
      </w:tr>
      <w:tr>
        <w:trPr>
          <w:trHeight w:val="43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1,098</w:t>
            </w:r>
          </w:p>
        </w:tc>
        <w:tc>
          <w:tcPr>
            <w:tcW w:w="9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718</w:t>
            </w:r>
          </w:p>
        </w:tc>
      </w:tr>
      <w:tr>
        <w:trPr>
          <w:trHeight w:val="572"/>
        </w:trPr>
        <w:tc>
          <w:tcPr>
            <w:tcW w:w="1400" w:type="dxa"/>
            <w:vAlign w:val="bottom"/>
            <w:gridSpan w:val="5"/>
          </w:tcPr>
          <w:p>
            <w:pPr>
              <w:jc w:val="right"/>
              <w:ind w:right="372"/>
              <w:spacing w:after="0"/>
              <w:rPr>
                <w:sz w:val="20"/>
                <w:szCs w:val="20"/>
                <w:color w:val="auto"/>
              </w:rPr>
            </w:pPr>
            <w:r>
              <w:rPr>
                <w:rFonts w:ascii="Arial" w:cs="Arial" w:eastAsia="Arial" w:hAnsi="Arial"/>
                <w:sz w:val="18"/>
                <w:szCs w:val="18"/>
                <w:color w:val="auto"/>
              </w:rPr>
              <w:t>- 15 -</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2">
            <w:col w:w="3480" w:space="720"/>
            <w:col w:w="6520"/>
          </w:cols>
          <w:pgMar w:left="780" w:top="120" w:right="399" w:bottom="0" w:gutter="0" w:footer="0" w:header="0"/>
          <w:type w:val="continuous"/>
        </w:sectPr>
      </w:pPr>
    </w:p>
    <w:bookmarkStart w:id="13" w:name="page14"/>
    <w:bookmarkEnd w:id="13"/>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2010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2010 Form 10-K. Material changes to such risk factors may be reported in subsequent Quarterly Reports on Form 10-Q in Part II, Item 1A. There have been no such changes from the risk factors set forth in our 2010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310" w:lineRule="auto"/>
        <w:rPr>
          <w:sz w:val="20"/>
          <w:szCs w:val="20"/>
          <w:color w:val="auto"/>
        </w:rPr>
      </w:pPr>
      <w:r>
        <w:rPr>
          <w:rFonts w:ascii="Arial" w:cs="Arial" w:eastAsia="Arial" w:hAnsi="Arial"/>
          <w:sz w:val="15"/>
          <w:szCs w:val="15"/>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aerospace, medical and telecommunications industries. We believe that these industries usually are less cyclical than the ATE industry.</w:t>
      </w:r>
    </w:p>
    <w:p>
      <w:pPr>
        <w:spacing w:after="0" w:line="162" w:lineRule="exact"/>
        <w:rPr>
          <w:sz w:val="20"/>
          <w:szCs w:val="20"/>
          <w:color w:val="auto"/>
        </w:rPr>
      </w:pPr>
    </w:p>
    <w:p>
      <w:pPr>
        <w:ind w:left="540" w:right="80"/>
        <w:spacing w:after="0" w:line="289"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260"/>
        <w:spacing w:after="0" w:line="294" w:lineRule="auto"/>
        <w:rPr>
          <w:sz w:val="20"/>
          <w:szCs w:val="20"/>
          <w:color w:val="auto"/>
        </w:rPr>
      </w:pPr>
      <w:r>
        <w:rPr>
          <w:rFonts w:ascii="Arial" w:cs="Arial" w:eastAsia="Arial" w:hAnsi="Arial"/>
          <w:sz w:val="16"/>
          <w:szCs w:val="16"/>
          <w:color w:val="auto"/>
        </w:rPr>
        <w:t>compete for such designations, (iii) the role of third-party test and assembly houses in the ATE market and their requirement of products with a greater range of use at the lowest cost, and (iv) customer supply line management groups demanding lower prices and spreading purchases across multiple vendors.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pacing w:after="0" w:line="20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i w:val="1"/>
                <w:iCs w:val="1"/>
                <w:color w:val="auto"/>
                <w:w w:val="93"/>
              </w:rPr>
              <w:t>(in 000's)</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9"/>
          </w:tcPr>
          <w:p>
            <w:pPr>
              <w:jc w:val="center"/>
              <w:ind w:right="12"/>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48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i w:val="1"/>
                <w:iCs w:val="1"/>
                <w:color w:val="auto"/>
                <w:w w:val="84"/>
              </w:rPr>
              <w:t>Nine Months Ended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Sept. 30,</w:t>
            </w:r>
          </w:p>
        </w:tc>
        <w:tc>
          <w:tcPr>
            <w:tcW w:w="4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5"/>
          </w:tcPr>
          <w:p>
            <w:pPr>
              <w:jc w:val="center"/>
              <w:ind w:right="200"/>
              <w:spacing w:after="0"/>
              <w:rPr>
                <w:sz w:val="20"/>
                <w:szCs w:val="20"/>
                <w:color w:val="auto"/>
              </w:rPr>
            </w:pPr>
            <w:r>
              <w:rPr>
                <w:rFonts w:ascii="Arial" w:cs="Arial" w:eastAsia="Arial" w:hAnsi="Arial"/>
                <w:sz w:val="14"/>
                <w:szCs w:val="14"/>
                <w:b w:val="1"/>
                <w:bCs w:val="1"/>
                <w:i w:val="1"/>
                <w:iCs w:val="1"/>
                <w:color w:val="auto"/>
                <w:w w:val="85"/>
              </w:rPr>
              <w:t>June 30,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7"/>
          </w:tcPr>
          <w:p>
            <w:pPr>
              <w:jc w:val="right"/>
              <w:ind w:right="480"/>
              <w:spacing w:after="0"/>
              <w:rPr>
                <w:sz w:val="20"/>
                <w:szCs w:val="20"/>
                <w:color w:val="auto"/>
              </w:rPr>
            </w:pPr>
            <w:r>
              <w:rPr>
                <w:rFonts w:ascii="Arial" w:cs="Arial" w:eastAsia="Arial" w:hAnsi="Arial"/>
                <w:sz w:val="14"/>
                <w:szCs w:val="14"/>
                <w:b w:val="1"/>
                <w:bCs w:val="1"/>
                <w:i w:val="1"/>
                <w:iCs w:val="1"/>
                <w:color w:val="auto"/>
                <w:w w:val="83"/>
              </w:rPr>
              <w:t>Sept. 30,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5"/>
              </w:rPr>
              <w:t>Net revenues from unaffiliated customers:</w:t>
            </w:r>
          </w:p>
        </w:tc>
        <w:tc>
          <w:tcPr>
            <w:tcW w:w="460" w:type="dxa"/>
            <w:vAlign w:val="bottom"/>
            <w:vMerge w:val="restart"/>
          </w:tcPr>
          <w:p>
            <w:pPr>
              <w:spacing w:after="0"/>
              <w:rPr>
                <w:sz w:val="13"/>
                <w:szCs w:val="13"/>
                <w:color w:val="auto"/>
              </w:rPr>
            </w:pPr>
          </w:p>
        </w:tc>
        <w:tc>
          <w:tcPr>
            <w:tcW w:w="2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2011</w:t>
            </w:r>
          </w:p>
        </w:tc>
        <w:tc>
          <w:tcPr>
            <w:tcW w:w="320" w:type="dxa"/>
            <w:vAlign w:val="bottom"/>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2010</w:t>
            </w:r>
          </w:p>
        </w:tc>
        <w:tc>
          <w:tcPr>
            <w:tcW w:w="260" w:type="dxa"/>
            <w:vAlign w:val="bottom"/>
            <w:vMerge w:val="restart"/>
          </w:tcPr>
          <w:p>
            <w:pPr>
              <w:spacing w:after="0"/>
              <w:rPr>
                <w:sz w:val="13"/>
                <w:szCs w:val="13"/>
                <w:color w:val="auto"/>
              </w:rPr>
            </w:pPr>
          </w:p>
        </w:tc>
        <w:tc>
          <w:tcPr>
            <w:tcW w:w="260" w:type="dxa"/>
            <w:vAlign w:val="bottom"/>
            <w:gridSpan w:val="2"/>
            <w:vMerge w:val="restart"/>
          </w:tcPr>
          <w:p>
            <w:pPr>
              <w:spacing w:after="0"/>
              <w:rPr>
                <w:sz w:val="13"/>
                <w:szCs w:val="13"/>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gridSpan w:val="2"/>
            <w:vMerge w:val="restart"/>
          </w:tcPr>
          <w:p>
            <w:pPr>
              <w:spacing w:after="0"/>
              <w:rPr>
                <w:sz w:val="13"/>
                <w:szCs w:val="13"/>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2011</w:t>
            </w:r>
          </w:p>
        </w:tc>
        <w:tc>
          <w:tcPr>
            <w:tcW w:w="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2010</w:t>
            </w:r>
          </w:p>
        </w:tc>
        <w:tc>
          <w:tcPr>
            <w:tcW w:w="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34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gridSpan w:val="3"/>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26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3480" w:type="dxa"/>
            <w:vAlign w:val="bottom"/>
          </w:tcPr>
          <w:p>
            <w:pPr>
              <w:spacing w:after="0"/>
              <w:rPr>
                <w:sz w:val="20"/>
                <w:szCs w:val="20"/>
                <w:color w:val="auto"/>
              </w:rPr>
            </w:pPr>
            <w:r>
              <w:rPr>
                <w:rFonts w:ascii="Arial" w:cs="Arial" w:eastAsia="Arial" w:hAnsi="Arial"/>
                <w:sz w:val="18"/>
                <w:szCs w:val="18"/>
                <w:color w:val="auto"/>
              </w:rPr>
              <w:t>Mechanical Products</w:t>
            </w:r>
          </w:p>
        </w:tc>
        <w:tc>
          <w:tcPr>
            <w:tcW w:w="1060" w:type="dxa"/>
            <w:vAlign w:val="bottom"/>
            <w:gridSpan w:val="5"/>
          </w:tcPr>
          <w:p>
            <w:pPr>
              <w:jc w:val="right"/>
              <w:ind w:right="52"/>
              <w:spacing w:after="0"/>
              <w:rPr>
                <w:sz w:val="20"/>
                <w:szCs w:val="20"/>
                <w:color w:val="auto"/>
              </w:rPr>
            </w:pPr>
            <w:r>
              <w:rPr>
                <w:rFonts w:ascii="Arial" w:cs="Arial" w:eastAsia="Arial" w:hAnsi="Arial"/>
                <w:sz w:val="18"/>
                <w:szCs w:val="18"/>
                <w:color w:val="auto"/>
              </w:rPr>
              <w:t>$ 3,172</w:t>
            </w: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$ 3,952</w:t>
            </w:r>
          </w:p>
        </w:tc>
        <w:tc>
          <w:tcPr>
            <w:tcW w:w="820" w:type="dxa"/>
            <w:vAlign w:val="bottom"/>
            <w:gridSpan w:val="6"/>
          </w:tcPr>
          <w:p>
            <w:pPr>
              <w:jc w:val="right"/>
              <w:ind w:right="100"/>
              <w:spacing w:after="0"/>
              <w:rPr>
                <w:sz w:val="20"/>
                <w:szCs w:val="20"/>
                <w:color w:val="auto"/>
              </w:rPr>
            </w:pPr>
            <w:r>
              <w:rPr>
                <w:rFonts w:ascii="Arial" w:cs="Arial" w:eastAsia="Arial" w:hAnsi="Arial"/>
                <w:sz w:val="18"/>
                <w:szCs w:val="18"/>
                <w:color w:val="auto"/>
              </w:rPr>
              <w:t>$ 5,097</w:t>
            </w:r>
          </w:p>
        </w:tc>
        <w:tc>
          <w:tcPr>
            <w:tcW w:w="780" w:type="dxa"/>
            <w:vAlign w:val="bottom"/>
            <w:gridSpan w:val="6"/>
          </w:tcPr>
          <w:p>
            <w:pPr>
              <w:jc w:val="right"/>
              <w:ind w:right="100"/>
              <w:spacing w:after="0"/>
              <w:rPr>
                <w:sz w:val="20"/>
                <w:szCs w:val="20"/>
                <w:color w:val="auto"/>
              </w:rPr>
            </w:pPr>
            <w:r>
              <w:rPr>
                <w:rFonts w:ascii="Arial" w:cs="Arial" w:eastAsia="Arial" w:hAnsi="Arial"/>
                <w:sz w:val="18"/>
                <w:szCs w:val="18"/>
                <w:color w:val="auto"/>
              </w:rPr>
              <w:t>$13,299</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$16,486</w:t>
            </w:r>
          </w:p>
        </w:tc>
        <w:tc>
          <w:tcPr>
            <w:tcW w:w="0" w:type="dxa"/>
            <w:vAlign w:val="bottom"/>
          </w:tcPr>
          <w:p>
            <w:pPr>
              <w:spacing w:after="0"/>
              <w:rPr>
                <w:sz w:val="1"/>
                <w:szCs w:val="1"/>
                <w:color w:val="auto"/>
              </w:rPr>
            </w:pPr>
          </w:p>
        </w:tc>
      </w:tr>
      <w:tr>
        <w:trPr>
          <w:trHeight w:val="459"/>
        </w:trPr>
        <w:tc>
          <w:tcPr>
            <w:tcW w:w="3480" w:type="dxa"/>
            <w:vAlign w:val="bottom"/>
          </w:tcPr>
          <w:p>
            <w:pPr>
              <w:spacing w:after="0"/>
              <w:rPr>
                <w:sz w:val="20"/>
                <w:szCs w:val="20"/>
                <w:color w:val="auto"/>
              </w:rPr>
            </w:pPr>
            <w:r>
              <w:rPr>
                <w:rFonts w:ascii="Arial" w:cs="Arial" w:eastAsia="Arial" w:hAnsi="Arial"/>
                <w:sz w:val="18"/>
                <w:szCs w:val="18"/>
                <w:color w:val="auto"/>
              </w:rPr>
              <w:t>Thermal Products</w:t>
            </w:r>
          </w:p>
        </w:tc>
        <w:tc>
          <w:tcPr>
            <w:tcW w:w="1060" w:type="dxa"/>
            <w:vAlign w:val="bottom"/>
            <w:gridSpan w:val="5"/>
          </w:tcPr>
          <w:p>
            <w:pPr>
              <w:jc w:val="right"/>
              <w:ind w:right="52"/>
              <w:spacing w:after="0"/>
              <w:rPr>
                <w:sz w:val="20"/>
                <w:szCs w:val="20"/>
                <w:color w:val="auto"/>
              </w:rPr>
            </w:pPr>
            <w:r>
              <w:rPr>
                <w:rFonts w:ascii="Arial" w:cs="Arial" w:eastAsia="Arial" w:hAnsi="Arial"/>
                <w:sz w:val="18"/>
                <w:szCs w:val="18"/>
                <w:color w:val="auto"/>
              </w:rPr>
              <w:t>7,572</w:t>
            </w: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4,830</w:t>
            </w:r>
          </w:p>
        </w:tc>
        <w:tc>
          <w:tcPr>
            <w:tcW w:w="820" w:type="dxa"/>
            <w:vAlign w:val="bottom"/>
            <w:gridSpan w:val="6"/>
          </w:tcPr>
          <w:p>
            <w:pPr>
              <w:jc w:val="right"/>
              <w:ind w:right="100"/>
              <w:spacing w:after="0"/>
              <w:rPr>
                <w:sz w:val="20"/>
                <w:szCs w:val="20"/>
                <w:color w:val="auto"/>
              </w:rPr>
            </w:pPr>
            <w:r>
              <w:rPr>
                <w:rFonts w:ascii="Arial" w:cs="Arial" w:eastAsia="Arial" w:hAnsi="Arial"/>
                <w:sz w:val="18"/>
                <w:szCs w:val="18"/>
                <w:color w:val="auto"/>
              </w:rPr>
              <w:t>6,667</w:t>
            </w:r>
          </w:p>
        </w:tc>
        <w:tc>
          <w:tcPr>
            <w:tcW w:w="780" w:type="dxa"/>
            <w:vAlign w:val="bottom"/>
            <w:gridSpan w:val="6"/>
          </w:tcPr>
          <w:p>
            <w:pPr>
              <w:jc w:val="right"/>
              <w:ind w:right="100"/>
              <w:spacing w:after="0"/>
              <w:rPr>
                <w:sz w:val="20"/>
                <w:szCs w:val="20"/>
                <w:color w:val="auto"/>
              </w:rPr>
            </w:pPr>
            <w:r>
              <w:rPr>
                <w:rFonts w:ascii="Arial" w:cs="Arial" w:eastAsia="Arial" w:hAnsi="Arial"/>
                <w:sz w:val="18"/>
                <w:szCs w:val="18"/>
                <w:color w:val="auto"/>
              </w:rPr>
              <w:t>19,593</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bl>
    <w:p>
      <w:pPr>
        <w:sectPr>
          <w:pgSz w:w="11900" w:h="16882" w:orient="portrait"/>
          <w:cols w:equalWidth="0" w:num="1">
            <w:col w:w="11400"/>
          </w:cols>
          <w:pgMar w:left="240" w:top="125" w:right="259" w:bottom="0" w:gutter="0" w:footer="0" w:header="0"/>
        </w:sectPr>
      </w:pPr>
    </w:p>
    <w:bookmarkStart w:id="14" w:name="page15"/>
    <w:bookmarkEnd w:id="14"/>
    <w:p>
      <w:pPr>
        <w:spacing w:after="0" w:line="4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Electrical Products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2,552</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2,040</w:t>
            </w:r>
          </w:p>
        </w:tc>
        <w:tc>
          <w:tcPr>
            <w:tcW w:w="340" w:type="dxa"/>
            <w:vAlign w:val="bottom"/>
          </w:tcPr>
          <w:p>
            <w:pPr>
              <w:spacing w:after="0"/>
              <w:rPr>
                <w:sz w:val="19"/>
                <w:szCs w:val="19"/>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4,327</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6,590</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Intersegment sales</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(29)</w:t>
            </w:r>
          </w:p>
        </w:tc>
        <w:tc>
          <w:tcPr>
            <w:tcW w:w="980" w:type="dxa"/>
            <w:vAlign w:val="bottom"/>
            <w:gridSpan w:val="5"/>
          </w:tcPr>
          <w:p>
            <w:pPr>
              <w:jc w:val="right"/>
              <w:ind w:right="280"/>
              <w:spacing w:after="0"/>
              <w:rPr>
                <w:sz w:val="20"/>
                <w:szCs w:val="20"/>
                <w:color w:val="auto"/>
              </w:rPr>
            </w:pPr>
            <w:r>
              <w:rPr>
                <w:rFonts w:ascii="Arial" w:cs="Arial" w:eastAsia="Arial" w:hAnsi="Arial"/>
                <w:sz w:val="18"/>
                <w:szCs w:val="18"/>
                <w:color w:val="auto"/>
              </w:rPr>
              <w:t>(4)</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11,681</w:t>
            </w:r>
          </w:p>
        </w:tc>
        <w:tc>
          <w:tcPr>
            <w:tcW w:w="12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11,305</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13,800</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37,185</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36,094</w:t>
            </w:r>
          </w:p>
        </w:tc>
      </w:tr>
      <w:tr>
        <w:trPr>
          <w:trHeight w:val="262"/>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1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Mechanical Products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$ 3</w:t>
            </w:r>
          </w:p>
        </w:tc>
        <w:tc>
          <w:tcPr>
            <w:tcW w:w="12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$ 5</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$ 4</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$ 7</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$ 9</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Thermal Products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Electrical Products</w:t>
            </w:r>
          </w:p>
        </w:tc>
        <w:tc>
          <w:tcPr>
            <w:tcW w:w="1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41</w:t>
            </w: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$ 4</w:t>
            </w:r>
          </w:p>
        </w:tc>
        <w:tc>
          <w:tcPr>
            <w:tcW w:w="12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$ 4</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w:t>
            </w:r>
          </w:p>
        </w:tc>
      </w:tr>
      <w:tr>
        <w:trPr>
          <w:trHeight w:val="255"/>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w w:val="95"/>
              </w:rPr>
              <w:t>Net revenues from unaffiliated customers (net of</w:t>
            </w:r>
          </w:p>
        </w:tc>
        <w:tc>
          <w:tcPr>
            <w:tcW w:w="1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Mechanical Products</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74"/>
              </w:rPr>
              <w:t>$ 3,169</w:t>
            </w:r>
          </w:p>
        </w:tc>
        <w:tc>
          <w:tcPr>
            <w:tcW w:w="12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$ 3,947</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$ 5,093</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w w:val="76"/>
              </w:rPr>
              <w:t>$13,292</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$16,477</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Thermal Products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7,572</w:t>
            </w:r>
          </w:p>
        </w:tc>
        <w:tc>
          <w:tcPr>
            <w:tcW w:w="12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4,830</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6,667</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79"/>
              </w:rPr>
              <w:t>19,593</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13,068</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Electrical Products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2,528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8"/>
              </w:rPr>
              <w:t>2,040</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4,300</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6,549</w:t>
            </w:r>
          </w:p>
        </w:tc>
      </w:tr>
      <w:tr>
        <w:trPr>
          <w:trHeight w:val="20"/>
        </w:trPr>
        <w:tc>
          <w:tcPr>
            <w:tcW w:w="40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11,681</w:t>
            </w:r>
          </w:p>
        </w:tc>
        <w:tc>
          <w:tcPr>
            <w:tcW w:w="12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11,305</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13,800</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37,185</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36,094</w:t>
            </w:r>
          </w:p>
        </w:tc>
      </w:tr>
      <w:tr>
        <w:trPr>
          <w:trHeight w:val="262"/>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U.S.</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74"/>
              </w:rPr>
              <w:t>$ 4,797</w:t>
            </w:r>
          </w:p>
        </w:tc>
        <w:tc>
          <w:tcPr>
            <w:tcW w:w="12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$ 4,595</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$ 4,796</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w w:val="76"/>
              </w:rPr>
              <w:t>$13,820</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$12,807</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Foreign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6,884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7"/>
              </w:rPr>
              <w:t>6,710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8"/>
              </w:rPr>
              <w:t>9,004</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w w:val="79"/>
              </w:rPr>
              <w:t>23,365</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23,287</w:t>
            </w:r>
          </w:p>
        </w:tc>
      </w:tr>
      <w:tr>
        <w:trPr>
          <w:trHeight w:val="20"/>
        </w:trPr>
        <w:tc>
          <w:tcPr>
            <w:tcW w:w="40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11,681</w:t>
            </w:r>
          </w:p>
        </w:tc>
        <w:tc>
          <w:tcPr>
            <w:tcW w:w="12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11,305</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13,800</w:t>
            </w:r>
          </w:p>
        </w:tc>
        <w:tc>
          <w:tcPr>
            <w:tcW w:w="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37,185</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36,094</w:t>
            </w:r>
          </w:p>
        </w:tc>
      </w:tr>
      <w:tr>
        <w:trPr>
          <w:trHeight w:val="20"/>
        </w:trPr>
        <w:tc>
          <w:tcPr>
            <w:tcW w:w="40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Our consolidated net revenues for the quarter ended September 30, 2011 increased $376,000 or 3% as compared to the same period in 2010. This increase consisted of a $2.7 million or 57% increase in the net revenues (net of intersegment sales) of our Thermal Products segment which was offset by decreases in the net revenues (net of intersegment sales) of our Mechanical and Electrical Products segments of $778,000 or 20% and $1.6 million or 63%, respectively. Our consolidated net revenues for the quarter ended September 30, 2011 decreased $2.1 million or 15% as compared to the quarter ended June 30, 2011. The net revenues (net of intersegment sales) of our Mechanical and Electrical Products segments decreased $1.9 million or 38% and $1.1 million or 54% respectively, while the net revenues (net of intersegment sales) of our Thermal Products segment increased $905,000 or 14%. We believe the decrease in the level of net revenues in our Mechanical and Electrical Products segments during the quarter ended September 30, 2011 reflects reduced demand within the ATE industry, which we had begun to see reflected in the level of our orders for these segments during the second quarter of 2011. We believe the increase in the net revenues of our Thermal Products segment as compared to the decreases in our other two product segments primarily reflects that this segment has historically lagged our other two product segments in regard to experiencing the impact of both increases and decreases in the levels of demand within the ATE industry. In addition, approximately 50-60% of this segment's sales are to customers in various industries outside the ATE industry where we have experienced recent strength in demand.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Total consolidated orders for the quarter ended September 30, 2011 were $10.5 million compared to $13.5 million for the quarter ended June 30, 2011 and $9.8 million for the quarter ended September 30, 2010. For the quarter ended September 30, 2011, orders for our Mechanical, Thermal and Electrical Products segments were $2.3 million, $7.4 million and $827,000, respectively, compared to $4.3 million, $7.5 million and $1.7 million for the quarter ended June 30, 2011, respectively, and $3.7 million, $4.3 million and $1.8 million for the quarter ended September 30, 2010, respectively. We cannot be certain what the level of our orders or net revenues will be in any future period for any of our product segments.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At September 30, 2011, our backlog of unfilled orders for all products was approximately $6.1 million compared with approximately $7.2 million at June 30, 2011 and $4.5 million at September 30, 2010. Our backlog includes customer orders which we have accepted, substantially all of which we expect to deliver in 2011.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Business Restructuring Initiatives</w:t>
      </w:r>
    </w:p>
    <w:p>
      <w:pPr>
        <w:spacing w:after="0" w:line="225" w:lineRule="exact"/>
        <w:rPr>
          <w:sz w:val="20"/>
          <w:szCs w:val="20"/>
          <w:color w:val="auto"/>
        </w:rPr>
      </w:pPr>
    </w:p>
    <w:p>
      <w:pPr>
        <w:ind w:left="540" w:right="60"/>
        <w:spacing w:after="0" w:line="323" w:lineRule="auto"/>
        <w:rPr>
          <w:sz w:val="20"/>
          <w:szCs w:val="20"/>
          <w:color w:val="auto"/>
        </w:rPr>
      </w:pPr>
      <w:r>
        <w:rPr>
          <w:rFonts w:ascii="Arial" w:cs="Arial" w:eastAsia="Arial" w:hAnsi="Arial"/>
          <w:sz w:val="15"/>
          <w:szCs w:val="15"/>
          <w:color w:val="auto"/>
        </w:rPr>
        <w:t>In response to the significant decline in our orders and net revenues during 2008 and early 2009, we took actions to reduce our cost structure, including facility closures, workforce reductions and salary and benefits reductions. 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w:t>
      </w:r>
    </w:p>
    <w:p>
      <w:pPr>
        <w:sectPr>
          <w:pgSz w:w="11900" w:h="16886" w:orient="portrait"/>
          <w:cols w:equalWidth="0" w:num="1">
            <w:col w:w="11420"/>
          </w:cols>
          <w:pgMar w:left="240" w:top="158" w:right="239" w:bottom="0" w:gutter="0" w:footer="0" w:header="0"/>
        </w:sectPr>
      </w:pPr>
    </w:p>
    <w:bookmarkStart w:id="15" w:name="page16"/>
    <w:bookmarkEnd w:id="15"/>
    <w:p>
      <w:pPr>
        <w:spacing w:after="0" w:line="150"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so. Any such restoration impacts the ultimate level of savings which result from our restructuring actions. The actions we took during 2009 are discussed in Note 4 to our 2010 Form 10-K. There were no additional restructuring actions taken in either 2010 or the first nine months of 2011.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Also on this date, we restored the fees paid to our Board of Directors, which had been reduced by approximately 50%.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patents)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aerospace, automotive, communications, consumer electronics, defense, and medical industries. The mix of customers during any given period will affect our gross margin due to differing sales discounts and commissions. For the nine months ended September 30, 2011 and 2010, our OEM sales as a percentage of net revenues were 13% and 20%, respectively.</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200"/>
        <w:spacing w:after="0" w:line="291" w:lineRule="auto"/>
        <w:rPr>
          <w:sz w:val="20"/>
          <w:szCs w:val="20"/>
          <w:color w:val="auto"/>
        </w:rPr>
      </w:pPr>
      <w:r>
        <w:rPr>
          <w:rFonts w:ascii="Arial" w:cs="Arial" w:eastAsia="Arial" w:hAnsi="Arial"/>
          <w:sz w:val="16"/>
          <w:szCs w:val="16"/>
          <w:color w:val="auto"/>
        </w:rPr>
        <w:t>All of our products are used by semiconductor manufacturers in conjunction with ATE in the testing of ICs. In addition, some of the products manufactured by our Thermal Products segment are used in industries outside of the semiconductor industry, including the aerospace, automotive, communications, consumer electronics, defense and medical industries.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74"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i w:val="1"/>
                <w:iCs w:val="1"/>
                <w:color w:val="auto"/>
              </w:rPr>
              <w:t>Percentage of Net Revenues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200" w:type="dxa"/>
            <w:vAlign w:val="bottom"/>
            <w:gridSpan w:val="7"/>
          </w:tcPr>
          <w:p>
            <w:pPr>
              <w:jc w:val="right"/>
              <w:spacing w:after="0" w:line="155" w:lineRule="exact"/>
              <w:rPr>
                <w:sz w:val="20"/>
                <w:szCs w:val="20"/>
                <w:color w:val="auto"/>
              </w:rPr>
            </w:pPr>
            <w:r>
              <w:rPr>
                <w:rFonts w:ascii="Arial" w:cs="Arial" w:eastAsia="Arial" w:hAnsi="Arial"/>
                <w:sz w:val="14"/>
                <w:szCs w:val="14"/>
                <w:b w:val="1"/>
                <w:bCs w:val="1"/>
                <w:i w:val="1"/>
                <w:iCs w:val="1"/>
                <w:color w:val="auto"/>
                <w:w w:val="73"/>
              </w:rPr>
              <w:t>Quarters Ended Sept. 30,</w:t>
            </w:r>
          </w:p>
        </w:tc>
        <w:tc>
          <w:tcPr>
            <w:tcW w:w="300" w:type="dxa"/>
            <w:vAlign w:val="bottom"/>
          </w:tcPr>
          <w:p>
            <w:pPr>
              <w:spacing w:after="0"/>
              <w:rPr>
                <w:sz w:val="13"/>
                <w:szCs w:val="13"/>
                <w:color w:val="auto"/>
              </w:rPr>
            </w:pPr>
          </w:p>
        </w:tc>
        <w:tc>
          <w:tcPr>
            <w:tcW w:w="1980" w:type="dxa"/>
            <w:vAlign w:val="bottom"/>
            <w:gridSpan w:val="8"/>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w w:val="90"/>
              </w:rPr>
              <w:t>Nine Months Ended Sept. 30,</w:t>
            </w:r>
          </w:p>
        </w:tc>
        <w:tc>
          <w:tcPr>
            <w:tcW w:w="0" w:type="dxa"/>
            <w:vAlign w:val="bottom"/>
          </w:tcPr>
          <w:p>
            <w:pPr>
              <w:spacing w:after="0"/>
              <w:rPr>
                <w:sz w:val="1"/>
                <w:szCs w:val="1"/>
                <w:color w:val="auto"/>
              </w:rPr>
            </w:pPr>
          </w:p>
        </w:tc>
      </w:tr>
      <w:tr>
        <w:trPr>
          <w:trHeight w:val="20"/>
        </w:trPr>
        <w:tc>
          <w:tcPr>
            <w:tcW w:w="352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w w:val="74"/>
              </w:rPr>
              <w:t>2011</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76"/>
              </w:rPr>
              <w:t>2010</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360" w:type="dxa"/>
            <w:vAlign w:val="bottom"/>
            <w:vMerge w:val="restart"/>
          </w:tcPr>
          <w:p>
            <w:pPr>
              <w:spacing w:after="0"/>
              <w:rPr>
                <w:sz w:val="13"/>
                <w:szCs w:val="13"/>
                <w:color w:val="auto"/>
              </w:rPr>
            </w:pPr>
          </w:p>
        </w:tc>
        <w:tc>
          <w:tcPr>
            <w:tcW w:w="8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i w:val="1"/>
                <w:iCs w:val="1"/>
                <w:color w:val="auto"/>
                <w:w w:val="76"/>
              </w:rPr>
              <w:t>2011</w:t>
            </w:r>
          </w:p>
        </w:tc>
        <w:tc>
          <w:tcPr>
            <w:tcW w:w="6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i w:val="1"/>
                <w:iCs w:val="1"/>
                <w:color w:val="auto"/>
              </w:rPr>
              <w:t>2010</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6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520" w:type="dxa"/>
            <w:vAlign w:val="bottom"/>
          </w:tcPr>
          <w:p>
            <w:pPr>
              <w:spacing w:after="0"/>
              <w:rPr>
                <w:sz w:val="20"/>
                <w:szCs w:val="20"/>
                <w:color w:val="auto"/>
              </w:rPr>
            </w:pPr>
            <w:r>
              <w:rPr>
                <w:rFonts w:ascii="Arial" w:cs="Arial" w:eastAsia="Arial" w:hAnsi="Arial"/>
                <w:sz w:val="18"/>
                <w:szCs w:val="18"/>
                <w:color w:val="auto"/>
              </w:rPr>
              <w:t>Net revenues</w:t>
            </w:r>
          </w:p>
        </w:tc>
        <w:tc>
          <w:tcPr>
            <w:tcW w:w="800" w:type="dxa"/>
            <w:vAlign w:val="bottom"/>
            <w:gridSpan w:val="3"/>
          </w:tcPr>
          <w:p>
            <w:pPr>
              <w:spacing w:after="0"/>
              <w:rPr>
                <w:sz w:val="20"/>
                <w:szCs w:val="20"/>
                <w:color w:val="auto"/>
              </w:rPr>
            </w:pPr>
            <w:r>
              <w:rPr>
                <w:rFonts w:ascii="Arial" w:cs="Arial" w:eastAsia="Arial" w:hAnsi="Arial"/>
                <w:sz w:val="18"/>
                <w:szCs w:val="18"/>
                <w:color w:val="auto"/>
              </w:rPr>
              <w:t>100.0%</w:t>
            </w:r>
          </w:p>
        </w:tc>
        <w:tc>
          <w:tcPr>
            <w:tcW w:w="700" w:type="dxa"/>
            <w:vAlign w:val="bottom"/>
            <w:gridSpan w:val="5"/>
          </w:tcPr>
          <w:p>
            <w:pPr>
              <w:ind w:left="20"/>
              <w:spacing w:after="0"/>
              <w:rPr>
                <w:sz w:val="20"/>
                <w:szCs w:val="20"/>
                <w:color w:val="auto"/>
              </w:rPr>
            </w:pPr>
            <w:r>
              <w:rPr>
                <w:rFonts w:ascii="Arial" w:cs="Arial" w:eastAsia="Arial" w:hAnsi="Arial"/>
                <w:sz w:val="18"/>
                <w:szCs w:val="18"/>
                <w:color w:val="auto"/>
              </w:rPr>
              <w:t>100.0%</w:t>
            </w:r>
          </w:p>
        </w:tc>
        <w:tc>
          <w:tcPr>
            <w:tcW w:w="1320" w:type="dxa"/>
            <w:vAlign w:val="bottom"/>
            <w:gridSpan w:val="4"/>
          </w:tcPr>
          <w:p>
            <w:pPr>
              <w:jc w:val="right"/>
              <w:ind w:right="400"/>
              <w:spacing w:after="0"/>
              <w:rPr>
                <w:sz w:val="20"/>
                <w:szCs w:val="20"/>
                <w:color w:val="auto"/>
              </w:rPr>
            </w:pPr>
            <w:r>
              <w:rPr>
                <w:rFonts w:ascii="Arial" w:cs="Arial" w:eastAsia="Arial" w:hAnsi="Arial"/>
                <w:sz w:val="18"/>
                <w:szCs w:val="18"/>
                <w:color w:val="auto"/>
              </w:rPr>
              <w:t>100.0%</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21"/>
        </w:trPr>
        <w:tc>
          <w:tcPr>
            <w:tcW w:w="352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47.</w:t>
            </w:r>
            <w:r>
              <w:rPr>
                <w:rFonts w:ascii="Arial" w:cs="Arial" w:eastAsia="Arial" w:hAnsi="Arial"/>
                <w:sz w:val="18"/>
                <w:szCs w:val="18"/>
                <w:u w:val="single" w:color="auto"/>
                <w:color w:val="auto"/>
                <w:w w:val="79"/>
              </w:rPr>
              <w:t>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76"/>
              </w:rPr>
              <w:t>51.</w:t>
            </w:r>
            <w:r>
              <w:rPr>
                <w:rFonts w:ascii="Arial" w:cs="Arial" w:eastAsia="Arial" w:hAnsi="Arial"/>
                <w:sz w:val="16"/>
                <w:szCs w:val="16"/>
                <w:u w:val="single" w:color="auto"/>
                <w:color w:val="auto"/>
                <w:w w:val="76"/>
              </w:rPr>
              <w:t>5</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352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52.</w:t>
            </w:r>
            <w:r>
              <w:rPr>
                <w:rFonts w:ascii="Arial" w:cs="Arial" w:eastAsia="Arial" w:hAnsi="Arial"/>
                <w:sz w:val="18"/>
                <w:szCs w:val="18"/>
                <w:u w:val="single" w:color="auto"/>
                <w:color w:val="auto"/>
                <w:w w:val="79"/>
              </w:rPr>
              <w:t>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48.2</w:t>
            </w:r>
          </w:p>
        </w:tc>
        <w:tc>
          <w:tcPr>
            <w:tcW w:w="3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76"/>
              </w:rPr>
              <w:t>48.</w:t>
            </w:r>
            <w:r>
              <w:rPr>
                <w:rFonts w:ascii="Arial" w:cs="Arial" w:eastAsia="Arial" w:hAnsi="Arial"/>
                <w:sz w:val="16"/>
                <w:szCs w:val="16"/>
                <w:u w:val="single" w:color="auto"/>
                <w:color w:val="auto"/>
                <w:w w:val="76"/>
              </w:rPr>
              <w:t>5</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352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520" w:type="dxa"/>
            <w:vAlign w:val="bottom"/>
          </w:tcPr>
          <w:p>
            <w:pPr>
              <w:spacing w:after="0"/>
              <w:rPr>
                <w:sz w:val="20"/>
                <w:szCs w:val="20"/>
                <w:color w:val="auto"/>
              </w:rPr>
            </w:pPr>
            <w:r>
              <w:rPr>
                <w:rFonts w:ascii="Arial" w:cs="Arial" w:eastAsia="Arial" w:hAnsi="Arial"/>
                <w:sz w:val="18"/>
                <w:szCs w:val="18"/>
                <w:color w:val="auto"/>
              </w:rPr>
              <w:t>Selling expense</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12.5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6"/>
                <w:szCs w:val="16"/>
                <w:color w:val="auto"/>
                <w:w w:val="76"/>
              </w:rPr>
              <w:t>11.9</w:t>
            </w: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53"/>
        </w:trPr>
        <w:tc>
          <w:tcPr>
            <w:tcW w:w="3520" w:type="dxa"/>
            <w:vAlign w:val="bottom"/>
          </w:tcPr>
          <w:p>
            <w:pPr>
              <w:spacing w:after="0"/>
              <w:rPr>
                <w:sz w:val="20"/>
                <w:szCs w:val="20"/>
                <w:color w:val="auto"/>
              </w:rPr>
            </w:pPr>
            <w:r>
              <w:rPr>
                <w:rFonts w:ascii="Arial" w:cs="Arial" w:eastAsia="Arial" w:hAnsi="Arial"/>
                <w:sz w:val="18"/>
                <w:szCs w:val="18"/>
                <w:color w:val="auto"/>
              </w:rPr>
              <w:t>Engineering and product development</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24"/>
                <w:szCs w:val="24"/>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35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8</w:t>
            </w:r>
          </w:p>
        </w:tc>
        <w:tc>
          <w:tcPr>
            <w:tcW w:w="580" w:type="dxa"/>
            <w:vAlign w:val="bottom"/>
          </w:tcPr>
          <w:p>
            <w:pPr>
              <w:spacing w:after="0"/>
              <w:rPr>
                <w:sz w:val="24"/>
                <w:szCs w:val="24"/>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52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20.7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4"/>
                <w:szCs w:val="24"/>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421"/>
        </w:trPr>
        <w:tc>
          <w:tcPr>
            <w:tcW w:w="35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0.</w:t>
            </w:r>
            <w:r>
              <w:rPr>
                <w:rFonts w:ascii="Arial" w:cs="Arial" w:eastAsia="Arial" w:hAnsi="Arial"/>
                <w:sz w:val="18"/>
                <w:szCs w:val="18"/>
                <w:u w:val="single" w:color="auto"/>
                <w:color w:val="auto"/>
                <w:w w:val="95"/>
              </w:rPr>
              <w:t>2</w:t>
            </w:r>
          </w:p>
        </w:tc>
        <w:tc>
          <w:tcPr>
            <w:tcW w:w="5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52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20.7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24"/>
                <w:szCs w:val="24"/>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(benefit)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35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gridSpan w:val="2"/>
          </w:tcPr>
          <w:p>
            <w:pPr>
              <w:spacing w:after="0"/>
              <w:rPr>
                <w:sz w:val="20"/>
                <w:szCs w:val="20"/>
                <w:color w:val="auto"/>
              </w:rPr>
            </w:pPr>
            <w:r>
              <w:rPr>
                <w:rFonts w:ascii="Arial" w:cs="Arial" w:eastAsia="Arial" w:hAnsi="Arial"/>
                <w:sz w:val="16"/>
                <w:szCs w:val="16"/>
                <w:color w:val="auto"/>
                <w:w w:val="76"/>
              </w:rPr>
              <w:t>(23.6)</w:t>
            </w:r>
          </w:p>
        </w:tc>
        <w:tc>
          <w:tcPr>
            <w:tcW w:w="4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300" w:type="dxa"/>
            <w:vAlign w:val="bottom"/>
          </w:tcPr>
          <w:p>
            <w:pPr>
              <w:spacing w:after="0"/>
              <w:rPr>
                <w:sz w:val="24"/>
                <w:szCs w:val="24"/>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(7.1)</w:t>
            </w: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0"/>
        </w:trPr>
        <w:tc>
          <w:tcPr>
            <w:tcW w:w="352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88" w:orient="portrait"/>
          <w:cols w:equalWidth="0" w:num="1">
            <w:col w:w="11420"/>
          </w:cols>
          <w:pgMar w:left="240" w:top="131" w:right="239" w:bottom="0" w:gutter="0" w:footer="0" w:header="0"/>
        </w:sectPr>
      </w:pPr>
    </w:p>
    <w:p>
      <w:pPr>
        <w:spacing w:after="0" w:line="62" w:lineRule="exact"/>
        <w:rPr>
          <w:sz w:val="20"/>
          <w:szCs w:val="20"/>
          <w:color w:val="auto"/>
        </w:rPr>
      </w:pPr>
    </w:p>
    <w:p>
      <w:pPr>
        <w:ind w:left="4600"/>
        <w:spacing w:after="0"/>
        <w:tabs>
          <w:tab w:leader="none" w:pos="5480" w:val="left"/>
          <w:tab w:leader="none" w:pos="6520" w:val="left"/>
          <w:tab w:leader="none" w:pos="7580" w:val="left"/>
        </w:tabs>
        <w:rPr>
          <w:sz w:val="20"/>
          <w:szCs w:val="20"/>
          <w:color w:val="auto"/>
        </w:rPr>
      </w:pPr>
      <w:r>
        <w:rPr>
          <w:rFonts w:ascii="Arial" w:cs="Arial" w:eastAsia="Arial" w:hAnsi="Arial"/>
          <w:sz w:val="18"/>
          <w:szCs w:val="18"/>
          <w:color w:val="auto"/>
        </w:rPr>
        <w:t>44 3 %</w:t>
      </w:r>
      <w:r>
        <w:rPr>
          <w:sz w:val="20"/>
          <w:szCs w:val="20"/>
          <w:color w:val="auto"/>
        </w:rPr>
        <w:tab/>
      </w:r>
      <w:r>
        <w:rPr>
          <w:rFonts w:ascii="Arial" w:cs="Arial" w:eastAsia="Arial" w:hAnsi="Arial"/>
          <w:sz w:val="18"/>
          <w:szCs w:val="18"/>
          <w:color w:val="auto"/>
        </w:rPr>
        <w:t>14 8 %</w:t>
      </w:r>
      <w:r>
        <w:rPr>
          <w:sz w:val="20"/>
          <w:szCs w:val="20"/>
          <w:color w:val="auto"/>
        </w:rPr>
        <w:tab/>
      </w:r>
      <w:r>
        <w:rPr>
          <w:rFonts w:ascii="Arial" w:cs="Arial" w:eastAsia="Arial" w:hAnsi="Arial"/>
          <w:sz w:val="18"/>
          <w:szCs w:val="18"/>
          <w:color w:val="auto"/>
        </w:rPr>
        <w:t>24 5 %</w:t>
      </w:r>
      <w:r>
        <w:rPr>
          <w:sz w:val="20"/>
          <w:szCs w:val="20"/>
          <w:color w:val="auto"/>
        </w:rPr>
        <w:tab/>
      </w:r>
      <w:r>
        <w:rPr>
          <w:rFonts w:ascii="Arial" w:cs="Arial" w:eastAsia="Arial" w:hAnsi="Arial"/>
          <w:sz w:val="16"/>
          <w:szCs w:val="16"/>
          <w:color w:val="auto"/>
        </w:rPr>
        <w:t>16 5 %</w:t>
      </w:r>
    </w:p>
    <w:p>
      <w:pPr>
        <w:sectPr>
          <w:pgSz w:w="11900" w:h="16988" w:orient="portrait"/>
          <w:cols w:equalWidth="0" w:num="1">
            <w:col w:w="11420"/>
          </w:cols>
          <w:pgMar w:left="240" w:top="131" w:right="239" w:bottom="0" w:gutter="0" w:footer="0" w:header="0"/>
          <w:type w:val="continuous"/>
        </w:sectPr>
      </w:pPr>
    </w:p>
    <w:bookmarkStart w:id="16" w:name="page17"/>
    <w:bookmarkEnd w:id="16"/>
    <w:p>
      <w:pPr>
        <w:ind w:left="1100"/>
        <w:spacing w:after="0"/>
        <w:rPr>
          <w:sz w:val="20"/>
          <w:szCs w:val="20"/>
          <w:color w:val="auto"/>
        </w:rPr>
      </w:pPr>
      <w:r>
        <w:rPr>
          <w:rFonts w:ascii="Arial" w:cs="Arial" w:eastAsia="Arial" w:hAnsi="Arial"/>
          <w:sz w:val="18"/>
          <w:szCs w:val="18"/>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-91440</wp:posOffset>
            </wp:positionV>
            <wp:extent cx="194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-91440</wp:posOffset>
            </wp:positionV>
            <wp:extent cx="194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-91440</wp:posOffset>
            </wp:positionV>
            <wp:extent cx="194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-91440</wp:posOffset>
            </wp:positionV>
            <wp:extent cx="194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September 30, 2011 Compared to Quarter Ended September 30, 2010</w:t>
      </w:r>
    </w:p>
    <w:p>
      <w:pPr>
        <w:spacing w:after="0" w:line="225"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$11.7 million for the quarter ended September 30, 2011 compared to $11.3 million for the same period in 2010,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$376,000 or 3%. Net revenues (net of intersegment sales) of our Mechanical and Electrical Products segments decreased $778,000 or 20% and $1.6 million or 63%, respectively, while the net revenues (net of intersegment sales) of our Thermal Products segment increased $2.7 million or 57% for the quarter ended September 30, 2011 as compared to the same period in 2010. We believe the increase in our consolidated net revenues during the third quarter of 2011 primarily reflects the factors previously discussed in the Overview.</w:t>
      </w:r>
    </w:p>
    <w:p>
      <w:pPr>
        <w:spacing w:after="0" w:line="170"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During the quarter ended September 30, 2011, our net revenues from customers in the U.S. increased 4% and our net revenues from foreign customers increased 3%, as compared to the same period in 2010. Adjusted to eliminate the impact of changes in foreign currency exchange rates, the increase from foreign customers would have been 2%.</w:t>
      </w:r>
    </w:p>
    <w:p>
      <w:pPr>
        <w:spacing w:after="0" w:line="194"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53% for the third quarter of 2011 compared to 48% for the same period in 2010. The increase in gross margin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changes in product mix for our Mechanical Products segment. During the quarter ended September 30, 2011, sales of our docking products represented a much greater percentage of the total net revenues for this segment as compared to the same period in 2010. Our docking products generally have a significantly higher gross margin than the other products manufactured by our Mechanical Products segment. During the third quarter of 2011, our fixed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300"/>
        <w:spacing w:after="0" w:line="306" w:lineRule="auto"/>
        <w:rPr>
          <w:sz w:val="20"/>
          <w:szCs w:val="20"/>
          <w:color w:val="auto"/>
        </w:rPr>
      </w:pPr>
      <w:r>
        <w:rPr>
          <w:rFonts w:ascii="Arial" w:cs="Arial" w:eastAsia="Arial" w:hAnsi="Arial"/>
          <w:sz w:val="16"/>
          <w:szCs w:val="16"/>
          <w:color w:val="auto"/>
        </w:rPr>
        <w:t>operating costs, direct labor and obsolescence expense were all relatively unchanged both in absolute dollar terms and as a percentage of net revenues. Increases in salary and benefits expense reflecting increased levels of staff, primarily at our Thermal Products segment, were offset by reductions in facility related costs as a result of the relocation of two of our domestic operations to smaller facilities during the first quarter of 2011.</w:t>
      </w:r>
    </w:p>
    <w:p>
      <w:pPr>
        <w:spacing w:after="0" w:line="161" w:lineRule="exact"/>
        <w:rPr>
          <w:sz w:val="20"/>
          <w:szCs w:val="20"/>
          <w:color w:val="auto"/>
        </w:rPr>
      </w:pPr>
    </w:p>
    <w:p>
      <w:pPr>
        <w:ind w:left="540" w:right="34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$1.5 million for the third quarter of 2011 compared to $1.4 million for the same period in 2010,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$17,000 or 1%. Increases in salaries and benefits expense and travel, primarily reflecting additional sales staff and increased international travel, were partially offset by decreases in commissions to internal sales staff and a reduction in accruals for product warranty claims.</w:t>
      </w:r>
    </w:p>
    <w:p>
      <w:pPr>
        <w:spacing w:after="0" w:line="161"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$809,000 for the third quarter of 2011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$767,000 for the same period in 2010, an increase of $42,000 or 6%. The increase in engineering and product development expense primarily reflects higher legal fees related to our intellectual property.</w:t>
      </w:r>
    </w:p>
    <w:p>
      <w:pPr>
        <w:spacing w:after="0" w:line="194" w:lineRule="exact"/>
        <w:rPr>
          <w:sz w:val="20"/>
          <w:szCs w:val="20"/>
          <w:color w:val="auto"/>
        </w:rPr>
      </w:pPr>
    </w:p>
    <w:p>
      <w:pPr>
        <w:jc w:val="both"/>
        <w:ind w:left="540" w:right="8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$1.4 million for the third quarter of 2011 compared to $1.6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2010, a decrease of $107,000 or 7%. The decrease primarily reflects lower levels of professional fees and a reduction in bad debt expense, which were partially offset by an increase in accruals for profit-related bonuses.</w:t>
      </w:r>
    </w:p>
    <w:p>
      <w:pPr>
        <w:spacing w:after="0" w:line="194"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was $5,000 for the third quarter of 2011 compared to other income of $8,000 for the third quarter of 2010.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primarily reflects lower interest expense as a result of the repayment of the notes payable to stockholder during the fourth quarter of 2010. This decrease was partially offset by reductions in other miscellaneous income items.</w:t>
      </w:r>
    </w:p>
    <w:p>
      <w:pPr>
        <w:spacing w:after="0" w:line="194"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For the quarter ended September 30, 2011, we recorded an income tax benefit of $2.8 million compared to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$16,000 for the same period in 2010.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third quarter of 2011, we reversed $2.9 million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Nine Months Ended September 30, 2011 Compared to Nine Months Ended September 30, 2010</w:t>
      </w:r>
    </w:p>
    <w:p>
      <w:pPr>
        <w:spacing w:after="0" w:line="225"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$37.2 million for the nine months ended September 30, 2011 compared to $36.1 million for the same period in 2010,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$1.1 million or 3%. Net revenues (net of intersegment sales) of our Mechanical and Electrical Products segments decreased $3.2 million or 19% and $2.2 million or 34%, respectively, while the net revenues (net of intersegment sales) of our Thermal Products segment increased $6.5 million or 50% for the nine months ended September 30, 2011 as compared to the same period in 2010. We believe the increase in our consolidated net revenues during the first nine months of 2011 primarily reflects the factors previously discussed in the Overview.</w:t>
      </w:r>
    </w:p>
    <w:p>
      <w:pPr>
        <w:spacing w:after="0" w:line="170"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During the nine months ended September 30, 2011, our net revenues from customers in the U.S. increased 8% while our net revenues from foreign customers were relatively unchanged as compared to the same period in 2010. Adjusted to eliminate the impact of changes in foreign currency exchange rates, our net revenues from foreign customers would have decreased 1%.</w:t>
      </w:r>
    </w:p>
    <w:p>
      <w:pPr>
        <w:spacing w:after="0" w:line="194"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49% for the nine months ended September 30, 2011 compared to 48% for the same period in 2010. While our fixed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costs increased in absolute dollar terms by $298,000 during the first nine months of 2011 as compared to the same period in 2010, these costs remained relatively unchanged as a percentage of net revenues for both periods. The increase in the absolute dollar value of these costs was primarily the result of higher salary and benefits expense during the first nine months of 2011 as compared to the same period in 2010, reflecting additional headcount and, to a lesser extent, the restoration of 401(k) Plan discretionary matching contributions effective April 1, 2010 and annual raises for employees which generally occur each July. We also incurred approximately $74,000 of move-related costs as a result of the</w:t>
      </w:r>
    </w:p>
    <w:p>
      <w:pPr>
        <w:sectPr>
          <w:pgSz w:w="11900" w:h="16838" w:orient="portrait"/>
          <w:cols w:equalWidth="0" w:num="1">
            <w:col w:w="11420"/>
          </w:cols>
          <w:pgMar w:left="240" w:top="131" w:right="239" w:bottom="0" w:gutter="0" w:footer="0" w:header="0"/>
        </w:sectPr>
      </w:pPr>
    </w:p>
    <w:bookmarkStart w:id="17" w:name="page18"/>
    <w:bookmarkEnd w:id="17"/>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relocation of our domestic Mechanical and Thermal Products segments during the first quarter of 2011. These increases were partially offset by reductions in other facility related costs which are the result of these two operations now occupying smaller facilities. Our direct labor costs were relatively unchanged, both in absolute dollar terms and as a percentage of net revenues for the first nine months of 2011 as compared to the same period in 2010. Our charges for obsolete and excess inventory were relatively unchanged at approximately 1% of net revenues for both the first nine months of 2011 and 2010; however, in absolute dollar terms, these charges decreased $143,000 during the first nine months of 2011 as compared to the same period in 2010, primarily reflecting fewer items falling into our standard obsolete and excess criteria.</w:t>
      </w:r>
    </w:p>
    <w:p>
      <w:pPr>
        <w:spacing w:after="0" w:line="174"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relatively unchanged at $4.4 million for both the first nine months of 2011 and 2010. Lower levels of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changes in product and customer mix were offset by an increase in salary and benefits expense and higher levels of international travel. The increase in salary and benefits expense primarily reflects the hiring of additional sales staff and, to a lesser extent, the aforementioned restoration of the 401(k) Plan discretionary matching contributions.</w:t>
      </w:r>
    </w:p>
    <w:p>
      <w:pPr>
        <w:spacing w:after="0" w:line="197" w:lineRule="exact"/>
        <w:rPr>
          <w:sz w:val="20"/>
          <w:szCs w:val="20"/>
          <w:color w:val="auto"/>
        </w:rPr>
      </w:pPr>
    </w:p>
    <w:p>
      <w:pPr>
        <w:ind w:left="540" w:right="40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$2.4 million for the first nine months of 2011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$2.3 million for the same period in 2010, an increase of $189,000 or 8%. The increase in engineering and product development expense primarily reflects higher legal fees related to our intellectual property and higher levels of spending on materials used in research and development activities.</w:t>
      </w:r>
    </w:p>
    <w:p>
      <w:pPr>
        <w:spacing w:after="0" w:line="197"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$4.7 million for both the first nine months of 2011 and 2010.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2011, salary and benefits expense increased reflecting additional headcount and, to a lesser extent, the aforementioned restoration of 401(k) Plan discretionary matching contributions and annual raises for employees which generally occur each July. The increase salary and benefits expense was offset by decreases in bad debt expense and lower levels of fees paid to third-party professionals that assist us with various compliance matters.</w:t>
      </w:r>
    </w:p>
    <w:p>
      <w:pPr>
        <w:spacing w:after="0" w:line="197" w:lineRule="exact"/>
        <w:rPr>
          <w:sz w:val="20"/>
          <w:szCs w:val="20"/>
          <w:color w:val="auto"/>
        </w:rPr>
      </w:pPr>
    </w:p>
    <w:p>
      <w:pPr>
        <w:jc w:val="both"/>
        <w:ind w:left="540" w:right="40"/>
        <w:spacing w:after="0" w:line="306"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was $71,000 for the first nine months of 2011 compared to other expense of $11,000 for the same period in 2010.</w:t>
      </w:r>
      <w:r>
        <w:rPr>
          <w:rFonts w:ascii="Arial" w:cs="Arial" w:eastAsia="Arial" w:hAnsi="Arial"/>
          <w:sz w:val="16"/>
          <w:szCs w:val="16"/>
          <w:i w:val="1"/>
          <w:iCs w:val="1"/>
          <w:color w:val="auto"/>
        </w:rPr>
        <w:t xml:space="preserve"> </w:t>
      </w:r>
      <w:r>
        <w:rPr>
          <w:rFonts w:ascii="Arial" w:cs="Arial" w:eastAsia="Arial" w:hAnsi="Arial"/>
          <w:sz w:val="16"/>
          <w:szCs w:val="16"/>
          <w:color w:val="auto"/>
        </w:rPr>
        <w:t>The shift from other expense in 2010 to other income in 2011 primarily reflects lower interest expense as a result of the repayment of the notes payable to stockholder during the fourth quarter of 2010 combined with a gain on sale of machinery and equipment during the first quarter of 2011.</w:t>
      </w:r>
    </w:p>
    <w:p>
      <w:pPr>
        <w:spacing w:after="0" w:line="161"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For the nine months ended September 30, 2011, we recorded an income tax benefit of $2.6 million compared with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of $17,000 for the same period in 2010.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third quarter of 2011, we reversed $2.9 million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Net cash provided by operations for the nine months ended September 30, 2011 was $5.8 million compared to net cash provided by operations of $3.6 million for the same period in 2010. While there was a $2.9 million increase in our deferred tax assets during the first nine months of 2011 as a result of reversing a portion of the valuation allowance against these assets, this transaction had no net impact on the cash provided by operations during the first nine months of 2011. The positive impact on our cash flow from operations from this increase in our deferred tax assets will be realized in future periods when we are able to reduce the amount of our cash payments to taxing authorities as we utilize these assets to offset future tax liabilities. The increase in net cash provided by operations primarily reflects a lower level of increase in the amount of accounts receivable during the first nine months of 2011 as compared to the first nine months of 2010 which was partially offset by an increase in the level of inventory we are carrying. Both of these changes reflect the overall higher level of business activity we have experienced in late 2010 and the first nine months of 2011 as compared to the same periods in 2009/2010. At the same time, during the first nine months of 2011, we have not seen a significant change in the average amount of our outstanding accounts payable compared to a $1.0 million decrease in the amount of our outstanding accounts payable during the comparable period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in 2010. This primarily reflects the fact that we had been paying many of our vendors more slowly during 2009, but as business began to improve in 2010, we brought our vendors back to more normal payment terms. Similarly, there has been no significant change in accrued wages and benefits during the first nine months of 2011 compared with an $865,000 increase in accrued wages and benefits during the first nine months of 2010. This primarily reflects that during both 2010 and 2011 we have accrued profit-based bonuses on our positive results. These bonuses are not paid out until the first quarter of the year following the year in which they are accrued. There were no similar bonuses accrued during 2009 as we lost money for the full year. Accordingly, there were no accrued profit-based bonuses on the balance sheet at the end of 2009.</w:t>
      </w:r>
    </w:p>
    <w:p>
      <w:pPr>
        <w:spacing w:after="0" w:line="174" w:lineRule="exact"/>
        <w:rPr>
          <w:sz w:val="20"/>
          <w:szCs w:val="20"/>
          <w:color w:val="auto"/>
        </w:rPr>
      </w:pPr>
    </w:p>
    <w:p>
      <w:pPr>
        <w:ind w:left="540" w:right="260"/>
        <w:spacing w:after="0" w:line="256" w:lineRule="auto"/>
        <w:rPr>
          <w:sz w:val="20"/>
          <w:szCs w:val="20"/>
          <w:color w:val="auto"/>
        </w:rPr>
      </w:pPr>
      <w:r>
        <w:rPr>
          <w:rFonts w:ascii="Arial" w:cs="Arial" w:eastAsia="Arial" w:hAnsi="Arial"/>
          <w:sz w:val="18"/>
          <w:szCs w:val="18"/>
          <w:color w:val="auto"/>
        </w:rPr>
        <w:t>Purchases of property and equipment were $685,000 for the nine months ended September 30, 2011. These purchases primarily represent leasehold improvements and other equipment purchased as a result of the relocation of two of our domestic facilities during the first quarter of 2011. We have no significant commitments for capital expenditures for the balance of 2011, however, depending upon changes in market demand, we may make such purchases as we deem necessary and appropriate.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During the third quarter of 2011, we terminated our secured credit facility. This credit facility had provided for maximum borrowings of $250,000. While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this facility was in place, we had not used it to borrow any funds. Our usage consisted of the issuance of two letters of credit in the face amounts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$200,000 and $50,000, respectively. These letters of credit were issued as security deposits under two of our operating leases. We paid a quarterly fee of</w:t>
      </w:r>
    </w:p>
    <w:p>
      <w:pPr>
        <w:sectPr>
          <w:pgSz w:w="11900" w:h="16877" w:orient="portrait"/>
          <w:cols w:equalWidth="0" w:num="1">
            <w:col w:w="11400"/>
          </w:cols>
          <w:pgMar w:left="240" w:top="131" w:right="259" w:bottom="0" w:gutter="0" w:footer="0" w:header="0"/>
        </w:sectPr>
      </w:pPr>
    </w:p>
    <w:bookmarkStart w:id="18" w:name="page19"/>
    <w:bookmarkEnd w:id="18"/>
    <w:p>
      <w:pPr>
        <w:spacing w:after="0" w:line="90"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1.5% per annum on the total amount of the outstanding letters of credit. At the time this facility was terminated, the $200,000 letter of credit that had been issued under this facility had already been terminated, as the lease in connection with which it had been issued ended in February 2011. The $50,000 letter of credit that had been issued under this facility was converted to a standalone letter of credit which is secured by a pledged certificate of deposit. On April 1, 2010 and November 8, 2010, two additional letters of credit were issued in the face amounts of $250,000 and $200,000, respectively. These letters of credit are supported by separate pledged certificates of deposit that were not a part of our secured credit facility.</w:t>
      </w:r>
    </w:p>
    <w:p>
      <w:pPr>
        <w:spacing w:after="0" w:line="170" w:lineRule="exact"/>
        <w:rPr>
          <w:sz w:val="20"/>
          <w:szCs w:val="20"/>
          <w:color w:val="auto"/>
        </w:rPr>
      </w:pPr>
    </w:p>
    <w:p>
      <w:pPr>
        <w:ind w:left="540" w:right="80"/>
        <w:spacing w:after="0" w:line="288" w:lineRule="auto"/>
        <w:rPr>
          <w:sz w:val="20"/>
          <w:szCs w:val="20"/>
          <w:color w:val="auto"/>
        </w:rPr>
      </w:pPr>
      <w:r>
        <w:rPr>
          <w:rFonts w:ascii="Arial" w:cs="Arial" w:eastAsia="Arial" w:hAnsi="Arial"/>
          <w:sz w:val="16"/>
          <w:szCs w:val="16"/>
          <w:color w:val="auto"/>
        </w:rPr>
        <w:t>On May 4, 2011, we filed a shelf registration statement on Form S-3 with the Securities and Exchange Commission for the offering, from time to time, of securities to be issued by us. The shelf registration statement will allow us to raise capital from the offering of up to $30 million of common stock, preferred stock, warrants, debt securities and/or units, conducted in one or more offerings while the shelf registration statement is effective. The specific terms of any particular securities that we may offer will be determined at the time of such offering and will be described in a separately filed prospectus supplement at the time of such offering. The maximum amount of securities offered and sold under the registration statement during any period of twelve months immediately prior to and including such sale, may not exceed one-third of the aggregate market value of the common equity held by non-affiliates. An offering under this registration statement would provide us with increased financial flexibility. Proceeds may be used for possible acquisitions of businesses, technologies or products that are complementary to our existing businesses or for other general corporate purposes, including working capital.</w:t>
      </w:r>
    </w:p>
    <w:p>
      <w:pPr>
        <w:spacing w:after="0" w:line="174"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As of September 30, 2011, we had cash and cash equivalents of $12.1 million.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income taxes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affecting them may differ markedly from what had been assumed when the financial statements were prepared. As of September 30, 2011, there have been no significant changes to the accounting policies that we have deemed critical. These policies are more fully described in our 2010 Form 10-K.</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September 30, 2011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right="100"/>
        <w:spacing w:after="0" w:line="326" w:lineRule="auto"/>
        <w:rPr>
          <w:sz w:val="20"/>
          <w:szCs w:val="20"/>
          <w:color w:val="auto"/>
        </w:rPr>
      </w:pPr>
      <w:r>
        <w:rPr>
          <w:rFonts w:ascii="Arial" w:cs="Arial" w:eastAsia="Arial" w:hAnsi="Arial"/>
          <w:sz w:val="15"/>
          <w:szCs w:val="15"/>
          <w:b w:val="1"/>
          <w:bCs w:val="1"/>
          <w:color w:val="auto"/>
        </w:rPr>
        <w:t>Limitations on the Effectiveness of Controls</w:t>
      </w:r>
      <w:r>
        <w:rPr>
          <w:rFonts w:ascii="Arial" w:cs="Arial" w:eastAsia="Arial" w:hAnsi="Arial"/>
          <w:sz w:val="15"/>
          <w:szCs w:val="15"/>
          <w:color w:val="auto"/>
        </w:rPr>
        <w:t>. Our management, including the CEO and CFO, does not expect that our disclosure controls and</w:t>
      </w:r>
      <w:r>
        <w:rPr>
          <w:rFonts w:ascii="Arial" w:cs="Arial" w:eastAsia="Arial" w:hAnsi="Arial"/>
          <w:sz w:val="15"/>
          <w:szCs w:val="15"/>
          <w:b w:val="1"/>
          <w:bCs w:val="1"/>
          <w:color w:val="auto"/>
        </w:rPr>
        <w:t xml:space="preserve"> </w:t>
      </w:r>
      <w:r>
        <w:rPr>
          <w:rFonts w:ascii="Arial" w:cs="Arial" w:eastAsia="Arial" w:hAnsi="Arial"/>
          <w:sz w:val="15"/>
          <w:szCs w:val="15"/>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w:t>
      </w:r>
    </w:p>
    <w:p>
      <w:pPr>
        <w:sectPr>
          <w:pgSz w:w="11900" w:h="16929" w:orient="portrait"/>
          <w:cols w:equalWidth="0" w:num="1">
            <w:col w:w="11420"/>
          </w:cols>
          <w:pgMar w:left="240" w:top="131" w:right="239" w:bottom="0" w:gutter="0" w:footer="0" w:header="0"/>
        </w:sectPr>
      </w:pPr>
    </w:p>
    <w:bookmarkStart w:id="19" w:name="page20"/>
    <w:bookmarkEnd w:id="19"/>
    <w:p>
      <w:pPr>
        <w:ind w:left="540"/>
        <w:spacing w:after="0" w:line="288" w:lineRule="auto"/>
        <w:rPr>
          <w:sz w:val="20"/>
          <w:szCs w:val="20"/>
          <w:color w:val="auto"/>
        </w:rPr>
      </w:pPr>
      <w:r>
        <w:rPr>
          <w:rFonts w:ascii="Arial" w:cs="Arial" w:eastAsia="Arial" w:hAnsi="Arial"/>
          <w:sz w:val="16"/>
          <w:szCs w:val="16"/>
          <w:color w:val="auto"/>
        </w:rPr>
        <w:t>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8"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306" w:lineRule="auto"/>
        <w:rPr>
          <w:sz w:val="20"/>
          <w:szCs w:val="20"/>
          <w:color w:val="auto"/>
        </w:rPr>
      </w:pPr>
      <w:r>
        <w:rPr>
          <w:rFonts w:ascii="Arial" w:cs="Arial" w:eastAsia="Arial" w:hAnsi="Arial"/>
          <w:sz w:val="16"/>
          <w:szCs w:val="16"/>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2010. There have been no significant changes in risk factors from those set forth in our 2010 Form 10-K.</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31" w:right="239" w:bottom="0" w:gutter="0" w:footer="0" w:header="0"/>
        </w:sectPr>
      </w:pPr>
    </w:p>
    <w:bookmarkStart w:id="20" w:name="page21"/>
    <w:bookmarkEnd w:id="20"/>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14, 2011</w:t>
            </w:r>
          </w:p>
        </w:tc>
        <w:tc>
          <w:tcPr>
            <w:tcW w:w="458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280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14, 2011</w:t>
            </w:r>
          </w:p>
        </w:tc>
        <w:tc>
          <w:tcPr>
            <w:tcW w:w="458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306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Secretary, Treasurer and Chief Financial Officer</w:t>
            </w:r>
          </w:p>
        </w:tc>
      </w:tr>
      <w:tr>
        <w:trPr>
          <w:trHeight w:val="797"/>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80" w:type="dxa"/>
            <w:vAlign w:val="bottom"/>
            <w:gridSpan w:val="3"/>
          </w:tcPr>
          <w:p>
            <w:pPr>
              <w:ind w:left="1440"/>
              <w:spacing w:after="0"/>
              <w:rPr>
                <w:sz w:val="20"/>
                <w:szCs w:val="20"/>
                <w:color w:val="auto"/>
              </w:rPr>
            </w:pPr>
            <w:r>
              <w:rPr>
                <w:rFonts w:ascii="Arial" w:cs="Arial" w:eastAsia="Arial" w:hAnsi="Arial"/>
                <w:sz w:val="18"/>
                <w:szCs w:val="18"/>
                <w:b w:val="1"/>
                <w:bCs w:val="1"/>
                <w:color w:val="auto"/>
                <w:w w:val="92"/>
              </w:rPr>
              <w:t>- - - - - - - - - - - - - - - - - - - - - - - - - - -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382" w:lineRule="exact"/>
        <w:rPr>
          <w:sz w:val="20"/>
          <w:szCs w:val="20"/>
          <w:color w:val="auto"/>
        </w:rPr>
      </w:pPr>
    </w:p>
    <w:p>
      <w:pPr>
        <w:ind w:left="400" w:right="4499"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jc w:val="both"/>
        <w:ind w:left="400" w:right="3939" w:hanging="394"/>
        <w:spacing w:after="0" w:line="259" w:lineRule="auto"/>
        <w:rPr>
          <w:sz w:val="20"/>
          <w:szCs w:val="20"/>
          <w:color w:val="auto"/>
        </w:rPr>
      </w:pPr>
      <w:r>
        <w:rPr>
          <w:rFonts w:ascii="Arial" w:cs="Arial" w:eastAsia="Arial" w:hAnsi="Arial"/>
          <w:sz w:val="18"/>
          <w:szCs w:val="18"/>
          <w:color w:val="auto"/>
        </w:rPr>
        <w:t>3.2* ByLaws of inTEST Corporation, as amended on October 30, 2007: Previously filed as Exhibit 3.2 of the Company's Form 8-K on November 5, 2007 and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199"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259"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219"/>
          </w:cols>
          <w:pgMar w:left="240" w:top="139"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14, 2011</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14, 2011</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8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September 30, 2011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14, 2011</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September 30, 2011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14, 2011</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2019-12-10T16:02:24Z</dcterms:created>
  <dcterms:modified xsi:type="dcterms:W3CDTF">2019-12-10T16:02:24Z</dcterms:modified>
</cp:coreProperties>
</file>