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175260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189865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23" w:lineRule="exact"/>
        <w:rPr>
          <w:sz w:val="24"/>
          <w:szCs w:val="24"/>
          <w:color w:val="auto"/>
        </w:rPr>
      </w:pPr>
    </w:p>
    <w:p>
      <w:pPr>
        <w:ind w:left="3840" w:right="1780" w:hanging="3833"/>
        <w:spacing w:after="0" w:line="26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2022</w:t>
      </w:r>
      <w:r>
        <w:rPr>
          <w:rFonts w:ascii="Times New Roman" w:cs="Times New Roman" w:eastAsia="Times New Roman" w:hAnsi="Times New Roman"/>
          <w:sz w:val="18"/>
          <w:szCs w:val="18"/>
          <w:color w:val="auto"/>
        </w:rPr>
        <w:t xml:space="preserve"> or</w:t>
      </w:r>
    </w:p>
    <w:p>
      <w:pPr>
        <w:spacing w:after="0" w:line="172" w:lineRule="exact"/>
        <w:rPr>
          <w:sz w:val="24"/>
          <w:szCs w:val="24"/>
          <w:color w:val="auto"/>
        </w:rPr>
      </w:pPr>
    </w:p>
    <w:p>
      <w:pPr>
        <w:ind w:left="340" w:hanging="333"/>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3620770</wp:posOffset>
            </wp:positionH>
            <wp:positionV relativeFrom="paragraph">
              <wp:posOffset>-20955</wp:posOffset>
            </wp:positionV>
            <wp:extent cx="1280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1-36117</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inTEST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52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804 East Gate Drive, Suite 200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Mt. Laurel, New Jersey 08054</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(856) 505-8800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40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6"/>
        </w:trPr>
        <w:tc>
          <w:tcPr>
            <w:tcW w:w="36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00" w:type="dxa"/>
            <w:vAlign w:val="bottom"/>
          </w:tcPr>
          <w:p>
            <w:pPr>
              <w:spacing w:after="0"/>
              <w:rPr>
                <w:sz w:val="20"/>
                <w:szCs w:val="20"/>
                <w:color w:val="auto"/>
              </w:rPr>
            </w:pPr>
          </w:p>
        </w:tc>
        <w:tc>
          <w:tcPr>
            <w:tcW w:w="17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INTT</w:t>
            </w:r>
          </w:p>
        </w:tc>
        <w:tc>
          <w:tcPr>
            <w:tcW w:w="5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6" w:lineRule="exact"/>
        <w:rPr>
          <w:sz w:val="24"/>
          <w:szCs w:val="24"/>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38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685" w:right="359" w:bottom="1440" w:gutter="0" w:footer="0" w:header="0"/>
        </w:sectPr>
      </w:pP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7" w:lineRule="exact"/>
        <w:rPr>
          <w:sz w:val="24"/>
          <w:szCs w:val="24"/>
          <w:color w:val="auto"/>
        </w:rPr>
      </w:pPr>
    </w:p>
    <w:p>
      <w:pPr>
        <w:sectPr>
          <w:pgSz w:w="11900" w:h="16838" w:orient="portrait"/>
          <w:cols w:equalWidth="0" w:num="2">
            <w:col w:w="6000" w:space="720"/>
            <w:col w:w="4500"/>
          </w:cols>
          <w:pgMar w:left="320" w:top="68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2">
            <w:col w:w="1960" w:space="100"/>
            <w:col w:w="9160"/>
          </w:cols>
          <w:pgMar w:left="320" w:top="685" w:right="359" w:bottom="1440" w:gutter="0" w:footer="0" w:header="0"/>
          <w:type w:val="continuous"/>
        </w:sectPr>
      </w:pPr>
    </w:p>
    <w:p>
      <w:pPr>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outstanding as of the close of business on May 2, 2022:  11,005,180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inTEST CORPORATION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March 31, 2022 (Unaudited) and December 31, 2021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months ended March 31, 2022 and 2021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Unaudited Consolidated Statements of Comprehensive Earnings for the three months ended March 31, 2022 and 2021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 for the three months ended March 31, 2022 and 2021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three months ended March 31, 2022 and 2021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1A.</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Defaults Upon Senior Securities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5.</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5"/>
              </w:rPr>
              <w:t>SIGNATURES</w:t>
            </w:r>
          </w:p>
        </w:tc>
        <w:tc>
          <w:tcPr>
            <w:tcW w:w="96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17,211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$212 and $213, respectively</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102,934</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Term Note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Term Note, net of current portion</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49,082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$0.01 par value; 20,000,000 shares authorized; 10,995,194 and 10,910,460 shares issued,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33,077 shares</w:t>
            </w:r>
          </w:p>
        </w:tc>
        <w:tc>
          <w:tcPr>
            <w:tcW w:w="20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102,934</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24,081</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expense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10,617,271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10,329,449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and common share equivalents outstanding – diluted</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10,842,592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10,525,826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300" w:type="dxa"/>
            <w:vAlign w:val="bottom"/>
            <w:gridSpan w:val="3"/>
          </w:tcPr>
          <w:p>
            <w:pPr>
              <w:ind w:left="34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1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554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Unrealized gain on interest rate swap agreement</w:t>
            </w: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4520" w:type="dxa"/>
            <w:vAlign w:val="bottom"/>
          </w:tcPr>
          <w:p>
            <w:pPr>
              <w:spacing w:after="0"/>
              <w:rPr>
                <w:sz w:val="18"/>
                <w:szCs w:val="18"/>
                <w:color w:val="auto"/>
              </w:rPr>
            </w:pP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5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10,910,460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54,823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10,995,194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30,358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10,562,200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5"/>
        </w:trPr>
        <w:tc>
          <w:tcPr>
            <w:tcW w:w="3200" w:type="dxa"/>
            <w:vAlign w:val="bottom"/>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10,743,408</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740" w:type="dxa"/>
            <w:vAlign w:val="bottom"/>
            <w:gridSpan w:val="18"/>
          </w:tcPr>
          <w:p>
            <w:pPr>
              <w:ind w:left="3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5"/>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0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exchange loss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deferred compensation related to stock-based awards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sale of demonstration equipment, net of gain</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Term Note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shares sold under Employee Stock Purchase Plan</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0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all activities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17,211</w:t>
            </w:r>
          </w:p>
        </w:tc>
        <w:tc>
          <w:tcPr>
            <w:tcW w:w="1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9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and foreign income taxes</w:t>
            </w:r>
          </w:p>
        </w:tc>
        <w:tc>
          <w:tcPr>
            <w:tcW w:w="20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preliminary purchase accounting for Acculogic (Note 3)</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liability for contingent consideration</w:t>
            </w:r>
          </w:p>
        </w:tc>
        <w:tc>
          <w:tcPr>
            <w:tcW w:w="20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fair value of intangible assets</w:t>
            </w:r>
          </w:p>
        </w:tc>
        <w:tc>
          <w:tcPr>
            <w:tcW w:w="20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goodwill</w:t>
            </w:r>
          </w:p>
        </w:tc>
        <w:tc>
          <w:tcPr>
            <w:tcW w:w="20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 w:name="page8"/>
    <w:bookmarkEnd w:id="7"/>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13" w:hanging="813"/>
        <w:spacing w:after="0"/>
        <w:tabs>
          <w:tab w:leader="none" w:pos="81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7" w:lineRule="exact"/>
        <w:rPr>
          <w:sz w:val="20"/>
          <w:szCs w:val="20"/>
          <w:color w:val="auto"/>
        </w:rPr>
      </w:pPr>
    </w:p>
    <w:p>
      <w:pPr>
        <w:ind w:left="773" w:right="20"/>
        <w:spacing w:after="0" w:line="254" w:lineRule="auto"/>
        <w:rPr>
          <w:sz w:val="20"/>
          <w:szCs w:val="20"/>
          <w:color w:val="auto"/>
        </w:rPr>
      </w:pPr>
      <w:r>
        <w:rPr>
          <w:rFonts w:ascii="Times New Roman" w:cs="Times New Roman" w:eastAsia="Times New Roman" w:hAnsi="Times New Roman"/>
          <w:sz w:val="18"/>
          <w:szCs w:val="18"/>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As discussed further in Note 15, effective January 1, 2022, we reorganized our operating segments. Accordingly, for 2022, we have three operating segments which are also our reportable segments and reporting units: Electronic Test, Environmental Technologies and Process Technologies. Prior period information has been reclassified to be comparable to the current period’s presentation.</w:t>
      </w:r>
    </w:p>
    <w:p>
      <w:pPr>
        <w:spacing w:after="0" w:line="186" w:lineRule="exact"/>
        <w:rPr>
          <w:sz w:val="20"/>
          <w:szCs w:val="20"/>
          <w:color w:val="auto"/>
        </w:rPr>
      </w:pPr>
    </w:p>
    <w:p>
      <w:pPr>
        <w:jc w:val="both"/>
        <w:ind w:left="773" w:right="500"/>
        <w:spacing w:after="0" w:line="287" w:lineRule="auto"/>
        <w:rPr>
          <w:sz w:val="20"/>
          <w:szCs w:val="20"/>
          <w:color w:val="auto"/>
        </w:rPr>
      </w:pPr>
      <w:r>
        <w:rPr>
          <w:rFonts w:ascii="Times New Roman" w:cs="Times New Roman" w:eastAsia="Times New Roman" w:hAnsi="Times New Roman"/>
          <w:sz w:val="17"/>
          <w:szCs w:val="17"/>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59" w:lineRule="exact"/>
        <w:rPr>
          <w:sz w:val="20"/>
          <w:szCs w:val="20"/>
          <w:color w:val="auto"/>
        </w:rPr>
      </w:pPr>
    </w:p>
    <w:p>
      <w:pPr>
        <w:ind w:left="773" w:right="100"/>
        <w:spacing w:after="0" w:line="256" w:lineRule="auto"/>
        <w:rPr>
          <w:sz w:val="20"/>
          <w:szCs w:val="20"/>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86" w:lineRule="exact"/>
        <w:rPr>
          <w:sz w:val="20"/>
          <w:szCs w:val="20"/>
          <w:color w:val="auto"/>
        </w:rPr>
      </w:pPr>
    </w:p>
    <w:p>
      <w:pPr>
        <w:ind w:left="773"/>
        <w:spacing w:after="0" w:line="254" w:lineRule="auto"/>
        <w:rPr>
          <w:sz w:val="20"/>
          <w:szCs w:val="20"/>
          <w:color w:val="auto"/>
        </w:rPr>
      </w:pPr>
      <w:r>
        <w:rPr>
          <w:rFonts w:ascii="Times New Roman" w:cs="Times New Roman" w:eastAsia="Times New Roman" w:hAnsi="Times New Roman"/>
          <w:sz w:val="18"/>
          <w:szCs w:val="18"/>
          <w:color w:val="auto"/>
        </w:rPr>
        <w:t>The semiconductor market (“semi” or the “semi market”) which includes both the broader semiconductor market, as well as the more specialized automated test equipment (“ATE”) and wafer processing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86" w:lineRule="exact"/>
        <w:rPr>
          <w:sz w:val="20"/>
          <w:szCs w:val="20"/>
          <w:color w:val="auto"/>
        </w:rPr>
      </w:pPr>
    </w:p>
    <w:p>
      <w:pPr>
        <w:ind w:left="773"/>
        <w:spacing w:after="0" w:line="253" w:lineRule="auto"/>
        <w:rPr>
          <w:sz w:val="20"/>
          <w:szCs w:val="20"/>
          <w:color w:val="auto"/>
        </w:rPr>
      </w:pPr>
      <w:r>
        <w:rPr>
          <w:rFonts w:ascii="Times New Roman" w:cs="Times New Roman" w:eastAsia="Times New Roman" w:hAnsi="Times New Roman"/>
          <w:sz w:val="18"/>
          <w:szCs w:val="18"/>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processing sector within the semi market. It also sells its products to customers in a variety of other markets other than the semi market, including the automotive, defense/aerospace, industrial, life sciences and security markets.</w:t>
      </w:r>
    </w:p>
    <w:p>
      <w:pPr>
        <w:spacing w:after="0" w:line="186" w:lineRule="exact"/>
        <w:rPr>
          <w:sz w:val="20"/>
          <w:szCs w:val="20"/>
          <w:color w:val="auto"/>
        </w:rPr>
      </w:pPr>
    </w:p>
    <w:p>
      <w:pPr>
        <w:ind w:left="773" w:right="40"/>
        <w:spacing w:after="0" w:line="253" w:lineRule="auto"/>
        <w:rPr>
          <w:sz w:val="20"/>
          <w:szCs w:val="20"/>
          <w:color w:val="auto"/>
        </w:rPr>
      </w:pPr>
      <w:r>
        <w:rPr>
          <w:rFonts w:ascii="Times New Roman" w:cs="Times New Roman" w:eastAsia="Times New Roman" w:hAnsi="Times New Roman"/>
          <w:sz w:val="18"/>
          <w:szCs w:val="18"/>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8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93"/>
          </w:cols>
          <w:pgMar w:left="327" w:top="574" w:right="379" w:bottom="1440" w:gutter="0" w:footer="0" w:header="0"/>
        </w:sectPr>
      </w:pPr>
    </w:p>
    <w:bookmarkStart w:id="8" w:name="page9"/>
    <w:bookmarkEnd w:id="8"/>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Pandemic</w:t>
      </w:r>
    </w:p>
    <w:p>
      <w:pPr>
        <w:spacing w:after="0" w:line="227" w:lineRule="exact"/>
        <w:rPr>
          <w:sz w:val="20"/>
          <w:szCs w:val="20"/>
          <w:color w:val="auto"/>
        </w:rPr>
      </w:pPr>
    </w:p>
    <w:p>
      <w:pPr>
        <w:ind w:left="773" w:right="40"/>
        <w:spacing w:after="0" w:line="251" w:lineRule="auto"/>
        <w:rPr>
          <w:sz w:val="20"/>
          <w:szCs w:val="20"/>
          <w:color w:val="auto"/>
        </w:rPr>
      </w:pPr>
      <w:r>
        <w:rPr>
          <w:rFonts w:ascii="Times New Roman" w:cs="Times New Roman" w:eastAsia="Times New Roman" w:hAnsi="Times New Roman"/>
          <w:sz w:val="18"/>
          <w:szCs w:val="18"/>
          <w:color w:val="auto"/>
        </w:rPr>
        <w:t>With respect to the COVID-19 pandemic, we are following the guidance of the Centers for Disease Control and Prevention and the local regulatory authorities in regions outside the U.S. While in most cases we are no longer requiring employees to wear masks indoors in our domestic locations, in certain of our facilities, where we have experienced a recent increase in the number of employees contracting the virus, we have re-instituted a mask requirement. We are encouraging all employees to receive COVID-19 vaccinations and boosters, if possible. We are continuing to conduct temperature screenings and encouraging all employees to maintain social distancing when appropriate. We are also continuing to allow employees to work remotely either part-time or full-time in circumstances when possible. We are still assessing the impact of the recent increase in cases in certain of our facilities and exploring alternatives to address the lost production time. With regard to the recent shutdowns in China, we are working with our customers to identify alternate plans for delivery of our products to this region. If the spread of COVID-19 or its variants continues to worsen, we may experience additional lost production time or further interruption in our ability to ship our products to our customers. In addition, if one or more of our significant customers or suppliers is impacted, or significant additional governmental regulations and restrictions are imposed, our business in the future could be negatively impacted. We continue to monitor the situation closely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13" w:hanging="813"/>
        <w:spacing w:after="0"/>
        <w:tabs>
          <w:tab w:leader="none" w:pos="81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3"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 and Use of Estimates</w:t>
      </w:r>
    </w:p>
    <w:p>
      <w:pPr>
        <w:spacing w:after="0" w:line="227" w:lineRule="exact"/>
        <w:rPr>
          <w:sz w:val="20"/>
          <w:szCs w:val="20"/>
          <w:color w:val="auto"/>
        </w:rPr>
      </w:pPr>
    </w:p>
    <w:p>
      <w:pPr>
        <w:ind w:left="773"/>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spacing w:after="0" w:line="186" w:lineRule="exact"/>
        <w:rPr>
          <w:sz w:val="20"/>
          <w:szCs w:val="20"/>
          <w:color w:val="auto"/>
        </w:rPr>
      </w:pPr>
    </w:p>
    <w:p>
      <w:pPr>
        <w:ind w:left="773" w:right="100"/>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2021 (the “2021 Form 10-K”) filed on March 23, 2022 with the Securities and Exchange Commission.</w:t>
      </w:r>
    </w:p>
    <w:p>
      <w:pPr>
        <w:spacing w:after="0" w:line="181"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w:t>
      </w:r>
    </w:p>
    <w:p>
      <w:pPr>
        <w:spacing w:after="0" w:line="227"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color w:val="auto"/>
        </w:rPr>
        <w:t>Certain prior period amounts have been reclassified to be comparable with the current period's presentation.</w:t>
      </w:r>
    </w:p>
    <w:p>
      <w:pPr>
        <w:spacing w:after="0" w:line="219"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Subsequent Events</w:t>
      </w:r>
    </w:p>
    <w:p>
      <w:pPr>
        <w:spacing w:after="0" w:line="227" w:lineRule="exact"/>
        <w:rPr>
          <w:sz w:val="20"/>
          <w:szCs w:val="20"/>
          <w:color w:val="auto"/>
        </w:rPr>
      </w:pPr>
    </w:p>
    <w:p>
      <w:pPr>
        <w:ind w:left="773" w:right="680"/>
        <w:spacing w:after="0" w:line="280" w:lineRule="auto"/>
        <w:rPr>
          <w:sz w:val="20"/>
          <w:szCs w:val="20"/>
          <w:color w:val="auto"/>
        </w:rPr>
      </w:pPr>
      <w:r>
        <w:rPr>
          <w:rFonts w:ascii="Times New Roman" w:cs="Times New Roman" w:eastAsia="Times New Roman" w:hAnsi="Times New Roman"/>
          <w:sz w:val="18"/>
          <w:szCs w:val="18"/>
          <w:color w:val="auto"/>
        </w:rPr>
        <w:t>We have made an assessment of our operations and determined that there were no material subsequent events requiring adjustment to, or disclosure in, our consolidated financial statements for the three months ended March 31, 2022.</w:t>
      </w:r>
    </w:p>
    <w:p>
      <w:pPr>
        <w:spacing w:after="0" w:line="158"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227" w:lineRule="exact"/>
        <w:rPr>
          <w:sz w:val="20"/>
          <w:szCs w:val="20"/>
          <w:color w:val="auto"/>
        </w:rPr>
      </w:pPr>
    </w:p>
    <w:p>
      <w:pPr>
        <w:ind w:left="773" w:right="80"/>
        <w:spacing w:after="0" w:line="253" w:lineRule="auto"/>
        <w:rPr>
          <w:sz w:val="20"/>
          <w:szCs w:val="20"/>
          <w:color w:val="auto"/>
        </w:rPr>
      </w:pPr>
      <w:r>
        <w:rPr>
          <w:rFonts w:ascii="Times New Roman" w:cs="Times New Roman" w:eastAsia="Times New Roman" w:hAnsi="Times New Roman"/>
          <w:sz w:val="18"/>
          <w:szCs w:val="18"/>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6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credit facility and our interest rate swap are discussed further below and in Note 11. Our liabilities for contingent consideration are accounted for in accordance with the guidance in Accounting Standards Codification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liabilities for contingent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Intangible and Long-Lived Assets</w:t>
      </w:r>
    </w:p>
    <w:p>
      <w:pPr>
        <w:spacing w:after="0" w:line="22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discussed in Notes 1 and 15, during the year ended December 31, 2021, we managed our business as two operating segments which were also our reportable segments and reporting units: Thermal and EMS. Effective January 1, 2022, we reorganized our operating segments. Accordingly, for 2022, we have three reportable segments which are also our reporting units: Electronic Test, Environmental Technologies and Process Technologies.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9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60"/>
          </w:cols>
          <w:pgMar w:left="1100" w:top="6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a global supplier of innovative test and process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(formerly Z-Sciences) product lines, and Ambrell Corporation’s (“Ambrell”) precision induction heating systems, including EKOHEAT and EASYHEAT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9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We lease certain of our equipment under short-term leasing agreements with original lease terms of six months or less. Our lease agreements do not contain purchase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Contracts with Customers</w:t>
      </w:r>
    </w:p>
    <w:p>
      <w:pPr>
        <w:spacing w:after="0" w:line="22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60"/>
          </w:cols>
          <w:pgMar w:left="1100" w:top="6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7 and 15 for further information about our revenue from contracts with customers.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$123 and $39 for the three months ended March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finance lease liabilities. We do not currently have any finance leases.</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60"/>
          </w:cols>
          <w:pgMar w:left="1100" w:top="603" w:right="339" w:bottom="1440" w:gutter="0" w:footer="0" w:header="0"/>
        </w:sectPr>
      </w:pPr>
    </w:p>
    <w:bookmarkStart w:id="12" w:name="page13"/>
    <w:bookmarkEnd w:id="12"/>
    <w:p>
      <w:pPr>
        <w:ind w:right="160"/>
        <w:spacing w:after="0" w:line="264" w:lineRule="auto"/>
        <w:rPr>
          <w:sz w:val="20"/>
          <w:szCs w:val="20"/>
          <w:color w:val="auto"/>
        </w:rPr>
      </w:pPr>
      <w:r>
        <w:rPr>
          <w:rFonts w:ascii="Times New Roman" w:cs="Times New Roman" w:eastAsia="Times New Roman" w:hAnsi="Times New Roman"/>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7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further disclosures regarding our leases.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w:t>
      </w:r>
    </w:p>
    <w:p>
      <w:pPr>
        <w:spacing w:after="0" w:line="2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are exposed to interest rate risk on our floating-rate debt. We have entered into an interest rate swap agreement to effectively convert our floating-rate debt to a fixed-rate basis for a portion of our floating rate debt, as discussed further in Notes 4 and 11.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Contingent Liability for Repayment of State and Local Grant Funds Received</w:t>
      </w:r>
    </w:p>
    <w:p>
      <w:pPr>
        <w:spacing w:after="0" w:line="2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As of March 31, 2022, $285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$236 at March 31, 2022. As of March 31, 2022, we were in compliance with the employment targets as specified in the grant agreement with the city of Rochester.</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7" w:lineRule="exact"/>
        <w:rPr>
          <w:sz w:val="20"/>
          <w:szCs w:val="20"/>
          <w:color w:val="auto"/>
        </w:rPr>
      </w:pPr>
    </w:p>
    <w:p>
      <w:pPr>
        <w:ind w:left="20" w:right="80"/>
        <w:spacing w:after="0" w:line="259"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12.</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7"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(Loss) Per Common Share</w:t>
      </w:r>
    </w:p>
    <w:p>
      <w:pPr>
        <w:spacing w:after="0" w:line="227"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60"/>
          </w:cols>
          <w:pgMar w:left="1100" w:top="605" w:right="339" w:bottom="1440" w:gutter="0" w:footer="0" w:header="0"/>
        </w:sectPr>
      </w:pPr>
    </w:p>
    <w:bookmarkStart w:id="13" w:name="page14"/>
    <w:bookmarkEnd w:id="13"/>
    <w:p>
      <w:pPr>
        <w:jc w:val="both"/>
        <w:ind w:left="800"/>
        <w:spacing w:after="0" w:line="264" w:lineRule="auto"/>
        <w:rPr>
          <w:sz w:val="20"/>
          <w:szCs w:val="20"/>
          <w:color w:val="auto"/>
        </w:rPr>
      </w:pPr>
      <w:r>
        <w:rPr>
          <w:rFonts w:ascii="Times New Roman" w:cs="Times New Roman" w:eastAsia="Times New Roman" w:hAnsi="Times New Roman"/>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10,617,271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10,329,449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of restricted stock and employee stock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and common share equivalents outstanding–diluted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10,842,592</w:t>
            </w:r>
          </w:p>
        </w:tc>
        <w:tc>
          <w:tcPr>
            <w:tcW w:w="4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10,525,826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Average number of potentially dilutive securities excluded from calculation</w:t>
            </w:r>
          </w:p>
        </w:tc>
        <w:tc>
          <w:tcPr>
            <w:tcW w:w="14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318,574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347,068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Recently Issued Amendments to Authoritative Accounting Guidance</w:t>
      </w:r>
    </w:p>
    <w:p>
      <w:pPr>
        <w:spacing w:after="0" w:line="227"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200" w:lineRule="exact"/>
        <w:rPr>
          <w:sz w:val="20"/>
          <w:szCs w:val="20"/>
          <w:color w:val="auto"/>
        </w:rPr>
      </w:pPr>
    </w:p>
    <w:p>
      <w:pPr>
        <w:spacing w:after="0" w:line="227" w:lineRule="exact"/>
        <w:rPr>
          <w:sz w:val="20"/>
          <w:szCs w:val="20"/>
          <w:color w:val="auto"/>
        </w:rPr>
      </w:pPr>
    </w:p>
    <w:p>
      <w:pPr>
        <w:ind w:left="820" w:hanging="813"/>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Z-Sciences</w:t>
      </w:r>
    </w:p>
    <w:p>
      <w:pPr>
        <w:spacing w:after="0" w:line="227" w:lineRule="exact"/>
        <w:rPr>
          <w:sz w:val="20"/>
          <w:szCs w:val="20"/>
          <w:color w:val="auto"/>
        </w:rPr>
      </w:pPr>
    </w:p>
    <w:p>
      <w:pPr>
        <w:ind w:left="780" w:right="20"/>
        <w:spacing w:after="0" w:line="251" w:lineRule="auto"/>
        <w:rPr>
          <w:sz w:val="20"/>
          <w:szCs w:val="20"/>
          <w:color w:val="auto"/>
        </w:rPr>
      </w:pPr>
      <w:r>
        <w:rPr>
          <w:rFonts w:ascii="Times New Roman" w:cs="Times New Roman" w:eastAsia="Times New Roman" w:hAnsi="Times New Roman"/>
          <w:sz w:val="18"/>
          <w:szCs w:val="18"/>
          <w:color w:val="auto"/>
        </w:rPr>
        <w:t>As discussed further in Note 3 to our consolidated financial statements in our 2021 Form 10-K, on October 6, 2021, we acquired substantially all of the assets of Z-Sciences Corp. (“Z-Sciences”), a developer of ultra-cold storage solutions for the medical cold chain market. The Z-Sciences product line was re-branded as “North Sciences” after our acquisition. The acquisition enhances our medical offerings and increases our presence in the life sciences market which is a key target market for us. Z-Sciences was founded in 2004. Its founder joined us as a consultant and is expected to become an employee in 2022. As of March 31, 2022, he was still a consultant. The purchase price for Z-Sciences was $500 in cash, subject to a customary post-closing working capital adjustment, $300 of which was paid at closing. The remaining $200, adjusted for the final working capital amount, will be paid on the one-year anniversary of closing based on the seller complying with the terms of his employment agreement. This amount has been recorded as a contingent consideration liability on our balance sheet at March 31, 2022 as our current assumption is that this liability will be paid out in October 2022. It is included in Other Current Liabilities. The fair value of this liability at March 31, 2022 approximates its cost due to the short maturity. In addition to his salary, in connection with his prospective employment, Z-Sciences’ founder will receive a multi-year restricted stock award with vesting provisions which would be contingent upon achieving future performance milestones related to sales growth and profitability of products related to the Z-Sciences business for the fiscal years from 2022 through 2026. The award will be valued at a maximum of $1,800. The actual numbers of shares to be awarded will be based on the stock price on the date of grant with a cap of 200,000 shares at the 100% attainment level of the vesting provisions that are defined in the restricted stock award agreement. The value of the award will be recorded as compensation expense in our statement of operations on a straight-line basis over the period in which the shares vest.</w:t>
      </w:r>
    </w:p>
    <w:p>
      <w:pPr>
        <w:spacing w:after="0" w:line="191" w:lineRule="exact"/>
        <w:rPr>
          <w:sz w:val="20"/>
          <w:szCs w:val="20"/>
          <w:color w:val="auto"/>
        </w:rPr>
      </w:pPr>
    </w:p>
    <w:p>
      <w:pPr>
        <w:ind w:left="780" w:right="140"/>
        <w:spacing w:after="0" w:line="259" w:lineRule="auto"/>
        <w:rPr>
          <w:sz w:val="20"/>
          <w:szCs w:val="20"/>
          <w:color w:val="auto"/>
        </w:rPr>
      </w:pPr>
      <w:r>
        <w:rPr>
          <w:rFonts w:ascii="Times New Roman" w:cs="Times New Roman" w:eastAsia="Times New Roman" w:hAnsi="Times New Roman"/>
          <w:sz w:val="18"/>
          <w:szCs w:val="18"/>
          <w:color w:val="auto"/>
        </w:rPr>
        <w:t>The acquisition of Z-Sciences has been accounted for as a business combination using purchase accounting, and, accordingly, the results of Z-Sciences have been included in our consolidated results of operations from the date of acquisition. The allocation of the Z-Sciences’ purchase price was based on fair values as of October 6, 2021. Further information about the allocation of the purchase price is discussed in Note 3 to our consolidated financial statements in our 2021 Form 10-K.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4" w:name="page15"/>
    <w:bookmarkEnd w:id="14"/>
    <w:p>
      <w:pPr>
        <w:spacing w:after="0" w:line="280" w:lineRule="auto"/>
        <w:rPr>
          <w:sz w:val="20"/>
          <w:szCs w:val="20"/>
          <w:color w:val="auto"/>
        </w:rPr>
      </w:pPr>
      <w:r>
        <w:rPr>
          <w:rFonts w:ascii="Times New Roman" w:cs="Times New Roman" w:eastAsia="Times New Roman" w:hAnsi="Times New Roman"/>
          <w:sz w:val="18"/>
          <w:szCs w:val="18"/>
          <w:color w:val="auto"/>
        </w:rPr>
        <w:t>Unaudited pro forma information which would give effect to the acquisition of Z-Sciences as if the acquisition occurred on January 1, 2021 is not presented because the financial results for Z-Sciences prior to our acquisition are considered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Videology</w:t>
      </w:r>
    </w:p>
    <w:p>
      <w:pPr>
        <w:spacing w:after="0" w:line="2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discussed further in Note 3 to our consolidated financial statements in our 2021 Form 10-K, on October 28, 2021, we acquired substantially all of the assets of Videology Imaging Solutions Inc. and Videology Imaging Solutions Europe B.V. (collectively, “Videology”), a global designer, developer and manufacturer of OEM digital streaming and image capturing solutions. The acquisition of Videology expands our process technology solutions, diversifies our reach into key targeted markets and broadens our customer base. It also builds on our process technology platforms by expanding our automation capabilities to add future product solutions with imaging data and analytical tools. The purchase price for Videology was $12,000 paid in cash at closing subject to a customary post-closing working capital adjustment.</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acquisition of Videology has been accounted for as a business combination using purchase accounting, and, accordingly, the results of Videology have been included in our consolidated results of operations from the date of acquisition. The allocation of the Videology purchase price was based on fair values as of October 27, 2021. Further information about the allocation of the purchase price, and goodwill and intangible assets recorded as a result of the acquisition is discussed in Note 3 to our consolidated financial statements in our 2021 Form 10-K.</w:t>
      </w:r>
    </w:p>
    <w:p>
      <w:pPr>
        <w:spacing w:after="0" w:line="181" w:lineRule="exact"/>
        <w:rPr>
          <w:sz w:val="20"/>
          <w:szCs w:val="20"/>
          <w:color w:val="auto"/>
        </w:rPr>
      </w:pPr>
    </w:p>
    <w:p>
      <w:pPr>
        <w:ind w:left="20" w:right="280"/>
        <w:spacing w:after="0" w:line="279" w:lineRule="auto"/>
        <w:rPr>
          <w:sz w:val="20"/>
          <w:szCs w:val="20"/>
          <w:color w:val="auto"/>
        </w:rPr>
      </w:pPr>
      <w:r>
        <w:rPr>
          <w:rFonts w:ascii="Times New Roman" w:cs="Times New Roman" w:eastAsia="Times New Roman" w:hAnsi="Times New Roman"/>
          <w:sz w:val="17"/>
          <w:szCs w:val="17"/>
          <w:color w:val="auto"/>
        </w:rPr>
        <w:t>The following unaudited pro forma information gives effect to the acquisition of Videology as if the acquisition occurred on January 1, 2021.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Three</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March 31, 2021</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w:t>
            </w: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1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bl>
    <w:p>
      <w:pPr>
        <w:spacing w:after="0" w:line="197" w:lineRule="exact"/>
        <w:rPr>
          <w:sz w:val="20"/>
          <w:szCs w:val="20"/>
          <w:color w:val="auto"/>
        </w:rPr>
      </w:pPr>
    </w:p>
    <w:p>
      <w:pPr>
        <w:ind w:left="20" w:right="80"/>
        <w:spacing w:after="0" w:line="280" w:lineRule="auto"/>
        <w:rPr>
          <w:sz w:val="20"/>
          <w:szCs w:val="20"/>
          <w:color w:val="auto"/>
        </w:rPr>
      </w:pPr>
      <w:r>
        <w:rPr>
          <w:rFonts w:ascii="Times New Roman" w:cs="Times New Roman" w:eastAsia="Times New Roman" w:hAnsi="Times New Roman"/>
          <w:sz w:val="18"/>
          <w:szCs w:val="18"/>
          <w:color w:val="auto"/>
        </w:rPr>
        <w:t>The pro forma results shown above do not reflect the impact on general and administrative expense of investment advisory costs, legal costs and other costs of $288 incurred by us as a direct result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Acculogic</w:t>
      </w:r>
    </w:p>
    <w:p>
      <w:pPr>
        <w:spacing w:after="0" w:line="2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discussed further in Note 3 to our consolidated financial statements in our 2021 Form 10-K, on December 21, 2021, we completed our acquisition of Acculogic Inc. and its affiliates (collectively, “Acculogic”), a global manufacturer of robotics-based electronic production test equipment and application support services. The acquisition was completed by acquiring all of the outstanding capital stock of Acculogic. The Acculogic acquisition adds electronics test capabilities with new technologies and services as well as broadens our customer base, furthers our end market diversification and expands our international footprint. The purchase price for Acculogic was approximately $9,000 paid in cash at closing subject to a customary post-closing working capital adjustment. In addition, we may pay the seller up to an additional CAD $5,000 in the five-year period from 2022 through 2026. The additional payments will be based on a percent of net invoices for which payments have been received on systems sold to EV or battery customers in excess of CAD $2,500 per year in each of the five years. The maximum payment is capped at CAD $5,000, which equates to approximately $4,000 at March 31, 2022. To estimate the fair value of the contingent consideration at the acquisition date, an option-based income approach using a Monte Carlo simulation model was utilized due to the non-linear payout structure. As of the acquisition date, this resulted in an estimated fair value of $1,430. This amount was recorded as a contingent consideration liability and included in the purchase price as of the acquisition date. In future reporting periods, this same approach will be utilized to estimate the fair value of the contingent consideration at each reporting date. Changes in the amount of the estimated fair value of the earnouts since the acquisition date will be recorded as operating expenses in our statement of operations in the quarter in which they occur.</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acquisition of Acculogic has been accounted for as a business combination using purchase accounting, and, accordingly, the results of Acculogic have been included in our consolidated results of operations from the date of acquisition. The allocation of the purchase price for Acculogic is not yet complete as the calculation of post-closing working capital adjustment has not yet been finalized. We are in discussions with the seller and expect the calculation to be finalized in the second quarter of 2022. We currently expect the final post-closing working capital adjustment to be a decrease in the purchase price in the range of $350 to $450.</w:t>
      </w:r>
    </w:p>
    <w:p>
      <w:pPr>
        <w:spacing w:after="0" w:line="18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40"/>
          </w:cols>
          <w:pgMar w:left="1100" w:top="605" w:right="359" w:bottom="1440" w:gutter="0" w:footer="0" w:header="0"/>
        </w:sectPr>
      </w:pPr>
    </w:p>
    <w:bookmarkStart w:id="15" w:name="page16"/>
    <w:bookmarkEnd w:id="15"/>
    <w:p>
      <w:pPr>
        <w:ind w:left="773"/>
        <w:spacing w:after="0" w:line="254" w:lineRule="auto"/>
        <w:rPr>
          <w:sz w:val="20"/>
          <w:szCs w:val="20"/>
          <w:color w:val="auto"/>
        </w:rPr>
      </w:pPr>
      <w:r>
        <w:rPr>
          <w:rFonts w:ascii="Times New Roman" w:cs="Times New Roman" w:eastAsia="Times New Roman" w:hAnsi="Times New Roman"/>
          <w:sz w:val="18"/>
          <w:szCs w:val="18"/>
          <w:color w:val="auto"/>
        </w:rPr>
        <w:t>The preliminary allocation of the Acculogic purchase price which is presented below was based on estimated fair values as of December 21, 2021. At December 31, 2021, we were still working with third-party valuation specialists to assist us with finalizing several aspects of the purchase price, including the valuation of intangible assets and contingent consideration. During the first quarter of 2022, we finalized the valuation of intangible assets, which did not change materially from the preliminary values reported in our 2021 Form 10-K, and the valuation of contingent consideration, which increased approximately $500 from the preliminary value reported in our 2021 Form 10-K. The increase primarily reflects an increase in the estimate of net invoices for which payments are expected to be received on systems sold to EV or battery customers in excess of CAD $2,500 per year in the five-year period from 2022 through 2026.</w:t>
      </w:r>
    </w:p>
    <w:p>
      <w:pPr>
        <w:spacing w:after="0" w:line="186" w:lineRule="exact"/>
        <w:rPr>
          <w:sz w:val="20"/>
          <w:szCs w:val="20"/>
          <w:color w:val="auto"/>
        </w:rPr>
      </w:pPr>
    </w:p>
    <w:p>
      <w:pPr>
        <w:ind w:left="773" w:right="240"/>
        <w:spacing w:after="0" w:line="280" w:lineRule="auto"/>
        <w:rPr>
          <w:sz w:val="20"/>
          <w:szCs w:val="20"/>
          <w:color w:val="auto"/>
        </w:rPr>
      </w:pPr>
      <w:r>
        <w:rPr>
          <w:rFonts w:ascii="Times New Roman" w:cs="Times New Roman" w:eastAsia="Times New Roman" w:hAnsi="Times New Roman"/>
          <w:sz w:val="18"/>
          <w:szCs w:val="18"/>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62"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7"/>
          <w:szCs w:val="17"/>
          <w:color w:val="auto"/>
        </w:rPr>
        <w:t>The total purchase price of $9,797, which includes $1,430 for the estimated fair value of contingent consideration, has been allocated as follows:</w:t>
      </w:r>
    </w:p>
    <w:p>
      <w:pPr>
        <w:spacing w:after="0" w:line="253" w:lineRule="exact"/>
        <w:rPr>
          <w:sz w:val="20"/>
          <w:szCs w:val="20"/>
          <w:color w:val="auto"/>
        </w:rPr>
      </w:pPr>
    </w:p>
    <w:tbl>
      <w:tblPr>
        <w:tblLayout w:type="fixed"/>
        <w:tblInd w:w="833"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acquired and liabilities assumed:</w:t>
            </w: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15"/>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(2,950)</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773" w:right="640"/>
        <w:spacing w:after="0" w:line="280" w:lineRule="auto"/>
        <w:rPr>
          <w:sz w:val="20"/>
          <w:szCs w:val="20"/>
          <w:color w:val="auto"/>
        </w:rPr>
      </w:pPr>
      <w:r>
        <w:rPr>
          <w:rFonts w:ascii="Times New Roman" w:cs="Times New Roman" w:eastAsia="Times New Roman" w:hAnsi="Times New Roman"/>
          <w:sz w:val="18"/>
          <w:szCs w:val="18"/>
          <w:color w:val="auto"/>
        </w:rPr>
        <w:t>Further information about the intangible assets recorded as a result of the acquisition is discussed in Note 3 to our consolidated financial statements in our 2021 Form 10-K.</w:t>
      </w:r>
    </w:p>
    <w:p>
      <w:pPr>
        <w:spacing w:after="0" w:line="162" w:lineRule="exact"/>
        <w:rPr>
          <w:sz w:val="20"/>
          <w:szCs w:val="20"/>
          <w:color w:val="auto"/>
        </w:rPr>
      </w:pPr>
    </w:p>
    <w:p>
      <w:pPr>
        <w:ind w:left="793" w:right="240"/>
        <w:spacing w:after="0" w:line="279" w:lineRule="auto"/>
        <w:rPr>
          <w:sz w:val="20"/>
          <w:szCs w:val="20"/>
          <w:color w:val="auto"/>
        </w:rPr>
      </w:pPr>
      <w:r>
        <w:rPr>
          <w:rFonts w:ascii="Times New Roman" w:cs="Times New Roman" w:eastAsia="Times New Roman" w:hAnsi="Times New Roman"/>
          <w:sz w:val="17"/>
          <w:szCs w:val="17"/>
          <w:color w:val="auto"/>
        </w:rPr>
        <w:t>The following unaudited pro forma information gives effect to the acquisition of Acculogic as if the acquisition occurred on January 1, 2021.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Three</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March 31, 2021</w:t>
      </w:r>
    </w:p>
    <w:p>
      <w:pPr>
        <w:spacing w:after="0" w:line="223" w:lineRule="exact"/>
        <w:rPr>
          <w:sz w:val="20"/>
          <w:szCs w:val="20"/>
          <w:color w:val="auto"/>
        </w:rPr>
      </w:pPr>
    </w:p>
    <w:tbl>
      <w:tblPr>
        <w:tblLayout w:type="fixed"/>
        <w:tblInd w:w="1293" w:type="dxa"/>
        <w:tblCellMar>
          <w:top w:w="0" w:type="dxa"/>
          <w:left w:w="0" w:type="dxa"/>
          <w:bottom w:w="0" w:type="dxa"/>
          <w:right w:w="0" w:type="dxa"/>
        </w:tblCellMar>
      </w:tblPr>
      <w:tr>
        <w:trPr>
          <w:trHeight w:val="21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w:t>
            </w: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1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pacing w:after="0" w:line="197" w:lineRule="exact"/>
        <w:rPr>
          <w:sz w:val="20"/>
          <w:szCs w:val="20"/>
          <w:color w:val="auto"/>
        </w:rPr>
      </w:pPr>
    </w:p>
    <w:p>
      <w:pPr>
        <w:ind w:left="793" w:right="40"/>
        <w:spacing w:after="0" w:line="280" w:lineRule="auto"/>
        <w:rPr>
          <w:sz w:val="20"/>
          <w:szCs w:val="20"/>
          <w:color w:val="auto"/>
        </w:rPr>
      </w:pPr>
      <w:r>
        <w:rPr>
          <w:rFonts w:ascii="Times New Roman" w:cs="Times New Roman" w:eastAsia="Times New Roman" w:hAnsi="Times New Roman"/>
          <w:sz w:val="18"/>
          <w:szCs w:val="18"/>
          <w:color w:val="auto"/>
        </w:rPr>
        <w:t>The pro forma results shown above do not reflect the impact on general and administrative expense of investment advisory costs, legal costs and other costs of $1,297 incurred by us as a direct result of the transaction.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13" w:hanging="813"/>
        <w:spacing w:after="0"/>
        <w:tabs>
          <w:tab w:leader="none" w:pos="81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6" w:lineRule="exact"/>
        <w:rPr>
          <w:rFonts w:ascii="Times New Roman" w:cs="Times New Roman" w:eastAsia="Times New Roman" w:hAnsi="Times New Roman"/>
          <w:sz w:val="18"/>
          <w:szCs w:val="18"/>
          <w:b w:val="1"/>
          <w:bCs w:val="1"/>
          <w:color w:val="auto"/>
        </w:rPr>
      </w:pPr>
    </w:p>
    <w:p>
      <w:pPr>
        <w:ind w:left="793"/>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5" w:lineRule="exact"/>
        <w:rPr>
          <w:rFonts w:ascii="Times New Roman" w:cs="Times New Roman" w:eastAsia="Times New Roman" w:hAnsi="Times New Roman"/>
          <w:sz w:val="18"/>
          <w:szCs w:val="18"/>
          <w:b w:val="1"/>
          <w:bCs w:val="1"/>
          <w:color w:val="auto"/>
        </w:rPr>
      </w:pPr>
    </w:p>
    <w:p>
      <w:pPr>
        <w:ind w:left="793"/>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Topic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Topic 820 establishes a three-tier fair value hierarchy that distinguishes among the following:</w:t>
      </w:r>
    </w:p>
    <w:p>
      <w:pPr>
        <w:spacing w:after="0" w:line="176" w:lineRule="exact"/>
        <w:rPr>
          <w:rFonts w:ascii="Times New Roman" w:cs="Times New Roman" w:eastAsia="Times New Roman" w:hAnsi="Times New Roman"/>
          <w:sz w:val="18"/>
          <w:szCs w:val="18"/>
          <w:b w:val="1"/>
          <w:bCs w:val="1"/>
          <w:color w:val="auto"/>
        </w:rPr>
      </w:pPr>
    </w:p>
    <w:p>
      <w:pPr>
        <w:ind w:left="5553" w:hanging="108"/>
        <w:spacing w:after="0"/>
        <w:tabs>
          <w:tab w:leader="none" w:pos="555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73"/>
          </w:cols>
          <w:pgMar w:left="327" w:top="605" w:right="399" w:bottom="1440" w:gutter="0" w:footer="0" w:header="0"/>
        </w:sectPr>
      </w:pPr>
    </w:p>
    <w:bookmarkStart w:id="16" w:name="page17"/>
    <w:bookmarkEnd w:id="16"/>
    <w:p>
      <w:pPr>
        <w:ind w:left="793"/>
        <w:spacing w:after="0"/>
        <w:rPr>
          <w:sz w:val="20"/>
          <w:szCs w:val="20"/>
          <w:color w:val="auto"/>
        </w:rPr>
      </w:pPr>
      <w:r>
        <w:rPr>
          <w:rFonts w:ascii="Times New Roman" w:cs="Times New Roman" w:eastAsia="Times New Roman" w:hAnsi="Times New Roman"/>
          <w:sz w:val="18"/>
          <w:szCs w:val="18"/>
          <w:color w:val="auto"/>
        </w:rPr>
        <w:t>Level 1 Valuations based on unadjusted quoted prices in active markets for identical assets or liabilities that we have the ability to access.</w:t>
      </w:r>
    </w:p>
    <w:p>
      <w:pPr>
        <w:spacing w:after="0" w:line="223" w:lineRule="exact"/>
        <w:rPr>
          <w:sz w:val="20"/>
          <w:szCs w:val="20"/>
          <w:color w:val="auto"/>
        </w:rPr>
      </w:pPr>
    </w:p>
    <w:p>
      <w:pPr>
        <w:ind w:left="793" w:right="640"/>
        <w:spacing w:after="0" w:line="280" w:lineRule="auto"/>
        <w:rPr>
          <w:sz w:val="20"/>
          <w:szCs w:val="20"/>
          <w:color w:val="auto"/>
        </w:rPr>
      </w:pPr>
      <w:r>
        <w:rPr>
          <w:rFonts w:ascii="Times New Roman" w:cs="Times New Roman" w:eastAsia="Times New Roman" w:hAnsi="Times New Roman"/>
          <w:sz w:val="18"/>
          <w:szCs w:val="18"/>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62" w:lineRule="exact"/>
        <w:rPr>
          <w:sz w:val="20"/>
          <w:szCs w:val="20"/>
          <w:color w:val="auto"/>
        </w:rPr>
      </w:pPr>
    </w:p>
    <w:p>
      <w:pPr>
        <w:ind w:left="793"/>
        <w:spacing w:after="0"/>
        <w:rPr>
          <w:sz w:val="20"/>
          <w:szCs w:val="20"/>
          <w:color w:val="auto"/>
        </w:rPr>
      </w:pPr>
      <w:r>
        <w:rPr>
          <w:rFonts w:ascii="Times New Roman" w:cs="Times New Roman" w:eastAsia="Times New Roman" w:hAnsi="Times New Roman"/>
          <w:sz w:val="18"/>
          <w:szCs w:val="18"/>
          <w:color w:val="auto"/>
        </w:rPr>
        <w:t>Level 3 Valuations based on inputs that are unobservable and significant to the overall fair value measurement.</w:t>
      </w:r>
    </w:p>
    <w:p>
      <w:pPr>
        <w:spacing w:after="0" w:line="223" w:lineRule="exact"/>
        <w:rPr>
          <w:sz w:val="20"/>
          <w:szCs w:val="20"/>
          <w:color w:val="auto"/>
        </w:rPr>
      </w:pPr>
    </w:p>
    <w:p>
      <w:pPr>
        <w:ind w:left="793" w:right="60"/>
        <w:spacing w:after="0" w:line="259"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77" w:lineRule="exact"/>
        <w:rPr>
          <w:sz w:val="20"/>
          <w:szCs w:val="20"/>
          <w:color w:val="auto"/>
        </w:rPr>
      </w:pPr>
    </w:p>
    <w:p>
      <w:pPr>
        <w:ind w:left="79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Recurring Fair Value Measurements</w:t>
      </w:r>
    </w:p>
    <w:p>
      <w:pPr>
        <w:spacing w:after="0" w:line="227" w:lineRule="exact"/>
        <w:rPr>
          <w:sz w:val="20"/>
          <w:szCs w:val="20"/>
          <w:color w:val="auto"/>
        </w:rPr>
      </w:pPr>
    </w:p>
    <w:p>
      <w:pPr>
        <w:ind w:left="773"/>
        <w:spacing w:after="0" w:line="253" w:lineRule="auto"/>
        <w:rPr>
          <w:sz w:val="20"/>
          <w:szCs w:val="20"/>
          <w:color w:val="auto"/>
        </w:rPr>
      </w:pPr>
      <w:r>
        <w:rPr>
          <w:rFonts w:ascii="Times New Roman" w:cs="Times New Roman" w:eastAsia="Times New Roman" w:hAnsi="Times New Roman"/>
          <w:sz w:val="18"/>
          <w:szCs w:val="18"/>
          <w:color w:val="auto"/>
        </w:rPr>
        <w:t>The interest rate swap agreement we entered into in connection with our Term Note, as discussed further in Notes 2 and 11 is measured at fair value on a recurring basis using Level 2 inputs. The contingent consideration liabilities on our balance sheet are measured at fair value on a recurring basis using Level 3 inputs. Our contingent consideration liabilities are a result of our acquisitions of Z-Sciences on October 6, 2021 and Acculogic on December 21, 2021. The contingent consideration liability for Z-Sciences represents the estimated fair value of the additional cash consideration payable that is contingent upon the continued employment with us of the Z-Sciences founder as discussed more fully in Note 3. It is included in Other Current Liabilities on our balance sheet. At December 31, 2021, we have assumed this payment will be made. The contingent consideration liability for Acculogic represents the estimated fair value of the additional cash consideration payable that is contingent upon sales to EV or battery customers as described further in Note 3. This amount was increased by $500 during the three months ended March 31, 2022 in connection with finalizing this aspect of the purchase price allocation.</w:t>
      </w:r>
    </w:p>
    <w:p>
      <w:pPr>
        <w:spacing w:after="0" w:line="186" w:lineRule="exact"/>
        <w:rPr>
          <w:sz w:val="20"/>
          <w:szCs w:val="20"/>
          <w:color w:val="auto"/>
        </w:rPr>
      </w:pPr>
    </w:p>
    <w:p>
      <w:pPr>
        <w:ind w:left="793"/>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liabilities measured at fair value on a recurring basis:</w:t>
      </w:r>
    </w:p>
    <w:p>
      <w:pPr>
        <w:spacing w:after="0" w:line="219" w:lineRule="exact"/>
        <w:rPr>
          <w:sz w:val="20"/>
          <w:szCs w:val="20"/>
          <w:color w:val="auto"/>
        </w:rPr>
      </w:pPr>
    </w:p>
    <w:tbl>
      <w:tblPr>
        <w:tblLayout w:type="fixed"/>
        <w:tblInd w:w="813"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Amounts at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Fair Value Measurement Using</w:t>
            </w:r>
          </w:p>
        </w:tc>
      </w:tr>
      <w:tr>
        <w:trPr>
          <w:trHeight w:val="208"/>
        </w:trPr>
        <w:tc>
          <w:tcPr>
            <w:tcW w:w="4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0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 – Z-Sciences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liability – Acculogic</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8" w:lineRule="exact"/>
        <w:rPr>
          <w:sz w:val="20"/>
          <w:szCs w:val="20"/>
          <w:color w:val="auto"/>
        </w:rPr>
      </w:pPr>
    </w:p>
    <w:p>
      <w:pPr>
        <w:ind w:left="793"/>
        <w:spacing w:after="0"/>
        <w:rPr>
          <w:sz w:val="20"/>
          <w:szCs w:val="20"/>
          <w:color w:val="auto"/>
        </w:rPr>
      </w:pPr>
      <w:r>
        <w:rPr>
          <w:rFonts w:ascii="Times New Roman" w:cs="Times New Roman" w:eastAsia="Times New Roman" w:hAnsi="Times New Roman"/>
          <w:sz w:val="18"/>
          <w:szCs w:val="18"/>
          <w:color w:val="auto"/>
        </w:rPr>
        <w:t>Changes in the fair value of our Level 3 contingent consideration liabilities for the three months ended March 31, 2022 were as follows:</w:t>
      </w:r>
    </w:p>
    <w:p>
      <w:pPr>
        <w:spacing w:after="0" w:line="219" w:lineRule="exact"/>
        <w:rPr>
          <w:sz w:val="20"/>
          <w:szCs w:val="20"/>
          <w:color w:val="auto"/>
        </w:rPr>
      </w:pPr>
    </w:p>
    <w:tbl>
      <w:tblPr>
        <w:tblLayout w:type="fixed"/>
        <w:tblInd w:w="813" w:type="dxa"/>
        <w:tblCellMar>
          <w:top w:w="0" w:type="dxa"/>
          <w:left w:w="0" w:type="dxa"/>
          <w:bottom w:w="0" w:type="dxa"/>
          <w:right w:w="0" w:type="dxa"/>
        </w:tblCellMar>
      </w:tblPr>
      <w:tr>
        <w:trPr>
          <w:trHeight w:val="215"/>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5"/>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37"/>
        </w:trPr>
        <w:tc>
          <w:tcPr>
            <w:tcW w:w="8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r>
      <w:tr>
        <w:trPr>
          <w:trHeight w:val="20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r>
      <w:tr>
        <w:trPr>
          <w:trHeight w:val="215"/>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contingent consideration liability in connection with the acquisition of Acculogic</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08"/>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13" w:hanging="813"/>
        <w:spacing w:after="0"/>
        <w:tabs>
          <w:tab w:leader="none" w:pos="81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w:t>
      </w:r>
    </w:p>
    <w:p>
      <w:pPr>
        <w:spacing w:after="0" w:line="227" w:lineRule="exact"/>
        <w:rPr>
          <w:sz w:val="20"/>
          <w:szCs w:val="20"/>
          <w:color w:val="auto"/>
        </w:rPr>
      </w:pPr>
    </w:p>
    <w:p>
      <w:pPr>
        <w:ind w:left="733" w:right="160"/>
        <w:spacing w:after="0" w:line="256" w:lineRule="auto"/>
        <w:rPr>
          <w:sz w:val="20"/>
          <w:szCs w:val="20"/>
          <w:color w:val="auto"/>
        </w:rPr>
      </w:pPr>
      <w:r>
        <w:rPr>
          <w:rFonts w:ascii="Times New Roman" w:cs="Times New Roman" w:eastAsia="Times New Roman" w:hAnsi="Times New Roman"/>
          <w:sz w:val="18"/>
          <w:szCs w:val="18"/>
          <w:color w:val="auto"/>
        </w:rPr>
        <w:t>During 2021, we recorded restructuring and other charges related to various actions including the consolidation of manufacturing for certain of our Electronic Test segment’s products and changes in our executive management team. These charges are discussed more fully in Note 5 to our consolidated financial statements in our 2021 Form 10-K. There were no restructuring and other charges incurred in the three months ended March 31, 2022. During the first quarter of 2021, we incurred $55 of charges associated with finalizing the integration of the aforementioned manufacturing operations of our Electronic Test segment.</w:t>
      </w:r>
    </w:p>
    <w:p>
      <w:pPr>
        <w:spacing w:after="0" w:line="18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605" w:right="339" w:bottom="1440" w:gutter="0" w:footer="0" w:header="0"/>
        </w:sectPr>
      </w:pPr>
    </w:p>
    <w:bookmarkStart w:id="17" w:name="page18"/>
    <w:bookmarkEnd w:id="17"/>
    <w:p>
      <w:pPr>
        <w:ind w:left="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Accrued Restructuring</w:t>
      </w:r>
    </w:p>
    <w:p>
      <w:pPr>
        <w:spacing w:after="0" w:line="227" w:lineRule="exact"/>
        <w:rPr>
          <w:sz w:val="20"/>
          <w:szCs w:val="20"/>
          <w:color w:val="auto"/>
        </w:rPr>
      </w:pPr>
    </w:p>
    <w:p>
      <w:pPr>
        <w:ind w:left="780" w:right="160"/>
        <w:spacing w:after="0" w:line="256" w:lineRule="auto"/>
        <w:rPr>
          <w:sz w:val="20"/>
          <w:szCs w:val="20"/>
          <w:color w:val="auto"/>
        </w:rPr>
      </w:pPr>
      <w:r>
        <w:rPr>
          <w:rFonts w:ascii="Times New Roman" w:cs="Times New Roman" w:eastAsia="Times New Roman" w:hAnsi="Times New Roman"/>
          <w:sz w:val="18"/>
          <w:szCs w:val="18"/>
          <w:color w:val="auto"/>
        </w:rPr>
        <w:t>The liability for accrued restructuring charges at March 31, 2022 relates to costs associated with the move of our corporate office from our Mansfield, Massachusetts facility to our facility in New Jersey, as discussed more fully in Note 5 to our consolidated financial statements in our 2021 Form 10-K. We expect to pay out the remaining amount accrued during the second quarter of 2022. The liability for accrued restructuring charges is included in other current liabilities on our consolidated balance sheet. Changes in the amount of the liability for accrued restructuring for the three months ended March 31, 2022 were as follows:</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70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5"/>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7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70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20" w:hanging="813"/>
        <w:spacing w:after="0"/>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have three operating segments which are also our reporting units: Electronic Test, Environmental Technologies and Process Technologies.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Goodwill and intangible assets on our balance sheets are the result of our acquisitions.</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in the amount of the carrying value of goodwill for the three months ended March 31, 2022 are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8600" w:type="dxa"/>
            <w:vAlign w:val="bottom"/>
            <w:gridSpan w:val="6"/>
          </w:tcPr>
          <w:p>
            <w:pPr>
              <w:spacing w:after="0" w:line="197" w:lineRule="exact"/>
              <w:rPr>
                <w:sz w:val="20"/>
                <w:szCs w:val="20"/>
                <w:color w:val="auto"/>
              </w:rPr>
            </w:pPr>
            <w:r>
              <w:rPr>
                <w:rFonts w:ascii="Times New Roman" w:cs="Times New Roman" w:eastAsia="Times New Roman" w:hAnsi="Times New Roman"/>
                <w:sz w:val="18"/>
                <w:szCs w:val="18"/>
                <w:color w:val="auto"/>
              </w:rPr>
              <w:t>Adjustments to preliminary amounts recorded in the fourth quarter of 2021 for contingent consideration and</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intangible assets related to acquisition of Acculogic (see Note 3)</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 March 31, 2022</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21,863</w:t>
            </w: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Goodwill was comprised of the following at March 31, 2022 and December 31, 2021:</w:t>
            </w: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Acculogic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08"/>
        </w:trPr>
        <w:tc>
          <w:tcPr>
            <w:tcW w:w="4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vMerge w:val="continue"/>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Sigma</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Thermonics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Z-Sciences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vMerge w:val="continue"/>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Environmental Technologies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08"/>
        </w:trPr>
        <w:tc>
          <w:tcPr>
            <w:tcW w:w="4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vMerge w:val="continue"/>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Ambrell</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Videology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Process Technologies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16,480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Changes in the amount of the carrying value of indefinite-lived intangible assets for the three months ended March 31, 2022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80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Adjustments to preliminary amounts recorded in the fourth quarter of 2021 related to acquisition of Acculogic</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(see Note 3)</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Balance - March 31, 2022</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jc w:val="right"/>
              <w:ind w:right="2950"/>
              <w:spacing w:after="0"/>
              <w:rPr>
                <w:sz w:val="20"/>
                <w:szCs w:val="20"/>
                <w:color w:val="auto"/>
              </w:rPr>
            </w:pPr>
            <w:r>
              <w:rPr>
                <w:rFonts w:ascii="Times New Roman" w:cs="Times New Roman" w:eastAsia="Times New Roman" w:hAnsi="Times New Roman"/>
                <w:sz w:val="18"/>
                <w:szCs w:val="18"/>
                <w:color w:val="auto"/>
              </w:rPr>
              <w:t>- 16-</w:t>
            </w: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8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20" w:type="dxa"/>
            <w:vAlign w:val="bottom"/>
            <w:tcBorders>
              <w:bottom w:val="single" w:sz="8" w:color="auto"/>
            </w:tcBorders>
          </w:tcPr>
          <w:p>
            <w:pPr>
              <w:spacing w:after="0"/>
              <w:rPr>
                <w:sz w:val="9"/>
                <w:szCs w:val="9"/>
                <w:color w:val="auto"/>
              </w:rPr>
            </w:pPr>
          </w:p>
        </w:tc>
        <w:tc>
          <w:tcPr>
            <w:tcW w:w="8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1"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color w:val="auto"/>
        </w:rPr>
        <w:t>Changes in the amount of the carrying value of finite-lived intangible assets for the three months ended March 31, 2022 are as follows:</w:t>
      </w:r>
    </w:p>
    <w:p>
      <w:pPr>
        <w:spacing w:after="0" w:line="241"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13,206</w:t>
            </w:r>
          </w:p>
        </w:tc>
      </w:tr>
      <w:tr>
        <w:trPr>
          <w:trHeight w:val="197"/>
        </w:trPr>
        <w:tc>
          <w:tcPr>
            <w:tcW w:w="80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Adjustments to preliminary amounts recorded in the fourth quarter of 2021 related to acquisition of Acculogic</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(see Note 3)</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1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foreign currency translation adjustments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5"/>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Intangible assets were allocated to our reporting segments at March 31, 2022 and December 31, 2021 as follows:</w:t>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Acculogic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Sigma</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Thermonics</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Z-Sciences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Environmental Technologies</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Ambrell</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10,375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Videology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Process Technologies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15,054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tables provide further detail about our intangible assets as of March 31, 2022 and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10"/>
              <w:spacing w:after="0" w:line="18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8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10"/>
              <w:spacing w:after="0" w:line="18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8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6,160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21,634</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82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- 17-</w:t>
            </w: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2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19" w:name="page20"/>
    <w:bookmarkEnd w:id="19"/>
    <w:p>
      <w:pPr>
        <w:jc w:val="both"/>
        <w:ind w:left="780" w:right="280"/>
        <w:spacing w:after="0" w:line="264"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None of our intangible assets have any residual value.</w:t>
      </w:r>
    </w:p>
    <w:p>
      <w:pPr>
        <w:spacing w:after="0" w:line="177"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estimated annual amortization expense for each of the next five years:</w:t>
            </w: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20" w:hanging="813"/>
        <w:spacing w:after="0"/>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7" w:lineRule="exact"/>
        <w:rPr>
          <w:sz w:val="20"/>
          <w:szCs w:val="20"/>
          <w:color w:val="auto"/>
        </w:rPr>
      </w:pPr>
    </w:p>
    <w:p>
      <w:pPr>
        <w:ind w:left="780" w:right="220"/>
        <w:spacing w:after="0" w:line="259" w:lineRule="auto"/>
        <w:rPr>
          <w:sz w:val="20"/>
          <w:szCs w:val="20"/>
          <w:color w:val="auto"/>
        </w:rPr>
      </w:pPr>
      <w:r>
        <w:rPr>
          <w:rFonts w:ascii="Times New Roman" w:cs="Times New Roman" w:eastAsia="Times New Roman" w:hAnsi="Times New Roman"/>
          <w:sz w:val="18"/>
          <w:szCs w:val="18"/>
          <w:color w:val="auto"/>
        </w:rPr>
        <w:t>The following tables provide additional information about our revenue from contracts with customers, including revenue by customer and product type and revenue by market. The information about revenue by market for the three months ended March 31, 2021 has been reclassified to be consistent with how the information for the current period is presented. See also Note 15 for information about revenue by operating segment and geographic region.</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7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6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8"/>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customer type: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End user</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19,579</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17,660</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OEM/Integrator</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r>
      <w:tr>
        <w:trPr>
          <w:trHeight w:val="20"/>
        </w:trPr>
        <w:tc>
          <w:tcPr>
            <w:tcW w:w="6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8"/>
        </w:trPr>
        <w:tc>
          <w:tcPr>
            <w:tcW w:w="67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19,556</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Revenue by product type:</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Thermal test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5,057</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4,305</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process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7,465</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5,566</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 test</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6,348</w:t>
            </w:r>
          </w:p>
        </w:tc>
        <w:tc>
          <w:tcPr>
            <w:tcW w:w="9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8,320</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imaging</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1,851</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Flying probe and in-circuit testers</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1,688</w:t>
            </w:r>
          </w:p>
        </w:tc>
        <w:tc>
          <w:tcPr>
            <w:tcW w:w="9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Service/other</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r>
      <w:tr>
        <w:trPr>
          <w:trHeight w:val="20"/>
        </w:trPr>
        <w:tc>
          <w:tcPr>
            <w:tcW w:w="6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8"/>
        </w:trPr>
        <w:tc>
          <w:tcPr>
            <w:tcW w:w="67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19,556</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Revenue by market:</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13,390</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13,320</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2,799</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1,427</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Automotive (including Electric Vehicles)</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2,756</w:t>
            </w:r>
          </w:p>
        </w:tc>
        <w:tc>
          <w:tcPr>
            <w:tcW w:w="9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1,327</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1,493</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w:t>
            </w:r>
          </w:p>
        </w:tc>
        <w:tc>
          <w:tcPr>
            <w:tcW w:w="9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w:t>
            </w: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67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19,556</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There were no significant changes in the amount of the allowance for doubtful accounts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813"/>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w:t>
      </w:r>
    </w:p>
    <w:p>
      <w:pPr>
        <w:spacing w:after="0" w:line="227" w:lineRule="exact"/>
        <w:rPr>
          <w:sz w:val="20"/>
          <w:szCs w:val="20"/>
          <w:color w:val="auto"/>
        </w:rPr>
      </w:pPr>
    </w:p>
    <w:p>
      <w:pPr>
        <w:ind w:left="780" w:right="140"/>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2022, no customer accounted for 10% or more of our consolidated revenue. During the three months ended March 31, 2021, Texas Instruments Incorporated accounted for 16% of our consolidated revenue. This revenue was primarily generated by our Electronic Test segment. No other customers accounted for 10% or more of our consolidated revenue during the three months ended March 31, 2021.</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60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5"/>
              </w:rPr>
              <w:t>(9)</w:t>
            </w: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500" w:type="dxa"/>
            <w:vAlign w:val="bottom"/>
          </w:tcPr>
          <w:p>
            <w:pPr>
              <w:spacing w:after="0"/>
              <w:rPr>
                <w:sz w:val="24"/>
                <w:szCs w:val="24"/>
                <w:color w:val="auto"/>
              </w:rPr>
            </w:pPr>
          </w:p>
        </w:tc>
        <w:tc>
          <w:tcPr>
            <w:tcW w:w="7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Inventories held at March 31, 2022 and December 31, 2021 were comprised of the following: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10,403</w:t>
            </w:r>
          </w:p>
        </w:tc>
      </w:tr>
      <w:tr>
        <w:trPr>
          <w:trHeight w:val="215"/>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215"/>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consigned to others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r>
      <w:tr>
        <w:trPr>
          <w:trHeight w:val="215"/>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12,863</w:t>
            </w: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20" w:hanging="813"/>
        <w:spacing w:after="0"/>
        <w:tabs>
          <w:tab w:leader="none" w:pos="8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left="780" w:right="20"/>
        <w:spacing w:after="0" w:line="264" w:lineRule="auto"/>
        <w:rPr>
          <w:sz w:val="20"/>
          <w:szCs w:val="20"/>
          <w:color w:val="auto"/>
        </w:rPr>
      </w:pPr>
      <w:r>
        <w:rPr>
          <w:rFonts w:ascii="Times New Roman" w:cs="Times New Roman" w:eastAsia="Times New Roman" w:hAnsi="Times New Roman"/>
          <w:sz w:val="18"/>
          <w:szCs w:val="18"/>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three months ended March 31, 2022 and 2021, respectively, were as follows:</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6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5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following is additional information about our leases as of March 31, 2022:</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remaining lease terms (in years)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  to</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lease liabilities as of March 31, 2022 were as follows:</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Information</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Total amortization of ROU assets for the three months ended March 31, 2022 and 2021 was $309 and $280, respectively.</w:t>
      </w:r>
    </w:p>
    <w:p>
      <w:pPr>
        <w:spacing w:after="0" w:line="223" w:lineRule="exact"/>
        <w:rPr>
          <w:sz w:val="20"/>
          <w:szCs w:val="20"/>
          <w:color w:val="auto"/>
        </w:rPr>
      </w:pPr>
    </w:p>
    <w:p>
      <w:pPr>
        <w:ind w:left="780" w:right="20"/>
        <w:spacing w:after="0" w:line="264" w:lineRule="auto"/>
        <w:rPr>
          <w:sz w:val="20"/>
          <w:szCs w:val="20"/>
          <w:color w:val="auto"/>
        </w:rPr>
      </w:pPr>
      <w:r>
        <w:rPr>
          <w:rFonts w:ascii="Times New Roman" w:cs="Times New Roman" w:eastAsia="Times New Roman" w:hAnsi="Times New Roman"/>
          <w:sz w:val="18"/>
          <w:szCs w:val="18"/>
          <w:color w:val="auto"/>
        </w:rPr>
        <w:t>During the three months ended March 31, 2022, we executed an amendment to the lease for our facility in Singapore which extended the term for a period of 24 months commencing on April 1, 2022 and expiring on March 31, 2024. At the effective date of this modification, we recorded a non-cash increase in our ROU assets and operating lease liabilities of approximately $51.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1" w:name="page22"/>
    <w:bookmarkEnd w:id="21"/>
    <w:p>
      <w:pPr>
        <w:ind w:left="820" w:hanging="813"/>
        <w:spacing w:after="0"/>
        <w:tabs>
          <w:tab w:leader="none" w:pos="8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7" w:lineRule="exact"/>
        <w:rPr>
          <w:sz w:val="20"/>
          <w:szCs w:val="20"/>
          <w:color w:val="auto"/>
        </w:rPr>
      </w:pPr>
    </w:p>
    <w:p>
      <w:pPr>
        <w:ind w:left="780" w:right="60"/>
        <w:spacing w:after="0" w:line="259" w:lineRule="auto"/>
        <w:rPr>
          <w:sz w:val="20"/>
          <w:szCs w:val="20"/>
          <w:color w:val="auto"/>
        </w:rPr>
      </w:pPr>
      <w:r>
        <w:rPr>
          <w:rFonts w:ascii="Times New Roman" w:cs="Times New Roman" w:eastAsia="Times New Roman" w:hAnsi="Times New Roman"/>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March 31, 2022 and December 31, 2021 consisted of the following:</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L/C</w:t>
            </w:r>
          </w:p>
        </w:tc>
        <w:tc>
          <w:tcPr>
            <w:tcW w:w="10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Lease</w:t>
            </w: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Outstanding</w:t>
            </w:r>
          </w:p>
        </w:tc>
      </w:tr>
      <w:tr>
        <w:trPr>
          <w:trHeight w:val="186"/>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w w:val="98"/>
              </w:rPr>
              <w:t>Original L/C</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6" w:lineRule="exact"/>
              <w:rPr>
                <w:sz w:val="20"/>
                <w:szCs w:val="20"/>
                <w:color w:val="auto"/>
              </w:rPr>
            </w:pPr>
            <w:r>
              <w:rPr>
                <w:rFonts w:ascii="Times New Roman" w:cs="Times New Roman" w:eastAsia="Times New Roman" w:hAnsi="Times New Roman"/>
                <w:sz w:val="18"/>
                <w:szCs w:val="18"/>
                <w:b w:val="1"/>
                <w:bCs w:val="1"/>
                <w:color w:val="auto"/>
              </w:rPr>
              <w:t>Mar. 31,</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86"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6"/>
                <w:szCs w:val="16"/>
                <w:color w:val="auto"/>
              </w:rPr>
            </w:pPr>
          </w:p>
        </w:tc>
      </w:tr>
      <w:tr>
        <w:trPr>
          <w:trHeight w:val="210"/>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Mt. Laurel, NJ</w:t>
            </w:r>
          </w:p>
        </w:tc>
        <w:tc>
          <w:tcPr>
            <w:tcW w:w="10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3/29/2010</w:t>
            </w:r>
          </w:p>
        </w:tc>
        <w:tc>
          <w:tcPr>
            <w:tcW w:w="112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4/30/2023</w:t>
            </w:r>
          </w:p>
        </w:tc>
        <w:tc>
          <w:tcPr>
            <w:tcW w:w="1360" w:type="dxa"/>
            <w:vAlign w:val="bottom"/>
            <w:gridSpan w:val="4"/>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4/30/2031 $</w:t>
            </w:r>
          </w:p>
        </w:tc>
        <w:tc>
          <w:tcPr>
            <w:tcW w:w="9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34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10/27/2010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Facility</w:t>
      </w:r>
    </w:p>
    <w:p>
      <w:pPr>
        <w:spacing w:after="0" w:line="227" w:lineRule="exact"/>
        <w:rPr>
          <w:sz w:val="20"/>
          <w:szCs w:val="20"/>
          <w:color w:val="auto"/>
        </w:rPr>
      </w:pPr>
    </w:p>
    <w:p>
      <w:pPr>
        <w:ind w:left="780"/>
        <w:spacing w:after="0" w:line="254" w:lineRule="auto"/>
        <w:rPr>
          <w:sz w:val="20"/>
          <w:szCs w:val="20"/>
          <w:color w:val="auto"/>
        </w:rPr>
      </w:pPr>
      <w:r>
        <w:rPr>
          <w:rFonts w:ascii="Times New Roman" w:cs="Times New Roman" w:eastAsia="Times New Roman" w:hAnsi="Times New Roman"/>
          <w:sz w:val="18"/>
          <w:szCs w:val="18"/>
          <w:color w:val="auto"/>
        </w:rPr>
        <w:t>On October 15, 2021 (the “Closing Date”), we entered into an Amended and Restated Loan and Security Agreement (the “October 2021 Agreement”) with M&amp;T Bank (“M&amp;T”). The October 2021 Agreement includes a $25,000 non-revolving delayed draw term note (the “Term Note”) and a $10,000 revolving credit facility. The October 2021 Agreement has a five year contract period that began on the Closing Date and expires on October 15, 2026 (the “Contract Period”), and draws under the Term Note will be permissible for two years. As of March 31, 2022, we had not borrowed any amounts under the revolving credit facility, and we had $4,500 available under our Term Note. Our borrowings under the Term Note are discussed below. Interest expense for the three months ended March 31, 2022 was $137. There was no interest expense in the three months ended March 31, 2021.</w:t>
      </w:r>
    </w:p>
    <w:p>
      <w:pPr>
        <w:spacing w:after="0" w:line="186" w:lineRule="exact"/>
        <w:rPr>
          <w:sz w:val="20"/>
          <w:szCs w:val="20"/>
          <w:color w:val="auto"/>
        </w:rPr>
      </w:pPr>
    </w:p>
    <w:p>
      <w:pPr>
        <w:ind w:left="780" w:right="60"/>
        <w:spacing w:after="0" w:line="254" w:lineRule="auto"/>
        <w:rPr>
          <w:sz w:val="20"/>
          <w:szCs w:val="20"/>
          <w:color w:val="auto"/>
        </w:rPr>
      </w:pPr>
      <w:r>
        <w:rPr>
          <w:rFonts w:ascii="Times New Roman" w:cs="Times New Roman" w:eastAsia="Times New Roman" w:hAnsi="Times New Roman"/>
          <w:sz w:val="18"/>
          <w:szCs w:val="18"/>
          <w:color w:val="auto"/>
        </w:rPr>
        <w:t>The principal balance of the revolving credit facility and the principal balance of any amount drawn under the Term Note will accrue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October 2021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86" w:lineRule="exact"/>
        <w:rPr>
          <w:sz w:val="20"/>
          <w:szCs w:val="20"/>
          <w:color w:val="auto"/>
        </w:rPr>
      </w:pPr>
    </w:p>
    <w:p>
      <w:pPr>
        <w:ind w:left="780" w:right="60"/>
        <w:spacing w:after="0" w:line="254" w:lineRule="auto"/>
        <w:rPr>
          <w:sz w:val="20"/>
          <w:szCs w:val="20"/>
          <w:color w:val="auto"/>
        </w:rPr>
      </w:pPr>
      <w:r>
        <w:rPr>
          <w:rFonts w:ascii="Times New Roman" w:cs="Times New Roman" w:eastAsia="Times New Roman" w:hAnsi="Times New Roman"/>
          <w:sz w:val="18"/>
          <w:szCs w:val="18"/>
          <w:color w:val="auto"/>
        </w:rPr>
        <w:t>The October 2021 Agreement contains customary default provisions, including but not limited to the failure by us to repay obligations when due, violation of provisions or representations provided in the October 2021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 that are owned as of the Closing Date or acquired thereafter.</w:t>
      </w:r>
    </w:p>
    <w:p>
      <w:pPr>
        <w:spacing w:after="0" w:line="186" w:lineRule="exact"/>
        <w:rPr>
          <w:sz w:val="20"/>
          <w:szCs w:val="20"/>
          <w:color w:val="auto"/>
        </w:rPr>
      </w:pPr>
    </w:p>
    <w:p>
      <w:pPr>
        <w:ind w:left="780" w:right="100"/>
        <w:spacing w:after="0" w:line="259" w:lineRule="auto"/>
        <w:rPr>
          <w:sz w:val="20"/>
          <w:szCs w:val="20"/>
          <w:color w:val="auto"/>
        </w:rPr>
      </w:pPr>
      <w:r>
        <w:rPr>
          <w:rFonts w:ascii="Times New Roman" w:cs="Times New Roman" w:eastAsia="Times New Roman" w:hAnsi="Times New Roman"/>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spacing w:after="0" w:line="181" w:lineRule="exact"/>
        <w:rPr>
          <w:sz w:val="20"/>
          <w:szCs w:val="20"/>
          <w:color w:val="auto"/>
        </w:rPr>
      </w:pPr>
    </w:p>
    <w:p>
      <w:pPr>
        <w:jc w:val="both"/>
        <w:ind w:left="780" w:right="200"/>
        <w:spacing w:after="0" w:line="259" w:lineRule="auto"/>
        <w:rPr>
          <w:sz w:val="20"/>
          <w:szCs w:val="20"/>
          <w:color w:val="auto"/>
        </w:rPr>
      </w:pPr>
      <w:r>
        <w:rPr>
          <w:rFonts w:ascii="Times New Roman" w:cs="Times New Roman" w:eastAsia="Times New Roman" w:hAnsi="Times New Roman"/>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March 31, 2022 it was approximately 2.2% based on current leverage. Effective April, 1 2022 this rate increased to approximately 2.4%.</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sets forth the maturities of long-term debt for each of the next five years: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56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60" w:type="dxa"/>
            <w:vAlign w:val="bottom"/>
            <w:vMerge w:val="restart"/>
          </w:tcPr>
          <w:p>
            <w:pPr>
              <w:jc w:val="right"/>
              <w:ind w:right="303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22" w:name="page23"/>
    <w:bookmarkEnd w:id="22"/>
    <w:p>
      <w:pPr>
        <w:ind w:left="813" w:hanging="813"/>
        <w:spacing w:after="0"/>
        <w:tabs>
          <w:tab w:leader="none" w:pos="81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w:t>
      </w:r>
    </w:p>
    <w:p>
      <w:pPr>
        <w:spacing w:after="0" w:line="227" w:lineRule="exact"/>
        <w:rPr>
          <w:sz w:val="20"/>
          <w:szCs w:val="20"/>
          <w:color w:val="auto"/>
        </w:rPr>
      </w:pPr>
    </w:p>
    <w:p>
      <w:pPr>
        <w:ind w:left="773" w:right="660"/>
        <w:spacing w:after="0" w:line="280" w:lineRule="auto"/>
        <w:rPr>
          <w:sz w:val="20"/>
          <w:szCs w:val="20"/>
          <w:color w:val="auto"/>
        </w:rPr>
      </w:pPr>
      <w:r>
        <w:rPr>
          <w:rFonts w:ascii="Times New Roman" w:cs="Times New Roman" w:eastAsia="Times New Roman" w:hAnsi="Times New Roman"/>
          <w:sz w:val="18"/>
          <w:szCs w:val="18"/>
          <w:color w:val="auto"/>
        </w:rPr>
        <w:t>As of March 31, 2022, we had unvested restricted stock awards and stock options granted under stock-based compensation plans that are described more fully in Note 15 to the consolidated financial statements in our 2021 Form 10-K.</w:t>
      </w:r>
    </w:p>
    <w:p>
      <w:pPr>
        <w:spacing w:after="0" w:line="162" w:lineRule="exact"/>
        <w:rPr>
          <w:sz w:val="20"/>
          <w:szCs w:val="20"/>
          <w:color w:val="auto"/>
        </w:rPr>
      </w:pPr>
    </w:p>
    <w:p>
      <w:pPr>
        <w:ind w:left="773" w:right="500"/>
        <w:spacing w:after="0" w:line="264" w:lineRule="auto"/>
        <w:rPr>
          <w:sz w:val="20"/>
          <w:szCs w:val="20"/>
          <w:color w:val="auto"/>
        </w:rPr>
      </w:pPr>
      <w:r>
        <w:rPr>
          <w:rFonts w:ascii="Times New Roman" w:cs="Times New Roman" w:eastAsia="Times New Roman" w:hAnsi="Times New Roman"/>
          <w:sz w:val="18"/>
          <w:szCs w:val="18"/>
          <w:color w:val="auto"/>
        </w:rPr>
        <w:t>Our unvested restricted stock awards and stock options are accounted for based on their grant date fair value. As of March 31, 2022, total compensation expense to be recognized in future periods is $3,232. The weighted average period over which this expense is expected to be recognized is 2.4 years.</w:t>
      </w:r>
    </w:p>
    <w:p>
      <w:pPr>
        <w:spacing w:after="0" w:line="177" w:lineRule="exact"/>
        <w:rPr>
          <w:sz w:val="20"/>
          <w:szCs w:val="20"/>
          <w:color w:val="auto"/>
        </w:rPr>
      </w:pPr>
    </w:p>
    <w:p>
      <w:pPr>
        <w:ind w:left="773" w:right="480"/>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compensation expense we recorded during the three months ended March 31, 2022 and 2021 related to unvested shares of restricted stock and stock options:</w:t>
      </w:r>
    </w:p>
    <w:p>
      <w:pPr>
        <w:spacing w:after="0" w:line="158" w:lineRule="exact"/>
        <w:rPr>
          <w:sz w:val="20"/>
          <w:szCs w:val="20"/>
          <w:color w:val="auto"/>
        </w:rPr>
      </w:pPr>
    </w:p>
    <w:tbl>
      <w:tblPr>
        <w:tblLayout w:type="fixed"/>
        <w:tblInd w:w="1133"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1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5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color w:val="auto"/>
        </w:rPr>
        <w:t>There was no compensation expense capitalized in three months ended March 31, 2022 or 2021.</w:t>
      </w:r>
    </w:p>
    <w:p>
      <w:pPr>
        <w:spacing w:after="0" w:line="219"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7" w:lineRule="exact"/>
        <w:rPr>
          <w:sz w:val="20"/>
          <w:szCs w:val="20"/>
          <w:color w:val="auto"/>
        </w:rPr>
      </w:pPr>
    </w:p>
    <w:p>
      <w:pPr>
        <w:jc w:val="both"/>
        <w:ind w:left="773" w:right="180"/>
        <w:spacing w:after="0" w:line="264" w:lineRule="auto"/>
        <w:rPr>
          <w:sz w:val="20"/>
          <w:szCs w:val="20"/>
          <w:color w:val="auto"/>
        </w:rPr>
      </w:pPr>
      <w:r>
        <w:rPr>
          <w:rFonts w:ascii="Times New Roman" w:cs="Times New Roman" w:eastAsia="Times New Roman" w:hAnsi="Times New Roman"/>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77"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color w:val="auto"/>
        </w:rPr>
        <w:t>The fair value for stock options granted during the three months ended March 31, 2022 and 2021 was estimated at the date of grant using the</w:t>
      </w:r>
    </w:p>
    <w:p>
      <w:pPr>
        <w:spacing w:after="0" w:line="27"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color w:val="auto"/>
        </w:rPr>
        <w:t>Black-Scholes option pricing model with the following weighted average assumptions:</w:t>
      </w:r>
    </w:p>
    <w:p>
      <w:pPr>
        <w:spacing w:after="0" w:line="200" w:lineRule="exact"/>
        <w:rPr>
          <w:sz w:val="20"/>
          <w:szCs w:val="20"/>
          <w:color w:val="auto"/>
        </w:rPr>
      </w:pPr>
    </w:p>
    <w:tbl>
      <w:tblPr>
        <w:tblLayout w:type="fixed"/>
        <w:tblInd w:w="1133" w:type="dxa"/>
        <w:tblCellMar>
          <w:top w:w="0" w:type="dxa"/>
          <w:left w:w="0" w:type="dxa"/>
          <w:bottom w:w="0" w:type="dxa"/>
          <w:right w:w="0" w:type="dxa"/>
        </w:tblCellMar>
      </w:tblPr>
      <w:tr>
        <w:trPr>
          <w:trHeight w:val="237"/>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08"/>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5"/>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5"/>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8" w:lineRule="exact"/>
        <w:rPr>
          <w:sz w:val="20"/>
          <w:szCs w:val="20"/>
          <w:color w:val="auto"/>
        </w:rPr>
      </w:pPr>
    </w:p>
    <w:p>
      <w:pPr>
        <w:ind w:left="773" w:right="100"/>
        <w:spacing w:after="0" w:line="280"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issued during the three months ended March 31, 2022 and 2021 was $5.19 and $5.09, respectively.</w:t>
      </w:r>
    </w:p>
    <w:p>
      <w:pPr>
        <w:spacing w:after="0" w:line="162"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for the three months ended March 31, 2022:</w:t>
      </w:r>
    </w:p>
    <w:p>
      <w:pPr>
        <w:sectPr>
          <w:pgSz w:w="11900" w:h="16838" w:orient="portrait"/>
          <w:cols w:equalWidth="0" w:num="1">
            <w:col w:w="11233"/>
          </w:cols>
          <w:pgMar w:left="327" w:top="8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33"/>
        <w:spacing w:after="0"/>
        <w:rPr>
          <w:sz w:val="20"/>
          <w:szCs w:val="20"/>
          <w:color w:val="auto"/>
        </w:rPr>
      </w:pPr>
      <w:r>
        <w:rPr>
          <w:rFonts w:ascii="Times New Roman" w:cs="Times New Roman" w:eastAsia="Times New Roman" w:hAnsi="Times New Roman"/>
          <w:sz w:val="18"/>
          <w:szCs w:val="18"/>
          <w:color w:val="auto"/>
        </w:rPr>
        <w:t>Options outstanding, January 1, 2022 (59,195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-119380</wp:posOffset>
            </wp:positionV>
            <wp:extent cx="6416040"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spacing w:after="0" w:line="7" w:lineRule="exact"/>
        <w:rPr>
          <w:sz w:val="20"/>
          <w:szCs w:val="20"/>
          <w:color w:val="auto"/>
        </w:rPr>
      </w:pPr>
    </w:p>
    <w:p>
      <w:pPr>
        <w:ind w:left="1293"/>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5080</wp:posOffset>
            </wp:positionV>
            <wp:extent cx="6416040"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ind w:left="1293"/>
        <w:spacing w:after="0"/>
        <w:rPr>
          <w:sz w:val="20"/>
          <w:szCs w:val="20"/>
          <w:color w:val="auto"/>
        </w:rPr>
      </w:pPr>
      <w:r>
        <w:rPr>
          <w:rFonts w:ascii="Times New Roman" w:cs="Times New Roman" w:eastAsia="Times New Roman" w:hAnsi="Times New Roman"/>
          <w:sz w:val="18"/>
          <w:szCs w:val="18"/>
          <w:color w:val="auto"/>
        </w:rPr>
        <w:t>Exercised</w:t>
      </w:r>
    </w:p>
    <w:p>
      <w:pPr>
        <w:spacing w:after="0" w:line="8" w:lineRule="exact"/>
        <w:rPr>
          <w:sz w:val="20"/>
          <w:szCs w:val="20"/>
          <w:color w:val="auto"/>
        </w:rPr>
      </w:pPr>
    </w:p>
    <w:p>
      <w:pPr>
        <w:ind w:left="1293"/>
        <w:spacing w:after="0"/>
        <w:rPr>
          <w:sz w:val="20"/>
          <w:szCs w:val="20"/>
          <w:color w:val="auto"/>
        </w:rPr>
      </w:pPr>
      <w:r>
        <w:rPr>
          <w:rFonts w:ascii="Times New Roman" w:cs="Times New Roman" w:eastAsia="Times New Roman" w:hAnsi="Times New Roman"/>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13335</wp:posOffset>
            </wp:positionV>
            <wp:extent cx="6416040" cy="16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23" w:lineRule="exact"/>
        <w:rPr>
          <w:sz w:val="20"/>
          <w:szCs w:val="20"/>
          <w:color w:val="auto"/>
        </w:rPr>
      </w:pPr>
    </w:p>
    <w:p>
      <w:pPr>
        <w:ind w:left="1133"/>
        <w:spacing w:after="0"/>
        <w:rPr>
          <w:sz w:val="20"/>
          <w:szCs w:val="20"/>
          <w:color w:val="auto"/>
        </w:rPr>
      </w:pPr>
      <w:r>
        <w:rPr>
          <w:rFonts w:ascii="Times New Roman" w:cs="Times New Roman" w:eastAsia="Times New Roman" w:hAnsi="Times New Roman"/>
          <w:sz w:val="17"/>
          <w:szCs w:val="17"/>
          <w:color w:val="auto"/>
        </w:rPr>
        <w:t>Options outstanding, March 31, 2022 (101,670 exercisable)</w:t>
      </w:r>
    </w:p>
    <w:p>
      <w:pPr>
        <w:spacing w:after="0" w:line="230"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7"/>
        </w:trPr>
        <w:tc>
          <w:tcPr>
            <w:tcW w:w="17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190"/>
        </w:trPr>
        <w:tc>
          <w:tcPr>
            <w:tcW w:w="15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408,869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16"/>
                <w:szCs w:val="16"/>
                <w:color w:val="auto"/>
              </w:rPr>
            </w:pPr>
          </w:p>
        </w:tc>
      </w:tr>
      <w:tr>
        <w:trPr>
          <w:trHeight w:val="215"/>
        </w:trPr>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38,540</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r>
      <w:tr>
        <w:trPr>
          <w:trHeight w:val="215"/>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33"/>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08"/>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447,409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9" w:lineRule="exact"/>
        <w:rPr>
          <w:sz w:val="20"/>
          <w:szCs w:val="20"/>
          <w:color w:val="auto"/>
        </w:rPr>
      </w:pPr>
    </w:p>
    <w:p>
      <w:pPr>
        <w:sectPr>
          <w:pgSz w:w="11900" w:h="16838" w:orient="portrait"/>
          <w:cols w:equalWidth="0" w:num="2">
            <w:col w:w="7193" w:space="720"/>
            <w:col w:w="3320"/>
          </w:cols>
          <w:pgMar w:left="327" w:top="816" w:right="339" w:bottom="1440" w:gutter="0" w:footer="0" w:header="0"/>
          <w:type w:val="continuous"/>
        </w:sectPr>
      </w:pPr>
    </w:p>
    <w:p>
      <w:pPr>
        <w:spacing w:after="0" w:line="27" w:lineRule="exact"/>
        <w:rPr>
          <w:sz w:val="20"/>
          <w:szCs w:val="20"/>
          <w:color w:val="auto"/>
        </w:rPr>
      </w:pPr>
    </w:p>
    <w:p>
      <w:pPr>
        <w:jc w:val="both"/>
        <w:ind w:left="773" w:right="380"/>
        <w:spacing w:after="0" w:line="264"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7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816" w:right="339" w:bottom="1440" w:gutter="0" w:footer="0" w:header="0"/>
          <w:type w:val="continuous"/>
        </w:sectPr>
      </w:pPr>
    </w:p>
    <w:bookmarkStart w:id="23" w:name="page24"/>
    <w:bookmarkEnd w:id="23"/>
    <w:p>
      <w:pPr>
        <w:ind w:left="780"/>
        <w:spacing w:after="0" w:line="253" w:lineRule="auto"/>
        <w:rPr>
          <w:sz w:val="20"/>
          <w:szCs w:val="20"/>
          <w:color w:val="auto"/>
        </w:rPr>
      </w:pPr>
      <w:r>
        <w:rPr>
          <w:rFonts w:ascii="Times New Roman" w:cs="Times New Roman" w:eastAsia="Times New Roman" w:hAnsi="Times New Roman"/>
          <w:sz w:val="18"/>
          <w:szCs w:val="18"/>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 The awards granted prior to January 1, 2022 are discussed in more detail in Note 15 to the consolidated financial statement in our 2021 Form 10-K. There have been no significant changes to our assumptions related to the expected vesting percentages for these awards as of March 31, 2022.</w:t>
      </w:r>
    </w:p>
    <w:p>
      <w:pPr>
        <w:spacing w:after="0" w:line="189" w:lineRule="exact"/>
        <w:rPr>
          <w:sz w:val="20"/>
          <w:szCs w:val="20"/>
          <w:color w:val="auto"/>
        </w:rPr>
      </w:pPr>
    </w:p>
    <w:p>
      <w:pPr>
        <w:ind w:left="800" w:right="120"/>
        <w:spacing w:after="0" w:line="255" w:lineRule="auto"/>
        <w:rPr>
          <w:sz w:val="20"/>
          <w:szCs w:val="20"/>
          <w:color w:val="auto"/>
        </w:rPr>
      </w:pPr>
      <w:r>
        <w:rPr>
          <w:rFonts w:ascii="Times New Roman" w:cs="Times New Roman" w:eastAsia="Times New Roman" w:hAnsi="Times New Roman"/>
          <w:sz w:val="18"/>
          <w:szCs w:val="18"/>
          <w:color w:val="auto"/>
        </w:rPr>
        <w:t>On March 9, 2022, our Chief Executive Officer ("CEO") and Chief Financial Officer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As of March 31, 2022, we have estimated that these shares will vest at 100% of the original amount.</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unvested restricted stock awards for the three months ended March 31, 2022:</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6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5"/>
        </w:trPr>
        <w:tc>
          <w:tcPr>
            <w:tcW w:w="678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7"/>
        </w:trPr>
        <w:tc>
          <w:tcPr>
            <w:tcW w:w="678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January 1, 2022</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262,533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r>
      <w:tr>
        <w:trPr>
          <w:trHeight w:val="215"/>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79,489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15"/>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(18,467)</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15"/>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8"/>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March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323,555</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bl>
    <w:p>
      <w:pPr>
        <w:spacing w:after="0" w:line="197" w:lineRule="exact"/>
        <w:rPr>
          <w:sz w:val="20"/>
          <w:szCs w:val="20"/>
          <w:color w:val="auto"/>
        </w:rPr>
      </w:pPr>
    </w:p>
    <w:p>
      <w:pPr>
        <w:ind w:left="780" w:right="540"/>
        <w:spacing w:after="0" w:line="280" w:lineRule="auto"/>
        <w:rPr>
          <w:sz w:val="20"/>
          <w:szCs w:val="20"/>
          <w:color w:val="auto"/>
        </w:rPr>
      </w:pPr>
      <w:r>
        <w:rPr>
          <w:rFonts w:ascii="Times New Roman" w:cs="Times New Roman" w:eastAsia="Times New Roman" w:hAnsi="Times New Roman"/>
          <w:sz w:val="18"/>
          <w:szCs w:val="18"/>
          <w:color w:val="auto"/>
        </w:rPr>
        <w:t>The total fair value of the restricted stock awards that vested during the three months ended March 31, 2022 and 2021 was $188 and $244, respectively, as of the vesting dates of these awards.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0" w:hanging="813"/>
        <w:spacing w:after="0"/>
        <w:tabs>
          <w:tab w:leader="none" w:pos="8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6" w:lineRule="exact"/>
        <w:rPr>
          <w:rFonts w:ascii="Times New Roman" w:cs="Times New Roman" w:eastAsia="Times New Roman" w:hAnsi="Times New Roman"/>
          <w:sz w:val="18"/>
          <w:szCs w:val="18"/>
          <w:b w:val="1"/>
          <w:bCs w:val="1"/>
          <w:color w:val="auto"/>
        </w:rPr>
      </w:pPr>
    </w:p>
    <w:p>
      <w:pPr>
        <w:ind w:left="800" w:right="2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1" w:lineRule="exact"/>
        <w:rPr>
          <w:rFonts w:ascii="Times New Roman" w:cs="Times New Roman" w:eastAsia="Times New Roman" w:hAnsi="Times New Roman"/>
          <w:sz w:val="18"/>
          <w:szCs w:val="18"/>
          <w:b w:val="1"/>
          <w:bCs w:val="1"/>
          <w:color w:val="auto"/>
        </w:rPr>
      </w:pPr>
    </w:p>
    <w:p>
      <w:pPr>
        <w:jc w:val="both"/>
        <w:ind w:left="800" w:right="1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176" w:lineRule="exact"/>
        <w:rPr>
          <w:rFonts w:ascii="Times New Roman" w:cs="Times New Roman" w:eastAsia="Times New Roman" w:hAnsi="Times New Roman"/>
          <w:sz w:val="18"/>
          <w:szCs w:val="18"/>
          <w:b w:val="1"/>
          <w:bCs w:val="1"/>
          <w:color w:val="auto"/>
        </w:rPr>
      </w:pPr>
    </w:p>
    <w:p>
      <w:pPr>
        <w:ind w:left="80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2022, employees purchased 5,245 shares of our stock through the ESPP at a cost of $56. The closing market price on the date of the purchase was $10.73. The price paid by employees was $9.12 which represented a 15% discount. The total amount of the discount of $8 was recorded as compensation expense in our consolidated statements of operations. From the effective date of the ESPP through March 31, 2022, a total of 9,236 shares of stock have been purchased by employees through the ESPP at a cost of $91. We have recorded a total of $16 of compensation expense in our consolidated statements of operations related to these shares.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820" w:hanging="813"/>
        <w:spacing w:after="0"/>
        <w:tabs>
          <w:tab w:leader="none" w:pos="8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sz w:val="20"/>
          <w:szCs w:val="20"/>
          <w:color w:val="auto"/>
        </w:rPr>
      </w:pPr>
    </w:p>
    <w:p>
      <w:pPr>
        <w:ind w:left="780" w:right="80"/>
        <w:spacing w:after="0" w:line="256" w:lineRule="auto"/>
        <w:rPr>
          <w:sz w:val="20"/>
          <w:szCs w:val="20"/>
          <w:color w:val="auto"/>
        </w:rPr>
      </w:pPr>
      <w:r>
        <w:rPr>
          <w:rFonts w:ascii="Times New Roman" w:cs="Times New Roman" w:eastAsia="Times New Roman" w:hAnsi="Times New Roman"/>
          <w:sz w:val="18"/>
          <w:szCs w:val="18"/>
          <w:color w:val="auto"/>
        </w:rPr>
        <w:t>We have defined contribution 401(k) plans for our employees who work in the U.S. All permanent employees of inTEST Corporation, inTEST EMS LLC, Temptronic Corporation and Videology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ended March 31, 2022 and 2021 we recorded $216 and $171 of expense for matching contributions,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4" w:name="page25"/>
    <w:bookmarkEnd w:id="24"/>
    <w:p>
      <w:pPr>
        <w:ind w:left="780" w:right="60"/>
        <w:spacing w:after="0" w:line="255" w:lineRule="auto"/>
        <w:rPr>
          <w:sz w:val="20"/>
          <w:szCs w:val="20"/>
          <w:color w:val="auto"/>
        </w:rPr>
      </w:pPr>
      <w:r>
        <w:rPr>
          <w:rFonts w:ascii="Times New Roman" w:cs="Times New Roman" w:eastAsia="Times New Roman" w:hAnsi="Times New Roman"/>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months ended March 31, 2022 and 2021 we recorded $101 and $43 of expense for matching contributions,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hanging="813"/>
        <w:spacing w:after="0"/>
        <w:tabs>
          <w:tab w:leader="none" w:pos="8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left="780" w:right="80"/>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2021, we managed our business as two operating segments which were also our reportable segments and reporting units: Thermal and EMS. As previously discussed in Note 1, effective January 1, 2022, we reorganized our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Accordingly, for 2022,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89" w:lineRule="exact"/>
        <w:rPr>
          <w:sz w:val="20"/>
          <w:szCs w:val="20"/>
          <w:color w:val="auto"/>
        </w:rPr>
      </w:pPr>
    </w:p>
    <w:p>
      <w:pPr>
        <w:ind w:left="780" w:right="40"/>
        <w:spacing w:after="0" w:line="264" w:lineRule="auto"/>
        <w:rPr>
          <w:sz w:val="20"/>
          <w:szCs w:val="20"/>
          <w:color w:val="auto"/>
        </w:rPr>
      </w:pPr>
      <w:r>
        <w:rPr>
          <w:rFonts w:ascii="Times New Roman" w:cs="Times New Roman" w:eastAsia="Times New Roman" w:hAnsi="Times New Roman"/>
          <w:sz w:val="18"/>
          <w:szCs w:val="18"/>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other income (expense), corporate expenses and acquired intangible amortization.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3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6,993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3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divisional operations:</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3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from divisional operations</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(1,835)</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amortization</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1"/>
                <w:szCs w:val="21"/>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3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388"/>
        </w:trPr>
        <w:tc>
          <w:tcPr>
            <w:tcW w:w="1140" w:type="dxa"/>
            <w:vAlign w:val="bottom"/>
          </w:tcPr>
          <w:p>
            <w:pPr>
              <w:spacing w:after="0"/>
              <w:rPr>
                <w:sz w:val="24"/>
                <w:szCs w:val="24"/>
                <w:color w:val="auto"/>
              </w:rPr>
            </w:pPr>
          </w:p>
        </w:tc>
        <w:tc>
          <w:tcPr>
            <w:tcW w:w="36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3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26,251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15,736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51,737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52,120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0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- 23-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25" w:name="page26"/>
    <w:bookmarkEnd w:id="25"/>
    <w:p>
      <w:pPr>
        <w:ind w:left="780" w:right="500"/>
        <w:spacing w:after="0" w:line="280"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Revenue is based on the location to which the goods are shipped.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26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8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8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5,747</w:t>
            </w:r>
          </w:p>
        </w:tc>
      </w:tr>
      <w:tr>
        <w:trPr>
          <w:trHeight w:val="215"/>
        </w:trPr>
        <w:tc>
          <w:tcPr>
            <w:tcW w:w="6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13,809</w:t>
            </w:r>
          </w:p>
        </w:tc>
      </w:tr>
      <w:tr>
        <w:trPr>
          <w:trHeight w:val="20"/>
        </w:trPr>
        <w:tc>
          <w:tcPr>
            <w:tcW w:w="68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800" w:type="dxa"/>
            <w:vAlign w:val="bottom"/>
          </w:tcPr>
          <w:p>
            <w:pPr>
              <w:spacing w:after="0"/>
              <w:rPr>
                <w:sz w:val="18"/>
                <w:szCs w:val="18"/>
                <w:color w:val="auto"/>
              </w:rPr>
            </w:pP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19,556</w:t>
            </w:r>
          </w:p>
        </w:tc>
      </w:tr>
      <w:tr>
        <w:trPr>
          <w:trHeight w:val="20"/>
        </w:trPr>
        <w:tc>
          <w:tcPr>
            <w:tcW w:w="6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6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r>
      <w:tr>
        <w:trPr>
          <w:trHeight w:val="21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6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7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w:t>
            </w:r>
          </w:p>
        </w:tc>
      </w:tr>
      <w:tr>
        <w:trPr>
          <w:trHeight w:val="20"/>
        </w:trPr>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and Forward-Looking Statements</w:t>
      </w:r>
    </w:p>
    <w:p>
      <w:pPr>
        <w:spacing w:after="0" w:line="227" w:lineRule="exact"/>
        <w:rPr>
          <w:sz w:val="20"/>
          <w:szCs w:val="20"/>
          <w:color w:val="auto"/>
        </w:rPr>
      </w:pPr>
    </w:p>
    <w:p>
      <w:pPr>
        <w:ind w:left="780" w:right="160"/>
        <w:spacing w:after="0" w:line="269" w:lineRule="auto"/>
        <w:rPr>
          <w:sz w:val="20"/>
          <w:szCs w:val="20"/>
          <w:color w:val="auto"/>
        </w:rPr>
      </w:pPr>
      <w:r>
        <w:rPr>
          <w:rFonts w:ascii="Times New Roman" w:cs="Times New Roman" w:eastAsia="Times New Roman" w:hAnsi="Times New Roman"/>
          <w:sz w:val="17"/>
          <w:szCs w:val="17"/>
          <w:color w:val="auto"/>
        </w:rPr>
        <w:t>In addition to historical information, this Quarterly Report on Form 10-Q for the period ended March 31, 2022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“could,” "will," "should," "plans," “projects,” “forecasts,” “seeks,” “anticipates,” “goal,” “objective,” “target,” “estimate,”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78" w:lineRule="exact"/>
        <w:rPr>
          <w:sz w:val="20"/>
          <w:szCs w:val="20"/>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5-Point Strategy;</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presence in the life sciences, security, industrial and international markets;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future acquisitions or dispositions and the successful integration of any acquired operations;</w:t>
      </w:r>
    </w:p>
    <w:p>
      <w:pPr>
        <w:spacing w:after="0" w:line="34" w:lineRule="exact"/>
        <w:rPr>
          <w:rFonts w:ascii="Times New Roman" w:cs="Times New Roman" w:eastAsia="Times New Roman" w:hAnsi="Times New Roman"/>
          <w:sz w:val="18"/>
          <w:szCs w:val="18"/>
          <w:color w:val="auto"/>
        </w:rPr>
      </w:pPr>
    </w:p>
    <w:p>
      <w:pPr>
        <w:ind w:left="1140" w:right="180" w:hanging="326"/>
        <w:spacing w:after="0" w:line="260"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strategy to diversify our business by entering markets outside the semiconductor and automated test equipment (“ATE”) markets, collectively the “semi market”;</w:t>
      </w: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indications of a change in the market cycles in the semi market, or other markets we serve;</w:t>
      </w:r>
    </w:p>
    <w:p>
      <w:pPr>
        <w:spacing w:after="0" w:line="16"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trends in the semi market, including changes in the demand for semiconductors;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backlog to sales and to ship product in a timely manner;</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one or more of our largest customers, or a reduction in orders by a major customer;</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materials used to manufacture our products;</w:t>
      </w:r>
    </w:p>
    <w:p>
      <w:pPr>
        <w:spacing w:after="0" w:line="34" w:lineRule="exact"/>
        <w:rPr>
          <w:rFonts w:ascii="Times New Roman" w:cs="Times New Roman" w:eastAsia="Times New Roman" w:hAnsi="Times New Roman"/>
          <w:sz w:val="18"/>
          <w:szCs w:val="18"/>
          <w:color w:val="auto"/>
        </w:rPr>
      </w:pPr>
    </w:p>
    <w:p>
      <w:pPr>
        <w:ind w:left="1140" w:right="420" w:hanging="326"/>
        <w:spacing w:after="0" w:line="260"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supply chain constraints or other interruptions in our supply chain caused by external factors, including the ongoing war in Ukraine and COVID-19;</w:t>
      </w: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business and financial condition;</w:t>
      </w:r>
    </w:p>
    <w:p>
      <w:pPr>
        <w:spacing w:after="0" w:line="16"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liquidity, financial condition and results of operations;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cash balances, lines of credit and net cash from operations;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fluctuations;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borrow funds or raise capital to finance potential acquisitions or for working capital;</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and timing of, capital expenditures by our customers;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exchange rate fluctuations;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product development programs;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market for our products;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retention of key personnel or our ability to hire personnel at anticipated costs;</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globally, and</w:t>
      </w:r>
    </w:p>
    <w:p>
      <w:pPr>
        <w:spacing w:after="0" w:line="34" w:lineRule="exact"/>
        <w:rPr>
          <w:rFonts w:ascii="Times New Roman" w:cs="Times New Roman" w:eastAsia="Times New Roman" w:hAnsi="Times New Roman"/>
          <w:sz w:val="18"/>
          <w:szCs w:val="18"/>
          <w:color w:val="auto"/>
        </w:rPr>
      </w:pPr>
    </w:p>
    <w:p>
      <w:pPr>
        <w:ind w:left="1140" w:hanging="32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included in Part I, Item 1A - "Risk Factors" in our 2021 Form 10-K.</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6" w:name="page27"/>
    <w:bookmarkEnd w:id="26"/>
    <w:p>
      <w:pPr>
        <w:ind w:left="40" w:right="40"/>
        <w:spacing w:after="0" w:line="259" w:lineRule="auto"/>
        <w:rPr>
          <w:sz w:val="20"/>
          <w:szCs w:val="20"/>
          <w:color w:val="auto"/>
        </w:rPr>
      </w:pPr>
      <w:r>
        <w:rPr>
          <w:rFonts w:ascii="Times New Roman" w:cs="Times New Roman" w:eastAsia="Times New Roman" w:hAnsi="Times New Roman"/>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7" w:lineRule="exact"/>
        <w:rPr>
          <w:sz w:val="20"/>
          <w:szCs w:val="20"/>
          <w:color w:val="auto"/>
        </w:rPr>
      </w:pPr>
    </w:p>
    <w:p>
      <w:pPr>
        <w:ind w:left="40" w:right="20"/>
        <w:spacing w:after="0" w:line="280" w:lineRule="auto"/>
        <w:rPr>
          <w:sz w:val="20"/>
          <w:szCs w:val="20"/>
          <w:color w:val="auto"/>
        </w:rPr>
      </w:pPr>
      <w:r>
        <w:rPr>
          <w:rFonts w:ascii="Times New Roman" w:cs="Times New Roman" w:eastAsia="Times New Roman" w:hAnsi="Times New Roman"/>
          <w:sz w:val="18"/>
          <w:szCs w:val="18"/>
          <w:color w:val="auto"/>
        </w:rPr>
        <w:t>This MD&amp;A should be read in conjunction with the accompanying consolidated financial statements. In addition, please refer to the discussion of our business and markets contained in Part 1, Item 1 of our 2021 Form 10-K.</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Effective January 1, 2022, we reorganized our operating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Accordingly, for 2022,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Markets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discussed further in Part 1, Item 1 “Markets” of our 2021 Form 10-K, we are focused on specific target markets which include automotive, defense/aerospace, industrial, life sciences, security as well as both the front-end and back-end of the semiconductor manufacturing industry (“semi” or “semi market”). The semi market, which includes both the broader semiconductor market, as well as the more specialized ATE and wafer processing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processing equipment. Demand for ATE or wafer processing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00"/>
          </w:cols>
          <w:pgMar w:left="1060" w:top="578" w:right="339" w:bottom="1440" w:gutter="0" w:footer="0" w:header="0"/>
        </w:sectPr>
      </w:pPr>
    </w:p>
    <w:bookmarkStart w:id="27" w:name="page28"/>
    <w:bookmarkEnd w:id="27"/>
    <w:p>
      <w:pPr>
        <w:ind w:left="740" w:right="120"/>
        <w:spacing w:after="0" w:line="251" w:lineRule="auto"/>
        <w:rPr>
          <w:sz w:val="20"/>
          <w:szCs w:val="20"/>
          <w:color w:val="auto"/>
        </w:rPr>
      </w:pPr>
      <w:r>
        <w:rPr>
          <w:rFonts w:ascii="Times New Roman" w:cs="Times New Roman" w:eastAsia="Times New Roman" w:hAnsi="Times New Roman"/>
          <w:sz w:val="18"/>
          <w:szCs w:val="18"/>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w:t>
      </w:r>
    </w:p>
    <w:p>
      <w:pPr>
        <w:spacing w:after="0" w:line="225" w:lineRule="exact"/>
        <w:rPr>
          <w:sz w:val="20"/>
          <w:szCs w:val="20"/>
          <w:color w:val="auto"/>
        </w:rPr>
      </w:pPr>
    </w:p>
    <w:p>
      <w:pPr>
        <w:jc w:val="both"/>
        <w:ind w:left="740" w:right="300"/>
        <w:spacing w:after="0" w:line="264" w:lineRule="auto"/>
        <w:rPr>
          <w:sz w:val="20"/>
          <w:szCs w:val="20"/>
          <w:color w:val="auto"/>
        </w:rPr>
      </w:pPr>
      <w:r>
        <w:rPr>
          <w:rFonts w:ascii="Times New Roman" w:cs="Times New Roman" w:eastAsia="Times New Roman" w:hAnsi="Times New Roman"/>
          <w:sz w:val="18"/>
          <w:szCs w:val="18"/>
          <w:color w:val="auto"/>
        </w:rPr>
        <w:t>A key element to our strategy for growth is through acquisitions. As discussed more fully in Note 3 to our consolidated financial statements in this Report, during 2021, we completed three acquisitions that expanded our technology offerings, diversified our markets and customers and expanded our reach into Europe.</w:t>
      </w:r>
    </w:p>
    <w:p>
      <w:pPr>
        <w:spacing w:after="0" w:line="177" w:lineRule="exact"/>
        <w:rPr>
          <w:sz w:val="20"/>
          <w:szCs w:val="20"/>
          <w:color w:val="auto"/>
        </w:rPr>
      </w:pPr>
    </w:p>
    <w:p>
      <w:pPr>
        <w:ind w:left="740" w:right="20"/>
        <w:spacing w:after="0" w:line="264" w:lineRule="auto"/>
        <w:rPr>
          <w:sz w:val="20"/>
          <w:szCs w:val="20"/>
          <w:color w:val="auto"/>
        </w:rPr>
      </w:pPr>
      <w:r>
        <w:rPr>
          <w:rFonts w:ascii="Times New Roman" w:cs="Times New Roman" w:eastAsia="Times New Roman" w:hAnsi="Times New Roman"/>
          <w:sz w:val="18"/>
          <w:szCs w:val="18"/>
          <w:color w:val="auto"/>
        </w:rPr>
        <w:t>On October 6, 2021, we acquired substantially all of the assets of Z-Sciences (now North Sciences), a developer of ultra-cold storage solutions for the life sciences cold chain market. This small, tuck-in transaction enhances our technology, adds new talent, and provides a low-cost entry into this fast growing, fragmented market. This business is included in our Environmental Technologies segment.</w:t>
      </w:r>
    </w:p>
    <w:p>
      <w:pPr>
        <w:spacing w:after="0" w:line="177" w:lineRule="exact"/>
        <w:rPr>
          <w:sz w:val="20"/>
          <w:szCs w:val="20"/>
          <w:color w:val="auto"/>
        </w:rPr>
      </w:pPr>
    </w:p>
    <w:p>
      <w:pPr>
        <w:ind w:left="740" w:right="20"/>
        <w:spacing w:after="0" w:line="264" w:lineRule="auto"/>
        <w:rPr>
          <w:sz w:val="20"/>
          <w:szCs w:val="20"/>
          <w:color w:val="auto"/>
        </w:rPr>
      </w:pPr>
      <w:r>
        <w:rPr>
          <w:rFonts w:ascii="Times New Roman" w:cs="Times New Roman" w:eastAsia="Times New Roman" w:hAnsi="Times New Roman"/>
          <w:sz w:val="18"/>
          <w:szCs w:val="18"/>
          <w:color w:val="auto"/>
        </w:rPr>
        <w:t>On October 28, 2021, we acquired substantially all of the assets of Videology, a global designer, developer and manufacturer of OEM digital streaming and image capturing solutions. The acquisition expanded our process technology offerings, diversified our reach into key target markets and broadened our customer base. This business is included in our Process Technologies segment.</w:t>
      </w:r>
    </w:p>
    <w:p>
      <w:pPr>
        <w:spacing w:after="0" w:line="177" w:lineRule="exact"/>
        <w:rPr>
          <w:sz w:val="20"/>
          <w:szCs w:val="20"/>
          <w:color w:val="auto"/>
        </w:rPr>
      </w:pPr>
    </w:p>
    <w:p>
      <w:pPr>
        <w:ind w:left="740" w:right="340"/>
        <w:spacing w:after="0" w:line="264" w:lineRule="auto"/>
        <w:rPr>
          <w:sz w:val="20"/>
          <w:szCs w:val="20"/>
          <w:color w:val="auto"/>
        </w:rPr>
      </w:pPr>
      <w:r>
        <w:rPr>
          <w:rFonts w:ascii="Times New Roman" w:cs="Times New Roman" w:eastAsia="Times New Roman" w:hAnsi="Times New Roman"/>
          <w:sz w:val="18"/>
          <w:szCs w:val="18"/>
          <w:color w:val="auto"/>
        </w:rPr>
        <w:t>On December 21, 2021, we acquired Acculogic, a global manufacturer of robotics-based electronic production test equipment and application support services. The acquisition expanded our global reach and enhanced our product portfolio with leading technologies and automation services. This business is included in our Electronic Test segment.</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by operating segment and market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0"/>
                <w:szCs w:val="20"/>
                <w:color w:val="auto"/>
              </w:rPr>
            </w:pPr>
          </w:p>
        </w:tc>
        <w:tc>
          <w:tcPr>
            <w:tcW w:w="126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9,297</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3,973</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9,102</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0" w:type="dxa"/>
            <w:vAlign w:val="bottom"/>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(5,396)</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2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12,382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(4,803)</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1,451</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1,206</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1,331</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0" w:type="dxa"/>
            <w:vAlign w:val="bottom"/>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(5,396)</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820" w:type="dxa"/>
            <w:vAlign w:val="bottom"/>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t>Total consolidated orders for the three months ended March 31, 2022 were $25.1 million compared to $25.2 million for the same period in 2021 and $30.5 million for the three months ended December 31, 2021. Orders from customers in semi for the three months ended March 31, 2022 declined 28% compared to the same period in 2021 and 42% compared to the three months ended December 31, 2021. During the first quarter of 2021, we experienced exceptionally strong demand from our back-end semi customers as the market was in a period of significant expansion. Demand from these customers in the first quarter of 2021 has moderated, which we believe reflects the typical purchasing cycle in this market as customers complete the installation and set-up of equipment purchased throughout 2021. In addition, orders in the fourth quarter of 2021 included a $10.0 million order for our front-end semi solutions which we did not expect to repeat in the first quarter of 2022. This order will ship over the next several quarters.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Orders for the three months ended March 31, 2022 as compared to both the same period in 2021 and the three months ended December 31, 2021 reflected strong demand from the automotive market, in particular for electric vehicle (“EV”) applications utilizing our induction heating technology and our newly acquired battery test solutions. Orders increased in life sciences as well, driven by demand for a variety of our technology solutions including digital imaging and induction heating. Demand from the defense/aerospace market for environmental technology solutions was also strong in the three months ended March 31, 2022.</w:t>
      </w:r>
    </w:p>
    <w:p>
      <w:pPr>
        <w:spacing w:after="0" w:line="18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At March 31, 2022, our backlog of unfilled orders for all products was approximately $35.0 million compared with approximately $17.1 million at March 31, 2021 and $34.1 million at December 31, 2021. The amounts at March 31, 2022 and December 31, 2021 included approximately $7.6 million and $6.5 million, respectively, from acquired businesses. The significant increase in our backlog as compared to March 31, 2021 primarily reflects the aforementioned $10.0 million order received from one of our front-end semi market customers during the fourth quarter of 2021 and the impact of the acquired businesses. Our backlog includes customer orders which we have accepted, essentially all of which we expect to deliver in 2022, subject to supply chain constraints.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revenue by operating segment and market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Electronic Test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8,778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Technologies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Process Technologies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3,453</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24,081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4,525</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1,372</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Auto/EV</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1,429</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Defense/Aerospace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24,081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4,525</w:t>
            </w:r>
          </w:p>
        </w:tc>
        <w:tc>
          <w:tcPr>
            <w:tcW w:w="28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Total consolidated revenue for the three months ended March 31, 2022 was $24.1 million compared to $19.6 million for the same period in 2021 and $22.4 million for the three months ended December 31, 2021. Revenue for the three months ended March 31, 2022 included $4.0 million from the businesses we acquired during the fourth quarter of 2021, as previously discussed. Acquired businesses accounted for $1.5 million of revenue during the fourth quarter of 2021.</w:t>
      </w:r>
    </w:p>
    <w:p>
      <w:pPr>
        <w:spacing w:after="0" w:line="18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00"/>
          </w:cols>
          <w:pgMar w:left="1100" w:top="578" w:right="399" w:bottom="1440" w:gutter="0" w:footer="0" w:header="0"/>
        </w:sectPr>
      </w:pPr>
    </w:p>
    <w:bookmarkStart w:id="29" w:name="page30"/>
    <w:bookmarkEnd w:id="29"/>
    <w:p>
      <w:pPr>
        <w:ind w:right="20"/>
        <w:spacing w:after="0" w:line="253" w:lineRule="auto"/>
        <w:rPr>
          <w:sz w:val="20"/>
          <w:szCs w:val="20"/>
          <w:color w:val="auto"/>
        </w:rPr>
      </w:pPr>
      <w:r>
        <w:rPr>
          <w:rFonts w:ascii="Times New Roman" w:cs="Times New Roman" w:eastAsia="Times New Roman" w:hAnsi="Times New Roman"/>
          <w:sz w:val="18"/>
          <w:szCs w:val="18"/>
          <w:color w:val="auto"/>
        </w:rPr>
        <w:t>Organic growth in revenue for the three months ended March 31, 2022 was 3% compared to the same period in 2021 and reflected demand from the automotive market, in particular EVs, as well as industrial markets. The acquired businesses contributed to growth in life sciences, security and other markets. Revenue from the semi market was relatively unchanged compared to the same period in 2021 as demand from front-end semi customers offset the decline in sales to the back-end semi customers which were exceptionally strong in the same period in 2021, as previously mentioned. Compared with the three months ended December 31, 2021, revenue excluding acquired businesses declined approximately 4% largely reflecting logistics and supply chain constraints that did not allow us to ship all of the orders we had planned to ship during the first quarter of 2022. The incremental increase from acquired businesses primarily reflects that we owned these businesses for the full quarter while we only had revenue in the fourth quarter of 2021 from the respective dates of acquisition through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War in Ukraine and Global Supply Chain Constraints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As discussed in Part 1, Item IA “Risk Factors” in our 2021 Form 10-K, Acculogic, which we acquired in December 2021, purchases certain material from a key sole-source supplier in Belarus, which is bordered by Russia to the east and northeast and Ukraine to the south. We estimate that we currently have a six to nine month supply of this material. Since February 2022, we have been working through the process of qualifying an alternate supplier for this material. Although we expect to have completed that qualification by the end of the second quarter of 2022, if we do not successfully identify and qualify an alternate vendor for this material, our revenue and earnings could be adversely affected in future periods.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while we were able to mitigate a significant portion of the supply chain and logistics challenges that we encountered in the first quarter of 2022, we have approximately $1.0 million of products that we were not able to ship during the quarter because of such constraints. We expect to ship all of such products during the second quarter of 2022. However, we expect to continue to experience increased prices, lack of availability and logistics delays for the foreseeable future. The actions we are taking to mitigate these risks include qualifying new vendors as alternate sources in our supply chain, increasing our inventory of raw materials and ordering further in advance of when we expect to need materials than has been our practice in the past. We are also increasing the prices that we charge our customers as a result of increased raw material expenses, and we are working with our customers to find alternate options for the shipment of products where they control aspects of the logistics process. However, the situation is evolving and shifting rapidly at times, and the success of our efforts to mitigate and address the impacts on our business may not be successful. As a result, we could see increases in our costs or reduced revenues which would impact the level of our earnings in future periods.</w:t>
      </w:r>
    </w:p>
    <w:p>
      <w:pPr>
        <w:spacing w:after="0" w:line="19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Please refer to Part 1, Item 1A of our 2021 Form 10-K for further discussion of the risks associated with our business operations, including risks associated with foreign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Pandemic</w:t>
      </w:r>
    </w:p>
    <w:p>
      <w:pPr>
        <w:spacing w:after="0" w:line="2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With respect to the COVID-19 pandemic, we are following the guidance of the Centers for Disease Control and Prevention and the local regulatory authorities in regions outside the U.S. While in most cases we are no longer requiring employees to wear masks indoors in our domestic locations, in certain of our facilities, where we have experienced a recent increase in the number of employees contracting the virus, we have re-instituted a mask requirement. We are encouraging all employees to receive COVID-19 vaccinations and boosters, if possible. We are continuing to conduct temperature screenings and encouraging all employees to maintain social distancing when appropriate. We are also continuing to allow employees to work remotely either part-time or full-time in circumstances when possible. We are still assessing the impact of the recent increase in cases in certain of our facilities and exploring alternatives to address the lost production time. With regard to the recent shutdowns in China, we are working with our customers to identify alternate plans for delivery of our products to this region. If the spread of COVID-19 or its variants continues to worsen, we may experience additional lost production time or further interruption in our ability to ship our products to our customers. In addition, if one or more of our significant customers or suppliers is impacted, or significant additional governmental regulations and restrictions are imposed, our business in the future could be negatively impacted. We continue to monitor the situation closely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7" w:lineRule="exact"/>
        <w:rPr>
          <w:sz w:val="20"/>
          <w:szCs w:val="20"/>
          <w:color w:val="auto"/>
        </w:rPr>
      </w:pPr>
    </w:p>
    <w:p>
      <w:pPr>
        <w:jc w:val="both"/>
        <w:ind w:right="280"/>
        <w:spacing w:after="0" w:line="287" w:lineRule="auto"/>
        <w:rPr>
          <w:sz w:val="20"/>
          <w:szCs w:val="20"/>
          <w:color w:val="auto"/>
        </w:rPr>
      </w:pPr>
      <w:r>
        <w:rPr>
          <w:rFonts w:ascii="Times New Roman" w:cs="Times New Roman" w:eastAsia="Times New Roman" w:hAnsi="Times New Roman"/>
          <w:sz w:val="17"/>
          <w:szCs w:val="17"/>
          <w:color w:val="auto"/>
        </w:rPr>
        <w:t>The results of operations for all of our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5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60"/>
          </w:cols>
          <w:pgMar w:left="1100" w:top="5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2022 Compared to Three Months Ended March 31, 2021</w:t>
      </w:r>
    </w:p>
    <w:p>
      <w:pPr>
        <w:spacing w:after="0" w:line="2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$24.1 million for the three months ended March 31, 2022 compared to $19.6 million for the same period in 2021,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$4.5 million, or 23%. We believe the increase in our revenue during the first quarter of 2022 primarily reflects the factors previously discussed in the Overview section.</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46% of revenue for the three months ended March 31, 2022 as compared to 49%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2021. The decrease in our gross margin primarily reflects a combination of an increase in our component material costs as a percentage of revenue, reflecting changes in product and customer mix, and an increase in our direct labor as a percentage of revenue, reflecting an increase in the relative labor component of our cost structure. This increase reflects both the impact of the acquired businesses as well as increases in the average rates paid for labor as compared to the same period in 2021. The increase in labor rates reflects both inflation and merit increases given on April 1, 2021. To a lesser extent, there was also an increase in our fixed operating costs as a percent of revenue, reflecting both the impact of the acquired businesses as well as headcount investments in our legacy business.</w:t>
      </w:r>
    </w:p>
    <w:p>
      <w:pPr>
        <w:spacing w:after="0" w:line="18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$3.5 million for the three months ended March 31, 2022 compared to $2.4 million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an increase of $1.1 million, or 44%. The acquired businesses account for approximately $721,000 of this increase. The remaining increase primarily reflects headcount investments and increased travel across all our segments. These increases were partially offset by a decrease in commission expense, reflecting changes in customer mix.</w:t>
      </w:r>
    </w:p>
    <w:p>
      <w:pPr>
        <w:spacing w:after="0" w:line="178"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$1.9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compared to $1.3 million for the same period in 2021 an increase of $602,000, or 46%. The acquired businesses account for approximately $478,000 of this increase. The remaining increase primarily reflects headcount investments and an increase in supplies used in product development. These increases were partially offset by a reduction in legal fees related to our intellectual property.</w:t>
      </w:r>
    </w:p>
    <w:p>
      <w:pPr>
        <w:spacing w:after="0" w:line="1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$4.8 million for the three months ended March 31,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$3.2 million for the same period in 2021 an increase of $1.7 million, or 53%. The acquired businesses account for approximately $1.3 million of this increase. The remaining increase primarily reflects headcount investments as well as an increase in professional fees paid to various third parties who assist us with our strategic initiatives and regulatory compliance.</w:t>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Restructuring and Other Charges</w:t>
      </w:r>
      <w:r>
        <w:rPr>
          <w:rFonts w:ascii="Times New Roman" w:cs="Times New Roman" w:eastAsia="Times New Roman" w:hAnsi="Times New Roman"/>
          <w:sz w:val="18"/>
          <w:szCs w:val="18"/>
          <w:color w:val="auto"/>
        </w:rPr>
        <w:t>. For the three months ended March 31, 2021, we recorded $55,000 in restructuring and other charges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consolidation of our EMS manufacturing operations. There were no similar charges in the three months ended March 31, 2022.</w:t>
      </w:r>
    </w:p>
    <w:p>
      <w:pPr>
        <w:spacing w:after="0" w:line="15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March 31, 2022, we recorded income tax expense of $78,000 compared to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$366,000 for the same period in 2021. Our effective tax rate was 12% for the three months ended March 31, 2022 compared to 14% for the same period in 2021. On a quarterly basis, we record income tax expense or benefit based on the expected annualized effective tax rate for the various taxing jurisdictions in which we operate our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 results of operations and net cash flows difficult.</w:t>
      </w:r>
    </w:p>
    <w:p>
      <w:pPr>
        <w:spacing w:after="0" w:line="1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In 2021, we also utilized our new credit facility, which is discussed further in the Overview and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new credit facility or by issuing equity.</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40"/>
          </w:cols>
          <w:pgMar w:left="1100" w:top="57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As discussed in Note 11 to our consolidated financial statements in this Report, on October 15, 2021, we entered into the October 2021 Agreement with M&amp;T. The October 2021 Agreement includes a $25 million Term Note and a $10 million revolving credit facility and replaces our prior credit facility with M&amp;T. The October 2021 Agreement has a five-year contract period that expires on October 15, 2026 and draws under the Term Note will be permissible for two years. The principal balance of the revolving credit facility and the principal balance of any amount drawn under the Term Note will accrue interest based on the Secured Overnight Financing Rate or a bank-defined base rate plus an applicable margin, depending on leverage.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2021, it was approximately 2.1% based on current leverage.</w:t>
      </w:r>
    </w:p>
    <w:p>
      <w:pPr>
        <w:spacing w:after="0" w:line="177"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color w:val="auto"/>
        </w:rPr>
        <w:t>At March 31, 2022, there were no amounts borrowed under our revolving credit facility. This facility has a total borrowing availability of $10.0 million. At March 31, 2022 we had utilized $20.5 million of the availability under our Term Note and we had $4.5 million remaining available under our Term Note.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5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1"/>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cash and cash equivalents and working capital were as follows (in thousands):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2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w:t>
            </w:r>
          </w:p>
        </w:tc>
      </w:tr>
      <w:tr>
        <w:trPr>
          <w:trHeight w:val="234"/>
        </w:trPr>
        <w:tc>
          <w:tcPr>
            <w:tcW w:w="200" w:type="dxa"/>
            <w:vAlign w:val="bottom"/>
          </w:tcPr>
          <w:p>
            <w:pPr>
              <w:spacing w:after="0"/>
              <w:rPr>
                <w:sz w:val="20"/>
                <w:szCs w:val="20"/>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27,005</w:t>
            </w:r>
          </w:p>
        </w:tc>
      </w:tr>
    </w:tbl>
    <w:p>
      <w:pPr>
        <w:spacing w:after="0" w:line="178"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As of March 31, 2022, $3.5 million, or 20%,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in Note 11 to our consolidated financial statements.</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minimum short-term working capital requirements currently range between $8.0 million and $10.0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current strategy for growth includes pursuing acquisition opportunities for complementary businesses, technologies or products. As discussed further in the Overview, on October 28, 2021, we acquired substantially all of the assets of Videology and on December 21, 2021, we completed the acquisition of Acculogic. We utilized $20.5 million under our new credit facility to finance these acquisitions. As previously discussed, we currently anticipate that any additional long-term cash requirements related to our strategy would be funded through a combination of our cash and cash equivalents, the remaining availability under our new credit facility or by issuing equity.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For the three months ended March 31, 2022, we recorded net earnings of $577,000. Net cash used in operations during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was $2.8 million. During the three months ended March 31, 2022, we had non-cash charges of $1.3 million for depreciation and amortization which included $309,000 of amortization related to our ROU assets. Our operating lease liabilities declined $346,000 during this same period. During the three months ended March 31, 2022, we also recorded $372,000 for amortization of deferred compensation expense related to stock-based awards. Accounts receivable increased $832,000 during the three months ended March 31, 2022, reflecting the increase in revenue in the first quarter of 2022, while inventories and accounts payable increased $2.2 million and $1.6 million, respectively, also reflecting the increase in business levels. Accrued wages and benefits decreased $1.2 million during the three months ended March 31, 2022 reflecting the payment in March 2022 of profit-based bonuses accrued in 2021 on our results for the 2021 year.</w:t>
      </w:r>
    </w:p>
    <w:p>
      <w:pPr>
        <w:spacing w:after="0" w:line="18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60"/>
          </w:cols>
          <w:pgMar w:left="1100" w:top="576" w:right="339" w:bottom="1440" w:gutter="0" w:footer="0" w:header="0"/>
        </w:sectPr>
      </w:pPr>
    </w:p>
    <w:bookmarkStart w:id="32" w:name="page33"/>
    <w:bookmarkEnd w:id="32"/>
    <w:p>
      <w:pPr>
        <w:ind w:left="780" w:right="40"/>
        <w:spacing w:after="0" w:line="255"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During the three months ended March 31, 2022, purchases of property and equipment were $335,000, primarily reflecting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leasehold improvements to our facility in Mansfield, Massachusetts for the space that our Videology subsidiary will be occupying in the second quarter of 2022. These improvements were funded using our working capital. We have no significant commitments for capital expenditures for the balance of 2022;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85" w:lineRule="exact"/>
        <w:rPr>
          <w:sz w:val="20"/>
          <w:szCs w:val="20"/>
          <w:color w:val="auto"/>
        </w:rPr>
      </w:pPr>
    </w:p>
    <w:p>
      <w:pPr>
        <w:ind w:left="780" w:right="420"/>
        <w:spacing w:after="0" w:line="282"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During the three months ended March 31, 2022, we made principal payments on our Term Note totaling $883,000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$56,000 as a result of purchases of our stock that were made by our employees under the ESPP.</w:t>
      </w:r>
    </w:p>
    <w:p>
      <w:pPr>
        <w:spacing w:after="0" w:line="1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pacing w:after="0" w:line="227" w:lineRule="exact"/>
        <w:rPr>
          <w:sz w:val="20"/>
          <w:szCs w:val="20"/>
          <w:color w:val="auto"/>
        </w:rPr>
      </w:pPr>
    </w:p>
    <w:p>
      <w:pPr>
        <w:ind w:left="780" w:right="560"/>
        <w:spacing w:after="0" w:line="280" w:lineRule="auto"/>
        <w:rPr>
          <w:sz w:val="20"/>
          <w:szCs w:val="20"/>
          <w:color w:val="auto"/>
        </w:rPr>
      </w:pPr>
      <w:r>
        <w:rPr>
          <w:rFonts w:ascii="Times New Roman" w:cs="Times New Roman" w:eastAsia="Times New Roman" w:hAnsi="Times New Roman"/>
          <w:sz w:val="18"/>
          <w:szCs w:val="18"/>
          <w:color w:val="auto"/>
        </w:rPr>
        <w:t>See the Notes to our consolidated financial statements in this Report for information concerning the implementation and impact of new or recently adopted accounting standards.</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7" w:lineRule="exact"/>
        <w:rPr>
          <w:sz w:val="20"/>
          <w:szCs w:val="20"/>
          <w:color w:val="auto"/>
        </w:rPr>
      </w:pPr>
    </w:p>
    <w:p>
      <w:pPr>
        <w:ind w:left="780" w:right="40"/>
        <w:spacing w:after="0" w:line="25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2022, there have been no significant changes to the accounting estimates that we have deemed critical. Our critical accounting estimates are more fully described in our 2021 Form 10-K.</w:t>
      </w:r>
    </w:p>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227" w:lineRule="exact"/>
        <w:rPr>
          <w:sz w:val="20"/>
          <w:szCs w:val="20"/>
          <w:color w:val="auto"/>
        </w:rPr>
      </w:pPr>
    </w:p>
    <w:p>
      <w:pPr>
        <w:ind w:left="780"/>
        <w:spacing w:after="0" w:line="264" w:lineRule="auto"/>
        <w:rPr>
          <w:sz w:val="20"/>
          <w:szCs w:val="20"/>
          <w:color w:val="auto"/>
        </w:rPr>
      </w:pPr>
      <w:r>
        <w:rPr>
          <w:rFonts w:ascii="Times New Roman" w:cs="Times New Roman" w:eastAsia="Times New Roman" w:hAnsi="Times New Roman"/>
          <w:sz w:val="18"/>
          <w:szCs w:val="18"/>
          <w:color w:val="auto"/>
        </w:rPr>
        <w:t>There were no off-balance sheet arrangements during the three months ended March 31, 2022 that have or are reasonably likely to have, a current or future effect on our financial condition, changes in financial condition, revenue or expenses, results of operations, liquidity, capital expenditures or capital resources that is material to our interests.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7" w:lineRule="exact"/>
        <w:rPr>
          <w:sz w:val="20"/>
          <w:szCs w:val="20"/>
          <w:color w:val="auto"/>
        </w:rPr>
      </w:pPr>
    </w:p>
    <w:p>
      <w:pPr>
        <w:ind w:left="780" w:right="140"/>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ind w:left="780" w:right="80"/>
        <w:spacing w:after="0" w:line="261" w:lineRule="auto"/>
        <w:rPr>
          <w:sz w:val="20"/>
          <w:szCs w:val="20"/>
          <w:color w:val="auto"/>
        </w:rPr>
      </w:pPr>
      <w:r>
        <w:rPr>
          <w:rFonts w:ascii="Times New Roman" w:cs="Times New Roman" w:eastAsia="Times New Roman" w:hAnsi="Times New Roman"/>
          <w:sz w:val="18"/>
          <w:szCs w:val="18"/>
          <w:b w:val="1"/>
          <w:bCs w:val="1"/>
          <w:color w:val="auto"/>
        </w:rPr>
        <w:t>CEO/CFO Conclusions about the Effectiveness of the Disclosure Controls and Procedures</w:t>
      </w:r>
      <w:r>
        <w:rPr>
          <w:rFonts w:ascii="Times New Roman" w:cs="Times New Roman" w:eastAsia="Times New Roman" w:hAnsi="Times New Roman"/>
          <w:sz w:val="18"/>
          <w:szCs w:val="18"/>
          <w:color w:val="auto"/>
        </w:rPr>
        <w:t>. As required by Rule 13a-15(b)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inTEST management, including our CEO and CFO, conducted an evaluation as of the end of the period covered by this Report, of the effectiveness of our disclosure controls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Based on that evaluation, our CEO and CFO concluded that, as of the end of the period covered by this Report, our disclosure controls and procedures were effective at the reasonable assurance level.</w:t>
      </w:r>
    </w:p>
    <w:p>
      <w:pPr>
        <w:spacing w:after="0" w:line="1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7" w:lineRule="exact"/>
        <w:rPr>
          <w:sz w:val="20"/>
          <w:szCs w:val="20"/>
          <w:color w:val="auto"/>
        </w:rPr>
      </w:pPr>
    </w:p>
    <w:p>
      <w:pPr>
        <w:jc w:val="both"/>
        <w:ind w:left="780"/>
        <w:spacing w:after="0" w:line="264" w:lineRule="auto"/>
        <w:rPr>
          <w:sz w:val="20"/>
          <w:szCs w:val="20"/>
          <w:color w:val="auto"/>
        </w:rPr>
      </w:pPr>
      <w:r>
        <w:rPr>
          <w:rFonts w:ascii="Times New Roman" w:cs="Times New Roman" w:eastAsia="Times New Roman" w:hAnsi="Times New Roman"/>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left="780" w:right="380"/>
        <w:spacing w:after="0" w:line="280"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780" w:right="40"/>
        <w:spacing w:after="0" w:line="259" w:lineRule="auto"/>
        <w:rPr>
          <w:sz w:val="20"/>
          <w:szCs w:val="20"/>
          <w:color w:val="auto"/>
        </w:rPr>
      </w:pPr>
      <w:r>
        <w:rPr>
          <w:rFonts w:ascii="Times New Roman" w:cs="Times New Roman" w:eastAsia="Times New Roman" w:hAnsi="Times New Roman"/>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2021 Form 10-K filed with the Securities and Exchange Commission on March 23, 2022. There have been no material changes from the risk factors set forth in our 2021 Form 10-K.</w:t>
      </w:r>
    </w:p>
    <w:p>
      <w:pPr>
        <w:spacing w:after="0" w:line="3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8560"/>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89"/>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w:t>
            </w:r>
          </w:p>
        </w:tc>
        <w:tc>
          <w:tcPr>
            <w:tcW w:w="9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Amended and Restated Loan and Security Agreement, dated October 15, 2021, among inTEST Corporation, Ambrell Corporation,</w:t>
              </w:r>
            </w:hyperlink>
          </w:p>
        </w:tc>
      </w:tr>
      <w:tr>
        <w:trPr>
          <w:trHeight w:val="195"/>
        </w:trPr>
        <w:tc>
          <w:tcPr>
            <w:tcW w:w="1480" w:type="dxa"/>
            <w:vAlign w:val="bottom"/>
          </w:tcPr>
          <w:p>
            <w:pPr>
              <w:spacing w:after="0"/>
              <w:rPr>
                <w:sz w:val="16"/>
                <w:szCs w:val="16"/>
                <w:color w:val="auto"/>
              </w:rPr>
            </w:pPr>
          </w:p>
        </w:tc>
        <w:tc>
          <w:tcPr>
            <w:tcW w:w="9360" w:type="dxa"/>
            <w:vAlign w:val="bottom"/>
            <w:gridSpan w:val="8"/>
          </w:tcPr>
          <w:p>
            <w:pPr>
              <w:spacing w:after="0" w:line="195"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inTEST Silicon Valley Corporation, inTEST EMS, LLC, Temptronic Corporation and M&amp;T Bank. (1)</w:t>
              </w:r>
            </w:hyperlink>
          </w:p>
        </w:tc>
      </w:tr>
      <w:tr>
        <w:trPr>
          <w:trHeight w:val="195"/>
        </w:trPr>
        <w:tc>
          <w:tcPr>
            <w:tcW w:w="1480" w:type="dxa"/>
            <w:vAlign w:val="bottom"/>
          </w:tcPr>
          <w:p>
            <w:pPr>
              <w:ind w:left="580"/>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358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2022 Executive Officer Compensation Plan (2)(*)</w:t>
              </w:r>
            </w:hyperlink>
          </w:p>
        </w:tc>
        <w:tc>
          <w:tcPr>
            <w:tcW w:w="3740" w:type="dxa"/>
            <w:vAlign w:val="bottom"/>
            <w:tcBorders>
              <w:top w:val="single" w:sz="8" w:color="0000EE"/>
            </w:tcBorders>
            <w:gridSpan w:val="3"/>
          </w:tcPr>
          <w:p>
            <w:pPr>
              <w:spacing w:after="0"/>
              <w:rPr>
                <w:sz w:val="16"/>
                <w:szCs w:val="16"/>
                <w:color w:val="auto"/>
              </w:rPr>
            </w:pPr>
          </w:p>
        </w:tc>
        <w:tc>
          <w:tcPr>
            <w:tcW w:w="2040" w:type="dxa"/>
            <w:vAlign w:val="bottom"/>
            <w:gridSpan w:val="3"/>
          </w:tcPr>
          <w:p>
            <w:pPr>
              <w:spacing w:after="0"/>
              <w:rPr>
                <w:sz w:val="16"/>
                <w:szCs w:val="16"/>
                <w:color w:val="auto"/>
              </w:rPr>
            </w:pPr>
          </w:p>
        </w:tc>
      </w:tr>
      <w:tr>
        <w:trPr>
          <w:trHeight w:val="195"/>
        </w:trPr>
        <w:tc>
          <w:tcPr>
            <w:tcW w:w="1480" w:type="dxa"/>
            <w:vAlign w:val="bottom"/>
          </w:tcPr>
          <w:p>
            <w:pPr>
              <w:ind w:left="58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93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w:t>
            </w:r>
          </w:p>
        </w:tc>
      </w:tr>
      <w:tr>
        <w:trPr>
          <w:trHeight w:val="195"/>
        </w:trPr>
        <w:tc>
          <w:tcPr>
            <w:tcW w:w="1480" w:type="dxa"/>
            <w:vAlign w:val="bottom"/>
          </w:tcPr>
          <w:p>
            <w:pPr>
              <w:ind w:left="580"/>
              <w:spacing w:after="0" w:line="195" w:lineRule="exact"/>
              <w:rPr>
                <w:sz w:val="20"/>
                <w:szCs w:val="20"/>
                <w:color w:val="auto"/>
              </w:rPr>
            </w:pPr>
            <w:r>
              <w:rPr>
                <w:rFonts w:ascii="Times New Roman" w:cs="Times New Roman" w:eastAsia="Times New Roman" w:hAnsi="Times New Roman"/>
                <w:sz w:val="18"/>
                <w:szCs w:val="18"/>
                <w:color w:val="auto"/>
              </w:rPr>
              <w:t>31.2</w:t>
            </w:r>
          </w:p>
        </w:tc>
        <w:tc>
          <w:tcPr>
            <w:tcW w:w="4820" w:type="dxa"/>
            <w:vAlign w:val="bottom"/>
            <w:tcBorders>
              <w:top w:val="single" w:sz="8" w:color="0000EE"/>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8"/>
              </w:rPr>
              <w:t>Certification of Chief Financial Officer pursuant to Rule 13a-14(a).</w:t>
            </w:r>
          </w:p>
        </w:tc>
        <w:tc>
          <w:tcPr>
            <w:tcW w:w="40" w:type="dxa"/>
            <w:vAlign w:val="bottom"/>
            <w:tcBorders>
              <w:top w:val="single" w:sz="8" w:color="0000EE"/>
            </w:tcBorders>
          </w:tcPr>
          <w:p>
            <w:pPr>
              <w:spacing w:after="0"/>
              <w:rPr>
                <w:sz w:val="16"/>
                <w:szCs w:val="16"/>
                <w:color w:val="auto"/>
              </w:rPr>
            </w:pPr>
          </w:p>
        </w:tc>
        <w:tc>
          <w:tcPr>
            <w:tcW w:w="4500" w:type="dxa"/>
            <w:vAlign w:val="bottom"/>
            <w:gridSpan w:val="4"/>
          </w:tcPr>
          <w:p>
            <w:pPr>
              <w:spacing w:after="0"/>
              <w:rPr>
                <w:sz w:val="16"/>
                <w:szCs w:val="16"/>
                <w:color w:val="auto"/>
              </w:rPr>
            </w:pPr>
          </w:p>
        </w:tc>
      </w:tr>
      <w:tr>
        <w:trPr>
          <w:trHeight w:val="195"/>
        </w:trPr>
        <w:tc>
          <w:tcPr>
            <w:tcW w:w="1480" w:type="dxa"/>
            <w:vAlign w:val="bottom"/>
          </w:tcPr>
          <w:p>
            <w:pPr>
              <w:ind w:left="580"/>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93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Executive Officer furnished pursuant to 18 U.S.C. Section 1350, as adopted pursuant to Section 906 of the</w:t>
            </w:r>
          </w:p>
        </w:tc>
      </w:tr>
      <w:tr>
        <w:trPr>
          <w:trHeight w:val="195"/>
        </w:trPr>
        <w:tc>
          <w:tcPr>
            <w:tcW w:w="1480" w:type="dxa"/>
            <w:vAlign w:val="bottom"/>
          </w:tcPr>
          <w:p>
            <w:pPr>
              <w:spacing w:after="0"/>
              <w:rPr>
                <w:sz w:val="16"/>
                <w:szCs w:val="16"/>
                <w:color w:val="auto"/>
              </w:rPr>
            </w:pPr>
          </w:p>
        </w:tc>
        <w:tc>
          <w:tcPr>
            <w:tcW w:w="9200" w:type="dxa"/>
            <w:vAlign w:val="bottom"/>
            <w:tcBorders>
              <w:top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60" w:type="dxa"/>
            <w:vAlign w:val="bottom"/>
          </w:tcPr>
          <w:p>
            <w:pPr>
              <w:spacing w:after="0"/>
              <w:rPr>
                <w:sz w:val="16"/>
                <w:szCs w:val="16"/>
                <w:color w:val="auto"/>
              </w:rPr>
            </w:pPr>
          </w:p>
        </w:tc>
      </w:tr>
      <w:tr>
        <w:trPr>
          <w:trHeight w:val="20"/>
        </w:trPr>
        <w:tc>
          <w:tcPr>
            <w:tcW w:w="14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5"/>
        </w:trPr>
        <w:tc>
          <w:tcPr>
            <w:tcW w:w="1480" w:type="dxa"/>
            <w:vAlign w:val="bottom"/>
          </w:tcPr>
          <w:p>
            <w:pPr>
              <w:ind w:left="580"/>
              <w:spacing w:after="0" w:line="195" w:lineRule="exact"/>
              <w:rPr>
                <w:sz w:val="20"/>
                <w:szCs w:val="20"/>
                <w:color w:val="auto"/>
              </w:rPr>
            </w:pPr>
            <w:r>
              <w:rPr>
                <w:rFonts w:ascii="Times New Roman" w:cs="Times New Roman" w:eastAsia="Times New Roman" w:hAnsi="Times New Roman"/>
                <w:sz w:val="18"/>
                <w:szCs w:val="18"/>
                <w:color w:val="auto"/>
              </w:rPr>
              <w:t>32.2</w:t>
            </w:r>
          </w:p>
        </w:tc>
        <w:tc>
          <w:tcPr>
            <w:tcW w:w="916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Certification of Chief Financial Officer furnished pursuant to 18 U.S.C. Section 1350, as adopted pursuant to Section 906 of the</w:t>
            </w:r>
          </w:p>
        </w:tc>
        <w:tc>
          <w:tcPr>
            <w:tcW w:w="200" w:type="dxa"/>
            <w:vAlign w:val="bottom"/>
            <w:gridSpan w:val="2"/>
          </w:tcPr>
          <w:p>
            <w:pPr>
              <w:spacing w:after="0"/>
              <w:rPr>
                <w:sz w:val="16"/>
                <w:szCs w:val="16"/>
                <w:color w:val="auto"/>
              </w:rPr>
            </w:pPr>
          </w:p>
        </w:tc>
      </w:tr>
      <w:tr>
        <w:trPr>
          <w:trHeight w:val="195"/>
        </w:trPr>
        <w:tc>
          <w:tcPr>
            <w:tcW w:w="1480" w:type="dxa"/>
            <w:vAlign w:val="bottom"/>
          </w:tcPr>
          <w:p>
            <w:pPr>
              <w:spacing w:after="0"/>
              <w:rPr>
                <w:sz w:val="16"/>
                <w:szCs w:val="16"/>
                <w:color w:val="auto"/>
              </w:rPr>
            </w:pPr>
          </w:p>
        </w:tc>
        <w:tc>
          <w:tcPr>
            <w:tcW w:w="93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4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r>
      <w:tr>
        <w:trPr>
          <w:trHeight w:val="217"/>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Instance Document</w:t>
            </w:r>
          </w:p>
        </w:tc>
      </w:tr>
      <w:tr>
        <w:trPr>
          <w:trHeight w:val="215"/>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5"/>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101.CAL</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5"/>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5"/>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101.LAB</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5"/>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101.PRE</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6" w:lineRule="exact"/>
        <w:rPr>
          <w:sz w:val="20"/>
          <w:szCs w:val="20"/>
          <w:color w:val="auto"/>
        </w:rPr>
      </w:pPr>
    </w:p>
    <w:p>
      <w:pPr>
        <w:ind w:left="1480" w:hanging="908"/>
        <w:spacing w:after="0" w:line="260"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Current Report on Form 8-K dated October 15, 2021, File No. 001-36117, filed October 20, 2021, and incorporated herein by reference.</w:t>
      </w:r>
    </w:p>
    <w:p>
      <w:pPr>
        <w:ind w:left="1480" w:right="200" w:hanging="908"/>
        <w:spacing w:after="0" w:line="249"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Current Report on Form 8-K dated March 9, 2022, File No. 001-36117, filed March 15, 2022, and incorporated herein by reference.</w:t>
      </w:r>
    </w:p>
    <w:p>
      <w:pPr>
        <w:ind w:left="5480" w:right="60" w:hanging="4908"/>
        <w:spacing w:after="0" w:line="757" w:lineRule="auto"/>
        <w:tabs>
          <w:tab w:leader="none" w:pos="14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directors or executive officers participate.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80"/>
          </w:cols>
          <w:pgMar w:left="320" w:top="574" w:right="599" w:bottom="1440" w:gutter="0" w:footer="0" w:header="0"/>
        </w:sectPr>
      </w:pPr>
    </w:p>
    <w:bookmarkStart w:id="35" w:name="page36"/>
    <w:bookmarkEnd w:id="35"/>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7" w:lineRule="exact"/>
        <w:rPr>
          <w:sz w:val="20"/>
          <w:szCs w:val="20"/>
          <w:color w:val="auto"/>
        </w:rPr>
      </w:pPr>
    </w:p>
    <w:p>
      <w:pPr>
        <w:ind w:left="7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20" w:type="dxa"/>
            <w:vAlign w:val="bottom"/>
            <w:gridSpan w:val="4"/>
          </w:tcPr>
          <w:p>
            <w:pPr>
              <w:ind w:left="2820"/>
              <w:spacing w:after="0"/>
              <w:rPr>
                <w:sz w:val="20"/>
                <w:szCs w:val="20"/>
                <w:color w:val="auto"/>
              </w:rPr>
            </w:pPr>
            <w:r>
              <w:rPr>
                <w:rFonts w:ascii="Times New Roman" w:cs="Times New Roman" w:eastAsia="Times New Roman" w:hAnsi="Times New Roman"/>
                <w:sz w:val="18"/>
                <w:szCs w:val="18"/>
                <w:b w:val="1"/>
                <w:bCs w:val="1"/>
                <w:color w:val="auto"/>
              </w:rPr>
              <w:t>inTEST Corporation</w:t>
            </w:r>
          </w:p>
        </w:tc>
      </w:tr>
      <w:tr>
        <w:trPr>
          <w:trHeight w:val="8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May 13, 2022</w:t>
            </w:r>
          </w:p>
        </w:tc>
        <w:tc>
          <w:tcPr>
            <w:tcW w:w="632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rPr>
              <w:t>/s/ Richard N. Grant, Jr.</w:t>
            </w:r>
          </w:p>
        </w:tc>
      </w:tr>
      <w:tr>
        <w:trPr>
          <w:trHeight w:val="215"/>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20" w:type="dxa"/>
            <w:vAlign w:val="bottom"/>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Richard N. Grant, Jr.</w:t>
            </w:r>
          </w:p>
        </w:tc>
        <w:tc>
          <w:tcPr>
            <w:tcW w:w="1780" w:type="dxa"/>
            <w:vAlign w:val="bottom"/>
          </w:tcPr>
          <w:p>
            <w:pPr>
              <w:spacing w:after="0"/>
              <w:rPr>
                <w:sz w:val="18"/>
                <w:szCs w:val="18"/>
                <w:color w:val="auto"/>
              </w:rPr>
            </w:pPr>
          </w:p>
        </w:tc>
      </w:tr>
      <w:tr>
        <w:trPr>
          <w:trHeight w:val="236"/>
        </w:trPr>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20" w:type="dxa"/>
            <w:vAlign w:val="bottom"/>
            <w:gridSpan w:val="4"/>
          </w:tcPr>
          <w:p>
            <w:pPr>
              <w:ind w:left="2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May 13, 2022</w:t>
            </w:r>
          </w:p>
        </w:tc>
        <w:tc>
          <w:tcPr>
            <w:tcW w:w="632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rPr>
              <w:t>/s/ Duncan Gilmour</w:t>
            </w:r>
          </w:p>
        </w:tc>
      </w:tr>
      <w:tr>
        <w:trPr>
          <w:trHeight w:val="215"/>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Duncan Gilmour</w:t>
            </w:r>
          </w:p>
        </w:tc>
        <w:tc>
          <w:tcPr>
            <w:tcW w:w="2060" w:type="dxa"/>
            <w:vAlign w:val="bottom"/>
            <w:gridSpan w:val="2"/>
          </w:tcPr>
          <w:p>
            <w:pPr>
              <w:spacing w:after="0"/>
              <w:rPr>
                <w:sz w:val="18"/>
                <w:szCs w:val="18"/>
                <w:color w:val="auto"/>
              </w:rPr>
            </w:pPr>
          </w:p>
        </w:tc>
      </w:tr>
      <w:tr>
        <w:trPr>
          <w:trHeight w:val="236"/>
        </w:trPr>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20" w:type="dxa"/>
            <w:vAlign w:val="bottom"/>
            <w:gridSpan w:val="4"/>
          </w:tcPr>
          <w:p>
            <w:pPr>
              <w:ind w:left="2820"/>
              <w:spacing w:after="0"/>
              <w:rPr>
                <w:sz w:val="20"/>
                <w:szCs w:val="20"/>
                <w:color w:val="auto"/>
              </w:rPr>
            </w:pPr>
            <w:r>
              <w:rPr>
                <w:rFonts w:ascii="Times New Roman" w:cs="Times New Roman" w:eastAsia="Times New Roman" w:hAnsi="Times New Roman"/>
                <w:sz w:val="18"/>
                <w:szCs w:val="18"/>
                <w:i w:val="1"/>
                <w:iCs w:val="1"/>
                <w:color w:val="auto"/>
                <w:w w:val="98"/>
              </w:rPr>
              <w:t>Chief Financial Officer, Treasurer and Secretary</w:t>
            </w:r>
          </w:p>
        </w:tc>
      </w:tr>
      <w:tr>
        <w:trPr>
          <w:trHeight w:val="430"/>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000"/>
          </w:cols>
          <w:pgMar w:left="320" w:top="574" w:right="5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N. Grant, Jr., certify that:</w:t>
      </w:r>
    </w:p>
    <w:p>
      <w:pPr>
        <w:spacing w:after="0" w:line="223"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2" w:lineRule="exact"/>
        <w:rPr>
          <w:rFonts w:ascii="Times New Roman" w:cs="Times New Roman" w:eastAsia="Times New Roman" w:hAnsi="Times New Roman"/>
          <w:sz w:val="18"/>
          <w:szCs w:val="18"/>
          <w:color w:val="auto"/>
        </w:rPr>
      </w:pPr>
    </w:p>
    <w:p>
      <w:pPr>
        <w:ind w:right="320" w:firstLine="7"/>
        <w:spacing w:after="0" w:line="310" w:lineRule="auto"/>
        <w:tabs>
          <w:tab w:leader="none" w:pos="31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60" w:firstLine="7"/>
        <w:spacing w:after="0" w:line="280" w:lineRule="auto"/>
        <w:tabs>
          <w:tab w:leader="none" w:pos="3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40" w:firstLine="7"/>
        <w:spacing w:after="0" w:line="264" w:lineRule="auto"/>
        <w:tabs>
          <w:tab w:leader="none" w:pos="3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40" w:right="220" w:hanging="10"/>
        <w:spacing w:after="0" w:line="264"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440" w:hanging="10"/>
        <w:spacing w:after="0" w:line="264" w:lineRule="auto"/>
        <w:tabs>
          <w:tab w:leader="none" w:pos="63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10"/>
        <w:spacing w:after="0" w:line="280"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40" w:hanging="10"/>
        <w:spacing w:after="0" w:line="264" w:lineRule="auto"/>
        <w:tabs>
          <w:tab w:leader="none" w:pos="63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20" w:firstLine="7"/>
        <w:spacing w:after="0" w:line="280" w:lineRule="auto"/>
        <w:tabs>
          <w:tab w:leader="none" w:pos="3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80" w:hanging="10"/>
        <w:spacing w:after="0" w:line="280" w:lineRule="auto"/>
        <w:tabs>
          <w:tab w:leader="none" w:pos="6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340" w:hanging="10"/>
        <w:spacing w:after="0" w:line="280"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13,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u w:val="single" w:color="auto"/>
          <w:color w:val="auto"/>
        </w:rPr>
        <w:t>/s/ Richard N. Grant, Jr.</w:t>
      </w:r>
    </w:p>
    <w:p>
      <w:pPr>
        <w:spacing w:after="0" w:line="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Richard N. Grant, Jr.</w:t>
      </w:r>
    </w:p>
    <w:p>
      <w:pPr>
        <w:spacing w:after="0" w:line="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Duncan Gilmour, certify that:</w:t>
      </w:r>
    </w:p>
    <w:p>
      <w:pPr>
        <w:spacing w:after="0" w:line="223" w:lineRule="exact"/>
        <w:rPr>
          <w:sz w:val="20"/>
          <w:szCs w:val="20"/>
          <w:color w:val="auto"/>
        </w:rPr>
      </w:pPr>
    </w:p>
    <w:p>
      <w:pPr>
        <w:ind w:left="320" w:hanging="313"/>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2" w:lineRule="exact"/>
        <w:rPr>
          <w:rFonts w:ascii="Times New Roman" w:cs="Times New Roman" w:eastAsia="Times New Roman" w:hAnsi="Times New Roman"/>
          <w:sz w:val="18"/>
          <w:szCs w:val="18"/>
          <w:color w:val="auto"/>
        </w:rPr>
      </w:pPr>
    </w:p>
    <w:p>
      <w:pPr>
        <w:ind w:right="320" w:firstLine="7"/>
        <w:spacing w:after="0" w:line="310" w:lineRule="auto"/>
        <w:tabs>
          <w:tab w:leader="none" w:pos="31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60" w:firstLine="7"/>
        <w:spacing w:after="0" w:line="280" w:lineRule="auto"/>
        <w:tabs>
          <w:tab w:leader="none" w:pos="3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40" w:firstLine="7"/>
        <w:spacing w:after="0" w:line="264" w:lineRule="auto"/>
        <w:tabs>
          <w:tab w:leader="none" w:pos="3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40" w:right="220" w:hanging="10"/>
        <w:spacing w:after="0" w:line="264" w:lineRule="auto"/>
        <w:tabs>
          <w:tab w:leader="none" w:pos="6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440" w:hanging="10"/>
        <w:spacing w:after="0" w:line="264" w:lineRule="auto"/>
        <w:tabs>
          <w:tab w:leader="none" w:pos="6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10"/>
        <w:spacing w:after="0" w:line="280" w:lineRule="auto"/>
        <w:tabs>
          <w:tab w:leader="none" w:pos="6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40" w:hanging="10"/>
        <w:spacing w:after="0" w:line="264" w:lineRule="auto"/>
        <w:tabs>
          <w:tab w:leader="none" w:pos="6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20" w:firstLine="7"/>
        <w:spacing w:after="0" w:line="280" w:lineRule="auto"/>
        <w:tabs>
          <w:tab w:leader="none" w:pos="3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80" w:hanging="10"/>
        <w:spacing w:after="0" w:line="280" w:lineRule="auto"/>
        <w:tabs>
          <w:tab w:leader="none" w:pos="6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340" w:hanging="10"/>
        <w:spacing w:after="0" w:line="280" w:lineRule="auto"/>
        <w:tabs>
          <w:tab w:leader="none" w:pos="6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13,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u w:val="single" w:color="auto"/>
          <w:color w:val="auto"/>
        </w:rPr>
        <w:t>/s/Duncan Gilmour</w:t>
      </w:r>
    </w:p>
    <w:p>
      <w:pPr>
        <w:spacing w:after="0" w:line="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Duncan Gilmour</w:t>
      </w:r>
    </w:p>
    <w:p>
      <w:pPr>
        <w:spacing w:after="0" w:line="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ectPr>
          <w:pgSz w:w="11900" w:h="16838" w:orient="portrait"/>
          <w:cols w:equalWidth="0" w:num="1">
            <w:col w:w="11240"/>
          </w:cols>
          <w:pgMar w:left="320" w:top="33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19"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March 31, 2022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77" w:lineRule="exact"/>
        <w:rPr>
          <w:sz w:val="20"/>
          <w:szCs w:val="20"/>
          <w:color w:val="auto"/>
        </w:rPr>
      </w:pPr>
    </w:p>
    <w:p>
      <w:pPr>
        <w:ind w:left="620" w:hanging="613"/>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8"/>
          <w:szCs w:val="18"/>
          <w:color w:val="auto"/>
        </w:rPr>
      </w:pPr>
    </w:p>
    <w:p>
      <w:pPr>
        <w:ind w:left="620" w:hanging="613"/>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May 13,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Richard N. Grant, Jr.</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Richard N. Grant, Jr.</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19"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March 31, 2022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77" w:lineRule="exact"/>
        <w:rPr>
          <w:sz w:val="20"/>
          <w:szCs w:val="20"/>
          <w:color w:val="auto"/>
        </w:rPr>
      </w:pPr>
    </w:p>
    <w:p>
      <w:pPr>
        <w:ind w:left="260" w:hanging="253"/>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May 13, 2022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Duncan Gilmour</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Duncan Gilmour</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lvl w:ilvl="1">
      <w:lvlJc w:val="left"/>
      <w:lvlText w:val="-"/>
      <w:numFmt w:val="bullet"/>
      <w:start w:val="1"/>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5"/>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39" Type="http://schemas.openxmlformats.org/officeDocument/2006/relationships/hyperlink" Target="http://www.sec.gov/Archives/edgar/data/1036262/000143774921023970/ex_292653.htm" TargetMode="External"/><Relationship Id="rId40" Type="http://schemas.openxmlformats.org/officeDocument/2006/relationships/hyperlink" Target="http://www.sec.gov/Archives/edgar/data/1036262/000143774922006292/ex_3471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2022-05-16T06:42:10Z</dcterms:created>
  <dcterms:modified xsi:type="dcterms:W3CDTF">2022-05-16T06:42:10Z</dcterms:modified>
</cp:coreProperties>
</file>