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2160" w:right="2060" w:hanging="2152"/>
        <w:spacing w:after="0" w:line="489" w:lineRule="auto"/>
        <w:tabs>
          <w:tab w:leader="none" w:pos="2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2016</w:t>
      </w:r>
      <w:r>
        <w:rPr>
          <w:rFonts w:ascii="Arial" w:cs="Arial" w:eastAsia="Arial" w:hAnsi="Arial"/>
          <w:sz w:val="18"/>
          <w:szCs w:val="18"/>
          <w:color w:val="auto"/>
        </w:rPr>
        <w:t xml:space="preserve"> or</w:t>
      </w:r>
    </w:p>
    <w:p>
      <w:pPr>
        <w:spacing w:after="0" w:line="1" w:lineRule="exact"/>
        <w:rPr>
          <w:sz w:val="24"/>
          <w:szCs w:val="24"/>
          <w:color w:val="auto"/>
        </w:rPr>
      </w:pPr>
    </w:p>
    <w:p>
      <w:pPr>
        <w:ind w:left="2160" w:right="2040" w:hanging="2152"/>
        <w:spacing w:after="0" w:line="478" w:lineRule="auto"/>
        <w:tabs>
          <w:tab w:leader="none" w:pos="1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700" w:type="dxa"/>
            <w:vAlign w:val="bottom"/>
            <w:gridSpan w:val="4"/>
          </w:tcPr>
          <w:p>
            <w:pPr>
              <w:ind w:left="100"/>
              <w:spacing w:after="0"/>
              <w:rPr>
                <w:sz w:val="20"/>
                <w:szCs w:val="20"/>
                <w:color w:val="auto"/>
              </w:rPr>
            </w:pPr>
            <w:r>
              <w:rPr>
                <w:rFonts w:ascii="Arial" w:cs="Arial" w:eastAsia="Arial" w:hAnsi="Arial"/>
                <w:sz w:val="18"/>
                <w:szCs w:val="18"/>
                <w:color w:val="auto"/>
                <w:w w:val="88"/>
              </w:rPr>
              <w:t>Large accelerated filer</w:t>
            </w:r>
          </w:p>
        </w:tc>
        <w:tc>
          <w:tcPr>
            <w:tcW w:w="2940" w:type="dxa"/>
            <w:vAlign w:val="bottom"/>
          </w:tcPr>
          <w:p>
            <w:pPr>
              <w:jc w:val="right"/>
              <w:ind w:right="2532"/>
              <w:spacing w:after="0"/>
              <w:rPr>
                <w:sz w:val="20"/>
                <w:szCs w:val="20"/>
                <w:color w:val="auto"/>
              </w:rPr>
            </w:pPr>
            <w:r>
              <w:rPr>
                <w:rFonts w:ascii="Arial" w:cs="Arial" w:eastAsia="Arial" w:hAnsi="Arial"/>
                <w:sz w:val="18"/>
                <w:szCs w:val="18"/>
                <w:color w:val="auto"/>
                <w:w w:val="99"/>
              </w:rPr>
              <w:t>___</w:t>
            </w:r>
          </w:p>
        </w:tc>
        <w:tc>
          <w:tcPr>
            <w:tcW w:w="3040" w:type="dxa"/>
            <w:vAlign w:val="bottom"/>
          </w:tcPr>
          <w:p>
            <w:pPr>
              <w:ind w:left="1080"/>
              <w:spacing w:after="0"/>
              <w:rPr>
                <w:sz w:val="20"/>
                <w:szCs w:val="20"/>
                <w:color w:val="auto"/>
              </w:rPr>
            </w:pPr>
            <w:r>
              <w:rPr>
                <w:rFonts w:ascii="Arial" w:cs="Arial" w:eastAsia="Arial" w:hAnsi="Arial"/>
                <w:sz w:val="18"/>
                <w:szCs w:val="18"/>
                <w:color w:val="auto"/>
              </w:rPr>
              <w:t>Accelerated filer ___</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700" w:type="dxa"/>
            <w:vAlign w:val="bottom"/>
            <w:gridSpan w:val="4"/>
          </w:tcPr>
          <w:p>
            <w:pPr>
              <w:ind w:left="100"/>
              <w:spacing w:after="0"/>
              <w:rPr>
                <w:sz w:val="20"/>
                <w:szCs w:val="20"/>
                <w:color w:val="auto"/>
              </w:rPr>
            </w:pPr>
            <w:r>
              <w:rPr>
                <w:rFonts w:ascii="Arial" w:cs="Arial" w:eastAsia="Arial" w:hAnsi="Arial"/>
                <w:sz w:val="18"/>
                <w:szCs w:val="18"/>
                <w:color w:val="auto"/>
                <w:w w:val="95"/>
              </w:rPr>
              <w:t>Non-accelerated filer</w:t>
            </w:r>
          </w:p>
        </w:tc>
        <w:tc>
          <w:tcPr>
            <w:tcW w:w="2940" w:type="dxa"/>
            <w:vAlign w:val="bottom"/>
          </w:tcPr>
          <w:p>
            <w:pPr>
              <w:jc w:val="right"/>
              <w:ind w:right="1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3040" w:type="dxa"/>
            <w:vAlign w:val="bottom"/>
          </w:tcPr>
          <w:p>
            <w:pPr>
              <w:ind w:left="1080"/>
              <w:spacing w:after="0"/>
              <w:rPr>
                <w:sz w:val="20"/>
                <w:szCs w:val="20"/>
                <w:color w:val="auto"/>
              </w:rPr>
            </w:pPr>
            <w:r>
              <w:rPr>
                <w:rFonts w:ascii="Arial" w:cs="Arial" w:eastAsia="Arial" w:hAnsi="Arial"/>
                <w:sz w:val="18"/>
                <w:szCs w:val="18"/>
                <w:color w:val="auto"/>
                <w:w w:val="90"/>
              </w:rPr>
              <w:t>Smaller reporting company</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9380" w:type="dxa"/>
            <w:vAlign w:val="bottom"/>
            <w:gridSpan w:val="9"/>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98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29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380" w:type="dxa"/>
            <w:vAlign w:val="bottom"/>
            <w:gridSpan w:val="9"/>
          </w:tcPr>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April 29, 2016:</w:t>
            </w: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40" w:type="dxa"/>
            <w:vAlign w:val="bottom"/>
          </w:tcPr>
          <w:p>
            <w:pPr>
              <w:jc w:val="right"/>
              <w:ind w:right="1492"/>
              <w:spacing w:after="0"/>
              <w:rPr>
                <w:sz w:val="20"/>
                <w:szCs w:val="20"/>
                <w:color w:val="auto"/>
              </w:rPr>
            </w:pPr>
            <w:r>
              <w:rPr>
                <w:rFonts w:ascii="Arial" w:cs="Arial" w:eastAsia="Arial" w:hAnsi="Arial"/>
                <w:sz w:val="18"/>
                <w:szCs w:val="18"/>
                <w:color w:val="auto"/>
              </w:rPr>
              <w:t>10,425,278</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2"/>
          </w:tcPr>
          <w:p>
            <w:pPr>
              <w:jc w:val="right"/>
              <w:ind w:right="652"/>
              <w:spacing w:after="0"/>
              <w:rPr>
                <w:sz w:val="20"/>
                <w:szCs w:val="20"/>
                <w:color w:val="auto"/>
              </w:rPr>
            </w:pPr>
            <w:r>
              <w:rPr>
                <w:rFonts w:ascii="Arial" w:cs="Arial" w:eastAsia="Arial" w:hAnsi="Arial"/>
                <w:sz w:val="18"/>
                <w:szCs w:val="18"/>
                <w:color w:val="auto"/>
              </w:rPr>
              <w:t>____________________________</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40" w:type="dxa"/>
            <w:vAlign w:val="bottom"/>
          </w:tcPr>
          <w:p>
            <w:pPr>
              <w:jc w:val="center"/>
              <w:ind w:right="792"/>
              <w:spacing w:after="0"/>
              <w:rPr>
                <w:sz w:val="20"/>
                <w:szCs w:val="20"/>
                <w:color w:val="auto"/>
              </w:rPr>
            </w:pPr>
            <w:r>
              <w:rPr>
                <w:rFonts w:ascii="Arial" w:cs="Arial" w:eastAsia="Arial" w:hAnsi="Arial"/>
                <w:sz w:val="18"/>
                <w:szCs w:val="18"/>
                <w:b w:val="1"/>
                <w:bCs w:val="1"/>
                <w:color w:val="auto"/>
                <w:w w:val="96"/>
              </w:rPr>
              <w:t>inTEST CORPORATION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40" w:type="dxa"/>
            <w:vAlign w:val="bottom"/>
          </w:tcPr>
          <w:p>
            <w:pPr>
              <w:jc w:val="center"/>
              <w:ind w:right="792"/>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46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left="1092"/>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35"/>
        </w:trPr>
        <w:tc>
          <w:tcPr>
            <w:tcW w:w="4640" w:type="dxa"/>
            <w:vAlign w:val="bottom"/>
            <w:gridSpan w:val="5"/>
            <w:vMerge w:val="continue"/>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3920" w:type="dxa"/>
            <w:vAlign w:val="bottom"/>
            <w:gridSpan w:val="4"/>
          </w:tcPr>
          <w:p>
            <w:pPr>
              <w:ind w:left="80"/>
              <w:spacing w:after="0"/>
              <w:rPr>
                <w:sz w:val="20"/>
                <w:szCs w:val="20"/>
                <w:color w:val="auto"/>
              </w:rPr>
            </w:pPr>
            <w:r>
              <w:rPr>
                <w:rFonts w:ascii="Arial" w:cs="Arial" w:eastAsia="Arial" w:hAnsi="Arial"/>
                <w:sz w:val="18"/>
                <w:szCs w:val="18"/>
                <w:b w:val="1"/>
                <w:bCs w:val="1"/>
                <w:i w:val="1"/>
                <w:iCs w:val="1"/>
                <w:color w:val="auto"/>
              </w:rPr>
              <w:t>Financial Statements</w:t>
            </w: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tcPr>
          <w:p>
            <w:pPr>
              <w:spacing w:after="0"/>
              <w:rPr>
                <w:sz w:val="24"/>
                <w:szCs w:val="24"/>
                <w:color w:val="auto"/>
              </w:rPr>
            </w:pPr>
          </w:p>
        </w:tc>
        <w:tc>
          <w:tcPr>
            <w:tcW w:w="6960" w:type="dxa"/>
            <w:vAlign w:val="bottom"/>
            <w:gridSpan w:val="5"/>
          </w:tcPr>
          <w:p>
            <w:pPr>
              <w:ind w:left="80"/>
              <w:spacing w:after="0"/>
              <w:rPr>
                <w:sz w:val="20"/>
                <w:szCs w:val="20"/>
                <w:color w:val="auto"/>
              </w:rPr>
            </w:pPr>
            <w:r>
              <w:rPr>
                <w:rFonts w:ascii="Arial" w:cs="Arial" w:eastAsia="Arial" w:hAnsi="Arial"/>
                <w:sz w:val="18"/>
                <w:szCs w:val="18"/>
                <w:color w:val="auto"/>
                <w:w w:val="96"/>
              </w:rPr>
              <w:t>Consolidated Balance Sheets as of March 31, 2016 (Unaudited) and December 31, 2015</w:t>
            </w:r>
          </w:p>
        </w:tc>
        <w:tc>
          <w:tcPr>
            <w:tcW w:w="1700" w:type="dxa"/>
            <w:vAlign w:val="bottom"/>
            <w:gridSpan w:val="3"/>
          </w:tcPr>
          <w:p>
            <w:pPr>
              <w:jc w:val="center"/>
              <w:ind w:left="133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6960" w:type="dxa"/>
            <w:vAlign w:val="bottom"/>
            <w:gridSpan w:val="5"/>
          </w:tcPr>
          <w:p>
            <w:pPr>
              <w:ind w:left="80"/>
              <w:spacing w:after="0"/>
              <w:rPr>
                <w:sz w:val="20"/>
                <w:szCs w:val="20"/>
                <w:color w:val="auto"/>
              </w:rPr>
            </w:pPr>
            <w:r>
              <w:rPr>
                <w:rFonts w:ascii="Arial" w:cs="Arial" w:eastAsia="Arial" w:hAnsi="Arial"/>
                <w:sz w:val="18"/>
                <w:szCs w:val="18"/>
                <w:color w:val="auto"/>
                <w:w w:val="96"/>
              </w:rPr>
              <w:t>Unaudited Consolidated Statements of Operations for the three months ended March 31,</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2016 and 2015</w:t>
            </w:r>
          </w:p>
        </w:tc>
        <w:tc>
          <w:tcPr>
            <w:tcW w:w="3040" w:type="dxa"/>
            <w:vAlign w:val="bottom"/>
          </w:tcPr>
          <w:p>
            <w:pPr>
              <w:spacing w:after="0"/>
              <w:rPr>
                <w:sz w:val="19"/>
                <w:szCs w:val="19"/>
                <w:color w:val="auto"/>
              </w:rPr>
            </w:pPr>
          </w:p>
        </w:tc>
        <w:tc>
          <w:tcPr>
            <w:tcW w:w="1700" w:type="dxa"/>
            <w:vAlign w:val="bottom"/>
            <w:gridSpan w:val="3"/>
          </w:tcPr>
          <w:p>
            <w:pPr>
              <w:jc w:val="center"/>
              <w:ind w:left="1332"/>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6960" w:type="dxa"/>
            <w:vAlign w:val="bottom"/>
            <w:gridSpan w:val="5"/>
          </w:tcPr>
          <w:p>
            <w:pPr>
              <w:ind w:left="8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ended March 31, 2016 and 2015</w:t>
            </w:r>
          </w:p>
        </w:tc>
        <w:tc>
          <w:tcPr>
            <w:tcW w:w="3040" w:type="dxa"/>
            <w:vAlign w:val="bottom"/>
          </w:tcPr>
          <w:p>
            <w:pPr>
              <w:spacing w:after="0"/>
              <w:rPr>
                <w:sz w:val="19"/>
                <w:szCs w:val="19"/>
                <w:color w:val="auto"/>
              </w:rPr>
            </w:pPr>
          </w:p>
        </w:tc>
        <w:tc>
          <w:tcPr>
            <w:tcW w:w="1700" w:type="dxa"/>
            <w:vAlign w:val="bottom"/>
            <w:gridSpan w:val="3"/>
          </w:tcPr>
          <w:p>
            <w:pPr>
              <w:jc w:val="center"/>
              <w:ind w:left="133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960" w:type="dxa"/>
            <w:vAlign w:val="bottom"/>
            <w:gridSpan w:val="5"/>
          </w:tcPr>
          <w:p>
            <w:pPr>
              <w:ind w:left="80"/>
              <w:spacing w:after="0"/>
              <w:rPr>
                <w:sz w:val="20"/>
                <w:szCs w:val="20"/>
                <w:color w:val="auto"/>
              </w:rPr>
            </w:pPr>
            <w:r>
              <w:rPr>
                <w:rFonts w:ascii="Arial" w:cs="Arial" w:eastAsia="Arial" w:hAnsi="Arial"/>
                <w:sz w:val="18"/>
                <w:szCs w:val="18"/>
                <w:color w:val="auto"/>
                <w:w w:val="99"/>
              </w:rPr>
              <w:t>Unaudited Consolidated Statement of Stockholders' Equity for the three months ended</w:t>
            </w:r>
          </w:p>
        </w:tc>
        <w:tc>
          <w:tcPr>
            <w:tcW w:w="1700" w:type="dxa"/>
            <w:vAlign w:val="bottom"/>
            <w:gridSpan w:val="3"/>
          </w:tcPr>
          <w:p>
            <w:pPr>
              <w:jc w:val="center"/>
              <w:ind w:left="133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bl>
    <w:p>
      <w:pPr>
        <w:sectPr>
          <w:pgSz w:w="11900" w:h="16949"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March 31, 2016</w:t>
            </w:r>
          </w:p>
        </w:tc>
        <w:tc>
          <w:tcPr>
            <w:tcW w:w="1260" w:type="dxa"/>
            <w:vAlign w:val="bottom"/>
          </w:tcPr>
          <w:p>
            <w:pPr>
              <w:spacing w:after="0"/>
              <w:rPr>
                <w:sz w:val="19"/>
                <w:szCs w:val="19"/>
                <w:color w:val="auto"/>
              </w:rPr>
            </w:pPr>
          </w:p>
        </w:tc>
      </w:tr>
      <w:tr>
        <w:trPr>
          <w:trHeight w:val="412"/>
        </w:trPr>
        <w:tc>
          <w:tcPr>
            <w:tcW w:w="720" w:type="dxa"/>
            <w:vAlign w:val="bottom"/>
          </w:tcPr>
          <w:p>
            <w:pPr>
              <w:spacing w:after="0"/>
              <w:rPr>
                <w:sz w:val="24"/>
                <w:szCs w:val="24"/>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March 31, 2016 and 2015</w:t>
            </w:r>
          </w:p>
        </w:tc>
        <w:tc>
          <w:tcPr>
            <w:tcW w:w="126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88"/>
              </w:rPr>
              <w:t>5-15</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6"/>
              </w:rPr>
              <w:t>Management's Discussion and Analysis of Financial Condition and Results of Operations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86"/>
              </w:rPr>
              <w:t>15-21</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21</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21</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4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260" w:type="dxa"/>
            <w:vAlign w:val="bottom"/>
          </w:tcPr>
          <w:p>
            <w:pPr>
              <w:spacing w:after="0"/>
              <w:rPr>
                <w:sz w:val="24"/>
                <w:szCs w:val="24"/>
                <w:color w:val="auto"/>
              </w:rPr>
            </w:pPr>
          </w:p>
        </w:tc>
      </w:tr>
      <w:tr>
        <w:trPr>
          <w:trHeight w:val="44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419"/>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r>
        <w:trPr>
          <w:trHeight w:val="419"/>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$24,951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$25,710</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5,336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3,454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3,520</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639</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34,352</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34,264</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4,953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4,980</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(3,938)</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(3,868)</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1,015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1,112</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1,220</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1,245</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203</w:t>
            </w:r>
          </w:p>
        </w:tc>
        <w:tc>
          <w:tcPr>
            <w:tcW w:w="100" w:type="dxa"/>
            <w:vAlign w:val="bottom"/>
          </w:tcPr>
          <w:p>
            <w:pPr>
              <w:spacing w:after="0"/>
              <w:rPr>
                <w:sz w:val="14"/>
                <w:szCs w:val="14"/>
                <w:color w:val="auto"/>
              </w:rPr>
            </w:pPr>
          </w:p>
        </w:tc>
      </w:tr>
      <w:tr>
        <w:trPr>
          <w:trHeight w:val="424"/>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$39,906</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24"/>
                <w:szCs w:val="24"/>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$ 1,365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7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wages and benefits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1,179</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1,466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394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367</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4,224</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4,059</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10,498,635 and 10,549,423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25,854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26,286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9,094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833</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35,682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35,925</w:t>
            </w:r>
          </w:p>
        </w:tc>
        <w:tc>
          <w:tcPr>
            <w:tcW w:w="100" w:type="dxa"/>
            <w:vAlign w:val="bottom"/>
          </w:tcPr>
          <w:p>
            <w:pPr>
              <w:spacing w:after="0"/>
              <w:rPr>
                <w:sz w:val="15"/>
                <w:szCs w:val="15"/>
                <w:color w:val="auto"/>
              </w:rPr>
            </w:pPr>
          </w:p>
        </w:tc>
      </w:tr>
      <w:tr>
        <w:trPr>
          <w:trHeight w:val="424"/>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$39,906</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24"/>
                <w:szCs w:val="24"/>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31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060" w:type="dxa"/>
            <w:vAlign w:val="bottom"/>
          </w:tcPr>
          <w:p>
            <w:pPr>
              <w:spacing w:after="0"/>
              <w:rPr>
                <w:sz w:val="17"/>
                <w:szCs w:val="17"/>
                <w:color w:val="auto"/>
              </w:rPr>
            </w:pPr>
          </w:p>
        </w:tc>
        <w:tc>
          <w:tcPr>
            <w:tcW w:w="3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2016</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$ 8,647</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$10,188</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4,580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5,270</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4,918</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1,487</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1,807</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4,236</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124</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671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438</w:t>
            </w:r>
          </w:p>
        </w:tc>
      </w:tr>
      <w:tr>
        <w:trPr>
          <w:trHeight w:val="203"/>
        </w:trPr>
        <w:tc>
          <w:tcPr>
            <w:tcW w:w="60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$0.01</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3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10,390,002 10,465,414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$0.01</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3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10,404,244 10,483,527</w:t>
            </w:r>
          </w:p>
        </w:tc>
      </w:tr>
    </w:tbl>
    <w:p>
      <w:pPr>
        <w:sectPr>
          <w:pgSz w:w="11900" w:h="16838" w:orient="portrait"/>
          <w:cols w:equalWidth="0" w:num="1">
            <w:col w:w="10219"/>
          </w:cols>
          <w:pgMar w:left="240" w:top="136" w:right="1440"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2016</w:t>
      </w:r>
      <w:r>
        <w:rPr>
          <w:sz w:val="20"/>
          <w:szCs w:val="20"/>
          <w:color w:val="auto"/>
        </w:rPr>
        <w:tab/>
      </w:r>
      <w:r>
        <w:rPr>
          <w:rFonts w:ascii="Courier New" w:cs="Courier New" w:eastAsia="Courier New" w:hAnsi="Courier New"/>
          <w:sz w:val="18"/>
          <w:szCs w:val="18"/>
          <w:color w:val="auto"/>
        </w:rPr>
        <w:t>2015</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 w:leader="none" w:pos="1260" w:val="left"/>
          <w:tab w:leader="none" w:pos="1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438</w:t>
      </w:r>
    </w:p>
    <w:p>
      <w:pPr>
        <w:spacing w:after="0" w:line="200" w:lineRule="exact"/>
        <w:rPr>
          <w:sz w:val="20"/>
          <w:szCs w:val="20"/>
          <w:color w:val="auto"/>
        </w:rPr>
      </w:pPr>
    </w:p>
    <w:p>
      <w:pPr>
        <w:sectPr>
          <w:pgSz w:w="11900" w:h="16838" w:orient="portrait"/>
          <w:cols w:equalWidth="0" w:num="2">
            <w:col w:w="6020" w:space="720"/>
            <w:col w:w="3479"/>
          </w:cols>
          <w:pgMar w:left="240" w:top="13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108</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3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31" w:right="1440" w:bottom="0" w:gutter="0" w:footer="0" w:header="0"/>
          <w:type w:val="continuous"/>
        </w:sectPr>
      </w:pPr>
    </w:p>
    <w:p>
      <w:pPr>
        <w:spacing w:after="0" w:line="20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40" w:type="dxa"/>
            <w:vAlign w:val="bottom"/>
            <w:gridSpan w:val="4"/>
          </w:tcPr>
          <w:p>
            <w:pPr>
              <w:jc w:val="center"/>
              <w:ind w:left="435"/>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60" w:type="dxa"/>
            <w:vAlign w:val="bottom"/>
            <w:gridSpan w:val="7"/>
          </w:tcPr>
          <w:p>
            <w:pPr>
              <w:jc w:val="center"/>
              <w:ind w:left="17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509"/>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6"/>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57"/>
              <w:spacing w:after="0"/>
              <w:rPr>
                <w:sz w:val="20"/>
                <w:szCs w:val="20"/>
                <w:color w:val="auto"/>
              </w:rPr>
            </w:pPr>
            <w:r>
              <w:rPr>
                <w:rFonts w:ascii="Courier New" w:cs="Courier New" w:eastAsia="Courier New" w:hAnsi="Courier New"/>
                <w:sz w:val="12"/>
                <w:szCs w:val="12"/>
                <w:color w:val="auto"/>
              </w:rPr>
              <w:t>Common Stock</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7"/>
              </w:rPr>
              <w:t>Additional</w:t>
            </w:r>
          </w:p>
        </w:tc>
        <w:tc>
          <w:tcPr>
            <w:tcW w:w="700" w:type="dxa"/>
            <w:vAlign w:val="bottom"/>
          </w:tcPr>
          <w:p>
            <w:pPr>
              <w:spacing w:after="0"/>
              <w:rPr>
                <w:sz w:val="11"/>
                <w:szCs w:val="11"/>
                <w:color w:val="auto"/>
              </w:rPr>
            </w:pPr>
          </w:p>
        </w:tc>
        <w:tc>
          <w:tcPr>
            <w:tcW w:w="980" w:type="dxa"/>
            <w:vAlign w:val="bottom"/>
            <w:gridSpan w:val="2"/>
          </w:tcPr>
          <w:p>
            <w:pPr>
              <w:jc w:val="right"/>
              <w:ind w:right="336"/>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2060" w:type="dxa"/>
            <w:vAlign w:val="bottom"/>
          </w:tcPr>
          <w:p>
            <w:pPr>
              <w:spacing w:after="0"/>
              <w:rPr>
                <w:sz w:val="11"/>
                <w:szCs w:val="11"/>
                <w:color w:val="auto"/>
              </w:rPr>
            </w:pPr>
          </w:p>
        </w:tc>
        <w:tc>
          <w:tcPr>
            <w:tcW w:w="8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w w:val="97"/>
              </w:rPr>
              <w:t>Amount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 ------</w:t>
            </w:r>
          </w:p>
        </w:tc>
        <w:tc>
          <w:tcPr>
            <w:tcW w:w="484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January 1,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10,549,423</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$ 105</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$26,286</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$9,013</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725</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$35,925</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81</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81</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 comprehensive</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income</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108</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108</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to stock-based awards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39</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39</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63,900</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Repurchase and retirement</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common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(114,688)</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(470)</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(471)</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March 31,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10,498,635</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$ 105</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$25,854</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$9,094</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833</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$35,682</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040" w:type="dxa"/>
            <w:vAlign w:val="bottom"/>
          </w:tcPr>
          <w:p>
            <w:pPr>
              <w:spacing w:after="0"/>
              <w:rPr>
                <w:sz w:val="11"/>
                <w:szCs w:val="11"/>
                <w:color w:val="auto"/>
              </w:rPr>
            </w:pPr>
          </w:p>
        </w:tc>
        <w:tc>
          <w:tcPr>
            <w:tcW w:w="2180" w:type="dxa"/>
            <w:vAlign w:val="bottom"/>
            <w:gridSpan w:val="3"/>
          </w:tcPr>
          <w:p>
            <w:pPr>
              <w:ind w:left="880"/>
              <w:spacing w:after="0"/>
              <w:rPr>
                <w:sz w:val="20"/>
                <w:szCs w:val="20"/>
                <w:color w:val="auto"/>
              </w:rPr>
            </w:pPr>
            <w:r>
              <w:rPr>
                <w:rFonts w:ascii="Courier New" w:cs="Courier New" w:eastAsia="Courier New" w:hAnsi="Courier New"/>
                <w:sz w:val="12"/>
                <w:szCs w:val="12"/>
                <w:color w:val="auto"/>
                <w:w w:val="98"/>
              </w:rPr>
              <w:t>Three Months Ended</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March 31,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7"/>
              </w:rPr>
              <w:t>2016</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2015</w:t>
            </w:r>
          </w:p>
        </w:tc>
        <w:tc>
          <w:tcPr>
            <w:tcW w:w="0" w:type="dxa"/>
            <w:vAlign w:val="bottom"/>
          </w:tcPr>
          <w:p>
            <w:pPr>
              <w:spacing w:after="0"/>
              <w:rPr>
                <w:sz w:val="1"/>
                <w:szCs w:val="1"/>
                <w:color w:val="auto"/>
              </w:rPr>
            </w:pPr>
          </w:p>
        </w:tc>
      </w:tr>
      <w:tr>
        <w:trPr>
          <w:trHeight w:val="137"/>
        </w:trPr>
        <w:tc>
          <w:tcPr>
            <w:tcW w:w="50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5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0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020" w:type="dxa"/>
            <w:vAlign w:val="bottom"/>
          </w:tcPr>
          <w:p>
            <w:pPr>
              <w:ind w:left="88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   438</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used in</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0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200</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 loss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 (benefit)</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(907)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(1,484)</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(475)</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676</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(299)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(170)</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(51)</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142</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w:t>
            </w:r>
          </w:p>
        </w:tc>
      </w:tr>
      <w:tr>
        <w:trPr>
          <w:trHeight w:val="135"/>
        </w:trPr>
        <w:tc>
          <w:tcPr>
            <w:tcW w:w="540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238</w:t>
            </w:r>
          </w:p>
        </w:tc>
      </w:tr>
      <w:tr>
        <w:trPr>
          <w:trHeight w:val="135"/>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Net cash used in operating activities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(319)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(263)</w:t>
            </w:r>
          </w:p>
        </w:tc>
      </w:tr>
      <w:tr>
        <w:trPr>
          <w:trHeight w:val="137"/>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(179)</w:t>
            </w:r>
          </w:p>
        </w:tc>
      </w:tr>
      <w:tr>
        <w:trPr>
          <w:trHeight w:val="135"/>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(179)</w:t>
            </w:r>
          </w:p>
        </w:tc>
      </w:tr>
      <w:tr>
        <w:trPr>
          <w:trHeight w:val="137"/>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Repurchases of common stock</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(471)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5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(471)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58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(199)</w:t>
            </w:r>
          </w:p>
        </w:tc>
      </w:tr>
      <w:tr>
        <w:trPr>
          <w:trHeight w:val="137"/>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0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5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(759)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(641)</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5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25,710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23,126</w:t>
            </w:r>
          </w:p>
        </w:tc>
      </w:tr>
      <w:tr>
        <w:trPr>
          <w:trHeight w:val="135"/>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$24,951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$22,485</w:t>
            </w:r>
          </w:p>
        </w:tc>
      </w:tr>
      <w:tr>
        <w:trPr>
          <w:trHeight w:val="137"/>
        </w:trPr>
        <w:tc>
          <w:tcPr>
            <w:tcW w:w="5400" w:type="dxa"/>
            <w:vAlign w:val="bottom"/>
          </w:tcPr>
          <w:p>
            <w:pPr>
              <w:spacing w:after="0"/>
              <w:rPr>
                <w:sz w:val="11"/>
                <w:szCs w:val="11"/>
                <w:color w:val="auto"/>
              </w:rPr>
            </w:pP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7"/>
        </w:trPr>
        <w:tc>
          <w:tcPr>
            <w:tcW w:w="54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124</w:t>
            </w:r>
          </w:p>
        </w:tc>
      </w:tr>
    </w:tbl>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In January 2016, we implemented a workforce reduction, as discussed further in Note 3, which is a key element in restructuring our Mechanical Products segment with the goal of returning this segment to profitability. These efforts could cause us to incur substantial costs and may not be successful.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8" w:lineRule="exact"/>
        <w:rPr>
          <w:sz w:val="20"/>
          <w:szCs w:val="20"/>
          <w:color w:val="auto"/>
        </w:rPr>
      </w:pPr>
    </w:p>
    <w:p>
      <w:pPr>
        <w:ind w:left="540" w:right="6500" w:hanging="532"/>
        <w:spacing w:after="0" w:line="541" w:lineRule="auto"/>
        <w:tabs>
          <w:tab w:leader="none" w:pos="2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360"/>
        <w:spacing w:after="0" w:line="332"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w:t>
      </w:r>
    </w:p>
    <w:p>
      <w:pPr>
        <w:sectPr>
          <w:pgSz w:w="11900" w:h="16838" w:orient="portrait"/>
          <w:cols w:equalWidth="0" w:num="1">
            <w:col w:w="11380"/>
          </w:cols>
          <w:pgMar w:left="240" w:top="132" w:right="279" w:bottom="0" w:gutter="0" w:footer="0" w:header="0"/>
        </w:sectPr>
      </w:pPr>
    </w:p>
    <w:bookmarkStart w:id="5" w:name="page6"/>
    <w:bookmarkEnd w:id="5"/>
    <w:p>
      <w:pPr>
        <w:jc w:val="both"/>
        <w:ind w:left="532" w:right="240"/>
        <w:spacing w:after="0" w:line="323" w:lineRule="auto"/>
        <w:rPr>
          <w:sz w:val="20"/>
          <w:szCs w:val="20"/>
          <w:color w:val="auto"/>
        </w:rPr>
      </w:pPr>
      <w:r>
        <w:rPr>
          <w:rFonts w:ascii="Arial" w:cs="Arial" w:eastAsia="Arial" w:hAnsi="Arial"/>
          <w:sz w:val="15"/>
          <w:szCs w:val="15"/>
          <w:color w:val="auto"/>
        </w:rPr>
        <w:t>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52"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2015 filed with the Securities and Exchange Commission on March 29, 2016 (the "2015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$69 and $51 for the three months ended March 31, 2016 and 2015,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32"/>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201"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392"/>
          </w:cols>
          <w:pgMar w:left="248" w:top="131" w:right="259" w:bottom="0" w:gutter="0" w:footer="0" w:header="0"/>
        </w:sectPr>
      </w:pPr>
    </w:p>
    <w:bookmarkStart w:id="6" w:name="page7"/>
    <w:bookmarkEnd w:id="6"/>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jc w:val="both"/>
        <w:ind w:left="540" w:right="80"/>
        <w:spacing w:after="0" w:line="370" w:lineRule="auto"/>
        <w:rPr>
          <w:sz w:val="20"/>
          <w:szCs w:val="20"/>
          <w:color w:val="auto"/>
        </w:rPr>
      </w:pPr>
      <w:r>
        <w:rPr>
          <w:rFonts w:ascii="Arial" w:cs="Arial" w:eastAsia="Arial" w:hAnsi="Arial"/>
          <w:sz w:val="15"/>
          <w:szCs w:val="15"/>
          <w:color w:val="auto"/>
        </w:rPr>
        <w:t>In addition, in our Thermal Products and Mechanical Products segments, we lease certain of our equipment to customers under non-cancellable operating leases. These leases generally have an initial term of six months. We recognize revenue for these leases on a straight-line basis over the term of the lease.</w:t>
      </w:r>
    </w:p>
    <w:p>
      <w:pPr>
        <w:spacing w:after="0" w:line="116"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205"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i w:val="1"/>
          <w:iCs w:val="1"/>
          <w:color w:val="auto"/>
        </w:rPr>
        <w:t>Three Months Ended</w:t>
      </w:r>
    </w:p>
    <w:p>
      <w:pPr>
        <w:jc w:val="center"/>
        <w:ind w:left="628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5262880</wp:posOffset>
            </wp:positionH>
            <wp:positionV relativeFrom="paragraph">
              <wp:posOffset>-16510</wp:posOffset>
            </wp:positionV>
            <wp:extent cx="7099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30" cy="8890"/>
                    </a:xfrm>
                    <a:prstGeom prst="rect">
                      <a:avLst/>
                    </a:prstGeom>
                    <a:noFill/>
                  </pic:spPr>
                </pic:pic>
              </a:graphicData>
            </a:graphic>
          </wp:anchor>
        </w:drawing>
      </w:r>
    </w:p>
    <w:tbl>
      <w:tblPr>
        <w:tblLayout w:type="fixed"/>
        <w:tblInd w:w="1600" w:type="dxa"/>
        <w:tblCellMar>
          <w:top w:w="0" w:type="dxa"/>
          <w:left w:w="0" w:type="dxa"/>
          <w:bottom w:w="0" w:type="dxa"/>
          <w:right w:w="0" w:type="dxa"/>
        </w:tblCellMar>
      </w:tblPr>
      <w:tr>
        <w:trPr>
          <w:trHeight w:val="148"/>
        </w:trPr>
        <w:tc>
          <w:tcPr>
            <w:tcW w:w="644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2016</w:t>
            </w:r>
          </w:p>
        </w:tc>
        <w:tc>
          <w:tcPr>
            <w:tcW w:w="360" w:type="dxa"/>
            <w:vAlign w:val="bottom"/>
          </w:tcPr>
          <w:p>
            <w:pPr>
              <w:spacing w:after="0"/>
              <w:rPr>
                <w:sz w:val="12"/>
                <w:szCs w:val="12"/>
                <w:color w:val="auto"/>
              </w:rPr>
            </w:pPr>
          </w:p>
        </w:tc>
        <w:tc>
          <w:tcPr>
            <w:tcW w:w="6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rPr>
              <w:t>2015</w:t>
            </w:r>
          </w:p>
        </w:tc>
        <w:tc>
          <w:tcPr>
            <w:tcW w:w="340" w:type="dxa"/>
            <w:vAlign w:val="bottom"/>
          </w:tcPr>
          <w:p>
            <w:pPr>
              <w:spacing w:after="0"/>
              <w:rPr>
                <w:sz w:val="12"/>
                <w:szCs w:val="12"/>
                <w:color w:val="auto"/>
              </w:rPr>
            </w:pPr>
          </w:p>
        </w:tc>
      </w:tr>
      <w:tr>
        <w:trPr>
          <w:trHeight w:val="20"/>
        </w:trPr>
        <w:tc>
          <w:tcPr>
            <w:tcW w:w="6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5"/>
        </w:trPr>
        <w:tc>
          <w:tcPr>
            <w:tcW w:w="64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6"/>
              </w:rPr>
              <w:t>10,390,002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10,465,414</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5"/>
        </w:trPr>
        <w:tc>
          <w:tcPr>
            <w:tcW w:w="644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 and stock options</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14,242</w:t>
            </w:r>
          </w:p>
        </w:tc>
        <w:tc>
          <w:tcPr>
            <w:tcW w:w="9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18,113</w:t>
            </w:r>
          </w:p>
        </w:tc>
      </w:tr>
      <w:tr>
        <w:trPr>
          <w:trHeight w:val="255"/>
        </w:trPr>
        <w:tc>
          <w:tcPr>
            <w:tcW w:w="644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184"/>
        </w:trPr>
        <w:tc>
          <w:tcPr>
            <w:tcW w:w="6440" w:type="dxa"/>
            <w:vAlign w:val="bottom"/>
          </w:tcPr>
          <w:p>
            <w:pPr>
              <w:ind w:left="100"/>
              <w:spacing w:after="0" w:line="184" w:lineRule="exact"/>
              <w:rPr>
                <w:sz w:val="20"/>
                <w:szCs w:val="20"/>
                <w:color w:val="auto"/>
              </w:rPr>
            </w:pPr>
            <w:r>
              <w:rPr>
                <w:rFonts w:ascii="Arial" w:cs="Arial" w:eastAsia="Arial" w:hAnsi="Arial"/>
                <w:sz w:val="18"/>
                <w:szCs w:val="18"/>
                <w:color w:val="auto"/>
              </w:rPr>
              <w:t>equivalents outstanding - diluted</w:t>
            </w:r>
          </w:p>
        </w:tc>
        <w:tc>
          <w:tcPr>
            <w:tcW w:w="80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86"/>
              </w:rPr>
              <w:t>10,404,244</w:t>
            </w:r>
          </w:p>
        </w:tc>
        <w:tc>
          <w:tcPr>
            <w:tcW w:w="180" w:type="dxa"/>
            <w:vAlign w:val="bottom"/>
          </w:tcPr>
          <w:p>
            <w:pPr>
              <w:spacing w:after="0"/>
              <w:rPr>
                <w:sz w:val="15"/>
                <w:szCs w:val="15"/>
                <w:color w:val="auto"/>
              </w:rPr>
            </w:pPr>
          </w:p>
        </w:tc>
        <w:tc>
          <w:tcPr>
            <w:tcW w:w="80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86"/>
              </w:rPr>
              <w:t>10,483,527</w:t>
            </w:r>
          </w:p>
        </w:tc>
      </w:tr>
    </w:tbl>
    <w:p>
      <w:pPr>
        <w:spacing w:after="0" w:line="28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Average number of potentially dilutive securities excluded</w:t>
      </w:r>
    </w:p>
    <w:p>
      <w:pPr>
        <w:sectPr>
          <w:pgSz w:w="11900" w:h="16934" w:orient="portrait"/>
          <w:cols w:equalWidth="0" w:num="1">
            <w:col w:w="11420"/>
          </w:cols>
          <w:pgMar w:left="240" w:top="131" w:right="239" w:bottom="0" w:gutter="0" w:footer="0" w:header="0"/>
        </w:sectPr>
      </w:pPr>
    </w:p>
    <w:bookmarkStart w:id="7" w:name="page8"/>
    <w:bookmarkEnd w:id="7"/>
    <w:p>
      <w:pPr>
        <w:spacing w:after="0" w:line="33" w:lineRule="exact"/>
        <w:rPr>
          <w:sz w:val="20"/>
          <w:szCs w:val="20"/>
          <w:color w:val="auto"/>
        </w:rPr>
      </w:pPr>
    </w:p>
    <w:p>
      <w:pPr>
        <w:ind w:left="1740"/>
        <w:spacing w:after="0"/>
        <w:tabs>
          <w:tab w:leader="none" w:pos="8340" w:val="left"/>
          <w:tab w:leader="none" w:pos="9740" w:val="left"/>
        </w:tabs>
        <w:rPr>
          <w:sz w:val="20"/>
          <w:szCs w:val="20"/>
          <w:color w:val="auto"/>
        </w:rPr>
      </w:pPr>
      <w:r>
        <w:rPr>
          <w:rFonts w:ascii="Arial" w:cs="Arial" w:eastAsia="Arial" w:hAnsi="Arial"/>
          <w:sz w:val="18"/>
          <w:szCs w:val="18"/>
          <w:color w:val="auto"/>
        </w:rPr>
        <w:t>from calculation</w:t>
      </w:r>
      <w:r>
        <w:rPr>
          <w:sz w:val="20"/>
          <w:szCs w:val="20"/>
          <w:color w:val="auto"/>
        </w:rPr>
        <w:tab/>
      </w:r>
      <w:r>
        <w:rPr>
          <w:rFonts w:ascii="Arial" w:cs="Arial" w:eastAsia="Arial" w:hAnsi="Arial"/>
          <w:sz w:val="18"/>
          <w:szCs w:val="18"/>
          <w:color w:val="auto"/>
        </w:rPr>
        <w:t>15,231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November 2015, the Financial Accounting Standards Board ("FASB") issued amendments to update the current guidance on the balance sheet classification of deferred taxes which is presented in ASC Topic 740 (Income Taxes). The purpose of the amendments is to simplify the presentation of deferred tax assets. This guidance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amendments are effective for us as of January 1, 2017. Early application is permitted. We elected early application of this guidance effective January 1, 2016. The implementation of these amendments did not have a material impact on our consolidated financial statements. Prior period amounts have been reclassified to be consistent with the current period presentation.</w:t>
      </w:r>
    </w:p>
    <w:p>
      <w:pPr>
        <w:spacing w:after="0" w:line="172"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September 2015, the FASB issued amendments to update the current guidance on accounting for measurement period adjustments in a business combination which is presented in ASC Topic 805 (Business Combinations). This guidance requires an entity to recognize adjustments to provisional amounts that are identified during the measurement period in the reporting period in which the adjustment amounts are determined; record, in the same period's financial statements, the effect on earnings of changes in depreciation, amortization, or other income effects, if any, as a result of the change to the provisional amounts, calculated as if the accounting had been completed at the acquisition date; and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were effective for us as of January 1, 2016. The implementation of these amendments did not have any impact on our consolidated financial statements.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In March 2016, the FASB issued amendments to the current guidance on accounting for stock-based compensation issued to employees which is contained in ASC Topic 718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are effective for us as of January 1, 2017. Early adoption is permitted. We do not expect the implementation of these amendments to have a material impact on our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40" w:right="20"/>
        <w:spacing w:after="0" w:line="309" w:lineRule="auto"/>
        <w:rPr>
          <w:sz w:val="20"/>
          <w:szCs w:val="20"/>
          <w:color w:val="auto"/>
        </w:rPr>
      </w:pPr>
      <w:r>
        <w:rPr>
          <w:rFonts w:ascii="Arial" w:cs="Arial" w:eastAsia="Arial" w:hAnsi="Arial"/>
          <w:sz w:val="15"/>
          <w:szCs w:val="15"/>
          <w:color w:val="auto"/>
        </w:rPr>
        <w:t>In January 2016, the FASB issued amendments to the current guidance on the recognition and measurement of financial assets and financial liabilities which is presented in ASC Topic 825 (Financial Instruments). The intent of the updated guidance is to enhance the reporting model for financial instruments to provide users of financial statements with improved decision-making information. The updated guidance includes amendments to address aspects of recognition, measurement, presentation and disclosure. Changes included in the amendments are the requirement to measure equity investments at fair value, except those accounted for under the equity method of accounting or those that result in the consolidation of an investee, with changes in fair value recognized in net income; the requirement for a qualitative assessment to identify impairment of equity investments without readily determinable fair values; and the requirement for separate presentation of financial assets and financial liabilities by measurement category and form of financial asset on the balance sheet or in the accompanying notes to the financial statements. The amendments are effective for us as of January 1, 2018. Early application is permitted. We do not expect the implementation of these amendments to have a material impact on our consolidated financial statements.</w:t>
      </w:r>
    </w:p>
    <w:p>
      <w:pPr>
        <w:spacing w:after="0" w:line="162"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has issued 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w:t>
      </w:r>
    </w:p>
    <w:p>
      <w:pPr>
        <w:sectPr>
          <w:pgSz w:w="11900" w:h="16871" w:orient="portrait"/>
          <w:cols w:equalWidth="0" w:num="1">
            <w:col w:w="11420"/>
          </w:cols>
          <w:pgMar w:left="240" w:top="172" w:right="239" w:bottom="0" w:gutter="0" w:footer="0" w:header="0"/>
        </w:sectPr>
      </w:pPr>
    </w:p>
    <w:bookmarkStart w:id="8" w:name="page9"/>
    <w:bookmarkEnd w:id="8"/>
    <w:p>
      <w:pPr>
        <w:ind w:left="540" w:right="180"/>
        <w:spacing w:after="0" w:line="259" w:lineRule="auto"/>
        <w:rPr>
          <w:sz w:val="20"/>
          <w:szCs w:val="20"/>
          <w:color w:val="auto"/>
        </w:rPr>
      </w:pPr>
      <w:r>
        <w:rPr>
          <w:rFonts w:ascii="Arial" w:cs="Arial" w:eastAsia="Arial" w:hAnsi="Arial"/>
          <w:sz w:val="18"/>
          <w:szCs w:val="18"/>
          <w:color w:val="auto"/>
        </w:rPr>
        <w:t>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191"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we implemented a workforce reduction which resulted in our recording a restructuring charge of $99 in the first quarter of 2016. This entire amount was paid out in the first quarter of 2016.</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76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three months ended March 31,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March 31, 2016 and December 31, 2015:</w:t>
      </w:r>
    </w:p>
    <w:p>
      <w:pPr>
        <w:spacing w:after="0" w:line="22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i w:val="1"/>
                <w:iCs w:val="1"/>
                <w:color w:val="auto"/>
                <w:w w:val="88"/>
              </w:rPr>
              <w:t>March 31, 2016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20" w:type="dxa"/>
            <w:vAlign w:val="bottom"/>
          </w:tcPr>
          <w:p>
            <w:pPr>
              <w:spacing w:after="0"/>
              <w:rPr>
                <w:sz w:val="12"/>
                <w:szCs w:val="12"/>
                <w:color w:val="auto"/>
              </w:rPr>
            </w:pPr>
          </w:p>
        </w:tc>
        <w:tc>
          <w:tcPr>
            <w:tcW w:w="2100" w:type="dxa"/>
            <w:vAlign w:val="bottom"/>
            <w:gridSpan w:val="6"/>
          </w:tcPr>
          <w:p>
            <w:pPr>
              <w:jc w:val="center"/>
              <w:ind w:left="139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10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60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60" w:type="dxa"/>
            <w:vAlign w:val="bottom"/>
          </w:tcPr>
          <w:p>
            <w:pPr>
              <w:spacing w:after="0"/>
              <w:rPr>
                <w:sz w:val="12"/>
                <w:szCs w:val="12"/>
                <w:color w:val="auto"/>
              </w:rPr>
            </w:pPr>
          </w:p>
        </w:tc>
        <w:tc>
          <w:tcPr>
            <w:tcW w:w="940" w:type="dxa"/>
            <w:vAlign w:val="bottom"/>
            <w:gridSpan w:val="5"/>
          </w:tcPr>
          <w:p>
            <w:pPr>
              <w:jc w:val="right"/>
              <w:ind w:right="22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600" w:type="dxa"/>
            <w:vAlign w:val="bottom"/>
            <w:gridSpan w:val="7"/>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4"/>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273</w:t>
            </w: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194</w:t>
            </w: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05"/>
        </w:trPr>
        <w:tc>
          <w:tcPr>
            <w:tcW w:w="392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2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44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535</w:t>
            </w:r>
          </w:p>
        </w:tc>
      </w:tr>
      <w:tr>
        <w:trPr>
          <w:trHeight w:val="262"/>
        </w:trPr>
        <w:tc>
          <w:tcPr>
            <w:tcW w:w="39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205"/>
        </w:trPr>
        <w:tc>
          <w:tcPr>
            <w:tcW w:w="392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2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38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9"/>
              </w:rPr>
              <w:t>510</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1,045</w:t>
            </w:r>
          </w:p>
        </w:tc>
      </w:tr>
      <w:tr>
        <w:trPr>
          <w:trHeight w:val="20"/>
        </w:trPr>
        <w:tc>
          <w:tcPr>
            <w:tcW w:w="3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763"/>
        </w:trPr>
        <w:tc>
          <w:tcPr>
            <w:tcW w:w="3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4"/>
              </w:rPr>
              <w:t>December 31, 2015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20" w:type="dxa"/>
            <w:vAlign w:val="bottom"/>
          </w:tcPr>
          <w:p>
            <w:pPr>
              <w:spacing w:after="0"/>
              <w:rPr>
                <w:sz w:val="12"/>
                <w:szCs w:val="12"/>
                <w:color w:val="auto"/>
              </w:rPr>
            </w:pPr>
          </w:p>
        </w:tc>
        <w:tc>
          <w:tcPr>
            <w:tcW w:w="2100" w:type="dxa"/>
            <w:vAlign w:val="bottom"/>
            <w:gridSpan w:val="6"/>
          </w:tcPr>
          <w:p>
            <w:pPr>
              <w:jc w:val="center"/>
              <w:ind w:left="139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10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60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60" w:type="dxa"/>
            <w:vAlign w:val="bottom"/>
          </w:tcPr>
          <w:p>
            <w:pPr>
              <w:spacing w:after="0"/>
              <w:rPr>
                <w:sz w:val="12"/>
                <w:szCs w:val="12"/>
                <w:color w:val="auto"/>
              </w:rPr>
            </w:pPr>
          </w:p>
        </w:tc>
        <w:tc>
          <w:tcPr>
            <w:tcW w:w="940" w:type="dxa"/>
            <w:vAlign w:val="bottom"/>
            <w:gridSpan w:val="5"/>
          </w:tcPr>
          <w:p>
            <w:pPr>
              <w:jc w:val="right"/>
              <w:ind w:right="22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600" w:type="dxa"/>
            <w:vAlign w:val="bottom"/>
            <w:gridSpan w:val="7"/>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4"/>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314</w:t>
            </w: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204</w:t>
            </w: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5"/>
        </w:trPr>
        <w:tc>
          <w:tcPr>
            <w:tcW w:w="392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2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44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594</w:t>
            </w:r>
          </w:p>
        </w:tc>
      </w:tr>
      <w:tr>
        <w:trPr>
          <w:trHeight w:val="262"/>
        </w:trPr>
        <w:tc>
          <w:tcPr>
            <w:tcW w:w="39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205"/>
        </w:trPr>
        <w:tc>
          <w:tcPr>
            <w:tcW w:w="392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2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38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9"/>
              </w:rPr>
              <w:t>510</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w:t>
            </w:r>
          </w:p>
        </w:tc>
      </w:tr>
      <w:tr>
        <w:trPr>
          <w:trHeight w:val="20"/>
        </w:trPr>
        <w:tc>
          <w:tcPr>
            <w:tcW w:w="3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300"/>
          </w:cols>
          <w:pgMar w:left="240" w:top="131" w:right="359" w:bottom="0" w:gutter="0" w:footer="0" w:header="0"/>
        </w:sectPr>
      </w:pPr>
    </w:p>
    <w:bookmarkStart w:id="9" w:name="page10"/>
    <w:bookmarkEnd w:id="9"/>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Total amortization expense for the three months ended March 31, 2016 and 2015 was $59 and $73,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34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2016 (remainder)</w:t>
            </w:r>
          </w:p>
        </w:tc>
        <w:tc>
          <w:tcPr>
            <w:tcW w:w="24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2017</w:t>
            </w:r>
          </w:p>
        </w:tc>
        <w:tc>
          <w:tcPr>
            <w:tcW w:w="24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2018</w:t>
            </w:r>
          </w:p>
        </w:tc>
        <w:tc>
          <w:tcPr>
            <w:tcW w:w="2460" w:type="dxa"/>
            <w:vAlign w:val="bottom"/>
          </w:tcPr>
          <w:p>
            <w:pPr>
              <w:jc w:val="right"/>
              <w:spacing w:after="0"/>
              <w:rPr>
                <w:sz w:val="20"/>
                <w:szCs w:val="20"/>
                <w:color w:val="auto"/>
              </w:rPr>
            </w:pPr>
            <w:r>
              <w:rPr>
                <w:rFonts w:ascii="Arial" w:cs="Arial" w:eastAsia="Arial" w:hAnsi="Arial"/>
                <w:sz w:val="18"/>
                <w:szCs w:val="18"/>
                <w:color w:val="auto"/>
              </w:rPr>
              <w:t>$ 65</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2019</w:t>
            </w:r>
          </w:p>
        </w:tc>
        <w:tc>
          <w:tcPr>
            <w:tcW w:w="2460" w:type="dxa"/>
            <w:vAlign w:val="bottom"/>
          </w:tcPr>
          <w:p>
            <w:pPr>
              <w:jc w:val="right"/>
              <w:spacing w:after="0"/>
              <w:rPr>
                <w:sz w:val="20"/>
                <w:szCs w:val="20"/>
                <w:color w:val="auto"/>
              </w:rPr>
            </w:pPr>
            <w:r>
              <w:rPr>
                <w:rFonts w:ascii="Arial" w:cs="Arial" w:eastAsia="Arial" w:hAnsi="Arial"/>
                <w:sz w:val="18"/>
                <w:szCs w:val="18"/>
                <w:color w:val="auto"/>
              </w:rPr>
              <w:t>$ 39</w:t>
            </w:r>
          </w:p>
        </w:tc>
      </w:tr>
      <w:tr>
        <w:trPr>
          <w:trHeight w:val="419"/>
        </w:trPr>
        <w:tc>
          <w:tcPr>
            <w:tcW w:w="332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jc w:val="right"/>
              <w:spacing w:after="0"/>
              <w:rPr>
                <w:sz w:val="20"/>
                <w:szCs w:val="20"/>
                <w:color w:val="auto"/>
              </w:rPr>
            </w:pPr>
            <w:r>
              <w:rPr>
                <w:rFonts w:ascii="Arial" w:cs="Arial" w:eastAsia="Arial" w:hAnsi="Arial"/>
                <w:sz w:val="18"/>
                <w:szCs w:val="18"/>
                <w:color w:val="auto"/>
              </w:rPr>
              <w:t>$ 30</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three months ended March 31, 2016 and 2015, Hakuto Co., Ltd., one of our distributors, accounted for 15% and 10% of our consolidated net revenues, respectively. These revenues were generated by our Thermal Products segment. No other customers accounted for 10% or more of our consolidated net revenues during the three months ended March 31, 2016 and 2015.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2016 and December 31, 2015 were comprised of the following:</w:t>
      </w:r>
    </w:p>
    <w:p>
      <w:pPr>
        <w:spacing w:after="0" w:line="224"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60" w:type="dxa"/>
            <w:vAlign w:val="bottom"/>
            <w:gridSpan w:val="4"/>
          </w:tcPr>
          <w:p>
            <w:pPr>
              <w:jc w:val="center"/>
              <w:ind w:right="300"/>
              <w:spacing w:after="0"/>
              <w:rPr>
                <w:sz w:val="20"/>
                <w:szCs w:val="20"/>
                <w:color w:val="auto"/>
              </w:rPr>
            </w:pPr>
            <w:r>
              <w:rPr>
                <w:rFonts w:ascii="Arial" w:cs="Arial" w:eastAsia="Arial" w:hAnsi="Arial"/>
                <w:sz w:val="14"/>
                <w:szCs w:val="14"/>
                <w:b w:val="1"/>
                <w:bCs w:val="1"/>
                <w:i w:val="1"/>
                <w:iCs w:val="1"/>
                <w:color w:val="auto"/>
                <w:w w:val="88"/>
              </w:rPr>
              <w:t>Mar. 31,</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45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60" w:type="dxa"/>
            <w:vAlign w:val="bottom"/>
          </w:tcPr>
          <w:p>
            <w:pPr>
              <w:spacing w:after="0"/>
              <w:rPr>
                <w:sz w:val="12"/>
                <w:szCs w:val="12"/>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$2,312</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$2,535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05"/>
        </w:trPr>
        <w:tc>
          <w:tcPr>
            <w:tcW w:w="454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399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571</w:t>
            </w:r>
          </w:p>
        </w:tc>
      </w:tr>
      <w:tr>
        <w:trPr>
          <w:trHeight w:val="466"/>
        </w:trPr>
        <w:tc>
          <w:tcPr>
            <w:tcW w:w="4540" w:type="dxa"/>
            <w:vAlign w:val="bottom"/>
          </w:tcPr>
          <w:p>
            <w:pPr>
              <w:spacing w:after="0"/>
              <w:rPr>
                <w:sz w:val="20"/>
                <w:szCs w:val="20"/>
                <w:color w:val="auto"/>
              </w:rPr>
            </w:pPr>
            <w:r>
              <w:rPr>
                <w:rFonts w:ascii="Arial" w:cs="Arial" w:eastAsia="Arial" w:hAnsi="Arial"/>
                <w:sz w:val="18"/>
                <w:szCs w:val="18"/>
                <w:color w:val="auto"/>
              </w:rPr>
              <w:t>Total inventories</w:t>
            </w: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3,454</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3,520</w:t>
            </w:r>
          </w:p>
        </w:tc>
      </w:tr>
      <w:tr>
        <w:trPr>
          <w:trHeight w:val="20"/>
        </w:trPr>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2016 and December 31, 2015 consisted of the following:</w:t>
      </w:r>
    </w:p>
    <w:p>
      <w:pPr>
        <w:spacing w:after="0" w:line="196"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i w:val="1"/>
                <w:iCs w:val="1"/>
                <w:color w:val="auto"/>
                <w:w w:val="90"/>
              </w:rPr>
              <w:t>Letters of Credit</w:t>
            </w:r>
          </w:p>
        </w:tc>
      </w:tr>
      <w:tr>
        <w:trPr>
          <w:trHeight w:val="146"/>
        </w:trPr>
        <w:tc>
          <w:tcPr>
            <w:tcW w:w="2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280" w:type="dxa"/>
            <w:vAlign w:val="bottom"/>
          </w:tcPr>
          <w:p>
            <w:pPr>
              <w:spacing w:after="0"/>
              <w:rPr>
                <w:sz w:val="12"/>
                <w:szCs w:val="12"/>
                <w:color w:val="auto"/>
              </w:rPr>
            </w:pPr>
          </w:p>
        </w:tc>
        <w:tc>
          <w:tcPr>
            <w:tcW w:w="1100" w:type="dxa"/>
            <w:vAlign w:val="bottom"/>
            <w:gridSpan w:val="2"/>
          </w:tcPr>
          <w:p>
            <w:pPr>
              <w:jc w:val="center"/>
              <w:ind w:right="560"/>
              <w:spacing w:after="0" w:line="146" w:lineRule="exact"/>
              <w:rPr>
                <w:sz w:val="20"/>
                <w:szCs w:val="20"/>
                <w:color w:val="auto"/>
              </w:rPr>
            </w:pPr>
            <w:r>
              <w:rPr>
                <w:rFonts w:ascii="Arial" w:cs="Arial" w:eastAsia="Arial" w:hAnsi="Arial"/>
                <w:sz w:val="14"/>
                <w:szCs w:val="14"/>
                <w:b w:val="1"/>
                <w:bCs w:val="1"/>
                <w:i w:val="1"/>
                <w:iCs w:val="1"/>
                <w:color w:val="auto"/>
                <w:w w:val="85"/>
              </w:rPr>
              <w:t>Lease</w:t>
            </w:r>
          </w:p>
        </w:tc>
        <w:tc>
          <w:tcPr>
            <w:tcW w:w="60" w:type="dxa"/>
            <w:vAlign w:val="bottom"/>
          </w:tcPr>
          <w:p>
            <w:pPr>
              <w:spacing w:after="0"/>
              <w:rPr>
                <w:sz w:val="12"/>
                <w:szCs w:val="12"/>
                <w:color w:val="auto"/>
              </w:rPr>
            </w:pPr>
          </w:p>
        </w:tc>
        <w:tc>
          <w:tcPr>
            <w:tcW w:w="1320" w:type="dxa"/>
            <w:vAlign w:val="bottom"/>
            <w:tcBorders>
              <w:bottom w:val="single" w:sz="8" w:color="auto"/>
            </w:tcBorders>
            <w:gridSpan w:val="5"/>
          </w:tcPr>
          <w:p>
            <w:pPr>
              <w:ind w:left="60"/>
              <w:spacing w:after="0" w:line="146" w:lineRule="exact"/>
              <w:rPr>
                <w:sz w:val="20"/>
                <w:szCs w:val="20"/>
                <w:color w:val="auto"/>
              </w:rPr>
            </w:pPr>
            <w:r>
              <w:rPr>
                <w:rFonts w:ascii="Arial" w:cs="Arial" w:eastAsia="Arial" w:hAnsi="Arial"/>
                <w:sz w:val="14"/>
                <w:szCs w:val="14"/>
                <w:b w:val="1"/>
                <w:bCs w:val="1"/>
                <w:i w:val="1"/>
                <w:iCs w:val="1"/>
                <w:color w:val="auto"/>
                <w:w w:val="89"/>
              </w:rPr>
              <w:t>Amount Outstanding</w:t>
            </w:r>
          </w:p>
        </w:tc>
        <w:tc>
          <w:tcPr>
            <w:tcW w:w="100" w:type="dxa"/>
            <w:vAlign w:val="bottom"/>
            <w:gridSpan w:val="2"/>
          </w:tcPr>
          <w:p>
            <w:pPr>
              <w:spacing w:after="0"/>
              <w:rPr>
                <w:sz w:val="12"/>
                <w:szCs w:val="12"/>
                <w:color w:val="auto"/>
              </w:rPr>
            </w:pPr>
          </w:p>
        </w:tc>
      </w:tr>
      <w:tr>
        <w:trPr>
          <w:trHeight w:val="158"/>
        </w:trPr>
        <w:tc>
          <w:tcPr>
            <w:tcW w:w="2200" w:type="dxa"/>
            <w:vAlign w:val="bottom"/>
          </w:tcPr>
          <w:p>
            <w:pPr>
              <w:spacing w:after="0"/>
              <w:rPr>
                <w:sz w:val="13"/>
                <w:szCs w:val="13"/>
                <w:color w:val="auto"/>
              </w:rPr>
            </w:pPr>
          </w:p>
        </w:tc>
        <w:tc>
          <w:tcPr>
            <w:tcW w:w="21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2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380" w:type="dxa"/>
            <w:vAlign w:val="bottom"/>
            <w:gridSpan w:val="3"/>
          </w:tcPr>
          <w:p>
            <w:pPr>
              <w:ind w:left="260"/>
              <w:spacing w:after="0" w:line="158" w:lineRule="exact"/>
              <w:rPr>
                <w:sz w:val="20"/>
                <w:szCs w:val="20"/>
                <w:color w:val="auto"/>
              </w:rPr>
            </w:pPr>
            <w:r>
              <w:rPr>
                <w:rFonts w:ascii="Arial" w:cs="Arial" w:eastAsia="Arial" w:hAnsi="Arial"/>
                <w:sz w:val="14"/>
                <w:szCs w:val="14"/>
                <w:b w:val="1"/>
                <w:bCs w:val="1"/>
                <w:i w:val="1"/>
                <w:iCs w:val="1"/>
                <w:color w:val="auto"/>
              </w:rPr>
              <w:t>Expiration</w:t>
            </w:r>
          </w:p>
        </w:tc>
        <w:tc>
          <w:tcPr>
            <w:tcW w:w="9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Mar. 31,</w:t>
            </w:r>
          </w:p>
        </w:tc>
        <w:tc>
          <w:tcPr>
            <w:tcW w:w="52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320" w:type="dxa"/>
            <w:vAlign w:val="bottom"/>
          </w:tcPr>
          <w:p>
            <w:pPr>
              <w:spacing w:after="0"/>
              <w:rPr>
                <w:sz w:val="12"/>
                <w:szCs w:val="12"/>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1100" w:type="dxa"/>
            <w:vAlign w:val="bottom"/>
            <w:gridSpan w:val="2"/>
          </w:tcPr>
          <w:p>
            <w:pPr>
              <w:jc w:val="center"/>
              <w:ind w:right="56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480" w:type="dxa"/>
            <w:vAlign w:val="bottom"/>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480" w:type="dxa"/>
            <w:vAlign w:val="bottom"/>
          </w:tcPr>
          <w:p>
            <w:pPr>
              <w:spacing w:after="0"/>
              <w:rPr>
                <w:sz w:val="12"/>
                <w:szCs w:val="12"/>
                <w:color w:val="auto"/>
              </w:rPr>
            </w:pPr>
          </w:p>
        </w:tc>
        <w:tc>
          <w:tcPr>
            <w:tcW w:w="420" w:type="dxa"/>
            <w:vAlign w:val="bottom"/>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2200" w:type="dxa"/>
            <w:vAlign w:val="bottom"/>
          </w:tcPr>
          <w:p>
            <w:pPr>
              <w:spacing w:after="0"/>
              <w:rPr>
                <w:sz w:val="20"/>
                <w:szCs w:val="20"/>
                <w:color w:val="auto"/>
              </w:rPr>
            </w:pPr>
            <w:r>
              <w:rPr>
                <w:rFonts w:ascii="Arial" w:cs="Arial" w:eastAsia="Arial" w:hAnsi="Arial"/>
                <w:sz w:val="18"/>
                <w:szCs w:val="18"/>
                <w:color w:val="auto"/>
              </w:rPr>
              <w:t>Mt. Laurel, NJ</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3/29/2010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3/31/2017</w:t>
            </w:r>
          </w:p>
        </w:tc>
        <w:tc>
          <w:tcPr>
            <w:tcW w:w="1380" w:type="dxa"/>
            <w:vAlign w:val="bottom"/>
            <w:gridSpan w:val="3"/>
          </w:tcPr>
          <w:p>
            <w:pPr>
              <w:ind w:left="260"/>
              <w:spacing w:after="0"/>
              <w:rPr>
                <w:sz w:val="20"/>
                <w:szCs w:val="20"/>
                <w:color w:val="auto"/>
              </w:rPr>
            </w:pPr>
            <w:r>
              <w:rPr>
                <w:rFonts w:ascii="Arial" w:cs="Arial" w:eastAsia="Arial" w:hAnsi="Arial"/>
                <w:sz w:val="18"/>
                <w:szCs w:val="18"/>
                <w:color w:val="auto"/>
              </w:rPr>
              <w:t>4/30/2021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20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120" w:type="dxa"/>
            <w:vAlign w:val="bottom"/>
            <w:gridSpan w:val="3"/>
          </w:tcPr>
          <w:p>
            <w:pPr>
              <w:jc w:val="right"/>
              <w:ind w:right="200"/>
              <w:spacing w:after="0" w:line="205" w:lineRule="exact"/>
              <w:rPr>
                <w:sz w:val="20"/>
                <w:szCs w:val="20"/>
                <w:color w:val="auto"/>
              </w:rPr>
            </w:pPr>
            <w:r>
              <w:rPr>
                <w:rFonts w:ascii="Arial" w:cs="Arial" w:eastAsia="Arial" w:hAnsi="Arial"/>
                <w:sz w:val="18"/>
                <w:szCs w:val="18"/>
                <w:color w:val="auto"/>
              </w:rPr>
              <w:t>10/27/2010</w:t>
            </w:r>
          </w:p>
        </w:tc>
        <w:tc>
          <w:tcPr>
            <w:tcW w:w="1240" w:type="dxa"/>
            <w:vAlign w:val="bottom"/>
            <w:gridSpan w:val="3"/>
          </w:tcPr>
          <w:p>
            <w:pPr>
              <w:jc w:val="right"/>
              <w:ind w:right="240"/>
              <w:spacing w:after="0" w:line="205" w:lineRule="exact"/>
              <w:rPr>
                <w:sz w:val="20"/>
                <w:szCs w:val="20"/>
                <w:color w:val="auto"/>
              </w:rPr>
            </w:pPr>
            <w:r>
              <w:rPr>
                <w:rFonts w:ascii="Arial" w:cs="Arial" w:eastAsia="Arial" w:hAnsi="Arial"/>
                <w:sz w:val="18"/>
                <w:szCs w:val="18"/>
                <w:color w:val="auto"/>
              </w:rPr>
              <w:t>11/08/2016</w:t>
            </w:r>
          </w:p>
        </w:tc>
        <w:tc>
          <w:tcPr>
            <w:tcW w:w="1380" w:type="dxa"/>
            <w:vAlign w:val="bottom"/>
            <w:gridSpan w:val="3"/>
          </w:tcPr>
          <w:p>
            <w:pPr>
              <w:ind w:left="260"/>
              <w:spacing w:after="0" w:line="205" w:lineRule="exact"/>
              <w:rPr>
                <w:sz w:val="20"/>
                <w:szCs w:val="20"/>
                <w:color w:val="auto"/>
              </w:rPr>
            </w:pPr>
            <w:r>
              <w:rPr>
                <w:rFonts w:ascii="Arial" w:cs="Arial" w:eastAsia="Arial" w:hAnsi="Arial"/>
                <w:sz w:val="18"/>
                <w:szCs w:val="18"/>
                <w:color w:val="auto"/>
              </w:rPr>
              <w:t>8/23/2021</w:t>
            </w:r>
          </w:p>
        </w:tc>
        <w:tc>
          <w:tcPr>
            <w:tcW w:w="180" w:type="dxa"/>
            <w:vAlign w:val="bottom"/>
            <w:gridSpan w:val="2"/>
          </w:tcPr>
          <w:p>
            <w:pPr>
              <w:spacing w:after="0"/>
              <w:rPr>
                <w:sz w:val="17"/>
                <w:szCs w:val="17"/>
                <w:color w:val="auto"/>
              </w:rPr>
            </w:pPr>
          </w:p>
        </w:tc>
        <w:tc>
          <w:tcPr>
            <w:tcW w:w="3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c>
          <w:tcPr>
            <w:tcW w:w="4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20"/>
        </w:trPr>
        <w:tc>
          <w:tcPr>
            <w:tcW w:w="2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91"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As of March 31, 2016, we have unvested restricted stock awards and stock options granted under stock-based employee compensation plans that are described more fully in Note 12 to the consolidated financial statements in our 2015 Form 10-K.</w:t>
      </w:r>
    </w:p>
    <w:p>
      <w:pPr>
        <w:spacing w:after="0" w:line="186"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color w:val="auto"/>
        </w:rPr>
        <w:t>As of March 31, 2016, total unrecognized compensation expense related to unvested restricted stock awards and stock options was $456. The weighted average period over which this expense is expected to be recognized is 2.3 years. The following table shows the allocation of the compensation expense we recorded during the three months ended March 31, 2016 and 2015, respectively, related to stock-based compensation:</w:t>
      </w:r>
    </w:p>
    <w:p>
      <w:pPr>
        <w:spacing w:after="0" w:line="171" w:lineRule="exact"/>
        <w:rPr>
          <w:sz w:val="20"/>
          <w:szCs w:val="20"/>
          <w:color w:val="auto"/>
        </w:rPr>
      </w:pPr>
    </w:p>
    <w:p>
      <w:pPr>
        <w:ind w:left="8380"/>
        <w:spacing w:after="0"/>
        <w:rPr>
          <w:sz w:val="20"/>
          <w:szCs w:val="20"/>
          <w:color w:val="auto"/>
        </w:rPr>
      </w:pPr>
      <w:r>
        <w:rPr>
          <w:rFonts w:ascii="Arial" w:cs="Arial" w:eastAsia="Arial" w:hAnsi="Arial"/>
          <w:sz w:val="14"/>
          <w:szCs w:val="14"/>
          <w:b w:val="1"/>
          <w:bCs w:val="1"/>
          <w:i w:val="1"/>
          <w:iCs w:val="1"/>
          <w:color w:val="auto"/>
        </w:rPr>
        <w:t>Three Months Ended</w:t>
      </w:r>
    </w:p>
    <w:p>
      <w:pPr>
        <w:ind w:left="868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-16510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tbl>
      <w:tblPr>
        <w:tblLayout w:type="fixed"/>
        <w:tblInd w:w="164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2016</w:t>
            </w:r>
          </w:p>
        </w:tc>
        <w:tc>
          <w:tcPr>
            <w:tcW w:w="54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76"/>
              </w:rPr>
              <w:t>2015</w:t>
            </w:r>
          </w:p>
        </w:tc>
        <w:tc>
          <w:tcPr>
            <w:tcW w:w="120" w:type="dxa"/>
            <w:vAlign w:val="bottom"/>
          </w:tcPr>
          <w:p>
            <w:pPr>
              <w:spacing w:after="0"/>
              <w:rPr>
                <w:sz w:val="12"/>
                <w:szCs w:val="12"/>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3620" w:type="dxa"/>
            <w:vAlign w:val="bottom"/>
            <w:gridSpan w:val="3"/>
          </w:tcPr>
          <w:p>
            <w:pPr>
              <w:jc w:val="right"/>
              <w:ind w:right="420"/>
              <w:spacing w:after="0"/>
              <w:rPr>
                <w:sz w:val="20"/>
                <w:szCs w:val="20"/>
                <w:color w:val="auto"/>
              </w:rPr>
            </w:pPr>
            <w:r>
              <w:rPr>
                <w:rFonts w:ascii="Arial" w:cs="Arial" w:eastAsia="Arial" w:hAnsi="Arial"/>
                <w:sz w:val="18"/>
                <w:szCs w:val="18"/>
                <w:color w:val="auto"/>
              </w:rPr>
              <w:t>$ 3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$ 3</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Selling expense</w:t>
            </w:r>
          </w:p>
        </w:tc>
        <w:tc>
          <w:tcPr>
            <w:tcW w:w="362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ectPr>
          <w:pgSz w:w="11900" w:h="16868" w:orient="portrait"/>
          <w:cols w:equalWidth="0" w:num="1">
            <w:col w:w="11260"/>
          </w:cols>
          <w:pgMar w:left="240" w:top="131" w:right="399" w:bottom="0" w:gutter="0" w:footer="0" w:header="0"/>
        </w:sectPr>
      </w:pPr>
    </w:p>
    <w:bookmarkStart w:id="10" w:name="page11"/>
    <w:bookmarkEnd w:id="10"/>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68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$ 30</w:t>
            </w:r>
          </w:p>
        </w:tc>
      </w:tr>
      <w:tr>
        <w:trPr>
          <w:trHeight w:val="20"/>
        </w:trPr>
        <w:tc>
          <w:tcPr>
            <w:tcW w:w="6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stock-based compensation expense capitalized in the three months ended March 31, 2016 or 2015.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 three of our independent directors which will vest 100% upon the re-election of these directors at our annual meeting which is expected to take place in June 2016. The total compensation expense related to these shares is $98, and it will all be recorded upon the re-election of these directors.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three months ended March 31, 2016:</w:t>
      </w: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6480" w:type="dxa"/>
            <w:vAlign w:val="bottom"/>
          </w:tcPr>
          <w:p>
            <w:pPr>
              <w:spacing w:after="0"/>
              <w:rPr>
                <w:sz w:val="12"/>
                <w:szCs w:val="12"/>
                <w:color w:val="auto"/>
              </w:rPr>
            </w:pPr>
          </w:p>
        </w:tc>
        <w:tc>
          <w:tcPr>
            <w:tcW w:w="7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6480" w:type="dxa"/>
            <w:vAlign w:val="bottom"/>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c>
          <w:tcPr>
            <w:tcW w:w="20" w:type="dxa"/>
            <w:vAlign w:val="bottom"/>
          </w:tcPr>
          <w:p>
            <w:pPr>
              <w:spacing w:after="0"/>
              <w:rPr>
                <w:sz w:val="12"/>
                <w:szCs w:val="12"/>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Unvested shares outstanding, January 1, 2016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63,750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0"/>
                <w:szCs w:val="20"/>
                <w:color w:val="auto"/>
              </w:rPr>
            </w:pPr>
          </w:p>
        </w:tc>
      </w:tr>
      <w:tr>
        <w:trPr>
          <w:trHeight w:val="243"/>
        </w:trPr>
        <w:tc>
          <w:tcPr>
            <w:tcW w:w="6480" w:type="dxa"/>
            <w:vAlign w:val="bottom"/>
          </w:tcPr>
          <w:p>
            <w:pPr>
              <w:ind w:left="120"/>
              <w:spacing w:after="0"/>
              <w:rPr>
                <w:sz w:val="20"/>
                <w:szCs w:val="20"/>
                <w:color w:val="auto"/>
              </w:rPr>
            </w:pPr>
            <w:r>
              <w:rPr>
                <w:rFonts w:ascii="Arial" w:cs="Arial" w:eastAsia="Arial" w:hAnsi="Arial"/>
                <w:sz w:val="18"/>
                <w:szCs w:val="18"/>
                <w:color w:val="auto"/>
              </w:rPr>
              <w:t>Granted</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63,900</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1"/>
                <w:szCs w:val="21"/>
                <w:color w:val="auto"/>
              </w:rPr>
            </w:pPr>
          </w:p>
        </w:tc>
      </w:tr>
      <w:tr>
        <w:trPr>
          <w:trHeight w:val="243"/>
        </w:trPr>
        <w:tc>
          <w:tcPr>
            <w:tcW w:w="6480" w:type="dxa"/>
            <w:vAlign w:val="bottom"/>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1"/>
                <w:szCs w:val="21"/>
                <w:color w:val="auto"/>
              </w:rPr>
            </w:pPr>
          </w:p>
        </w:tc>
      </w:tr>
      <w:tr>
        <w:trPr>
          <w:trHeight w:val="205"/>
        </w:trPr>
        <w:tc>
          <w:tcPr>
            <w:tcW w:w="6480" w:type="dxa"/>
            <w:vAlign w:val="bottom"/>
          </w:tcPr>
          <w:p>
            <w:pPr>
              <w:ind w:left="120"/>
              <w:spacing w:after="0" w:line="205" w:lineRule="exact"/>
              <w:rPr>
                <w:sz w:val="20"/>
                <w:szCs w:val="20"/>
                <w:color w:val="auto"/>
              </w:rPr>
            </w:pPr>
            <w:r>
              <w:rPr>
                <w:rFonts w:ascii="Arial" w:cs="Arial" w:eastAsia="Arial" w:hAnsi="Arial"/>
                <w:sz w:val="18"/>
                <w:szCs w:val="18"/>
                <w:color w:val="auto"/>
              </w:rPr>
              <w:t>Forfeited</w:t>
            </w:r>
          </w:p>
        </w:tc>
        <w:tc>
          <w:tcPr>
            <w:tcW w:w="120" w:type="dxa"/>
            <w:vAlign w:val="bottom"/>
            <w:gridSpan w:val="2"/>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Unvested shares outstanding, March 31, 2016</w:t>
            </w:r>
          </w:p>
        </w:tc>
        <w:tc>
          <w:tcPr>
            <w:tcW w:w="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122,650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r>
    </w:tbl>
    <w:p>
      <w:pPr>
        <w:spacing w:after="0" w:line="248"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total fair value of the shares that vested during the three months ended March 31, 2016 and 2015 was $22 and $21, respectively, as of the vesting dates of these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The fair value for stock options granted during the first quarter of 2016 was estimated at the date of grant using the Black-Scholes option pricing model with the following weighted average assumptions:</w:t>
      </w:r>
    </w:p>
    <w:p>
      <w:pPr>
        <w:spacing w:after="0" w:line="200" w:lineRule="exact"/>
        <w:rPr>
          <w:sz w:val="20"/>
          <w:szCs w:val="20"/>
          <w:color w:val="auto"/>
        </w:rPr>
      </w:pPr>
    </w:p>
    <w:p>
      <w:pPr>
        <w:spacing w:after="0" w:line="243"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146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per share weighted average fair value of stock options issued during the first quarter of 2016 was $1.43.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2016:</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780" w:type="dxa"/>
            <w:vAlign w:val="bottom"/>
          </w:tcPr>
          <w:p>
            <w:pPr>
              <w:spacing w:after="0"/>
              <w:rPr>
                <w:sz w:val="12"/>
                <w:szCs w:val="12"/>
                <w:color w:val="auto"/>
              </w:rPr>
            </w:pPr>
          </w:p>
        </w:tc>
        <w:tc>
          <w:tcPr>
            <w:tcW w:w="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Exercise</w:t>
            </w:r>
          </w:p>
        </w:tc>
      </w:tr>
      <w:tr>
        <w:trPr>
          <w:trHeight w:val="146"/>
        </w:trPr>
        <w:tc>
          <w:tcPr>
            <w:tcW w:w="5780" w:type="dxa"/>
            <w:vAlign w:val="bottom"/>
          </w:tcPr>
          <w:p>
            <w:pPr>
              <w:spacing w:after="0"/>
              <w:rPr>
                <w:sz w:val="12"/>
                <w:szCs w:val="12"/>
                <w:color w:val="auto"/>
              </w:rPr>
            </w:pPr>
          </w:p>
        </w:tc>
        <w:tc>
          <w:tcPr>
            <w:tcW w:w="880" w:type="dxa"/>
            <w:vAlign w:val="bottom"/>
            <w:gridSpan w:val="5"/>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52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Price</w:t>
            </w:r>
          </w:p>
        </w:tc>
      </w:tr>
      <w:tr>
        <w:trPr>
          <w:trHeight w:val="235"/>
        </w:trPr>
        <w:tc>
          <w:tcPr>
            <w:tcW w:w="5780" w:type="dxa"/>
            <w:vAlign w:val="bottom"/>
          </w:tcPr>
          <w:p>
            <w:pPr>
              <w:spacing w:after="0"/>
              <w:rPr>
                <w:sz w:val="20"/>
                <w:szCs w:val="20"/>
                <w:color w:val="auto"/>
              </w:rPr>
            </w:pPr>
            <w:r>
              <w:rPr>
                <w:rFonts w:ascii="Arial" w:cs="Arial" w:eastAsia="Arial" w:hAnsi="Arial"/>
                <w:sz w:val="18"/>
                <w:szCs w:val="18"/>
                <w:color w:val="auto"/>
              </w:rPr>
              <w:t>Options outstanding, January 1, 2016 (none exercisable)</w:t>
            </w:r>
          </w:p>
        </w:tc>
        <w:tc>
          <w:tcPr>
            <w:tcW w:w="520" w:type="dxa"/>
            <w:vAlign w:val="bottom"/>
            <w:tcBorders>
              <w:top w:val="single" w:sz="8" w:color="auto"/>
            </w:tcBorders>
            <w:gridSpan w:val="3"/>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Vested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578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Options outstanding, March 31, 2016 (none exercisable)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REPURCHASE PLAN</w:t>
      </w:r>
    </w:p>
    <w:p>
      <w:pPr>
        <w:spacing w:after="0" w:line="191"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(the "2015 Repurchase Plan").</w:t>
      </w:r>
    </w:p>
    <w:p>
      <w:pPr>
        <w:sectPr>
          <w:pgSz w:w="11900" w:h="16838" w:orient="portrait"/>
          <w:cols w:equalWidth="0" w:num="1">
            <w:col w:w="11400"/>
          </w:cols>
          <w:pgMar w:left="240" w:top="118" w:right="259" w:bottom="0" w:gutter="0" w:footer="0" w:header="0"/>
        </w:sectPr>
      </w:pPr>
    </w:p>
    <w:bookmarkStart w:id="11" w:name="page12"/>
    <w:bookmarkEnd w:id="11"/>
    <w:p>
      <w:pPr>
        <w:ind w:left="540"/>
        <w:spacing w:after="0" w:line="294" w:lineRule="auto"/>
        <w:rPr>
          <w:sz w:val="20"/>
          <w:szCs w:val="20"/>
          <w:color w:val="auto"/>
        </w:rPr>
      </w:pPr>
      <w:r>
        <w:rPr>
          <w:rFonts w:ascii="Arial" w:cs="Arial" w:eastAsia="Arial" w:hAnsi="Arial"/>
          <w:sz w:val="16"/>
          <w:szCs w:val="16"/>
          <w:color w:val="auto"/>
        </w:rPr>
        <w:t>Repurchases may also be made under a Rule 10b5-1 plan entered into with RW Baird &amp; Co, which permits shares to be repurchased when we might otherwise be precluded from doing so under insider trading laws. The timing and amount of any shares repurchased under the 2015 Repurchase Plan will be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will be funded using our operating cash flow or available cash.</w:t>
      </w:r>
    </w:p>
    <w:p>
      <w:pPr>
        <w:spacing w:after="0" w:line="17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three months ended March 31, 2016, we repurchased 114,688 shares under this repurchase plan at a cost of $471, which includes fees paid to our broker of $3. As of March 31, 2016, we had repurchased a total of 156,020 shares under this repurchase plan at a cost of $625, which included fees paid to our broker of $4. All of the repurchased shares were retired.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91"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three months ended March 31, 2016 and 2015, we recorded $160 and $141 of expense for matching contributions, respectively.</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12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post-warranty service and support.</w:t>
      </w:r>
    </w:p>
    <w:p>
      <w:pPr>
        <w:spacing w:after="0" w:line="161" w:lineRule="exact"/>
        <w:rPr>
          <w:sz w:val="20"/>
          <w:szCs w:val="20"/>
          <w:color w:val="auto"/>
        </w:rPr>
      </w:pPr>
    </w:p>
    <w:p>
      <w:pPr>
        <w:ind w:left="540" w:right="460"/>
        <w:spacing w:after="0" w:line="332" w:lineRule="auto"/>
        <w:rPr>
          <w:sz w:val="20"/>
          <w:szCs w:val="20"/>
          <w:color w:val="auto"/>
        </w:rPr>
      </w:pPr>
      <w:r>
        <w:rPr>
          <w:rFonts w:ascii="Arial" w:cs="Arial" w:eastAsia="Arial" w:hAnsi="Arial"/>
          <w:sz w:val="16"/>
          <w:szCs w:val="16"/>
          <w:color w:val="auto"/>
        </w:rPr>
        <w:t>The Mechanical Products segment includes the operations of our Mt. Laurel, New Jersey manufacturing facility. Sales of our Mechanical Products segment consist primarily of manipulator and docking hardware products, which we design, manufacture and market.</w:t>
      </w:r>
    </w:p>
    <w:p>
      <w:pPr>
        <w:spacing w:after="0" w:line="139"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65"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11"/>
          </w:tcPr>
          <w:p>
            <w:pPr>
              <w:jc w:val="center"/>
              <w:ind w:right="240"/>
              <w:spacing w:after="0"/>
              <w:rPr>
                <w:sz w:val="20"/>
                <w:szCs w:val="20"/>
                <w:color w:val="auto"/>
              </w:rPr>
            </w:pPr>
            <w:r>
              <w:rPr>
                <w:rFonts w:ascii="Arial" w:cs="Arial" w:eastAsia="Arial" w:hAnsi="Arial"/>
                <w:sz w:val="14"/>
                <w:szCs w:val="14"/>
                <w:b w:val="1"/>
                <w:bCs w:val="1"/>
                <w:i w:val="1"/>
                <w:iCs w:val="1"/>
                <w:color w:val="auto"/>
                <w:w w:val="76"/>
              </w:rPr>
              <w:t>Three Months Ended</w:t>
            </w:r>
          </w:p>
        </w:tc>
        <w:tc>
          <w:tcPr>
            <w:tcW w:w="0" w:type="dxa"/>
            <w:vAlign w:val="bottom"/>
          </w:tcPr>
          <w:p>
            <w:pPr>
              <w:spacing w:after="0"/>
              <w:rPr>
                <w:sz w:val="1"/>
                <w:szCs w:val="1"/>
                <w:color w:val="auto"/>
              </w:rPr>
            </w:pPr>
          </w:p>
        </w:tc>
      </w:tr>
      <w:tr>
        <w:trPr>
          <w:trHeight w:val="146"/>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6"/>
          </w:tcPr>
          <w:p>
            <w:pPr>
              <w:jc w:val="center"/>
              <w:ind w:right="79"/>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80" w:type="dxa"/>
            <w:vAlign w:val="bottom"/>
            <w:vMerge w:val="restart"/>
          </w:tcPr>
          <w:p>
            <w:pPr>
              <w:spacing w:after="0"/>
              <w:rPr>
                <w:sz w:val="13"/>
                <w:szCs w:val="13"/>
                <w:color w:val="auto"/>
              </w:rPr>
            </w:pPr>
          </w:p>
        </w:tc>
        <w:tc>
          <w:tcPr>
            <w:tcW w:w="3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vMerge w:val="restart"/>
          </w:tcPr>
          <w:p>
            <w:pPr>
              <w:spacing w:after="0"/>
              <w:rPr>
                <w:sz w:val="13"/>
                <w:szCs w:val="13"/>
                <w:color w:val="auto"/>
              </w:rPr>
            </w:pPr>
          </w:p>
        </w:tc>
        <w:tc>
          <w:tcPr>
            <w:tcW w:w="2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68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Thermal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$5,194</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w w:val="93"/>
              </w:rPr>
              <w:t>$ 5,717</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Mechanical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1,936</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80" w:type="dxa"/>
            <w:vAlign w:val="bottom"/>
          </w:tcPr>
          <w:p>
            <w:pPr>
              <w:spacing w:after="0"/>
              <w:rPr>
                <w:sz w:val="17"/>
                <w:szCs w:val="17"/>
                <w:color w:val="auto"/>
              </w:rPr>
            </w:pPr>
          </w:p>
        </w:tc>
        <w:tc>
          <w:tcPr>
            <w:tcW w:w="4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8"/>
              </w:rPr>
              <w:t>1,517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75"/>
              </w:rPr>
              <w:t>2,036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c>
          <w:tcPr>
            <w:tcW w:w="240" w:type="dxa"/>
            <w:vAlign w:val="bottom"/>
          </w:tcPr>
          <w:p>
            <w:pPr>
              <w:spacing w:after="0"/>
              <w:rPr>
                <w:sz w:val="19"/>
                <w:szCs w:val="19"/>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10,188</w:t>
            </w: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Thermal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$ 573</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Mechanical Products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8"/>
                <w:szCs w:val="18"/>
                <w:color w:val="auto"/>
                <w:w w:val="85"/>
              </w:rPr>
              <w:t>(370)</w:t>
            </w: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Electrical Products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w w:val="85"/>
              </w:rPr>
              <w:t>(100)</w:t>
            </w:r>
          </w:p>
        </w:tc>
        <w:tc>
          <w:tcPr>
            <w:tcW w:w="64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  671</w:t>
            </w: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Thermal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$ 373</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$ 672</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Mechanical Products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8"/>
                <w:szCs w:val="18"/>
                <w:color w:val="auto"/>
                <w:w w:val="85"/>
              </w:rPr>
              <w:t>(241)</w:t>
            </w: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Electrical Products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(65)</w:t>
            </w:r>
          </w:p>
        </w:tc>
        <w:tc>
          <w:tcPr>
            <w:tcW w:w="64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$ 438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840" w:type="dxa"/>
            <w:vAlign w:val="bottom"/>
          </w:tcPr>
          <w:p>
            <w:pPr>
              <w:spacing w:after="0"/>
              <w:rPr>
                <w:sz w:val="24"/>
                <w:szCs w:val="24"/>
                <w:color w:val="auto"/>
              </w:rPr>
            </w:pPr>
          </w:p>
        </w:tc>
        <w:tc>
          <w:tcPr>
            <w:tcW w:w="840" w:type="dxa"/>
            <w:vAlign w:val="bottom"/>
            <w:gridSpan w:val="6"/>
          </w:tcPr>
          <w:p>
            <w:pPr>
              <w:jc w:val="right"/>
              <w:ind w:right="360"/>
              <w:spacing w:after="0"/>
              <w:rPr>
                <w:sz w:val="20"/>
                <w:szCs w:val="20"/>
                <w:color w:val="auto"/>
              </w:rPr>
            </w:pPr>
            <w:r>
              <w:rPr>
                <w:rFonts w:ascii="Arial" w:cs="Arial" w:eastAsia="Arial" w:hAnsi="Arial"/>
                <w:sz w:val="14"/>
                <w:szCs w:val="14"/>
                <w:b w:val="1"/>
                <w:bCs w:val="1"/>
                <w:i w:val="1"/>
                <w:iCs w:val="1"/>
                <w:color w:val="auto"/>
                <w:w w:val="88"/>
              </w:rPr>
              <w:t>Mar. 31,</w:t>
            </w:r>
          </w:p>
        </w:tc>
        <w:tc>
          <w:tcPr>
            <w:tcW w:w="640" w:type="dxa"/>
            <w:vAlign w:val="bottom"/>
            <w:gridSpan w:val="6"/>
          </w:tcPr>
          <w:p>
            <w:pPr>
              <w:jc w:val="center"/>
              <w:ind w:right="18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46"/>
        </w:trPr>
        <w:tc>
          <w:tcPr>
            <w:tcW w:w="6840" w:type="dxa"/>
            <w:vAlign w:val="bottom"/>
          </w:tcPr>
          <w:p>
            <w:pPr>
              <w:spacing w:after="0"/>
              <w:rPr>
                <w:sz w:val="12"/>
                <w:szCs w:val="12"/>
                <w:color w:val="auto"/>
              </w:rPr>
            </w:pPr>
          </w:p>
        </w:tc>
        <w:tc>
          <w:tcPr>
            <w:tcW w:w="480" w:type="dxa"/>
            <w:vAlign w:val="bottom"/>
            <w:tcBorders>
              <w:bottom w:val="single" w:sz="8" w:color="auto"/>
            </w:tcBorders>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Thermal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9"/>
              </w:rPr>
              <w:t>$17,246</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w w:val="86"/>
              </w:rPr>
              <w:t>$16,983</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Mechanical Products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18,960</w:t>
            </w:r>
          </w:p>
        </w:tc>
        <w:tc>
          <w:tcPr>
            <w:tcW w:w="240" w:type="dxa"/>
            <w:vAlign w:val="bottom"/>
          </w:tcPr>
          <w:p>
            <w:pPr>
              <w:spacing w:after="0"/>
              <w:rPr>
                <w:sz w:val="21"/>
                <w:szCs w:val="21"/>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19,733</w:t>
            </w: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80" w:type="dxa"/>
            <w:vAlign w:val="bottom"/>
          </w:tcPr>
          <w:p>
            <w:pPr>
              <w:spacing w:after="0"/>
              <w:rPr>
                <w:sz w:val="17"/>
                <w:szCs w:val="17"/>
                <w:color w:val="auto"/>
              </w:rPr>
            </w:pPr>
          </w:p>
        </w:tc>
        <w:tc>
          <w:tcPr>
            <w:tcW w:w="4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8"/>
              </w:rPr>
              <w:t>3,700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75"/>
              </w:rPr>
              <w:t>3,268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39,906</w:t>
            </w:r>
          </w:p>
        </w:tc>
        <w:tc>
          <w:tcPr>
            <w:tcW w:w="240" w:type="dxa"/>
            <w:vAlign w:val="bottom"/>
          </w:tcPr>
          <w:p>
            <w:pPr>
              <w:spacing w:after="0"/>
              <w:rPr>
                <w:sz w:val="19"/>
                <w:szCs w:val="19"/>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39,984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240" w:top="131" w:right="359" w:bottom="9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320" w:type="dxa"/>
            <w:vAlign w:val="bottom"/>
            <w:gridSpan w:val="13"/>
          </w:tcPr>
          <w:p>
            <w:pPr>
              <w:spacing w:after="0"/>
              <w:rPr>
                <w:sz w:val="20"/>
                <w:szCs w:val="20"/>
                <w:color w:val="auto"/>
              </w:rPr>
            </w:pPr>
            <w:r>
              <w:rPr>
                <w:rFonts w:ascii="Arial" w:cs="Arial" w:eastAsia="Arial" w:hAnsi="Arial"/>
                <w:sz w:val="14"/>
                <w:szCs w:val="14"/>
                <w:b w:val="1"/>
                <w:bCs w:val="1"/>
                <w:i w:val="1"/>
                <w:iCs w:val="1"/>
                <w:color w:val="auto"/>
                <w:w w:val="93"/>
              </w:rPr>
              <w:t>Three Months Ended</w:t>
            </w:r>
          </w:p>
        </w:tc>
      </w:tr>
      <w:tr>
        <w:trPr>
          <w:trHeight w:val="146"/>
        </w:trPr>
        <w:tc>
          <w:tcPr>
            <w:tcW w:w="6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8"/>
          </w:tcPr>
          <w:p>
            <w:pPr>
              <w:ind w:left="60"/>
              <w:spacing w:after="0" w:line="146" w:lineRule="exact"/>
              <w:rPr>
                <w:sz w:val="20"/>
                <w:szCs w:val="20"/>
                <w:color w:val="auto"/>
              </w:rPr>
            </w:pPr>
            <w:r>
              <w:rPr>
                <w:rFonts w:ascii="Arial" w:cs="Arial" w:eastAsia="Arial" w:hAnsi="Arial"/>
                <w:sz w:val="14"/>
                <w:szCs w:val="14"/>
                <w:b w:val="1"/>
                <w:bCs w:val="1"/>
                <w:i w:val="1"/>
                <w:iCs w:val="1"/>
                <w:color w:val="auto"/>
              </w:rPr>
              <w:t>March 31,</w:t>
            </w:r>
          </w:p>
        </w:tc>
        <w:tc>
          <w:tcPr>
            <w:tcW w:w="140" w:type="dxa"/>
            <w:vAlign w:val="bottom"/>
            <w:gridSpan w:val="3"/>
          </w:tcPr>
          <w:p>
            <w:pPr>
              <w:spacing w:after="0"/>
              <w:rPr>
                <w:sz w:val="12"/>
                <w:szCs w:val="12"/>
                <w:color w:val="auto"/>
              </w:rPr>
            </w:pPr>
          </w:p>
        </w:tc>
      </w:tr>
      <w:tr>
        <w:trPr>
          <w:trHeight w:val="156"/>
        </w:trPr>
        <w:tc>
          <w:tcPr>
            <w:tcW w:w="6860" w:type="dxa"/>
            <w:vAlign w:val="bottom"/>
          </w:tcPr>
          <w:p>
            <w:pPr>
              <w:spacing w:after="0"/>
              <w:rPr>
                <w:sz w:val="13"/>
                <w:szCs w:val="13"/>
                <w:color w:val="auto"/>
              </w:rPr>
            </w:pPr>
          </w:p>
        </w:tc>
        <w:tc>
          <w:tcPr>
            <w:tcW w:w="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100" w:type="dxa"/>
            <w:vAlign w:val="bottom"/>
          </w:tcPr>
          <w:p>
            <w:pPr>
              <w:spacing w:after="0"/>
              <w:rPr>
                <w:sz w:val="13"/>
                <w:szCs w:val="13"/>
                <w:color w:val="auto"/>
              </w:rPr>
            </w:pPr>
          </w:p>
        </w:tc>
        <w:tc>
          <w:tcPr>
            <w:tcW w:w="640" w:type="dxa"/>
            <w:vAlign w:val="bottom"/>
            <w:gridSpan w:val="6"/>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$2,727</w:t>
            </w:r>
          </w:p>
        </w:tc>
        <w:tc>
          <w:tcPr>
            <w:tcW w:w="720" w:type="dxa"/>
            <w:vAlign w:val="bottom"/>
            <w:gridSpan w:val="8"/>
          </w:tcPr>
          <w:p>
            <w:pPr>
              <w:jc w:val="right"/>
              <w:spacing w:after="0"/>
              <w:rPr>
                <w:sz w:val="20"/>
                <w:szCs w:val="20"/>
                <w:color w:val="auto"/>
              </w:rPr>
            </w:pPr>
            <w:r>
              <w:rPr>
                <w:rFonts w:ascii="Arial" w:cs="Arial" w:eastAsia="Arial" w:hAnsi="Arial"/>
                <w:sz w:val="18"/>
                <w:szCs w:val="18"/>
                <w:color w:val="auto"/>
              </w:rPr>
              <w:t>$ 3,489</w:t>
            </w: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3"/>
              </w:rPr>
              <w:t>5,920</w:t>
            </w:r>
          </w:p>
        </w:tc>
        <w:tc>
          <w:tcPr>
            <w:tcW w:w="200" w:type="dxa"/>
            <w:vAlign w:val="bottom"/>
            <w:gridSpan w:val="2"/>
          </w:tcPr>
          <w:p>
            <w:pPr>
              <w:spacing w:after="0"/>
              <w:rPr>
                <w:sz w:val="17"/>
                <w:szCs w:val="17"/>
                <w:color w:val="auto"/>
              </w:rPr>
            </w:pPr>
          </w:p>
        </w:tc>
        <w:tc>
          <w:tcPr>
            <w:tcW w:w="52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6,699</w:t>
            </w:r>
          </w:p>
        </w:tc>
      </w:tr>
      <w:tr>
        <w:trPr>
          <w:trHeight w:val="223"/>
        </w:trPr>
        <w:tc>
          <w:tcPr>
            <w:tcW w:w="68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c>
          <w:tcPr>
            <w:tcW w:w="7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10,188</w:t>
            </w:r>
          </w:p>
        </w:tc>
      </w:tr>
      <w:tr>
        <w:trPr>
          <w:trHeight w:val="20"/>
        </w:trPr>
        <w:tc>
          <w:tcPr>
            <w:tcW w:w="68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428"/>
        </w:trPr>
        <w:tc>
          <w:tcPr>
            <w:tcW w:w="6860" w:type="dxa"/>
            <w:vAlign w:val="bottom"/>
          </w:tcPr>
          <w:p>
            <w:pPr>
              <w:spacing w:after="0"/>
              <w:rPr>
                <w:sz w:val="24"/>
                <w:szCs w:val="24"/>
                <w:color w:val="auto"/>
              </w:rPr>
            </w:pPr>
          </w:p>
        </w:tc>
        <w:tc>
          <w:tcPr>
            <w:tcW w:w="6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Mar. 31,</w:t>
            </w:r>
          </w:p>
        </w:tc>
        <w:tc>
          <w:tcPr>
            <w:tcW w:w="180" w:type="dxa"/>
            <w:vAlign w:val="bottom"/>
          </w:tcPr>
          <w:p>
            <w:pPr>
              <w:spacing w:after="0"/>
              <w:rPr>
                <w:sz w:val="24"/>
                <w:szCs w:val="24"/>
                <w:color w:val="auto"/>
              </w:rPr>
            </w:pPr>
          </w:p>
        </w:tc>
        <w:tc>
          <w:tcPr>
            <w:tcW w:w="540" w:type="dxa"/>
            <w:vAlign w:val="bottom"/>
            <w:gridSpan w:val="7"/>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6860" w:type="dxa"/>
            <w:vAlign w:val="bottom"/>
          </w:tcPr>
          <w:p>
            <w:pPr>
              <w:spacing w:after="0"/>
              <w:rPr>
                <w:sz w:val="12"/>
                <w:szCs w:val="12"/>
                <w:color w:val="auto"/>
              </w:rPr>
            </w:pPr>
          </w:p>
        </w:tc>
        <w:tc>
          <w:tcPr>
            <w:tcW w:w="460" w:type="dxa"/>
            <w:vAlign w:val="bottom"/>
            <w:gridSpan w:val="3"/>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5"/>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  765</w:t>
            </w:r>
          </w:p>
        </w:tc>
        <w:tc>
          <w:tcPr>
            <w:tcW w:w="720" w:type="dxa"/>
            <w:vAlign w:val="bottom"/>
            <w:gridSpan w:val="8"/>
          </w:tcPr>
          <w:p>
            <w:pPr>
              <w:jc w:val="right"/>
              <w:spacing w:after="0"/>
              <w:rPr>
                <w:sz w:val="20"/>
                <w:szCs w:val="20"/>
                <w:color w:val="auto"/>
              </w:rPr>
            </w:pPr>
            <w:r>
              <w:rPr>
                <w:rFonts w:ascii="Arial" w:cs="Arial" w:eastAsia="Arial" w:hAnsi="Arial"/>
                <w:sz w:val="18"/>
                <w:szCs w:val="18"/>
                <w:color w:val="auto"/>
              </w:rPr>
              <w:t>$  797</w:t>
            </w: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250</w:t>
            </w:r>
          </w:p>
        </w:tc>
        <w:tc>
          <w:tcPr>
            <w:tcW w:w="240" w:type="dxa"/>
            <w:vAlign w:val="bottom"/>
            <w:gridSpan w:val="3"/>
          </w:tcPr>
          <w:p>
            <w:pPr>
              <w:spacing w:after="0"/>
              <w:rPr>
                <w:sz w:val="17"/>
                <w:szCs w:val="17"/>
                <w:color w:val="auto"/>
              </w:rPr>
            </w:pPr>
          </w:p>
        </w:tc>
        <w:tc>
          <w:tcPr>
            <w:tcW w:w="48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315</w:t>
            </w:r>
          </w:p>
        </w:tc>
      </w:tr>
      <w:tr>
        <w:trPr>
          <w:trHeight w:val="223"/>
        </w:trPr>
        <w:tc>
          <w:tcPr>
            <w:tcW w:w="68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1,015</w:t>
            </w:r>
          </w:p>
        </w:tc>
        <w:tc>
          <w:tcPr>
            <w:tcW w:w="7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w:t>
            </w:r>
          </w:p>
        </w:tc>
      </w:tr>
      <w:tr>
        <w:trPr>
          <w:trHeight w:val="20"/>
        </w:trPr>
        <w:tc>
          <w:tcPr>
            <w:tcW w:w="68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2015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2015 Form 10-K. Material changes to such risk factors may be reported in subsequent Quarterly Reports on Form 10-Q in Part II, Item 1A. There have been no such changes from the risk factors set forth in our 2015 Form 10-K.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the past, the semiconductor industry has been highly cyclical with recurring periods of oversupply, which often have a severe impact on the</w:t>
      </w:r>
    </w:p>
    <w:p>
      <w:pPr>
        <w:sectPr>
          <w:pgSz w:w="11900" w:h="16838" w:orient="portrait"/>
          <w:cols w:equalWidth="0" w:num="1">
            <w:col w:w="11400"/>
          </w:cols>
          <w:pgMar w:left="240" w:top="347" w:right="259" w:bottom="0" w:gutter="0" w:footer="0" w:header="0"/>
        </w:sectPr>
      </w:pPr>
    </w:p>
    <w:bookmarkStart w:id="13" w:name="page14"/>
    <w:bookmarkEnd w:id="13"/>
    <w:p>
      <w:pPr>
        <w:spacing w:after="0" w:line="52" w:lineRule="exact"/>
        <w:rPr>
          <w:sz w:val="20"/>
          <w:szCs w:val="20"/>
          <w:color w:val="auto"/>
        </w:rPr>
      </w:pPr>
    </w:p>
    <w:p>
      <w:pPr>
        <w:ind w:left="540"/>
        <w:spacing w:after="0" w:line="308" w:lineRule="auto"/>
        <w:rPr>
          <w:sz w:val="20"/>
          <w:szCs w:val="20"/>
          <w:color w:val="auto"/>
        </w:rPr>
      </w:pPr>
      <w:r>
        <w:rPr>
          <w:rFonts w:ascii="Arial" w:cs="Arial" w:eastAsia="Arial" w:hAnsi="Arial"/>
          <w:sz w:val="15"/>
          <w:szCs w:val="15"/>
          <w:color w:val="auto"/>
        </w:rPr>
        <w:t>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3"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42"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80"/>
        <w:spacing w:after="0" w:line="287"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in-house manufacturing activities of OEM manufacturers building certain products we have historically sold to them, including manipulators and docking hardware, which has had the impact of significantly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67"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4"/>
                <w:szCs w:val="14"/>
                <w:b w:val="1"/>
                <w:bCs w:val="1"/>
                <w:i w:val="1"/>
                <w:iCs w:val="1"/>
                <w:color w:val="auto"/>
                <w:w w:val="89"/>
              </w:rPr>
              <w:t>Three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i w:val="1"/>
                <w:iCs w:val="1"/>
                <w:color w:val="auto"/>
                <w:w w:val="82"/>
              </w:rPr>
              <w:t>Months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4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920" w:type="dxa"/>
            <w:vAlign w:val="bottom"/>
            <w:gridSpan w:val="6"/>
          </w:tcPr>
          <w:p>
            <w:pPr>
              <w:jc w:val="right"/>
              <w:ind w:right="340"/>
              <w:spacing w:after="0" w:line="146" w:lineRule="exact"/>
              <w:rPr>
                <w:sz w:val="20"/>
                <w:szCs w:val="20"/>
                <w:color w:val="auto"/>
              </w:rPr>
            </w:pPr>
            <w:r>
              <w:rPr>
                <w:rFonts w:ascii="Arial" w:cs="Arial" w:eastAsia="Arial" w:hAnsi="Arial"/>
                <w:sz w:val="14"/>
                <w:szCs w:val="14"/>
                <w:b w:val="1"/>
                <w:bCs w:val="1"/>
                <w:i w:val="1"/>
                <w:iCs w:val="1"/>
                <w:color w:val="auto"/>
              </w:rPr>
              <w:t>Change</w:t>
            </w:r>
          </w:p>
        </w:tc>
      </w:tr>
      <w:tr>
        <w:trPr>
          <w:trHeight w:val="20"/>
        </w:trPr>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2460" w:type="dxa"/>
            <w:vAlign w:val="bottom"/>
          </w:tcPr>
          <w:p>
            <w:pPr>
              <w:spacing w:after="0"/>
              <w:rPr>
                <w:sz w:val="13"/>
                <w:szCs w:val="13"/>
                <w:color w:val="auto"/>
              </w:rPr>
            </w:pPr>
          </w:p>
        </w:tc>
        <w:tc>
          <w:tcPr>
            <w:tcW w:w="1480" w:type="dxa"/>
            <w:vAlign w:val="bottom"/>
            <w:gridSpan w:val="4"/>
          </w:tcPr>
          <w:p>
            <w:pPr>
              <w:jc w:val="right"/>
              <w:ind w:right="152"/>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9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80" w:type="dxa"/>
            <w:vAlign w:val="bottom"/>
          </w:tcPr>
          <w:p>
            <w:pPr>
              <w:spacing w:after="0"/>
              <w:rPr>
                <w:sz w:val="13"/>
                <w:szCs w:val="13"/>
                <w:color w:val="auto"/>
              </w:rPr>
            </w:pPr>
          </w:p>
        </w:tc>
        <w:tc>
          <w:tcPr>
            <w:tcW w:w="42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w:t>
            </w:r>
          </w:p>
        </w:tc>
        <w:tc>
          <w:tcPr>
            <w:tcW w:w="620" w:type="dxa"/>
            <w:vAlign w:val="bottom"/>
            <w:gridSpan w:val="3"/>
          </w:tcPr>
          <w:p>
            <w:pPr>
              <w:jc w:val="center"/>
              <w:ind w:left="257"/>
              <w:spacing w:after="0" w:line="155" w:lineRule="exact"/>
              <w:rPr>
                <w:sz w:val="20"/>
                <w:szCs w:val="20"/>
                <w:color w:val="auto"/>
              </w:rPr>
            </w:pPr>
            <w:r>
              <w:rPr>
                <w:rFonts w:ascii="Arial" w:cs="Arial" w:eastAsia="Arial" w:hAnsi="Arial"/>
                <w:sz w:val="14"/>
                <w:szCs w:val="14"/>
                <w:b w:val="1"/>
                <w:bCs w:val="1"/>
                <w:i w:val="1"/>
                <w:iCs w:val="1"/>
                <w:color w:val="auto"/>
                <w:w w:val="89"/>
              </w:rPr>
              <w:t>2015</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139"/>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3"/>
                <w:szCs w:val="13"/>
                <w:color w:val="auto"/>
              </w:rPr>
            </w:pPr>
          </w:p>
        </w:tc>
        <w:tc>
          <w:tcPr>
            <w:tcW w:w="3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spacing w:after="0"/>
              <w:rPr>
                <w:sz w:val="13"/>
                <w:szCs w:val="13"/>
                <w:color w:val="auto"/>
              </w:rPr>
            </w:pPr>
          </w:p>
        </w:tc>
      </w:tr>
      <w:tr>
        <w:trPr>
          <w:trHeight w:val="235"/>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Thermal Products</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$5,116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w w:val="97"/>
              </w:rPr>
              <w:t>6,433</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color w:val="auto"/>
                <w:w w:val="88"/>
              </w:rPr>
              <w:t>$(1,317) (20)%</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$5,165</w:t>
            </w:r>
          </w:p>
        </w:tc>
        <w:tc>
          <w:tcPr>
            <w:tcW w:w="40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76"/>
              </w:rPr>
              <w:t>$  (49)</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Mechanical Products</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2,625</w:t>
            </w:r>
          </w:p>
        </w:tc>
        <w:tc>
          <w:tcPr>
            <w:tcW w:w="260" w:type="dxa"/>
            <w:vAlign w:val="bottom"/>
          </w:tcPr>
          <w:p>
            <w:pPr>
              <w:spacing w:after="0"/>
              <w:rPr>
                <w:sz w:val="21"/>
                <w:szCs w:val="21"/>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w w:val="97"/>
              </w:rPr>
              <w:t>2,534</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1,323</w:t>
            </w:r>
          </w:p>
        </w:tc>
        <w:tc>
          <w:tcPr>
            <w:tcW w:w="4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1,302</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98%</w:t>
            </w:r>
          </w:p>
        </w:tc>
      </w:tr>
      <w:tr>
        <w:trPr>
          <w:trHeight w:val="205"/>
        </w:trPr>
        <w:tc>
          <w:tcPr>
            <w:tcW w:w="24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100" w:type="dxa"/>
            <w:vAlign w:val="bottom"/>
            <w:gridSpan w:val="2"/>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79"/>
              </w:rPr>
              <w:t>2,097</w:t>
            </w:r>
          </w:p>
        </w:tc>
        <w:tc>
          <w:tcPr>
            <w:tcW w:w="260" w:type="dxa"/>
            <w:vAlign w:val="bottom"/>
          </w:tcPr>
          <w:p>
            <w:pPr>
              <w:spacing w:after="0"/>
              <w:rPr>
                <w:sz w:val="17"/>
                <w:szCs w:val="17"/>
                <w:color w:val="auto"/>
              </w:rPr>
            </w:pPr>
          </w:p>
        </w:tc>
        <w:tc>
          <w:tcPr>
            <w:tcW w:w="60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w w:val="97"/>
              </w:rPr>
              <w:t>2,464</w:t>
            </w:r>
          </w:p>
        </w:tc>
        <w:tc>
          <w:tcPr>
            <w:tcW w:w="1140" w:type="dxa"/>
            <w:vAlign w:val="bottom"/>
            <w:gridSpan w:val="7"/>
          </w:tcPr>
          <w:p>
            <w:pPr>
              <w:jc w:val="right"/>
              <w:ind w:right="60"/>
              <w:spacing w:after="0" w:line="205" w:lineRule="exact"/>
              <w:rPr>
                <w:sz w:val="20"/>
                <w:szCs w:val="20"/>
                <w:color w:val="auto"/>
              </w:rPr>
            </w:pPr>
            <w:r>
              <w:rPr>
                <w:rFonts w:ascii="Arial" w:cs="Arial" w:eastAsia="Arial" w:hAnsi="Arial"/>
                <w:sz w:val="18"/>
                <w:szCs w:val="18"/>
                <w:color w:val="auto"/>
              </w:rPr>
              <w:t>(367) (15)%</w:t>
            </w:r>
          </w:p>
        </w:tc>
        <w:tc>
          <w:tcPr>
            <w:tcW w:w="8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838</w:t>
            </w:r>
          </w:p>
        </w:tc>
        <w:tc>
          <w:tcPr>
            <w:tcW w:w="400" w:type="dxa"/>
            <w:vAlign w:val="bottom"/>
          </w:tcPr>
          <w:p>
            <w:pPr>
              <w:spacing w:after="0"/>
              <w:rPr>
                <w:sz w:val="17"/>
                <w:szCs w:val="17"/>
                <w:color w:val="auto"/>
              </w:rPr>
            </w:pPr>
          </w:p>
        </w:tc>
        <w:tc>
          <w:tcPr>
            <w:tcW w:w="44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w w:val="79"/>
              </w:rPr>
              <w:t>1,259</w:t>
            </w:r>
          </w:p>
        </w:tc>
        <w:tc>
          <w:tcPr>
            <w:tcW w:w="4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6"/>
              </w:rPr>
              <w:t>150%</w:t>
            </w:r>
          </w:p>
        </w:tc>
      </w:tr>
      <w:tr>
        <w:trPr>
          <w:trHeight w:val="20"/>
        </w:trPr>
        <w:tc>
          <w:tcPr>
            <w:tcW w:w="24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223"/>
        </w:trPr>
        <w:tc>
          <w:tcPr>
            <w:tcW w:w="246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9,838</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w w:val="79"/>
              </w:rPr>
              <w:t>11,431</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(1,593) (14)%</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7,326</w:t>
            </w:r>
          </w:p>
        </w:tc>
        <w:tc>
          <w:tcPr>
            <w:tcW w:w="4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2,512</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24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505"/>
        </w:trPr>
        <w:tc>
          <w:tcPr>
            <w:tcW w:w="2460" w:type="dxa"/>
            <w:vAlign w:val="bottom"/>
          </w:tcPr>
          <w:p>
            <w:pPr>
              <w:spacing w:after="0"/>
              <w:rPr>
                <w:sz w:val="20"/>
                <w:szCs w:val="20"/>
                <w:color w:val="auto"/>
              </w:rPr>
            </w:pPr>
            <w:r>
              <w:rPr>
                <w:rFonts w:ascii="Arial" w:cs="Arial" w:eastAsia="Arial" w:hAnsi="Arial"/>
                <w:sz w:val="18"/>
                <w:szCs w:val="18"/>
                <w:color w:val="auto"/>
              </w:rPr>
              <w:t>ATE market</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$7,847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w w:val="97"/>
              </w:rPr>
              <w:t>9,297</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color w:val="auto"/>
                <w:w w:val="88"/>
              </w:rPr>
              <w:t>$(1,450) (16)%</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$5,052</w:t>
            </w:r>
          </w:p>
        </w:tc>
        <w:tc>
          <w:tcPr>
            <w:tcW w:w="40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w w:val="73"/>
              </w:rPr>
              <w:t>$2,795</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55%</w:t>
            </w:r>
          </w:p>
        </w:tc>
      </w:tr>
      <w:tr>
        <w:trPr>
          <w:trHeight w:val="205"/>
        </w:trPr>
        <w:tc>
          <w:tcPr>
            <w:tcW w:w="24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100" w:type="dxa"/>
            <w:vAlign w:val="bottom"/>
            <w:gridSpan w:val="2"/>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79"/>
              </w:rPr>
              <w:t>1,991</w:t>
            </w:r>
          </w:p>
        </w:tc>
        <w:tc>
          <w:tcPr>
            <w:tcW w:w="260" w:type="dxa"/>
            <w:vAlign w:val="bottom"/>
          </w:tcPr>
          <w:p>
            <w:pPr>
              <w:spacing w:after="0"/>
              <w:rPr>
                <w:sz w:val="17"/>
                <w:szCs w:val="17"/>
                <w:color w:val="auto"/>
              </w:rPr>
            </w:pPr>
          </w:p>
        </w:tc>
        <w:tc>
          <w:tcPr>
            <w:tcW w:w="60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w w:val="97"/>
              </w:rPr>
              <w:t>2,134</w:t>
            </w:r>
          </w:p>
        </w:tc>
        <w:tc>
          <w:tcPr>
            <w:tcW w:w="720" w:type="dxa"/>
            <w:vAlign w:val="bottom"/>
            <w:gridSpan w:val="3"/>
          </w:tcPr>
          <w:p>
            <w:pPr>
              <w:jc w:val="right"/>
              <w:ind w:right="120"/>
              <w:spacing w:after="0" w:line="205" w:lineRule="exact"/>
              <w:rPr>
                <w:sz w:val="20"/>
                <w:szCs w:val="20"/>
                <w:color w:val="auto"/>
              </w:rPr>
            </w:pPr>
            <w:r>
              <w:rPr>
                <w:rFonts w:ascii="Arial" w:cs="Arial" w:eastAsia="Arial" w:hAnsi="Arial"/>
                <w:sz w:val="18"/>
                <w:szCs w:val="18"/>
                <w:color w:val="auto"/>
              </w:rPr>
              <w:t>(143)</w:t>
            </w:r>
          </w:p>
        </w:tc>
        <w:tc>
          <w:tcPr>
            <w:tcW w:w="4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9"/>
              </w:rPr>
              <w:t>(7)%</w:t>
            </w:r>
          </w:p>
        </w:tc>
        <w:tc>
          <w:tcPr>
            <w:tcW w:w="8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2,274</w:t>
            </w:r>
          </w:p>
        </w:tc>
        <w:tc>
          <w:tcPr>
            <w:tcW w:w="400" w:type="dxa"/>
            <w:vAlign w:val="bottom"/>
          </w:tcPr>
          <w:p>
            <w:pPr>
              <w:spacing w:after="0"/>
              <w:rPr>
                <w:sz w:val="17"/>
                <w:szCs w:val="17"/>
                <w:color w:val="auto"/>
              </w:rPr>
            </w:pP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w w:val="94"/>
              </w:rPr>
              <w:t>(283) (12)%</w:t>
            </w:r>
          </w:p>
        </w:tc>
      </w:tr>
      <w:tr>
        <w:trPr>
          <w:trHeight w:val="20"/>
        </w:trPr>
        <w:tc>
          <w:tcPr>
            <w:tcW w:w="24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223"/>
        </w:trPr>
        <w:tc>
          <w:tcPr>
            <w:tcW w:w="246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9,838</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w w:val="79"/>
              </w:rPr>
              <w:t>11,431</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(1,593) (14)%</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7,326</w:t>
            </w:r>
          </w:p>
        </w:tc>
        <w:tc>
          <w:tcPr>
            <w:tcW w:w="4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2,512</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Total consolidated orders for the quarter ended March 31, 2016 were $9.8 million compared to $11.4 million for the same period in 2015 and $7.3 million for the quarter ended December 31, 2015. During the second quarter of 2015, we began to experience reduced demand from the ATE market in all of our product segments reflecting cyclical softness within this market. This reduced ATE market demand continued throughout 2015 and into the first quarter of</w:t>
      </w:r>
    </w:p>
    <w:p>
      <w:pPr>
        <w:sectPr>
          <w:pgSz w:w="11900" w:h="16891" w:orient="portrait"/>
          <w:cols w:equalWidth="0" w:num="1">
            <w:col w:w="11400"/>
          </w:cols>
          <w:pgMar w:left="240" w:top="131" w:right="259" w:bottom="0" w:gutter="0" w:footer="0" w:header="0"/>
        </w:sectPr>
      </w:pPr>
    </w:p>
    <w:bookmarkStart w:id="14" w:name="page15"/>
    <w:bookmarkEnd w:id="14"/>
    <w:p>
      <w:pPr>
        <w:ind w:left="540" w:right="40"/>
        <w:spacing w:after="0" w:line="310" w:lineRule="auto"/>
        <w:rPr>
          <w:sz w:val="20"/>
          <w:szCs w:val="20"/>
          <w:color w:val="auto"/>
        </w:rPr>
      </w:pPr>
      <w:r>
        <w:rPr>
          <w:rFonts w:ascii="Arial" w:cs="Arial" w:eastAsia="Arial" w:hAnsi="Arial"/>
          <w:sz w:val="15"/>
          <w:szCs w:val="15"/>
          <w:color w:val="auto"/>
        </w:rPr>
        <w:t>2016 to varying degrees for each of our product segments. While all of our products segments experienced improved demand from the ATE market in the first quarter of 2016 as compared to the preceding quarter, for our Thermal and Electrical Products segments the level of demand in the first quarter of 2016 remains below that which was experienced in the comparable prior period in 2015. Our Thermal Products segment has also experienced reduced levels of demand from certain of its customers in the non-ATE markets it serves. During the first quarter of 2016, total orders from non-ATE market customers declined 7% as compared to the same period in 2015, primarily reflecting a reduction in orders from the defense/aerospace and automotive markets which was partially offset by an increase from customers within the telecommunications market. During the first quarter of 2016, total orders from non-ATE market customers declined 12% as compared to the fourth quarter of 2015, primarily reflecting a reduction in orders from customers in the telecommunications and defense/aerospace markets which was partially offset by an increase in orders from customers in industrial markets.</w:t>
      </w:r>
    </w:p>
    <w:p>
      <w:pPr>
        <w:spacing w:after="0" w:line="162"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At March 31, 2016, our backlog of unfilled orders for all products was approximately $3.5 million compared with approximately $5.0 million at March 31, 2015 and $2.4 million at December 31, 2015. Our backlog includes customer orders which we have accepted, substantially all of which we expect to deliver in 2016.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Three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i w:val="1"/>
                <w:iCs w:val="1"/>
                <w:color w:val="auto"/>
                <w:w w:val="89"/>
              </w:rPr>
              <w:t>Three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3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4"/>
          </w:tcPr>
          <w:p>
            <w:pPr>
              <w:ind w:left="1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December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gridSpan w:val="4"/>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180" w:type="dxa"/>
            <w:vAlign w:val="bottom"/>
            <w:gridSpan w:val="2"/>
          </w:tcPr>
          <w:p>
            <w:pPr>
              <w:spacing w:after="0"/>
              <w:rPr>
                <w:sz w:val="12"/>
                <w:szCs w:val="12"/>
                <w:color w:val="auto"/>
              </w:rPr>
            </w:pPr>
          </w:p>
        </w:tc>
      </w:tr>
      <w:tr>
        <w:trPr>
          <w:trHeight w:val="156"/>
        </w:trPr>
        <w:tc>
          <w:tcPr>
            <w:tcW w:w="344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220" w:type="dxa"/>
            <w:vAlign w:val="bottom"/>
          </w:tcPr>
          <w:p>
            <w:pPr>
              <w:spacing w:after="0"/>
              <w:rPr>
                <w:sz w:val="13"/>
                <w:szCs w:val="13"/>
                <w:color w:val="auto"/>
              </w:rPr>
            </w:pPr>
          </w:p>
        </w:tc>
        <w:tc>
          <w:tcPr>
            <w:tcW w:w="720" w:type="dxa"/>
            <w:vAlign w:val="bottom"/>
            <w:gridSpan w:val="5"/>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680" w:type="dxa"/>
            <w:vAlign w:val="bottom"/>
            <w:gridSpan w:val="3"/>
          </w:tcPr>
          <w:p>
            <w:pPr>
              <w:jc w:val="right"/>
              <w:ind w:right="19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spacing w:after="0"/>
              <w:rPr>
                <w:sz w:val="13"/>
                <w:szCs w:val="13"/>
                <w:color w:val="auto"/>
              </w:rPr>
            </w:pPr>
          </w:p>
        </w:tc>
        <w:tc>
          <w:tcPr>
            <w:tcW w:w="600" w:type="dxa"/>
            <w:vAlign w:val="bottom"/>
            <w:gridSpan w:val="3"/>
          </w:tcPr>
          <w:p>
            <w:pPr>
              <w:jc w:val="center"/>
              <w:ind w:left="257"/>
              <w:spacing w:after="0" w:line="155" w:lineRule="exact"/>
              <w:rPr>
                <w:sz w:val="20"/>
                <w:szCs w:val="20"/>
                <w:color w:val="auto"/>
              </w:rPr>
            </w:pPr>
            <w:r>
              <w:rPr>
                <w:rFonts w:ascii="Arial" w:cs="Arial" w:eastAsia="Arial" w:hAnsi="Arial"/>
                <w:sz w:val="14"/>
                <w:szCs w:val="14"/>
                <w:b w:val="1"/>
                <w:bCs w:val="1"/>
                <w:i w:val="1"/>
                <w:iCs w:val="1"/>
                <w:color w:val="auto"/>
                <w:w w:val="83"/>
              </w:rPr>
              <w:t>2015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4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00" w:type="dxa"/>
            <w:vAlign w:val="bottom"/>
          </w:tcPr>
          <w:p>
            <w:pPr>
              <w:spacing w:after="0"/>
              <w:rPr>
                <w:sz w:val="13"/>
                <w:szCs w:val="13"/>
                <w:color w:val="auto"/>
              </w:rPr>
            </w:pPr>
          </w:p>
        </w:tc>
        <w:tc>
          <w:tcPr>
            <w:tcW w:w="42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235"/>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Thermal Products</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$5,194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5,717</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  (523)</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$5,449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$(255)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Mechanical Products</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2,435</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(499)</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(20)%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44%</w:t>
            </w: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1,517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2,036</w:t>
            </w:r>
          </w:p>
        </w:tc>
        <w:tc>
          <w:tcPr>
            <w:tcW w:w="160" w:type="dxa"/>
            <w:vAlign w:val="bottom"/>
          </w:tcPr>
          <w:p>
            <w:pPr>
              <w:spacing w:after="0"/>
              <w:rPr>
                <w:sz w:val="17"/>
                <w:szCs w:val="17"/>
                <w:color w:val="auto"/>
              </w:rPr>
            </w:pPr>
          </w:p>
        </w:tc>
        <w:tc>
          <w:tcPr>
            <w:tcW w:w="6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(519)</w:t>
            </w:r>
          </w:p>
        </w:tc>
        <w:tc>
          <w:tcPr>
            <w:tcW w:w="5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91"/>
              </w:rPr>
              <w:t>(25)%</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1,145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4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99"/>
              </w:rPr>
              <w:t>32%</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8,647</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10,188</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(1,541) (15)%</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$ 708</w:t>
            </w:r>
          </w:p>
        </w:tc>
        <w:tc>
          <w:tcPr>
            <w:tcW w:w="100" w:type="dxa"/>
            <w:vAlign w:val="bottom"/>
          </w:tcPr>
          <w:p>
            <w:pPr>
              <w:spacing w:after="0"/>
              <w:rPr>
                <w:sz w:val="19"/>
                <w:szCs w:val="19"/>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505"/>
        </w:trPr>
        <w:tc>
          <w:tcPr>
            <w:tcW w:w="3440" w:type="dxa"/>
            <w:vAlign w:val="bottom"/>
          </w:tcPr>
          <w:p>
            <w:pPr>
              <w:spacing w:after="0"/>
              <w:rPr>
                <w:sz w:val="20"/>
                <w:szCs w:val="20"/>
                <w:color w:val="auto"/>
              </w:rPr>
            </w:pPr>
            <w:r>
              <w:rPr>
                <w:rFonts w:ascii="Arial" w:cs="Arial" w:eastAsia="Arial" w:hAnsi="Arial"/>
                <w:sz w:val="18"/>
                <w:szCs w:val="18"/>
                <w:color w:val="auto"/>
              </w:rPr>
              <w:t>ATE market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$6,069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8,347</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color w:val="auto"/>
                <w:w w:val="99"/>
              </w:rPr>
              <w:t>$(2,278) (27)%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$ 817</w:t>
            </w:r>
          </w:p>
        </w:tc>
        <w:tc>
          <w:tcPr>
            <w:tcW w:w="100" w:type="dxa"/>
            <w:vAlign w:val="bottom"/>
          </w:tcPr>
          <w:p>
            <w:pPr>
              <w:spacing w:after="0"/>
              <w:rPr>
                <w:sz w:val="24"/>
                <w:szCs w:val="24"/>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16%</w:t>
            </w: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2,578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1,841</w:t>
            </w:r>
          </w:p>
        </w:tc>
        <w:tc>
          <w:tcPr>
            <w:tcW w:w="160" w:type="dxa"/>
            <w:vAlign w:val="bottom"/>
          </w:tcPr>
          <w:p>
            <w:pPr>
              <w:spacing w:after="0"/>
              <w:rPr>
                <w:sz w:val="17"/>
                <w:szCs w:val="17"/>
                <w:color w:val="auto"/>
              </w:rPr>
            </w:pPr>
          </w:p>
        </w:tc>
        <w:tc>
          <w:tcPr>
            <w:tcW w:w="5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737</w:t>
            </w:r>
          </w:p>
        </w:tc>
        <w:tc>
          <w:tcPr>
            <w:tcW w:w="80" w:type="dxa"/>
            <w:vAlign w:val="bottom"/>
          </w:tcPr>
          <w:p>
            <w:pPr>
              <w:spacing w:after="0"/>
              <w:rPr>
                <w:sz w:val="17"/>
                <w:szCs w:val="17"/>
                <w:color w:val="auto"/>
              </w:rPr>
            </w:pPr>
          </w:p>
        </w:tc>
        <w:tc>
          <w:tcPr>
            <w:tcW w:w="520" w:type="dxa"/>
            <w:vAlign w:val="bottom"/>
            <w:gridSpan w:val="4"/>
          </w:tcPr>
          <w:p>
            <w:pPr>
              <w:jc w:val="right"/>
              <w:ind w:right="100"/>
              <w:spacing w:after="0" w:line="205" w:lineRule="exact"/>
              <w:rPr>
                <w:sz w:val="20"/>
                <w:szCs w:val="20"/>
                <w:color w:val="auto"/>
              </w:rPr>
            </w:pPr>
            <w:r>
              <w:rPr>
                <w:rFonts w:ascii="Arial" w:cs="Arial" w:eastAsia="Arial" w:hAnsi="Arial"/>
                <w:sz w:val="18"/>
                <w:szCs w:val="18"/>
                <w:color w:val="auto"/>
              </w:rPr>
              <w:t>40%</w:t>
            </w:r>
          </w:p>
        </w:tc>
        <w:tc>
          <w:tcPr>
            <w:tcW w:w="340" w:type="dxa"/>
            <w:vAlign w:val="bottom"/>
            <w:gridSpan w:val="2"/>
          </w:tcPr>
          <w:p>
            <w:pPr>
              <w:spacing w:after="0"/>
              <w:rPr>
                <w:sz w:val="17"/>
                <w:szCs w:val="17"/>
                <w:color w:val="auto"/>
              </w:rPr>
            </w:pP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7"/>
              </w:rPr>
              <w:t>2,687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w w:val="95"/>
              </w:rPr>
              <w:t>(109)</w:t>
            </w:r>
          </w:p>
        </w:tc>
        <w:tc>
          <w:tcPr>
            <w:tcW w:w="4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8,647</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10,188</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(1,541) (15)%</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$ 708</w:t>
            </w:r>
          </w:p>
        </w:tc>
        <w:tc>
          <w:tcPr>
            <w:tcW w:w="100" w:type="dxa"/>
            <w:vAlign w:val="bottom"/>
          </w:tcPr>
          <w:p>
            <w:pPr>
              <w:spacing w:after="0"/>
              <w:rPr>
                <w:sz w:val="19"/>
                <w:szCs w:val="19"/>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Total consolidated net revenues for the quarter ended March 31, 2016 were $8.6 million compared to $10.2 million for the same period in 2015 and $7.9 million for the quarter ended December 31, 2015. The increases for our Mechanical and Electrical Products segments in the first quarter of 2016 as compared to the fourth quarter of 2015 primarily reflect the aforementioned increase in demand experienced during the first quarter of 2016 from the ATE market, although demand remains below the level experienced during the same period in 2015.</w:t>
      </w:r>
    </w:p>
    <w:p>
      <w:pPr>
        <w:spacing w:after="0" w:line="16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For our Thermal Products segment, net revenues from both ATE and non-ATE markets declined in the first quarter of 2016 as compared to the fourth quarter of 2015. Historically this segment has lagged our other two segments in both entering and exiting cyclical downturns within the ATE market. Although our Thermal Products segment experienced an increase in the level of its orders from ATE market customers in the first quarter of 2016 as compared to the fourth quarter of 2015, the level of shipments has not yet increased from the level at the end of 2015 nor returned to the level experienced during the same period in 2015. The decrease in net revenues from the ATE market for our Thermal Products segment during the first quarter of 2016 as compared to the same period in 2015 was partially offset by increased demand during the first quarter of 2016 from certain non-ATE market customers, including customers in the telecommunications market.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quarters ended March 31, 2016 and 2015, our OEM sales as a percentage of net revenues were 6% and 8%, respectively.</w:t>
      </w:r>
    </w:p>
    <w:p>
      <w:pPr>
        <w:spacing w:after="0" w:line="170"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31"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2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2016 Compared to Quarter Ended March 31, 2015</w:t>
      </w:r>
    </w:p>
    <w:p>
      <w:pPr>
        <w:spacing w:after="0" w:line="225"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$8.6 million for the quarter ended March 31, 2016 compared to $10.2 million for the same period in 2015,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or 15%. We believe the decrease in our net revenues during the first quarter of 2016 primarily reflects the factors previously discussed in the Overview.</w:t>
      </w:r>
    </w:p>
    <w:p>
      <w:pPr>
        <w:spacing w:after="0" w:line="194"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47% for the quarter ended March 31, 2016 as compared to 48% for the same period in 2015.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our fixed operating costs declined $167,000 in absolute dollar terms, they were not as fully absorbed due to the lower net revenue levels and, as a result, represented 16% of our net revenues for the first quarter of 2016 as compared to 15% for the same period in 2015. The $167,000 decline in the absolute dollar value of these costs primarily reflects lower salary and benefits expense in our Mechanical Products segment as a result of a workforce reduction that we implemented on January 4, 2016, as discussed further in Note 3 to our consolidated financial statements.</w:t>
      </w:r>
    </w:p>
    <w:p>
      <w:pPr>
        <w:spacing w:after="0" w:line="170"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$1.3 million for the quarter ended March 31, 2016 compared to $1.5 million for the same period in 2015,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$152,000 or 10%. The decrease primarily reflects lower levels of third party commission expense reflecting the decline in net revenues, and to a lesser extent, changes in customer mix in our Thermal Products segment.</w:t>
      </w:r>
    </w:p>
    <w:p>
      <w:pPr>
        <w:spacing w:after="0" w:line="194"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$991,000 for the first quarter of 2016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$942,000 for the same period in 2015, an increase of $49,000 or 5%. The increase in engineering and product development expense primarily reflects increased spending on materials used in new product development in our Thermal Products segment.</w:t>
      </w:r>
    </w:p>
    <w:p>
      <w:pPr>
        <w:spacing w:after="0" w:line="16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$1.6 million for the first quarter of 2016 compared to $1.8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2015, a decrease of $162,000 or 9%. Our expenses for the first quarter of 2016 include $99,000 of restructuring charges as a result of a workforce reduction implemented on January 4, 2016, as previously mentioned. Our expenses for the first quarter of 2015 included $320,000 for due diligence and transaction related costs associated with a potential acquisition which we decided not to pursue. Adjusted to exclude both of these items, our general and administrative expense would have increased $59,000, or 4%, for the first quarter of 2016 as compared to the same period in 2015. The $59,000 increase primarily reflects higher salary and benefits expense as a result of changes in compensation structure for our executive management team and increases in 401(k) matching contributions.</w:t>
      </w:r>
    </w:p>
    <w:p>
      <w:pPr>
        <w:spacing w:after="0" w:line="172"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March 31, 2016, we recorded income tax expense of $43,000 compared to income tax expense of $233,000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Our effective tax rate was 35% in each of the quarters ended March 31, 2016 and 2015, respectively. On a quarterly basis, we record income tax expense or benefit based on the expected annualized effective tax rate for the various taxing jurisdictions in which we operate our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48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21"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Mar. 31, 2016</w:t>
            </w:r>
          </w:p>
        </w:tc>
        <w:tc>
          <w:tcPr>
            <w:tcW w:w="160" w:type="dxa"/>
            <w:vAlign w:val="bottom"/>
          </w:tcPr>
          <w:p>
            <w:pPr>
              <w:spacing w:after="0"/>
              <w:rPr>
                <w:sz w:val="13"/>
                <w:szCs w:val="13"/>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2015</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$24,951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$25,710</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$30,128</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$30,205</w:t>
            </w:r>
          </w:p>
        </w:tc>
      </w:tr>
    </w:tbl>
    <w:p>
      <w:pPr>
        <w:spacing w:after="0" w:line="200" w:lineRule="exact"/>
        <w:rPr>
          <w:sz w:val="20"/>
          <w:szCs w:val="20"/>
          <w:color w:val="auto"/>
        </w:rPr>
      </w:pPr>
    </w:p>
    <w:p>
      <w:pPr>
        <w:spacing w:after="0" w:line="2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March 31, 2016, $1.8 million of our cash and cash equivalents was held by our foreign subsidiaries. When these funds are needed for our operations in the U.S., we may be required to accrue and pay U.S. taxes if we repatriate certain of these funds.</w:t>
      </w:r>
    </w:p>
    <w:p>
      <w:pPr>
        <w:spacing w:after="0" w:line="186"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We currently expect our cash and cash equivalents and projected future cash flow to be sufficient to support our short term working capital requirements and the anticipated repurchase of shares under the 2015 Repurchase Plan (which is discussed more fully in Note 9 to our consolidated financial statements.) However, we may need additional financial resources to consummate a significant acquisition if the consideration in such a transaction would</w:t>
      </w:r>
    </w:p>
    <w:p>
      <w:pPr>
        <w:sectPr>
          <w:pgSz w:w="11900" w:h="16838" w:orient="portrait"/>
          <w:cols w:equalWidth="0" w:num="1">
            <w:col w:w="11400"/>
          </w:cols>
          <w:pgMar w:left="240" w:top="341" w:right="259" w:bottom="0" w:gutter="0" w:footer="0" w:header="0"/>
        </w:sectPr>
      </w:pPr>
    </w:p>
    <w:bookmarkStart w:id="16" w:name="page17"/>
    <w:bookmarkEnd w:id="16"/>
    <w:p>
      <w:pPr>
        <w:spacing w:after="0" w:line="129"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require us to utilize a substantial portion of, or an amount equal to or in excess of, our available cash. We do not currently have any credit facilities under which we can borrow to help fund our working capital or other requirements.</w:t>
      </w:r>
    </w:p>
    <w:p>
      <w:pPr>
        <w:spacing w:after="0" w:line="186"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In addition, in recent years, our Mechanical Products segment has experienced significant operating losses. We have undertaken actions at various times over the last few years to address these losses. As previously discussed, on January 4, 2016, we implemented a workforce reduction which resulted in our recording a restructuring charge of $99,000 in the first quarter of 2016. The annualized savings from these actions are estimated to be approximately $690,000. Our review of the operations of this product segment is ongoing with the goal of identifying additional opportunities for cost reduction and revenue growth. We cannot be certain that our efforts to restructure this operation to achieve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short-term working capital requirements.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14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operations for the three months ended March 31, 2016 was $319,000. During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we recorded net earnings of $81,000, which included non-cash charges of $160,000 for depreciation and amortization. During the three months ended March 31, 2016, accounts receivable and accounts payable increased $907,000 and $456,000, respectively, compared to the levels at the end of 2015. These increases primarily reflect increased business activity during the first quarter of 2016 as compared to the fourth quarter of 2015, particularly in the latter half of the quarter. During the three months ended March 31, 2016, accrued wages and benefits decreased $299,000, primarily reflecting the payment of profit-based bonuses that had been accrued on our earnings for 2015.</w:t>
      </w:r>
    </w:p>
    <w:p>
      <w:pPr>
        <w:spacing w:after="0" w:line="17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2016 purchases of property and equipment were $38,000. We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for capital expenditures for the balance of 2016, however, depending upon changes in market demand or manufacturing and sales strategies, we may make such purchases or investments as we deem necessary and appropriate.</w:t>
      </w:r>
    </w:p>
    <w:p>
      <w:pPr>
        <w:spacing w:after="0" w:line="19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three months ended March 31, 2016, we utilized $471,000 to repurchase 114,688 shares of our common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2015 Repurchase Plan.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2016, there have been no significant changes to the accounting policies that we have deemed critical. These policies are more fully described in our 2015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2016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ind w:left="540" w:right="260"/>
        <w:spacing w:after="0" w:line="378" w:lineRule="auto"/>
        <w:rPr>
          <w:sz w:val="20"/>
          <w:szCs w:val="20"/>
          <w:color w:val="auto"/>
        </w:rPr>
      </w:pPr>
      <w:r>
        <w:rPr>
          <w:rFonts w:ascii="Arial" w:cs="Arial" w:eastAsia="Arial" w:hAnsi="Arial"/>
          <w:sz w:val="15"/>
          <w:szCs w:val="15"/>
          <w:b w:val="1"/>
          <w:bCs w:val="1"/>
          <w:color w:val="auto"/>
        </w:rPr>
        <w:t>CEO/CFO Conclusions about the Effectiveness of the Disclosure Controls and Procedures</w:t>
      </w:r>
      <w:r>
        <w:rPr>
          <w:rFonts w:ascii="Arial" w:cs="Arial" w:eastAsia="Arial" w:hAnsi="Arial"/>
          <w:sz w:val="15"/>
          <w:szCs w:val="15"/>
          <w:color w:val="auto"/>
        </w:rPr>
        <w:t>. As required by Rule 13a-15(b), inTEST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our CEO and CFO, conducted an evaluation as of the end of the period covered by this Report, of the effectiveness of our disclosure controls</w:t>
      </w:r>
    </w:p>
    <w:p>
      <w:pPr>
        <w:sectPr>
          <w:pgSz w:w="11900" w:h="16967" w:orient="portrait"/>
          <w:cols w:equalWidth="0" w:num="1">
            <w:col w:w="11420"/>
          </w:cols>
          <w:pgMar w:left="240" w:top="131" w:right="239" w:bottom="0" w:gutter="0" w:footer="0" w:header="0"/>
        </w:sectPr>
      </w:pPr>
    </w:p>
    <w:bookmarkStart w:id="17" w:name="page18"/>
    <w:bookmarkEnd w:id="17"/>
    <w:p>
      <w:pPr>
        <w:ind w:left="540" w:right="240"/>
        <w:spacing w:after="0" w:line="268" w:lineRule="auto"/>
        <w:rPr>
          <w:sz w:val="20"/>
          <w:szCs w:val="20"/>
          <w:color w:val="auto"/>
        </w:rPr>
      </w:pPr>
      <w:r>
        <w:rPr>
          <w:rFonts w:ascii="Arial" w:cs="Arial" w:eastAsia="Arial" w:hAnsi="Arial"/>
          <w:sz w:val="18"/>
          <w:szCs w:val="18"/>
          <w:color w:val="auto"/>
        </w:rPr>
        <w:t>and procedures. Based on that evaluation, our CEO and CFO concluded that, as of the end of the period covered by this Report, our disclosure controls and procedures were effective at the reasonable assurance level.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2015 filed with the Securities and Exchange Commission on March 29, 2016.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provides information with respect to purchases made by us, or on our behalf, of our common stock during the three months ended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31, 2016:</w:t>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5"/>
              </w:rPr>
              <w:t>Total Number of</w:t>
            </w:r>
          </w:p>
        </w:tc>
        <w:tc>
          <w:tcPr>
            <w:tcW w:w="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Approximate Dollar</w:t>
            </w:r>
          </w:p>
        </w:tc>
      </w:tr>
      <w:tr>
        <w:trPr>
          <w:trHeight w:val="149"/>
        </w:trPr>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Shares Purchased</w:t>
            </w:r>
          </w:p>
        </w:tc>
        <w:tc>
          <w:tcPr>
            <w:tcW w:w="4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4"/>
          </w:tcPr>
          <w:p>
            <w:pPr>
              <w:jc w:val="center"/>
              <w:ind w:left="262"/>
              <w:spacing w:after="0" w:line="149" w:lineRule="exact"/>
              <w:rPr>
                <w:sz w:val="20"/>
                <w:szCs w:val="20"/>
                <w:color w:val="auto"/>
              </w:rPr>
            </w:pPr>
            <w:r>
              <w:rPr>
                <w:rFonts w:ascii="Arial" w:cs="Arial" w:eastAsia="Arial" w:hAnsi="Arial"/>
                <w:sz w:val="14"/>
                <w:szCs w:val="14"/>
                <w:b w:val="1"/>
                <w:bCs w:val="1"/>
                <w:i w:val="1"/>
                <w:iCs w:val="1"/>
                <w:color w:val="auto"/>
                <w:w w:val="86"/>
              </w:rPr>
              <w:t>Total Number</w:t>
            </w:r>
          </w:p>
        </w:tc>
        <w:tc>
          <w:tcPr>
            <w:tcW w:w="16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as Part of Publicly</w:t>
            </w:r>
          </w:p>
        </w:tc>
        <w:tc>
          <w:tcPr>
            <w:tcW w:w="4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That May Yet Be</w:t>
            </w:r>
          </w:p>
        </w:tc>
      </w:tr>
      <w:tr>
        <w:trPr>
          <w:trHeight w:val="149"/>
        </w:trPr>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4"/>
              </w:rPr>
              <w:t>of Shares</w:t>
            </w: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Announced Plans</w:t>
            </w:r>
          </w:p>
        </w:tc>
        <w:tc>
          <w:tcPr>
            <w:tcW w:w="4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148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Period</w:t>
            </w:r>
          </w:p>
        </w:tc>
        <w:tc>
          <w:tcPr>
            <w:tcW w:w="1400" w:type="dxa"/>
            <w:vAlign w:val="bottom"/>
            <w:gridSpan w:val="4"/>
          </w:tcPr>
          <w:p>
            <w:pPr>
              <w:jc w:val="center"/>
              <w:ind w:left="262"/>
              <w:spacing w:after="0" w:line="146" w:lineRule="exact"/>
              <w:rPr>
                <w:sz w:val="20"/>
                <w:szCs w:val="20"/>
                <w:color w:val="auto"/>
              </w:rPr>
            </w:pPr>
            <w:r>
              <w:rPr>
                <w:rFonts w:ascii="Arial" w:cs="Arial" w:eastAsia="Arial" w:hAnsi="Arial"/>
                <w:sz w:val="14"/>
                <w:szCs w:val="14"/>
                <w:b w:val="1"/>
                <w:bCs w:val="1"/>
                <w:i w:val="1"/>
                <w:iCs w:val="1"/>
                <w:color w:val="auto"/>
                <w:w w:val="83"/>
              </w:rPr>
              <w:t>Repurchased</w:t>
            </w:r>
          </w:p>
        </w:tc>
        <w:tc>
          <w:tcPr>
            <w:tcW w:w="118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5"/>
              </w:rPr>
              <w:t>Per Share</w:t>
            </w:r>
          </w:p>
        </w:tc>
        <w:tc>
          <w:tcPr>
            <w:tcW w:w="1040" w:type="dxa"/>
            <w:vAlign w:val="bottom"/>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or Programs</w:t>
            </w:r>
          </w:p>
        </w:tc>
        <w:tc>
          <w:tcPr>
            <w:tcW w:w="1720" w:type="dxa"/>
            <w:vAlign w:val="bottom"/>
            <w:gridSpan w:val="2"/>
          </w:tcPr>
          <w:p>
            <w:pPr>
              <w:jc w:val="center"/>
              <w:ind w:left="397"/>
              <w:spacing w:after="0" w:line="146" w:lineRule="exact"/>
              <w:rPr>
                <w:sz w:val="20"/>
                <w:szCs w:val="20"/>
                <w:color w:val="auto"/>
              </w:rPr>
            </w:pPr>
            <w:r>
              <w:rPr>
                <w:rFonts w:ascii="Arial" w:cs="Arial" w:eastAsia="Arial" w:hAnsi="Arial"/>
                <w:sz w:val="14"/>
                <w:szCs w:val="14"/>
                <w:b w:val="1"/>
                <w:bCs w:val="1"/>
                <w:i w:val="1"/>
                <w:iCs w:val="1"/>
                <w:color w:val="auto"/>
                <w:w w:val="82"/>
              </w:rPr>
              <w:t>the Plans or Programs</w:t>
            </w:r>
          </w:p>
        </w:tc>
      </w:tr>
      <w:tr>
        <w:trPr>
          <w:trHeight w:val="20"/>
        </w:trPr>
        <w:tc>
          <w:tcPr>
            <w:tcW w:w="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1"/>
        </w:trPr>
        <w:tc>
          <w:tcPr>
            <w:tcW w:w="1480" w:type="dxa"/>
            <w:vAlign w:val="bottom"/>
            <w:gridSpan w:val="2"/>
          </w:tcPr>
          <w:p>
            <w:pPr>
              <w:spacing w:after="0"/>
              <w:rPr>
                <w:sz w:val="20"/>
                <w:szCs w:val="20"/>
                <w:color w:val="auto"/>
              </w:rPr>
            </w:pPr>
            <w:r>
              <w:rPr>
                <w:rFonts w:ascii="Arial" w:cs="Arial" w:eastAsia="Arial" w:hAnsi="Arial"/>
                <w:sz w:val="18"/>
                <w:szCs w:val="18"/>
                <w:color w:val="auto"/>
              </w:rPr>
              <w:t>January 1-31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52,584</w:t>
            </w:r>
          </w:p>
        </w:tc>
        <w:tc>
          <w:tcPr>
            <w:tcW w:w="200" w:type="dxa"/>
            <w:vAlign w:val="bottom"/>
          </w:tcPr>
          <w:p>
            <w:pPr>
              <w:spacing w:after="0"/>
              <w:rPr>
                <w:sz w:val="24"/>
                <w:szCs w:val="24"/>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$4.26</w:t>
            </w:r>
          </w:p>
        </w:tc>
        <w:tc>
          <w:tcPr>
            <w:tcW w:w="46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52,584</w:t>
            </w:r>
          </w:p>
        </w:tc>
        <w:tc>
          <w:tcPr>
            <w:tcW w:w="1720" w:type="dxa"/>
            <w:vAlign w:val="bottom"/>
            <w:gridSpan w:val="2"/>
          </w:tcPr>
          <w:p>
            <w:pPr>
              <w:jc w:val="center"/>
              <w:ind w:left="397"/>
              <w:spacing w:after="0"/>
              <w:rPr>
                <w:sz w:val="20"/>
                <w:szCs w:val="20"/>
                <w:color w:val="auto"/>
              </w:rPr>
            </w:pPr>
            <w:r>
              <w:rPr>
                <w:rFonts w:ascii="Arial" w:cs="Arial" w:eastAsia="Arial" w:hAnsi="Arial"/>
                <w:sz w:val="18"/>
                <w:szCs w:val="18"/>
                <w:color w:val="auto"/>
                <w:w w:val="88"/>
              </w:rPr>
              <w:t>$4,622,000</w:t>
            </w:r>
          </w:p>
        </w:tc>
      </w:tr>
      <w:tr>
        <w:trPr>
          <w:trHeight w:val="459"/>
        </w:trPr>
        <w:tc>
          <w:tcPr>
            <w:tcW w:w="1480" w:type="dxa"/>
            <w:vAlign w:val="bottom"/>
            <w:gridSpan w:val="2"/>
          </w:tcPr>
          <w:p>
            <w:pPr>
              <w:spacing w:after="0"/>
              <w:rPr>
                <w:sz w:val="20"/>
                <w:szCs w:val="20"/>
                <w:color w:val="auto"/>
              </w:rPr>
            </w:pPr>
            <w:r>
              <w:rPr>
                <w:rFonts w:ascii="Arial" w:cs="Arial" w:eastAsia="Arial" w:hAnsi="Arial"/>
                <w:sz w:val="18"/>
                <w:szCs w:val="18"/>
                <w:color w:val="auto"/>
              </w:rPr>
              <w:t>February 1-29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32,440</w:t>
            </w:r>
          </w:p>
        </w:tc>
        <w:tc>
          <w:tcPr>
            <w:tcW w:w="200" w:type="dxa"/>
            <w:vAlign w:val="bottom"/>
          </w:tcPr>
          <w:p>
            <w:pPr>
              <w:spacing w:after="0"/>
              <w:rPr>
                <w:sz w:val="24"/>
                <w:szCs w:val="24"/>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$4.04</w:t>
            </w:r>
          </w:p>
        </w:tc>
        <w:tc>
          <w:tcPr>
            <w:tcW w:w="46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32,440</w:t>
            </w:r>
          </w:p>
        </w:tc>
        <w:tc>
          <w:tcPr>
            <w:tcW w:w="1720" w:type="dxa"/>
            <w:vAlign w:val="bottom"/>
            <w:gridSpan w:val="2"/>
          </w:tcPr>
          <w:p>
            <w:pPr>
              <w:jc w:val="center"/>
              <w:ind w:left="397"/>
              <w:spacing w:after="0"/>
              <w:rPr>
                <w:sz w:val="20"/>
                <w:szCs w:val="20"/>
                <w:color w:val="auto"/>
              </w:rPr>
            </w:pPr>
            <w:r>
              <w:rPr>
                <w:rFonts w:ascii="Arial" w:cs="Arial" w:eastAsia="Arial" w:hAnsi="Arial"/>
                <w:sz w:val="18"/>
                <w:szCs w:val="18"/>
                <w:color w:val="auto"/>
                <w:w w:val="88"/>
              </w:rPr>
              <w:t>$4,491,000</w:t>
            </w:r>
          </w:p>
        </w:tc>
      </w:tr>
      <w:tr>
        <w:trPr>
          <w:trHeight w:val="421"/>
        </w:trPr>
        <w:tc>
          <w:tcPr>
            <w:tcW w:w="1480" w:type="dxa"/>
            <w:vAlign w:val="bottom"/>
            <w:gridSpan w:val="2"/>
          </w:tcPr>
          <w:p>
            <w:pPr>
              <w:spacing w:after="0"/>
              <w:rPr>
                <w:sz w:val="20"/>
                <w:szCs w:val="20"/>
                <w:color w:val="auto"/>
              </w:rPr>
            </w:pPr>
            <w:r>
              <w:rPr>
                <w:rFonts w:ascii="Arial" w:cs="Arial" w:eastAsia="Arial" w:hAnsi="Arial"/>
                <w:sz w:val="18"/>
                <w:szCs w:val="18"/>
                <w:color w:val="auto"/>
              </w:rPr>
              <w:t>March 1-31</w:t>
            </w:r>
          </w:p>
        </w:tc>
        <w:tc>
          <w:tcPr>
            <w:tcW w:w="640" w:type="dxa"/>
            <w:vAlign w:val="bottom"/>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29,664</w:t>
            </w:r>
          </w:p>
        </w:tc>
        <w:tc>
          <w:tcPr>
            <w:tcW w:w="200" w:type="dxa"/>
            <w:vAlign w:val="bottom"/>
          </w:tcPr>
          <w:p>
            <w:pPr>
              <w:spacing w:after="0"/>
              <w:rPr>
                <w:sz w:val="24"/>
                <w:szCs w:val="24"/>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$3.80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29,664</w:t>
            </w:r>
          </w:p>
        </w:tc>
        <w:tc>
          <w:tcPr>
            <w:tcW w:w="160" w:type="dxa"/>
            <w:vAlign w:val="bottom"/>
          </w:tcPr>
          <w:p>
            <w:pPr>
              <w:spacing w:after="0"/>
              <w:rPr>
                <w:sz w:val="24"/>
                <w:szCs w:val="24"/>
                <w:color w:val="auto"/>
              </w:rPr>
            </w:pPr>
          </w:p>
        </w:tc>
        <w:tc>
          <w:tcPr>
            <w:tcW w:w="1720" w:type="dxa"/>
            <w:vAlign w:val="bottom"/>
            <w:gridSpan w:val="2"/>
          </w:tcPr>
          <w:p>
            <w:pPr>
              <w:jc w:val="center"/>
              <w:ind w:left="397"/>
              <w:spacing w:after="0"/>
              <w:rPr>
                <w:sz w:val="20"/>
                <w:szCs w:val="20"/>
                <w:color w:val="auto"/>
              </w:rPr>
            </w:pPr>
            <w:r>
              <w:rPr>
                <w:rFonts w:ascii="Arial" w:cs="Arial" w:eastAsia="Arial" w:hAnsi="Arial"/>
                <w:sz w:val="18"/>
                <w:szCs w:val="18"/>
                <w:color w:val="auto"/>
                <w:w w:val="88"/>
              </w:rPr>
              <w:t>$4,379,000</w:t>
            </w:r>
          </w:p>
        </w:tc>
      </w:tr>
      <w:tr>
        <w:trPr>
          <w:trHeight w:val="439"/>
        </w:trPr>
        <w:tc>
          <w:tcPr>
            <w:tcW w:w="1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114,688</w:t>
            </w:r>
          </w:p>
        </w:tc>
        <w:tc>
          <w:tcPr>
            <w:tcW w:w="200" w:type="dxa"/>
            <w:vAlign w:val="bottom"/>
          </w:tcPr>
          <w:p>
            <w:pPr>
              <w:spacing w:after="0"/>
              <w:rPr>
                <w:sz w:val="24"/>
                <w:szCs w:val="24"/>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$4.08</w:t>
            </w:r>
          </w:p>
        </w:tc>
        <w:tc>
          <w:tcPr>
            <w:tcW w:w="46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114,688</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Securities Exchange Act of 1934, or in privately negotiated transactions (the "2015 Repurchase Plan"). Repurchases to date have been made under a Rule 10b5-1 plan entered into with RW Baird &amp; Co, which permits shares to be repurchased when we might otherwise be precluded from doing so under insider trading laws. The timing and amount of any shares repurchased under the 2015 Repurchase Plan will be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will be funded using our operating cash flow or available cash.</w:t>
      </w:r>
    </w:p>
    <w:p>
      <w:pPr>
        <w:spacing w:after="0" w:line="172" w:lineRule="exact"/>
        <w:rPr>
          <w:sz w:val="20"/>
          <w:szCs w:val="20"/>
          <w:color w:val="auto"/>
        </w:rPr>
      </w:pPr>
    </w:p>
    <w:p>
      <w:pPr>
        <w:ind w:left="540" w:right="460"/>
        <w:spacing w:after="0" w:line="332" w:lineRule="auto"/>
        <w:rPr>
          <w:sz w:val="20"/>
          <w:szCs w:val="20"/>
          <w:color w:val="auto"/>
        </w:rPr>
      </w:pPr>
      <w:r>
        <w:rPr>
          <w:rFonts w:ascii="Arial" w:cs="Arial" w:eastAsia="Arial" w:hAnsi="Arial"/>
          <w:sz w:val="16"/>
          <w:szCs w:val="16"/>
          <w:color w:val="auto"/>
        </w:rPr>
        <w:t>For the three months ended March 31, 2016, we repurchased 114,688 shares under the repurchase plan at a fair market value of $468,000. All of the repurchased shares were retired. Fees paid to our broker related to the repurchase of these shares totaled $3,000.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Signatures</w:t>
      </w:r>
    </w:p>
    <w:p>
      <w:pPr>
        <w:sectPr>
          <w:pgSz w:w="11900" w:h="16838" w:orient="portrait"/>
          <w:cols w:equalWidth="0" w:num="1">
            <w:col w:w="11400"/>
          </w:cols>
          <w:pgMar w:left="240" w:top="131" w:right="259" w:bottom="0" w:gutter="0" w:footer="0" w:header="0"/>
          <w:type w:val="continuous"/>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13, 2016</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13, 2016</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326"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Restricted Stock Award Agreement.*</w:t>
      </w:r>
    </w:p>
    <w:p>
      <w:pPr>
        <w:spacing w:after="0" w:line="198"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Agreement.*</w:t>
      </w:r>
    </w:p>
    <w:p>
      <w:pPr>
        <w:spacing w:after="0" w:line="198"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Incentive Stock Option Agreement.*</w:t>
      </w:r>
    </w:p>
    <w:p>
      <w:pPr>
        <w:spacing w:after="0" w:line="198"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w:t>
      </w:r>
    </w:p>
    <w:p>
      <w:pPr>
        <w:spacing w:after="0" w:line="198"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w:t>
      </w:r>
    </w:p>
    <w:p>
      <w:pPr>
        <w:spacing w:after="0" w:line="198" w:lineRule="exact"/>
        <w:rPr>
          <w:sz w:val="20"/>
          <w:szCs w:val="20"/>
          <w:color w:val="auto"/>
        </w:rPr>
      </w:pPr>
    </w:p>
    <w:p>
      <w:pPr>
        <w:ind w:left="2440" w:right="1500" w:hanging="850"/>
        <w:spacing w:after="0" w:line="268" w:lineRule="auto"/>
        <w:tabs>
          <w:tab w:leader="none" w:pos="24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59" w:lineRule="exact"/>
        <w:rPr>
          <w:sz w:val="20"/>
          <w:szCs w:val="20"/>
          <w:color w:val="auto"/>
        </w:rPr>
      </w:pPr>
    </w:p>
    <w:p>
      <w:pPr>
        <w:ind w:left="2440" w:right="1540" w:hanging="850"/>
        <w:spacing w:after="0" w:line="268" w:lineRule="auto"/>
        <w:tabs>
          <w:tab w:leader="none" w:pos="24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7" w:lineRule="exact"/>
        <w:rPr>
          <w:sz w:val="20"/>
          <w:szCs w:val="20"/>
          <w:color w:val="auto"/>
        </w:rPr>
      </w:pPr>
    </w:p>
    <w:p>
      <w:pPr>
        <w:ind w:left="2440" w:right="1300" w:hanging="845"/>
        <w:spacing w:after="0" w:line="268" w:lineRule="auto"/>
        <w:tabs>
          <w:tab w:leader="none" w:pos="2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620" w:hanging="96"/>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40"/>
          </w:cols>
          <w:pgMar w:left="240" w:top="523" w:right="71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inTEST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jc w:val="center"/>
        <w:spacing w:after="0"/>
        <w:rPr>
          <w:sz w:val="20"/>
          <w:szCs w:val="20"/>
          <w:color w:val="auto"/>
        </w:rPr>
      </w:pPr>
      <w:r>
        <w:rPr>
          <w:rFonts w:ascii="Arial" w:cs="Arial" w:eastAsia="Arial" w:hAnsi="Arial"/>
          <w:sz w:val="22"/>
          <w:szCs w:val="22"/>
          <w:b w:val="1"/>
          <w:bCs w:val="1"/>
          <w:color w:val="auto"/>
        </w:rPr>
        <w:t>for</w:t>
      </w:r>
    </w:p>
    <w:p>
      <w:pPr>
        <w:spacing w:after="0" w:line="209"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_____________________________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We are pleased to advise you that inTEST Corporation (the "Company") hereby grants to you under the inTEST Corporation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_______ Stock Plan (the "Plan"), an award of restricted stock with respect to _____________ shares of Common Stock of the</w:t>
      </w:r>
    </w:p>
    <w:p>
      <w:pPr>
        <w:spacing w:after="0" w:line="2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Company, subject to your signing this Agreement and the provisions hereof. This award is subject in all respects to the applicable provisions of the Plan, a complete copy of which has been furnished to you and receipt of which you acknowledge by acceptance of the award. Such provisions are incorporated herein by reference and made a part hereof (including all defined terms).</w:t>
      </w:r>
    </w:p>
    <w:p>
      <w:pPr>
        <w:spacing w:after="0" w:line="219" w:lineRule="exact"/>
        <w:rPr>
          <w:sz w:val="20"/>
          <w:szCs w:val="20"/>
          <w:color w:val="auto"/>
        </w:rPr>
      </w:pPr>
    </w:p>
    <w:p>
      <w:pPr>
        <w:ind w:left="560" w:right="2240" w:hanging="471"/>
        <w:spacing w:after="0" w:line="278" w:lineRule="auto"/>
        <w:tabs>
          <w:tab w:leader="none" w:pos="5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Issuance of Shares. </w:t>
      </w:r>
      <w:r>
        <w:rPr>
          <w:rFonts w:ascii="Arial" w:cs="Arial" w:eastAsia="Arial" w:hAnsi="Arial"/>
          <w:sz w:val="19"/>
          <w:szCs w:val="19"/>
          <w:color w:val="auto"/>
        </w:rPr>
        <w:t>Upon your execution and delivery of this Agreement and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instruments of transfer relating to all shares issuable pursuant to this Agreement (the "Shares"), you will be issued _______________ Shares of Common Stock as of _________________ (the "Grant Date"), subject to the terms, conditions and restrictions of this Agreement and the Plan. Such Shares shall be registered in your name, but the Company shall retain custody of any certificates issued for such Shares pending the vesting or forfeiture thereof. Upon the vesting of any such Shares, the Company shall deliver to you the certificates for such Shares.</w:t>
      </w:r>
    </w:p>
    <w:p>
      <w:pPr>
        <w:spacing w:after="0" w:line="92" w:lineRule="exact"/>
        <w:rPr>
          <w:rFonts w:ascii="Arial" w:cs="Arial" w:eastAsia="Arial" w:hAnsi="Arial"/>
          <w:sz w:val="19"/>
          <w:szCs w:val="19"/>
          <w:b w:val="1"/>
          <w:bCs w:val="1"/>
          <w:color w:val="auto"/>
        </w:rPr>
      </w:pPr>
    </w:p>
    <w:p>
      <w:pPr>
        <w:ind w:left="560" w:hanging="471"/>
        <w:spacing w:after="0"/>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158" w:lineRule="exact"/>
        <w:rPr>
          <w:rFonts w:ascii="Arial" w:cs="Arial" w:eastAsia="Arial" w:hAnsi="Arial"/>
          <w:sz w:val="22"/>
          <w:szCs w:val="22"/>
          <w:b w:val="1"/>
          <w:bCs w:val="1"/>
          <w:color w:val="auto"/>
        </w:rPr>
      </w:pPr>
    </w:p>
    <w:p>
      <w:pPr>
        <w:ind w:left="1580" w:right="2500" w:hanging="1018"/>
        <w:spacing w:after="0" w:line="251" w:lineRule="auto"/>
        <w:tabs>
          <w:tab w:leader="none" w:pos="15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Shares of Common Stock issued to you under this Agreement shall vest according to the following schedule:</w:t>
      </w:r>
    </w:p>
    <w:p>
      <w:pPr>
        <w:spacing w:after="0" w:line="119"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w:t>
      </w:r>
    </w:p>
    <w:p>
      <w:pPr>
        <w:spacing w:after="0" w:line="152" w:lineRule="exact"/>
        <w:rPr>
          <w:rFonts w:ascii="Arial" w:cs="Arial" w:eastAsia="Arial" w:hAnsi="Arial"/>
          <w:sz w:val="22"/>
          <w:szCs w:val="22"/>
          <w:color w:val="auto"/>
        </w:rPr>
      </w:pPr>
    </w:p>
    <w:p>
      <w:pPr>
        <w:jc w:val="both"/>
        <w:ind w:left="1580" w:right="2440" w:hanging="1018"/>
        <w:spacing w:after="0" w:line="258" w:lineRule="auto"/>
        <w:tabs>
          <w:tab w:leader="none" w:pos="1580" w:val="left"/>
        </w:tabs>
        <w:numPr>
          <w:ilvl w:val="1"/>
          <w:numId w:val="7"/>
        </w:numPr>
        <w:rPr>
          <w:rFonts w:ascii="Arial" w:cs="Arial" w:eastAsia="Arial" w:hAnsi="Arial"/>
          <w:sz w:val="21"/>
          <w:szCs w:val="21"/>
          <w:color w:val="auto"/>
        </w:rPr>
      </w:pPr>
      <w:r>
        <w:rPr>
          <w:rFonts w:ascii="Arial" w:cs="Arial" w:eastAsia="Arial" w:hAnsi="Arial"/>
          <w:sz w:val="21"/>
          <w:szCs w:val="21"/>
          <w:color w:val="auto"/>
        </w:rPr>
        <w:t>In the event that you become entitled to a fractional Share, such fractional Share shall not vest unless and until the participant becomes entitled to such number of fractional Shares as shall be equal in sum to a whole Share;</w:t>
      </w:r>
    </w:p>
    <w:p>
      <w:pPr>
        <w:spacing w:after="0" w:line="106" w:lineRule="exact"/>
        <w:rPr>
          <w:rFonts w:ascii="Arial" w:cs="Arial" w:eastAsia="Arial" w:hAnsi="Arial"/>
          <w:sz w:val="21"/>
          <w:szCs w:val="21"/>
          <w:color w:val="auto"/>
        </w:rPr>
      </w:pPr>
    </w:p>
    <w:p>
      <w:pPr>
        <w:ind w:left="560" w:right="2240" w:hanging="471"/>
        <w:spacing w:after="0" w:line="256" w:lineRule="auto"/>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Conditions to Vesting. </w:t>
      </w:r>
      <w:r>
        <w:rPr>
          <w:rFonts w:ascii="Arial" w:cs="Arial" w:eastAsia="Arial" w:hAnsi="Arial"/>
          <w:sz w:val="22"/>
          <w:szCs w:val="22"/>
          <w:color w:val="auto"/>
        </w:rPr>
        <w:t>As a condition to the vesting of Shares, all of the following conditions must</w:t>
      </w:r>
      <w:r>
        <w:rPr>
          <w:rFonts w:ascii="Arial" w:cs="Arial" w:eastAsia="Arial" w:hAnsi="Arial"/>
          <w:sz w:val="22"/>
          <w:szCs w:val="22"/>
          <w:b w:val="1"/>
          <w:bCs w:val="1"/>
          <w:color w:val="auto"/>
        </w:rPr>
        <w:t xml:space="preserve"> </w:t>
      </w:r>
      <w:r>
        <w:rPr>
          <w:rFonts w:ascii="Arial" w:cs="Arial" w:eastAsia="Arial" w:hAnsi="Arial"/>
          <w:sz w:val="22"/>
          <w:szCs w:val="22"/>
          <w:color w:val="auto"/>
        </w:rPr>
        <w:t>be fully satisfied on the applicable vesting date:</w:t>
      </w:r>
    </w:p>
    <w:p>
      <w:pPr>
        <w:spacing w:after="0" w:line="114" w:lineRule="exact"/>
        <w:rPr>
          <w:rFonts w:ascii="Arial" w:cs="Arial" w:eastAsia="Arial" w:hAnsi="Arial"/>
          <w:sz w:val="22"/>
          <w:szCs w:val="22"/>
          <w:b w:val="1"/>
          <w:bCs w:val="1"/>
          <w:color w:val="auto"/>
        </w:rPr>
      </w:pPr>
    </w:p>
    <w:p>
      <w:pPr>
        <w:ind w:left="1580" w:right="2300" w:hanging="1018"/>
        <w:spacing w:after="0" w:line="236" w:lineRule="auto"/>
        <w:tabs>
          <w:tab w:leader="none" w:pos="1580" w:val="left"/>
        </w:tabs>
        <w:numPr>
          <w:ilvl w:val="1"/>
          <w:numId w:val="7"/>
        </w:numPr>
        <w:rPr>
          <w:rFonts w:ascii="Arial" w:cs="Arial" w:eastAsia="Arial" w:hAnsi="Arial"/>
          <w:sz w:val="22"/>
          <w:szCs w:val="22"/>
          <w:color w:val="auto"/>
        </w:rPr>
      </w:pPr>
      <w:r>
        <w:rPr>
          <w:rFonts w:ascii="Arial" w:cs="Arial" w:eastAsia="Arial" w:hAnsi="Arial"/>
          <w:sz w:val="22"/>
          <w:szCs w:val="22"/>
          <w:color w:val="auto"/>
        </w:rPr>
        <w:t>You must have been in the continuous employ of the Company, or continuously engaged to provide services to the Company, through and including the date of vesting, and no event shall have occurred which, with due notice or lapse of time, or both, would entitle the Company to terminate your employment or engagement with the Company.</w:t>
      </w:r>
    </w:p>
    <w:p>
      <w:pPr>
        <w:spacing w:after="0" w:line="133" w:lineRule="exact"/>
        <w:rPr>
          <w:rFonts w:ascii="Arial" w:cs="Arial" w:eastAsia="Arial" w:hAnsi="Arial"/>
          <w:sz w:val="22"/>
          <w:szCs w:val="22"/>
          <w:color w:val="auto"/>
        </w:rPr>
      </w:pPr>
    </w:p>
    <w:p>
      <w:pPr>
        <w:ind w:left="1580" w:right="2360" w:hanging="1018"/>
        <w:spacing w:after="0" w:line="274" w:lineRule="auto"/>
        <w:tabs>
          <w:tab w:leader="none" w:pos="1580" w:val="left"/>
        </w:tabs>
        <w:numPr>
          <w:ilvl w:val="1"/>
          <w:numId w:val="7"/>
        </w:numPr>
        <w:rPr>
          <w:rFonts w:ascii="Arial" w:cs="Arial" w:eastAsia="Arial" w:hAnsi="Arial"/>
          <w:sz w:val="21"/>
          <w:szCs w:val="21"/>
          <w:color w:val="auto"/>
        </w:rPr>
      </w:pPr>
      <w:r>
        <w:rPr>
          <w:rFonts w:ascii="Arial" w:cs="Arial" w:eastAsia="Arial" w:hAnsi="Arial"/>
          <w:sz w:val="21"/>
          <w:szCs w:val="21"/>
          <w:color w:val="auto"/>
        </w:rPr>
        <w:t>You must not be in breach or default of any obligation to the Company, whether or not contained in any agreement with the Company or imposed by law.</w:t>
      </w:r>
    </w:p>
    <w:p>
      <w:pPr>
        <w:spacing w:after="0" w:line="90" w:lineRule="exact"/>
        <w:rPr>
          <w:rFonts w:ascii="Arial" w:cs="Arial" w:eastAsia="Arial" w:hAnsi="Arial"/>
          <w:sz w:val="21"/>
          <w:szCs w:val="21"/>
          <w:color w:val="auto"/>
        </w:rPr>
      </w:pPr>
    </w:p>
    <w:p>
      <w:pPr>
        <w:ind w:left="560" w:right="2360" w:hanging="471"/>
        <w:spacing w:after="0" w:line="280" w:lineRule="auto"/>
        <w:tabs>
          <w:tab w:leader="none" w:pos="5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Disability or Change of Control. </w:t>
      </w:r>
      <w:r>
        <w:rPr>
          <w:rFonts w:ascii="Arial" w:cs="Arial" w:eastAsia="Arial" w:hAnsi="Arial"/>
          <w:sz w:val="19"/>
          <w:szCs w:val="19"/>
          <w:color w:val="auto"/>
        </w:rPr>
        <w:t>Shares of Common Stock issued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become immediately and fully vested in the event: (A) you die; (B) you incur a Disability; or</w:t>
      </w:r>
    </w:p>
    <w:p>
      <w:pPr>
        <w:ind w:left="560" w:right="23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 xml:space="preserve">(C) a Change of Control occurs; </w:t>
      </w:r>
      <w:r>
        <w:rPr>
          <w:rFonts w:ascii="Arial" w:cs="Arial" w:eastAsia="Arial" w:hAnsi="Arial"/>
          <w:sz w:val="19"/>
          <w:szCs w:val="19"/>
          <w:i w:val="1"/>
          <w:iCs w:val="1"/>
          <w:color w:val="auto"/>
        </w:rPr>
        <w:t>provided, however</w:t>
      </w:r>
      <w:r>
        <w:rPr>
          <w:rFonts w:ascii="Arial" w:cs="Arial" w:eastAsia="Arial" w:hAnsi="Arial"/>
          <w:sz w:val="19"/>
          <w:szCs w:val="19"/>
          <w:color w:val="auto"/>
        </w:rPr>
        <w:t>, that you satisfy the requirements of Section 3 of this Agreement. For purposes of this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 The term "Change of Control" is defined in the Plan.</w:t>
      </w:r>
    </w:p>
    <w:p>
      <w:pPr>
        <w:spacing w:after="0" w:line="94" w:lineRule="exact"/>
        <w:rPr>
          <w:rFonts w:ascii="Arial" w:cs="Arial" w:eastAsia="Arial" w:hAnsi="Arial"/>
          <w:sz w:val="19"/>
          <w:szCs w:val="19"/>
          <w:b w:val="1"/>
          <w:bCs w:val="1"/>
          <w:color w:val="auto"/>
        </w:rPr>
      </w:pPr>
    </w:p>
    <w:p>
      <w:pPr>
        <w:ind w:left="560" w:right="2340" w:hanging="471"/>
        <w:spacing w:after="0" w:line="243" w:lineRule="auto"/>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The Shares of Common Stock issued to you under this Agreement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transferable by you prior to the date such Shares become vested under the terms of this Agreement and the Plan.</w:t>
      </w:r>
    </w:p>
    <w:p>
      <w:pPr>
        <w:spacing w:after="0" w:line="122" w:lineRule="exact"/>
        <w:rPr>
          <w:rFonts w:ascii="Arial" w:cs="Arial" w:eastAsia="Arial" w:hAnsi="Arial"/>
          <w:sz w:val="22"/>
          <w:szCs w:val="22"/>
          <w:b w:val="1"/>
          <w:bCs w:val="1"/>
          <w:color w:val="auto"/>
        </w:rPr>
      </w:pPr>
    </w:p>
    <w:p>
      <w:pPr>
        <w:ind w:left="560" w:right="2220" w:hanging="471"/>
        <w:spacing w:after="0" w:line="256" w:lineRule="auto"/>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 </w:t>
      </w:r>
      <w:r>
        <w:rPr>
          <w:rFonts w:ascii="Arial" w:cs="Arial" w:eastAsia="Arial" w:hAnsi="Arial"/>
          <w:sz w:val="22"/>
          <w:szCs w:val="22"/>
          <w:color w:val="auto"/>
        </w:rPr>
        <w:t>Certificates for the Shares with respect to which the vesting requirements have</w:t>
      </w:r>
      <w:r>
        <w:rPr>
          <w:rFonts w:ascii="Arial" w:cs="Arial" w:eastAsia="Arial" w:hAnsi="Arial"/>
          <w:sz w:val="22"/>
          <w:szCs w:val="22"/>
          <w:b w:val="1"/>
          <w:bCs w:val="1"/>
          <w:color w:val="auto"/>
        </w:rPr>
        <w:t xml:space="preserve"> </w:t>
      </w:r>
      <w:r>
        <w:rPr>
          <w:rFonts w:ascii="Arial" w:cs="Arial" w:eastAsia="Arial" w:hAnsi="Arial"/>
          <w:sz w:val="22"/>
          <w:szCs w:val="22"/>
          <w:color w:val="auto"/>
        </w:rPr>
        <w:t>not been met shall be inscribed with the following legend:</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"The shares of stock evidenced by this certificate are subject to</w:t>
      </w:r>
    </w:p>
    <w:p>
      <w:pPr>
        <w:ind w:left="1100"/>
        <w:spacing w:after="0" w:line="238" w:lineRule="auto"/>
        <w:rPr>
          <w:sz w:val="20"/>
          <w:szCs w:val="20"/>
          <w:color w:val="auto"/>
        </w:rPr>
      </w:pPr>
      <w:r>
        <w:rPr>
          <w:rFonts w:ascii="Arial" w:cs="Arial" w:eastAsia="Arial" w:hAnsi="Arial"/>
          <w:sz w:val="22"/>
          <w:szCs w:val="22"/>
          <w:color w:val="auto"/>
        </w:rPr>
        <w:t>the terms and restrictions of a Restricted Stock Award</w:t>
      </w:r>
    </w:p>
    <w:p>
      <w:pPr>
        <w:ind w:left="1100"/>
        <w:spacing w:after="0" w:line="230" w:lineRule="auto"/>
        <w:rPr>
          <w:sz w:val="20"/>
          <w:szCs w:val="20"/>
          <w:color w:val="auto"/>
        </w:rPr>
      </w:pPr>
      <w:r>
        <w:rPr>
          <w:rFonts w:ascii="Arial" w:cs="Arial" w:eastAsia="Arial" w:hAnsi="Arial"/>
          <w:sz w:val="22"/>
          <w:szCs w:val="22"/>
          <w:color w:val="auto"/>
        </w:rPr>
        <w:t>Agreement. They are subject to forfeiture under the terms of</w:t>
      </w:r>
    </w:p>
    <w:p>
      <w:pPr>
        <w:ind w:left="1100"/>
        <w:spacing w:after="0" w:line="231" w:lineRule="auto"/>
        <w:rPr>
          <w:sz w:val="20"/>
          <w:szCs w:val="20"/>
          <w:color w:val="auto"/>
        </w:rPr>
      </w:pPr>
      <w:r>
        <w:rPr>
          <w:rFonts w:ascii="Arial" w:cs="Arial" w:eastAsia="Arial" w:hAnsi="Arial"/>
          <w:sz w:val="22"/>
          <w:szCs w:val="22"/>
          <w:color w:val="auto"/>
        </w:rPr>
        <w:t>that Agreement if they are transferred, sold, pledged, given,</w:t>
      </w:r>
    </w:p>
    <w:p>
      <w:pPr>
        <w:ind w:left="1100"/>
        <w:spacing w:after="0" w:line="231" w:lineRule="auto"/>
        <w:rPr>
          <w:sz w:val="20"/>
          <w:szCs w:val="20"/>
          <w:color w:val="auto"/>
        </w:rPr>
      </w:pPr>
      <w:r>
        <w:rPr>
          <w:rFonts w:ascii="Arial" w:cs="Arial" w:eastAsia="Arial" w:hAnsi="Arial"/>
          <w:sz w:val="22"/>
          <w:szCs w:val="22"/>
          <w:color w:val="auto"/>
        </w:rPr>
        <w:t>hypothecated, or otherwise disposed of, other than through</w:t>
      </w:r>
    </w:p>
    <w:p>
      <w:pPr>
        <w:ind w:left="1100"/>
        <w:spacing w:after="0" w:line="230" w:lineRule="auto"/>
        <w:rPr>
          <w:sz w:val="20"/>
          <w:szCs w:val="20"/>
          <w:color w:val="auto"/>
        </w:rPr>
      </w:pPr>
      <w:r>
        <w:rPr>
          <w:rFonts w:ascii="Arial" w:cs="Arial" w:eastAsia="Arial" w:hAnsi="Arial"/>
          <w:sz w:val="22"/>
          <w:szCs w:val="22"/>
          <w:color w:val="auto"/>
        </w:rPr>
        <w:t>death or disability. A copy of that Agreement is available from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the Secretary of inTEST Corporation upon request."</w:t>
      </w:r>
    </w:p>
    <w:p>
      <w:pPr>
        <w:sectPr>
          <w:pgSz w:w="11900" w:h="16838" w:orient="portrait"/>
          <w:cols w:equalWidth="0" w:num="1">
            <w:col w:w="11420"/>
          </w:cols>
          <w:pgMar w:left="240" w:top="111" w:right="239" w:bottom="0" w:gutter="0" w:footer="0" w:header="0"/>
        </w:sectPr>
      </w:pPr>
    </w:p>
    <w:bookmarkStart w:id="20" w:name="page21"/>
    <w:bookmarkEnd w:id="20"/>
    <w:p>
      <w:pPr>
        <w:ind w:left="560" w:right="2260" w:hanging="471"/>
        <w:spacing w:after="0" w:line="301" w:lineRule="auto"/>
        <w:tabs>
          <w:tab w:leader="none" w:pos="5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Removal of Restrictive Legend. </w:t>
      </w:r>
      <w:r>
        <w:rPr>
          <w:rFonts w:ascii="Arial" w:cs="Arial" w:eastAsia="Arial" w:hAnsi="Arial"/>
          <w:sz w:val="19"/>
          <w:szCs w:val="19"/>
          <w:color w:val="auto"/>
        </w:rPr>
        <w:t>When the vesting requirements on any Shares have not been met,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cause a replacement stock certificate for those Shares, without the legend referred to in Section 6, to be issued and delivered to you, as soon as practicable.</w:t>
      </w:r>
    </w:p>
    <w:p>
      <w:pPr>
        <w:spacing w:after="0" w:line="69" w:lineRule="exact"/>
        <w:rPr>
          <w:rFonts w:ascii="Arial" w:cs="Arial" w:eastAsia="Arial" w:hAnsi="Arial"/>
          <w:sz w:val="19"/>
          <w:szCs w:val="19"/>
          <w:b w:val="1"/>
          <w:bCs w:val="1"/>
          <w:color w:val="auto"/>
        </w:rPr>
      </w:pPr>
    </w:p>
    <w:p>
      <w:pPr>
        <w:ind w:left="560" w:right="2440" w:hanging="471"/>
        <w:spacing w:after="0" w:line="301" w:lineRule="auto"/>
        <w:tabs>
          <w:tab w:leader="none" w:pos="5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Right to Employment. </w:t>
      </w:r>
      <w:r>
        <w:rPr>
          <w:rFonts w:ascii="Arial" w:cs="Arial" w:eastAsia="Arial" w:hAnsi="Arial"/>
          <w:sz w:val="19"/>
          <w:szCs w:val="19"/>
          <w:color w:val="auto"/>
        </w:rPr>
        <w:t>Neither the award of Shares pursuant to this Agreement nor any</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this Agreement shall be construed (i) to give you any right to continued employment with the Company or (ii) as an amendment to your employment agreement with the Company.</w:t>
      </w:r>
    </w:p>
    <w:p>
      <w:pPr>
        <w:spacing w:after="0" w:line="69" w:lineRule="exact"/>
        <w:rPr>
          <w:rFonts w:ascii="Arial" w:cs="Arial" w:eastAsia="Arial" w:hAnsi="Arial"/>
          <w:sz w:val="19"/>
          <w:szCs w:val="19"/>
          <w:b w:val="1"/>
          <w:bCs w:val="1"/>
          <w:color w:val="auto"/>
        </w:rPr>
      </w:pPr>
    </w:p>
    <w:p>
      <w:pPr>
        <w:ind w:left="560" w:right="2260" w:hanging="471"/>
        <w:spacing w:after="0" w:line="289" w:lineRule="auto"/>
        <w:tabs>
          <w:tab w:leader="none" w:pos="5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Forfeiture</w:t>
      </w:r>
      <w:r>
        <w:rPr>
          <w:rFonts w:ascii="Arial" w:cs="Arial" w:eastAsia="Arial" w:hAnsi="Arial"/>
          <w:sz w:val="19"/>
          <w:szCs w:val="19"/>
          <w:color w:val="auto"/>
        </w:rPr>
        <w:t>. Shares of Common Stock issued to you under this Agreement not previously vested</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be forfeited as of the date your employment by, or engagement to provide services to, the Company and all affiliates thereof terminates. Following such a forfeiture, you shall have no rights whatsoever with respect to the Shares of Common Stock forfeited.</w:t>
      </w:r>
    </w:p>
    <w:p>
      <w:pPr>
        <w:spacing w:after="0" w:line="82" w:lineRule="exact"/>
        <w:rPr>
          <w:rFonts w:ascii="Arial" w:cs="Arial" w:eastAsia="Arial" w:hAnsi="Arial"/>
          <w:sz w:val="19"/>
          <w:szCs w:val="19"/>
          <w:b w:val="1"/>
          <w:bCs w:val="1"/>
          <w:color w:val="auto"/>
        </w:rPr>
      </w:pPr>
    </w:p>
    <w:p>
      <w:pPr>
        <w:ind w:left="560" w:right="2340" w:hanging="471"/>
        <w:spacing w:after="0" w:line="251" w:lineRule="auto"/>
        <w:tabs>
          <w:tab w:leader="none" w:pos="560" w:val="left"/>
        </w:tabs>
        <w:numPr>
          <w:ilvl w:val="0"/>
          <w:numId w:val="8"/>
        </w:numPr>
        <w:rPr>
          <w:rFonts w:ascii="Arial" w:cs="Arial" w:eastAsia="Arial" w:hAnsi="Arial"/>
          <w:sz w:val="21"/>
          <w:szCs w:val="21"/>
          <w:b w:val="1"/>
          <w:bCs w:val="1"/>
          <w:color w:val="auto"/>
        </w:rPr>
      </w:pPr>
      <w:r>
        <w:rPr>
          <w:rFonts w:ascii="Arial" w:cs="Arial" w:eastAsia="Arial" w:hAnsi="Arial"/>
          <w:sz w:val="21"/>
          <w:szCs w:val="21"/>
          <w:b w:val="1"/>
          <w:bCs w:val="1"/>
          <w:color w:val="auto"/>
        </w:rPr>
        <w:t>Voting, Dividend and Tender Offer Rights</w:t>
      </w:r>
      <w:r>
        <w:rPr>
          <w:rFonts w:ascii="Arial" w:cs="Arial" w:eastAsia="Arial" w:hAnsi="Arial"/>
          <w:sz w:val="21"/>
          <w:szCs w:val="21"/>
          <w:color w:val="auto"/>
        </w:rPr>
        <w:t>. You shall have all voting, dividend and tender offer</w:t>
      </w:r>
      <w:r>
        <w:rPr>
          <w:rFonts w:ascii="Arial" w:cs="Arial" w:eastAsia="Arial" w:hAnsi="Arial"/>
          <w:sz w:val="21"/>
          <w:szCs w:val="21"/>
          <w:b w:val="1"/>
          <w:bCs w:val="1"/>
          <w:color w:val="auto"/>
        </w:rPr>
        <w:t xml:space="preserve"> </w:t>
      </w:r>
      <w:r>
        <w:rPr>
          <w:rFonts w:ascii="Arial" w:cs="Arial" w:eastAsia="Arial" w:hAnsi="Arial"/>
          <w:sz w:val="21"/>
          <w:szCs w:val="21"/>
          <w:color w:val="auto"/>
        </w:rPr>
        <w:t>rights with respect to Shares of Common Stock issued to you under this Agreement whether or not such Shares are vested or unvested. Cash dividends shall be distributed to you. Stock dividends shall be issued to you and shall become vested under the same terms and conditions as the Shares under the award of restricted stock to which they pertain.</w:t>
      </w:r>
    </w:p>
    <w:p>
      <w:pPr>
        <w:spacing w:after="0" w:line="114" w:lineRule="exact"/>
        <w:rPr>
          <w:rFonts w:ascii="Arial" w:cs="Arial" w:eastAsia="Arial" w:hAnsi="Arial"/>
          <w:sz w:val="21"/>
          <w:szCs w:val="21"/>
          <w:b w:val="1"/>
          <w:bCs w:val="1"/>
          <w:color w:val="auto"/>
        </w:rPr>
      </w:pPr>
    </w:p>
    <w:p>
      <w:pPr>
        <w:ind w:left="560" w:right="2300" w:hanging="471"/>
        <w:spacing w:after="0" w:line="284" w:lineRule="auto"/>
        <w:tabs>
          <w:tab w:leader="none" w:pos="5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of Applicable Taxes. </w:t>
      </w:r>
      <w:r>
        <w:rPr>
          <w:rFonts w:ascii="Arial" w:cs="Arial" w:eastAsia="Arial" w:hAnsi="Arial"/>
          <w:sz w:val="19"/>
          <w:szCs w:val="19"/>
          <w:color w:val="auto"/>
        </w:rPr>
        <w:t>It shall be a condition to the Company's obligation to deliver</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to you pursuant to this Agreement that you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spacing w:after="0" w:line="84" w:lineRule="exact"/>
        <w:rPr>
          <w:rFonts w:ascii="Arial" w:cs="Arial" w:eastAsia="Arial" w:hAnsi="Arial"/>
          <w:sz w:val="19"/>
          <w:szCs w:val="19"/>
          <w:b w:val="1"/>
          <w:bCs w:val="1"/>
          <w:color w:val="auto"/>
        </w:rPr>
      </w:pPr>
    </w:p>
    <w:p>
      <w:pPr>
        <w:ind w:left="560" w:right="3000" w:hanging="471"/>
        <w:spacing w:after="0" w:line="243" w:lineRule="auto"/>
        <w:tabs>
          <w:tab w:leader="none" w:pos="5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r>
        <w:rPr>
          <w:rFonts w:ascii="Arial" w:cs="Arial" w:eastAsia="Arial" w:hAnsi="Arial"/>
          <w:sz w:val="22"/>
          <w:szCs w:val="22"/>
          <w:color w:val="auto"/>
        </w:rPr>
        <w:t>. This Agreement may be amended, in whole or in part and in any manner not</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inconsistent with the provisions of the Plan, at any time and from time to time, by written agreement between the Company and you.</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acknowledges this award of restricted stock on behalf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______________________________</w:t>
      </w:r>
    </w:p>
    <w:p>
      <w:pPr>
        <w:ind w:left="4700"/>
        <w:spacing w:after="0" w:line="238" w:lineRule="auto"/>
        <w:rPr>
          <w:sz w:val="20"/>
          <w:szCs w:val="20"/>
          <w:color w:val="auto"/>
        </w:rPr>
      </w:pPr>
      <w:r>
        <w:rPr>
          <w:rFonts w:ascii="Arial" w:cs="Arial" w:eastAsia="Arial" w:hAnsi="Arial"/>
          <w:sz w:val="22"/>
          <w:szCs w:val="22"/>
          <w:color w:val="auto"/>
        </w:rPr>
        <w:t>Hugh T. Regan, Jr.</w:t>
      </w:r>
    </w:p>
    <w:p>
      <w:pPr>
        <w:ind w:left="4700"/>
        <w:spacing w:after="0"/>
        <w:rPr>
          <w:sz w:val="20"/>
          <w:szCs w:val="20"/>
          <w:color w:val="auto"/>
        </w:rPr>
      </w:pPr>
      <w:r>
        <w:rPr>
          <w:rFonts w:ascii="Arial" w:cs="Arial" w:eastAsia="Arial" w:hAnsi="Arial"/>
          <w:sz w:val="22"/>
          <w:szCs w:val="22"/>
          <w:color w:val="auto"/>
        </w:rPr>
        <w:t>Secretary, Treasurer and Chief Financial Officer</w:t>
      </w:r>
    </w:p>
    <w:p>
      <w:pPr>
        <w:spacing w:after="0" w:line="200" w:lineRule="exact"/>
        <w:rPr>
          <w:sz w:val="20"/>
          <w:szCs w:val="20"/>
          <w:color w:val="auto"/>
        </w:rPr>
      </w:pPr>
    </w:p>
    <w:p>
      <w:pPr>
        <w:spacing w:after="0" w:line="23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Date: ____________________</w:t>
      </w:r>
    </w:p>
    <w:p>
      <w:pPr>
        <w:spacing w:after="0" w:line="200" w:lineRule="exact"/>
        <w:rPr>
          <w:sz w:val="20"/>
          <w:szCs w:val="20"/>
          <w:color w:val="auto"/>
        </w:rPr>
      </w:pPr>
    </w:p>
    <w:p>
      <w:pPr>
        <w:spacing w:after="0" w:line="2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 indicate your acceptance and agreement to this Restricted Stock Award, please execute and immediately return to the Company the enclosed duplicate original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 TO</w:t>
      </w:r>
      <w:r>
        <w:rPr>
          <w:rFonts w:ascii="Arial" w:cs="Arial" w:eastAsia="Arial" w:hAnsi="Arial"/>
          <w:sz w:val="22"/>
          <w:szCs w:val="22"/>
          <w:color w:val="auto"/>
        </w:rPr>
        <w:t>:</w:t>
      </w:r>
    </w:p>
    <w:p>
      <w:pPr>
        <w:spacing w:after="0" w:line="200" w:lineRule="exact"/>
        <w:rPr>
          <w:sz w:val="20"/>
          <w:szCs w:val="20"/>
          <w:color w:val="auto"/>
        </w:rPr>
      </w:pPr>
    </w:p>
    <w:p>
      <w:pPr>
        <w:spacing w:after="0" w:line="350" w:lineRule="exact"/>
        <w:rPr>
          <w:sz w:val="20"/>
          <w:szCs w:val="20"/>
          <w:color w:val="auto"/>
        </w:rPr>
      </w:pPr>
    </w:p>
    <w:p>
      <w:pPr>
        <w:ind w:left="100"/>
        <w:spacing w:after="0"/>
        <w:tabs>
          <w:tab w:leader="none" w:pos="5920" w:val="left"/>
        </w:tabs>
        <w:rPr>
          <w:sz w:val="20"/>
          <w:szCs w:val="20"/>
          <w:color w:val="auto"/>
        </w:rPr>
      </w:pPr>
      <w:r>
        <w:rPr>
          <w:rFonts w:ascii="Arial" w:cs="Arial" w:eastAsia="Arial" w:hAnsi="Arial"/>
          <w:sz w:val="22"/>
          <w:szCs w:val="22"/>
          <w:color w:val="auto"/>
        </w:rPr>
        <w:t>_______________________________________</w:t>
      </w:r>
      <w:r>
        <w:rPr>
          <w:sz w:val="20"/>
          <w:szCs w:val="20"/>
          <w:color w:val="auto"/>
        </w:rPr>
        <w:tab/>
      </w:r>
      <w:r>
        <w:rPr>
          <w:rFonts w:ascii="Arial" w:cs="Arial" w:eastAsia="Arial" w:hAnsi="Arial"/>
          <w:sz w:val="22"/>
          <w:szCs w:val="22"/>
          <w:color w:val="auto"/>
        </w:rPr>
        <w:t>Date:  ________________</w:t>
      </w:r>
    </w:p>
    <w:p>
      <w:pPr>
        <w:sectPr>
          <w:pgSz w:w="11900" w:h="16838" w:orient="portrait"/>
          <w:cols w:equalWidth="0" w:num="1">
            <w:col w:w="11420"/>
          </w:cols>
          <w:pgMar w:left="240" w:top="28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inTEST Corporation, a Delaware corporation ("inTEST"), hereby grants to ___________________ (the "optionee") an option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 a total of _____________________ (_____________) shares of the Common Stock (the "Option Shares") of inTEST, at</w:t>
      </w:r>
    </w:p>
    <w:p>
      <w:pPr>
        <w:spacing w:after="0" w:line="25"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the price and on the terms and conditions set forth herein and in all respects subject to the terms, conditions and provisions of the inTEST Corporation _________ Stock Plan applicable to options granted pursuant to the Non-Qualified Plan (the "Plan"), which</w:t>
      </w:r>
    </w:p>
    <w:p>
      <w:pPr>
        <w:ind w:right="460"/>
        <w:spacing w:after="0" w:line="237" w:lineRule="auto"/>
        <w:rPr>
          <w:sz w:val="20"/>
          <w:szCs w:val="20"/>
          <w:color w:val="auto"/>
        </w:rPr>
      </w:pPr>
      <w:r>
        <w:rPr>
          <w:rFonts w:ascii="Arial" w:cs="Arial" w:eastAsia="Arial" w:hAnsi="Arial"/>
          <w:sz w:val="22"/>
          <w:szCs w:val="22"/>
          <w:color w:val="auto"/>
        </w:rPr>
        <w:t>terms, conditions and provisions are hereby incorporated herein by reference. Unless the context herein otherwise requires, the terms defined in the Plan shall have the same meanings herein.</w:t>
      </w:r>
    </w:p>
    <w:p>
      <w:pPr>
        <w:spacing w:after="0" w:line="273" w:lineRule="exact"/>
        <w:rPr>
          <w:sz w:val="20"/>
          <w:szCs w:val="20"/>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Term of Option</w:t>
      </w:r>
    </w:p>
    <w:p>
      <w:pPr>
        <w:spacing w:after="0" w:line="185" w:lineRule="exact"/>
        <w:rPr>
          <w:rFonts w:ascii="Arial" w:cs="Arial" w:eastAsia="Arial" w:hAnsi="Arial"/>
          <w:sz w:val="22"/>
          <w:szCs w:val="22"/>
          <w:b w:val="1"/>
          <w:bCs w:val="1"/>
          <w:color w:val="auto"/>
        </w:rPr>
      </w:pPr>
    </w:p>
    <w:p>
      <w:pPr>
        <w:ind w:left="580" w:right="256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This Option is granted as of ______________ (the "Date of Grant") and it may not be exercised later than the close of business on ________________ (the "Expiration Date"); however, this Option is subject to earlier termination as set forth in this Option Agreement and in the Plan.</w:t>
      </w:r>
    </w:p>
    <w:p>
      <w:pPr>
        <w:spacing w:after="0" w:line="101" w:lineRule="exact"/>
        <w:rPr>
          <w:rFonts w:ascii="Arial" w:cs="Arial" w:eastAsia="Arial" w:hAnsi="Arial"/>
          <w:sz w:val="22"/>
          <w:szCs w:val="22"/>
          <w:b w:val="1"/>
          <w:bCs w:val="1"/>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Option Exercise Price</w:t>
      </w:r>
    </w:p>
    <w:p>
      <w:pPr>
        <w:spacing w:after="0" w:line="185" w:lineRule="exact"/>
        <w:rPr>
          <w:rFonts w:ascii="Arial" w:cs="Arial" w:eastAsia="Arial" w:hAnsi="Arial"/>
          <w:sz w:val="22"/>
          <w:szCs w:val="22"/>
          <w:b w:val="1"/>
          <w:bCs w:val="1"/>
          <w:color w:val="auto"/>
        </w:rPr>
      </w:pPr>
    </w:p>
    <w:p>
      <w:pPr>
        <w:ind w:left="580" w:right="224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The Option exercise price ("Option Price") is ___________________________ ($____) per Option Share.</w:t>
      </w:r>
    </w:p>
    <w:p>
      <w:pPr>
        <w:spacing w:after="0" w:line="140" w:lineRule="exact"/>
        <w:rPr>
          <w:rFonts w:ascii="Arial" w:cs="Arial" w:eastAsia="Arial" w:hAnsi="Arial"/>
          <w:sz w:val="22"/>
          <w:szCs w:val="22"/>
          <w:b w:val="1"/>
          <w:bCs w:val="1"/>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w:t>
      </w:r>
    </w:p>
    <w:p>
      <w:pPr>
        <w:spacing w:after="0" w:line="185" w:lineRule="exact"/>
        <w:rPr>
          <w:rFonts w:ascii="Arial" w:cs="Arial" w:eastAsia="Arial" w:hAnsi="Arial"/>
          <w:sz w:val="22"/>
          <w:szCs w:val="22"/>
          <w:b w:val="1"/>
          <w:bCs w:val="1"/>
          <w:color w:val="auto"/>
        </w:rPr>
      </w:pPr>
    </w:p>
    <w:p>
      <w:pPr>
        <w:ind w:left="580" w:right="290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This Option is exercisable during its term only in accordance with the terms, conditions and provisions of the Plan and this Option Agreement as follows:</w:t>
      </w:r>
    </w:p>
    <w:p>
      <w:pPr>
        <w:spacing w:after="0" w:line="146" w:lineRule="exact"/>
        <w:rPr>
          <w:rFonts w:ascii="Arial" w:cs="Arial" w:eastAsia="Arial" w:hAnsi="Arial"/>
          <w:sz w:val="22"/>
          <w:szCs w:val="22"/>
          <w:b w:val="1"/>
          <w:bCs w:val="1"/>
          <w:color w:val="auto"/>
        </w:rPr>
      </w:pPr>
    </w:p>
    <w:p>
      <w:pPr>
        <w:ind w:left="1120" w:right="2260" w:hanging="545"/>
        <w:spacing w:after="0" w:line="282" w:lineRule="auto"/>
        <w:tabs>
          <w:tab w:leader="none" w:pos="1120" w:val="left"/>
        </w:tabs>
        <w:numPr>
          <w:ilvl w:val="1"/>
          <w:numId w:val="9"/>
        </w:numPr>
        <w:rPr>
          <w:rFonts w:ascii="Arial" w:cs="Arial" w:eastAsia="Arial" w:hAnsi="Arial"/>
          <w:sz w:val="19"/>
          <w:szCs w:val="19"/>
          <w:color w:val="auto"/>
        </w:rPr>
      </w:pPr>
      <w:r>
        <w:rPr>
          <w:rFonts w:ascii="Arial" w:cs="Arial" w:eastAsia="Arial" w:hAnsi="Arial"/>
          <w:sz w:val="19"/>
          <w:szCs w:val="19"/>
          <w:i w:val="1"/>
          <w:iCs w:val="1"/>
          <w:u w:val="single" w:color="auto"/>
          <w:color w:val="auto"/>
        </w:rPr>
        <w:t>Right to Exercise</w:t>
      </w:r>
      <w:r>
        <w:rPr>
          <w:rFonts w:ascii="Arial" w:cs="Arial" w:eastAsia="Arial" w:hAnsi="Arial"/>
          <w:sz w:val="19"/>
          <w:szCs w:val="19"/>
          <w:color w:val="auto"/>
        </w:rPr>
        <w:t>. This Option shall vest at the rate of : ______________________,</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however, that the Optionee is in the service of inTEST or any of its Affiliates on the date of such vesting.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120" w:lineRule="exact"/>
        <w:rPr>
          <w:rFonts w:ascii="Arial" w:cs="Arial" w:eastAsia="Arial" w:hAnsi="Arial"/>
          <w:sz w:val="19"/>
          <w:szCs w:val="19"/>
          <w:color w:val="auto"/>
        </w:rPr>
      </w:pPr>
    </w:p>
    <w:p>
      <w:pPr>
        <w:ind w:left="1120" w:right="2280" w:hanging="545"/>
        <w:spacing w:after="0" w:line="249" w:lineRule="auto"/>
        <w:tabs>
          <w:tab w:leader="none" w:pos="1120" w:val="left"/>
        </w:tabs>
        <w:numPr>
          <w:ilvl w:val="1"/>
          <w:numId w:val="9"/>
        </w:numPr>
        <w:rPr>
          <w:rFonts w:ascii="Arial" w:cs="Arial" w:eastAsia="Arial" w:hAnsi="Arial"/>
          <w:sz w:val="21"/>
          <w:szCs w:val="21"/>
          <w:color w:val="auto"/>
        </w:rPr>
      </w:pPr>
      <w:r>
        <w:rPr>
          <w:rFonts w:ascii="Arial" w:cs="Arial" w:eastAsia="Arial" w:hAnsi="Arial"/>
          <w:sz w:val="21"/>
          <w:szCs w:val="21"/>
          <w:i w:val="1"/>
          <w:iCs w:val="1"/>
          <w:u w:val="single" w:color="auto"/>
          <w:color w:val="auto"/>
        </w:rPr>
        <w:t>Method of Exercise</w:t>
      </w:r>
      <w:r>
        <w:rPr>
          <w:rFonts w:ascii="Arial" w:cs="Arial" w:eastAsia="Arial" w:hAnsi="Arial"/>
          <w:sz w:val="21"/>
          <w:szCs w:val="21"/>
          <w:color w:val="auto"/>
        </w:rPr>
        <w:t>. When exercisable, this Option shall be exercised only upon receipt by</w:t>
      </w:r>
      <w:r>
        <w:rPr>
          <w:rFonts w:ascii="Arial" w:cs="Arial" w:eastAsia="Arial" w:hAnsi="Arial"/>
          <w:sz w:val="21"/>
          <w:szCs w:val="21"/>
          <w:i w:val="1"/>
          <w:iCs w:val="1"/>
          <w:color w:val="auto"/>
        </w:rPr>
        <w:t xml:space="preserve"> </w:t>
      </w:r>
      <w:r>
        <w:rPr>
          <w:rFonts w:ascii="Arial" w:cs="Arial" w:eastAsia="Arial" w:hAnsi="Arial"/>
          <w:sz w:val="21"/>
          <w:szCs w:val="21"/>
          <w:color w:val="auto"/>
        </w:rPr>
        <w:t>inTEST, in form and substance acceptable to inTEST, of (i) written notice of such exercise and (ii) payment in full of the Option Price for the Option Shares to be purchased. Each such notice shall (i) specify the number of Option Shares to be purchased, and (ii) satisfy the securities law requirements set forth in the Plan.</w:t>
      </w:r>
    </w:p>
    <w:p>
      <w:pPr>
        <w:spacing w:after="0" w:line="151" w:lineRule="exact"/>
        <w:rPr>
          <w:rFonts w:ascii="Arial" w:cs="Arial" w:eastAsia="Arial" w:hAnsi="Arial"/>
          <w:sz w:val="21"/>
          <w:szCs w:val="21"/>
          <w:color w:val="auto"/>
        </w:rPr>
      </w:pPr>
    </w:p>
    <w:p>
      <w:pPr>
        <w:ind w:left="1120" w:right="2260" w:hanging="545"/>
        <w:spacing w:after="0" w:line="282" w:lineRule="auto"/>
        <w:tabs>
          <w:tab w:leader="none" w:pos="1120" w:val="left"/>
        </w:tabs>
        <w:numPr>
          <w:ilvl w:val="1"/>
          <w:numId w:val="9"/>
        </w:numPr>
        <w:rPr>
          <w:rFonts w:ascii="Arial" w:cs="Arial" w:eastAsia="Arial" w:hAnsi="Arial"/>
          <w:sz w:val="19"/>
          <w:szCs w:val="19"/>
          <w:color w:val="auto"/>
        </w:rPr>
      </w:pPr>
      <w:r>
        <w:rPr>
          <w:rFonts w:ascii="Arial" w:cs="Arial" w:eastAsia="Arial" w:hAnsi="Arial"/>
          <w:sz w:val="19"/>
          <w:szCs w:val="19"/>
          <w:i w:val="1"/>
          <w:iCs w:val="1"/>
          <w:u w:val="single" w:color="auto"/>
          <w:color w:val="auto"/>
        </w:rPr>
        <w:t>Restrictions on Exercise</w:t>
      </w:r>
      <w:r>
        <w:rPr>
          <w:rFonts w:ascii="Arial" w:cs="Arial" w:eastAsia="Arial" w:hAnsi="Arial"/>
          <w:sz w:val="19"/>
          <w:szCs w:val="19"/>
          <w:color w:val="auto"/>
        </w:rPr>
        <w:t>. This Option may not be exercised if the issuance of the Option</w:t>
      </w:r>
      <w:r>
        <w:rPr>
          <w:rFonts w:ascii="Arial" w:cs="Arial" w:eastAsia="Arial" w:hAnsi="Arial"/>
          <w:sz w:val="19"/>
          <w:szCs w:val="19"/>
          <w:i w:val="1"/>
          <w:iCs w:val="1"/>
          <w:color w:val="auto"/>
        </w:rPr>
        <w:t xml:space="preserve"> </w:t>
      </w:r>
      <w:r>
        <w:rPr>
          <w:rFonts w:ascii="Arial" w:cs="Arial" w:eastAsia="Arial" w:hAnsi="Arial"/>
          <w:sz w:val="19"/>
          <w:szCs w:val="19"/>
          <w:color w:val="auto"/>
        </w:rPr>
        <w:t>Shares upon such exercise would constitute a violation of 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114" w:lineRule="exact"/>
        <w:rPr>
          <w:rFonts w:ascii="Arial" w:cs="Arial" w:eastAsia="Arial" w:hAnsi="Arial"/>
          <w:sz w:val="19"/>
          <w:szCs w:val="19"/>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Option Shares</w:t>
      </w:r>
    </w:p>
    <w:p>
      <w:pPr>
        <w:spacing w:after="0" w:line="185" w:lineRule="exact"/>
        <w:rPr>
          <w:rFonts w:ascii="Arial" w:cs="Arial" w:eastAsia="Arial" w:hAnsi="Arial"/>
          <w:sz w:val="22"/>
          <w:szCs w:val="22"/>
          <w:b w:val="1"/>
          <w:bCs w:val="1"/>
          <w:color w:val="auto"/>
        </w:rPr>
      </w:pPr>
    </w:p>
    <w:p>
      <w:pPr>
        <w:ind w:left="580" w:right="228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The Optionee shall pay for the shares (i) in cash, (ii) by bank check payable to the order of inTEST or (iii) by such other mode of payment as inTEST may approve.</w:t>
      </w:r>
    </w:p>
    <w:p>
      <w:pPr>
        <w:spacing w:after="0" w:line="140" w:lineRule="exact"/>
        <w:rPr>
          <w:rFonts w:ascii="Arial" w:cs="Arial" w:eastAsia="Arial" w:hAnsi="Arial"/>
          <w:sz w:val="22"/>
          <w:szCs w:val="22"/>
          <w:b w:val="1"/>
          <w:bCs w:val="1"/>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Option Shares</w:t>
      </w:r>
    </w:p>
    <w:p>
      <w:pPr>
        <w:spacing w:after="0" w:line="185" w:lineRule="exact"/>
        <w:rPr>
          <w:rFonts w:ascii="Arial" w:cs="Arial" w:eastAsia="Arial" w:hAnsi="Arial"/>
          <w:sz w:val="22"/>
          <w:szCs w:val="22"/>
          <w:b w:val="1"/>
          <w:bCs w:val="1"/>
          <w:color w:val="auto"/>
        </w:rPr>
      </w:pPr>
    </w:p>
    <w:p>
      <w:pPr>
        <w:ind w:left="580" w:right="234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pacing w:after="0" w:line="154" w:lineRule="exact"/>
        <w:rPr>
          <w:rFonts w:ascii="Arial" w:cs="Arial" w:eastAsia="Arial" w:hAnsi="Arial"/>
          <w:sz w:val="22"/>
          <w:szCs w:val="22"/>
          <w:b w:val="1"/>
          <w:bCs w:val="1"/>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Option</w:t>
      </w:r>
    </w:p>
    <w:p>
      <w:pPr>
        <w:spacing w:after="0" w:line="185" w:lineRule="exact"/>
        <w:rPr>
          <w:rFonts w:ascii="Arial" w:cs="Arial" w:eastAsia="Arial" w:hAnsi="Arial"/>
          <w:sz w:val="22"/>
          <w:szCs w:val="22"/>
          <w:b w:val="1"/>
          <w:bCs w:val="1"/>
          <w:color w:val="auto"/>
        </w:rPr>
      </w:pPr>
    </w:p>
    <w:p>
      <w:pPr>
        <w:ind w:left="580" w:right="2200"/>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This Option may not be sold, pledged, assigned, hypothecated, gifted, transferred or disposed of in any manner, either voluntarily or involuntarily by operation of law, other than by will or by the laws of dissent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114" w:lineRule="exact"/>
        <w:rPr>
          <w:rFonts w:ascii="Arial" w:cs="Arial" w:eastAsia="Arial" w:hAnsi="Arial"/>
          <w:sz w:val="22"/>
          <w:szCs w:val="22"/>
          <w:b w:val="1"/>
          <w:bCs w:val="1"/>
          <w:color w:val="auto"/>
        </w:rPr>
      </w:pPr>
    </w:p>
    <w:p>
      <w:pPr>
        <w:ind w:left="580" w:hanging="477"/>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ectPr>
          <w:pgSz w:w="11900" w:h="16838" w:orient="portrait"/>
          <w:cols w:equalWidth="0" w:num="1">
            <w:col w:w="11420"/>
          </w:cols>
          <w:pgMar w:left="240" w:top="111" w:right="239" w:bottom="0" w:gutter="0" w:footer="0" w:header="0"/>
        </w:sectPr>
      </w:pPr>
    </w:p>
    <w:bookmarkStart w:id="22" w:name="page23"/>
    <w:bookmarkEnd w:id="22"/>
    <w:p>
      <w:pPr>
        <w:ind w:left="580" w:right="1059"/>
        <w:spacing w:after="0"/>
        <w:rPr>
          <w:sz w:val="20"/>
          <w:szCs w:val="20"/>
          <w:color w:val="auto"/>
        </w:rPr>
      </w:pPr>
      <w:r>
        <w:rPr>
          <w:rFonts w:ascii="Arial" w:cs="Arial" w:eastAsia="Arial" w:hAnsi="Arial"/>
          <w:sz w:val="22"/>
          <w:szCs w:val="22"/>
          <w:color w:val="auto"/>
        </w:rPr>
        <w:t>This Option shall expire as set forth above and may not be exercised later than the Expiration Date. Notwithstanding the foregoing, this Option may not be exercised after the first to occur of the following:</w:t>
      </w:r>
    </w:p>
    <w:p>
      <w:pPr>
        <w:spacing w:after="0" w:line="159" w:lineRule="exact"/>
        <w:rPr>
          <w:sz w:val="20"/>
          <w:szCs w:val="20"/>
          <w:color w:val="auto"/>
        </w:rPr>
      </w:pPr>
    </w:p>
    <w:p>
      <w:pPr>
        <w:ind w:left="1120" w:right="1039" w:hanging="545"/>
        <w:spacing w:after="0" w:line="277" w:lineRule="auto"/>
        <w:tabs>
          <w:tab w:leader="none" w:pos="11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date set by the Board of Directors to be an accelerated expiration date after a finding by the Board of Directors of inTEST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125" w:lineRule="exact"/>
        <w:rPr>
          <w:rFonts w:ascii="Arial" w:cs="Arial" w:eastAsia="Arial" w:hAnsi="Arial"/>
          <w:sz w:val="19"/>
          <w:szCs w:val="19"/>
          <w:color w:val="auto"/>
        </w:rPr>
      </w:pPr>
    </w:p>
    <w:p>
      <w:pPr>
        <w:jc w:val="both"/>
        <w:ind w:left="1120" w:right="1379" w:hanging="545"/>
        <w:spacing w:after="0"/>
        <w:tabs>
          <w:tab w:leader="none" w:pos="11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expiration of one (1) year from the date the Optionee's service with inTEST (or any of its Affiliates) terminates for any reason, other than for cause, in which case this Option shall expire immediately; or</w:t>
      </w:r>
    </w:p>
    <w:p>
      <w:pPr>
        <w:spacing w:after="0" w:line="159" w:lineRule="exact"/>
        <w:rPr>
          <w:rFonts w:ascii="Arial" w:cs="Arial" w:eastAsia="Arial" w:hAnsi="Arial"/>
          <w:sz w:val="22"/>
          <w:szCs w:val="22"/>
          <w:color w:val="auto"/>
        </w:rPr>
      </w:pPr>
    </w:p>
    <w:p>
      <w:pPr>
        <w:ind w:left="1120" w:right="1259" w:hanging="545"/>
        <w:spacing w:after="0" w:line="238" w:lineRule="auto"/>
        <w:tabs>
          <w:tab w:leader="none" w:pos="11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in the event of a "Change in Control" (as defined in the Plan), the expiration date of any Option which has vested may be accelerated to a date not earlier than thirty (30) days after notice of such acceleration is given to the Optionee, and any Option which has not vested may be terminated.</w:t>
      </w:r>
    </w:p>
    <w:p>
      <w:pPr>
        <w:spacing w:after="0" w:line="152" w:lineRule="exact"/>
        <w:rPr>
          <w:rFonts w:ascii="Arial" w:cs="Arial" w:eastAsia="Arial" w:hAnsi="Arial"/>
          <w:sz w:val="22"/>
          <w:szCs w:val="22"/>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Option</w:t>
      </w:r>
    </w:p>
    <w:p>
      <w:pPr>
        <w:spacing w:after="0" w:line="185" w:lineRule="exact"/>
        <w:rPr>
          <w:rFonts w:ascii="Arial" w:cs="Arial" w:eastAsia="Arial" w:hAnsi="Arial"/>
          <w:sz w:val="22"/>
          <w:szCs w:val="22"/>
          <w:b w:val="1"/>
          <w:bCs w:val="1"/>
          <w:color w:val="auto"/>
        </w:rPr>
      </w:pPr>
    </w:p>
    <w:p>
      <w:pPr>
        <w:jc w:val="both"/>
        <w:ind w:left="580" w:right="1119"/>
        <w:spacing w:after="0"/>
        <w:rPr>
          <w:rFonts w:ascii="Arial" w:cs="Arial" w:eastAsia="Arial" w:hAnsi="Arial"/>
          <w:sz w:val="22"/>
          <w:szCs w:val="22"/>
          <w:b w:val="1"/>
          <w:bCs w:val="1"/>
          <w:color w:val="auto"/>
        </w:rPr>
      </w:pPr>
      <w:r>
        <w:rPr>
          <w:rFonts w:ascii="Arial" w:cs="Arial" w:eastAsia="Arial" w:hAnsi="Arial"/>
          <w:sz w:val="22"/>
          <w:szCs w:val="22"/>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153" w:lineRule="exact"/>
        <w:rPr>
          <w:rFonts w:ascii="Arial" w:cs="Arial" w:eastAsia="Arial" w:hAnsi="Arial"/>
          <w:sz w:val="22"/>
          <w:szCs w:val="22"/>
          <w:b w:val="1"/>
          <w:bCs w:val="1"/>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w:t>
      </w:r>
    </w:p>
    <w:p>
      <w:pPr>
        <w:spacing w:after="0" w:line="185" w:lineRule="exact"/>
        <w:rPr>
          <w:rFonts w:ascii="Arial" w:cs="Arial" w:eastAsia="Arial" w:hAnsi="Arial"/>
          <w:sz w:val="22"/>
          <w:szCs w:val="22"/>
          <w:b w:val="1"/>
          <w:bCs w:val="1"/>
          <w:color w:val="auto"/>
        </w:rPr>
      </w:pPr>
    </w:p>
    <w:p>
      <w:pPr>
        <w:ind w:left="580" w:right="11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Subject to certain restrictions contained in the Plan, the Board of Directors of inTEST may amend the Plan from time to time in such manner as it may deem advisable.</w:t>
      </w:r>
    </w:p>
    <w:p>
      <w:pPr>
        <w:spacing w:after="0" w:line="140" w:lineRule="exact"/>
        <w:rPr>
          <w:rFonts w:ascii="Arial" w:cs="Arial" w:eastAsia="Arial" w:hAnsi="Arial"/>
          <w:sz w:val="22"/>
          <w:szCs w:val="22"/>
          <w:b w:val="1"/>
          <w:bCs w:val="1"/>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Service</w:t>
      </w:r>
    </w:p>
    <w:p>
      <w:pPr>
        <w:spacing w:after="0" w:line="185" w:lineRule="exact"/>
        <w:rPr>
          <w:rFonts w:ascii="Arial" w:cs="Arial" w:eastAsia="Arial" w:hAnsi="Arial"/>
          <w:sz w:val="22"/>
          <w:szCs w:val="22"/>
          <w:b w:val="1"/>
          <w:bCs w:val="1"/>
          <w:color w:val="auto"/>
        </w:rPr>
      </w:pPr>
    </w:p>
    <w:p>
      <w:pPr>
        <w:jc w:val="both"/>
        <w:ind w:left="580" w:right="1239"/>
        <w:spacing w:after="0"/>
        <w:rPr>
          <w:rFonts w:ascii="Arial" w:cs="Arial" w:eastAsia="Arial" w:hAnsi="Arial"/>
          <w:sz w:val="22"/>
          <w:szCs w:val="22"/>
          <w:b w:val="1"/>
          <w:bCs w:val="1"/>
          <w:color w:val="auto"/>
        </w:rPr>
      </w:pPr>
      <w:r>
        <w:rPr>
          <w:rFonts w:ascii="Arial" w:cs="Arial" w:eastAsia="Arial" w:hAnsi="Arial"/>
          <w:sz w:val="22"/>
          <w:szCs w:val="22"/>
          <w:color w:val="auto"/>
        </w:rPr>
        <w:t>The grant of this Option shall not be construed to imply or constitute evidence of any agreement, express or implied, on the part of inTEST to continue the service of the Optionee with inTEST or any of its Affiliates.</w:t>
      </w:r>
    </w:p>
    <w:p>
      <w:pPr>
        <w:spacing w:after="0" w:line="153" w:lineRule="exact"/>
        <w:rPr>
          <w:rFonts w:ascii="Arial" w:cs="Arial" w:eastAsia="Arial" w:hAnsi="Arial"/>
          <w:sz w:val="22"/>
          <w:szCs w:val="22"/>
          <w:b w:val="1"/>
          <w:bCs w:val="1"/>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of Taxes</w:t>
      </w:r>
    </w:p>
    <w:p>
      <w:pPr>
        <w:spacing w:after="0" w:line="185" w:lineRule="exact"/>
        <w:rPr>
          <w:rFonts w:ascii="Arial" w:cs="Arial" w:eastAsia="Arial" w:hAnsi="Arial"/>
          <w:sz w:val="22"/>
          <w:szCs w:val="22"/>
          <w:b w:val="1"/>
          <w:bCs w:val="1"/>
          <w:color w:val="auto"/>
        </w:rPr>
      </w:pPr>
    </w:p>
    <w:p>
      <w:pPr>
        <w:ind w:left="580" w:right="1039"/>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If required by inTEST, the Optionee shall, as a condition to the exercise of the Option and the 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145" w:lineRule="exact"/>
        <w:rPr>
          <w:rFonts w:ascii="Arial" w:cs="Arial" w:eastAsia="Arial" w:hAnsi="Arial"/>
          <w:sz w:val="22"/>
          <w:szCs w:val="22"/>
          <w:b w:val="1"/>
          <w:bCs w:val="1"/>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85" w:lineRule="exact"/>
        <w:rPr>
          <w:rFonts w:ascii="Arial" w:cs="Arial" w:eastAsia="Arial" w:hAnsi="Arial"/>
          <w:sz w:val="22"/>
          <w:szCs w:val="22"/>
          <w:b w:val="1"/>
          <w:bCs w:val="1"/>
          <w:color w:val="auto"/>
        </w:rPr>
      </w:pPr>
    </w:p>
    <w:p>
      <w:pPr>
        <w:ind w:left="580"/>
        <w:spacing w:after="0"/>
        <w:rPr>
          <w:rFonts w:ascii="Arial" w:cs="Arial" w:eastAsia="Arial" w:hAnsi="Arial"/>
          <w:sz w:val="22"/>
          <w:szCs w:val="22"/>
          <w:b w:val="1"/>
          <w:bCs w:val="1"/>
          <w:color w:val="auto"/>
        </w:rPr>
      </w:pPr>
      <w:r>
        <w:rPr>
          <w:rFonts w:ascii="Arial" w:cs="Arial" w:eastAsia="Arial" w:hAnsi="Arial"/>
          <w:sz w:val="19"/>
          <w:szCs w:val="19"/>
          <w:color w:val="auto"/>
        </w:rPr>
        <w:t>This Option Agreement, together with the Plan, represents the entire agreement between the parties.</w:t>
      </w:r>
    </w:p>
    <w:p>
      <w:pPr>
        <w:spacing w:after="0" w:line="207" w:lineRule="exact"/>
        <w:rPr>
          <w:rFonts w:ascii="Arial" w:cs="Arial" w:eastAsia="Arial" w:hAnsi="Arial"/>
          <w:sz w:val="22"/>
          <w:szCs w:val="22"/>
          <w:b w:val="1"/>
          <w:bCs w:val="1"/>
          <w:color w:val="auto"/>
        </w:rPr>
      </w:pPr>
    </w:p>
    <w:p>
      <w:pPr>
        <w:ind w:left="580" w:hanging="477"/>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85" w:lineRule="exact"/>
        <w:rPr>
          <w:rFonts w:ascii="Arial" w:cs="Arial" w:eastAsia="Arial" w:hAnsi="Arial"/>
          <w:sz w:val="22"/>
          <w:szCs w:val="22"/>
          <w:b w:val="1"/>
          <w:bCs w:val="1"/>
          <w:color w:val="auto"/>
        </w:rPr>
      </w:pPr>
    </w:p>
    <w:p>
      <w:pPr>
        <w:ind w:left="580"/>
        <w:spacing w:after="0"/>
        <w:rPr>
          <w:rFonts w:ascii="Arial" w:cs="Arial" w:eastAsia="Arial" w:hAnsi="Arial"/>
          <w:sz w:val="22"/>
          <w:szCs w:val="22"/>
          <w:b w:val="1"/>
          <w:bCs w:val="1"/>
          <w:color w:val="auto"/>
        </w:rPr>
      </w:pPr>
      <w:r>
        <w:rPr>
          <w:rFonts w:ascii="Arial" w:cs="Arial" w:eastAsia="Arial" w:hAnsi="Arial"/>
          <w:sz w:val="19"/>
          <w:szCs w:val="19"/>
          <w:color w:val="auto"/>
        </w:rPr>
        <w:t>This Option Agreement shall be construed in accordance with the laws of the State of Delaware.</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inTEST executes this Option Agreement as of the day and year set forth above.</w:t>
      </w:r>
    </w:p>
    <w:p>
      <w:pPr>
        <w:spacing w:after="0" w:line="24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______________________________</w:t>
      </w:r>
    </w:p>
    <w:p>
      <w:pPr>
        <w:ind w:left="4700"/>
        <w:spacing w:after="0" w:line="238" w:lineRule="auto"/>
        <w:rPr>
          <w:sz w:val="20"/>
          <w:szCs w:val="20"/>
          <w:color w:val="auto"/>
        </w:rPr>
      </w:pPr>
      <w:r>
        <w:rPr>
          <w:rFonts w:ascii="Arial" w:cs="Arial" w:eastAsia="Arial" w:hAnsi="Arial"/>
          <w:sz w:val="22"/>
          <w:szCs w:val="22"/>
          <w:color w:val="auto"/>
        </w:rPr>
        <w:t>Hugh T. Regan, Jr.</w:t>
      </w:r>
    </w:p>
    <w:p>
      <w:pPr>
        <w:ind w:left="4700"/>
        <w:spacing w:after="0"/>
        <w:rPr>
          <w:sz w:val="20"/>
          <w:szCs w:val="20"/>
          <w:color w:val="auto"/>
        </w:rPr>
      </w:pPr>
      <w:r>
        <w:rPr>
          <w:rFonts w:ascii="Arial" w:cs="Arial" w:eastAsia="Arial" w:hAnsi="Arial"/>
          <w:sz w:val="19"/>
          <w:szCs w:val="19"/>
          <w:color w:val="auto"/>
        </w:rPr>
        <w:t>Secretary, Treasurer and Chief Financial Officers</w:t>
      </w:r>
    </w:p>
    <w:p>
      <w:pPr>
        <w:sectPr>
          <w:pgSz w:w="11900" w:h="16838" w:orient="portrait"/>
          <w:cols w:equalWidth="0" w:num="1">
            <w:col w:w="10219"/>
          </w:cols>
          <w:pgMar w:left="240" w:top="172" w:right="144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 * * * * * * * * * * * * * * * * * * * * * * * * * * * *</w:t>
      </w:r>
    </w:p>
    <w:p>
      <w:pPr>
        <w:sectPr>
          <w:pgSz w:w="11900" w:h="16838" w:orient="portrait"/>
          <w:cols w:equalWidth="0" w:num="1">
            <w:col w:w="10219"/>
          </w:cols>
          <w:pgMar w:left="240" w:top="172" w:right="1440" w:bottom="196" w:gutter="0" w:footer="0" w:header="0"/>
          <w:type w:val="continuous"/>
        </w:sectPr>
      </w:pPr>
    </w:p>
    <w:bookmarkStart w:id="23" w:name="page24"/>
    <w:bookmarkEnd w:id="23"/>
    <w:p>
      <w:pPr>
        <w:jc w:val="center"/>
        <w:ind w:right="-39"/>
        <w:spacing w:after="0"/>
        <w:rPr>
          <w:sz w:val="20"/>
          <w:szCs w:val="20"/>
          <w:color w:val="auto"/>
        </w:rPr>
      </w:pPr>
      <w:r>
        <w:rPr>
          <w:rFonts w:ascii="Arial" w:cs="Arial" w:eastAsia="Arial" w:hAnsi="Arial"/>
          <w:sz w:val="22"/>
          <w:szCs w:val="22"/>
          <w:b w:val="1"/>
          <w:bCs w:val="1"/>
          <w:u w:val="single" w:color="auto"/>
          <w:color w:val="auto"/>
        </w:rPr>
        <w:t>ACKNOWLEDGMENT</w:t>
      </w:r>
    </w:p>
    <w:p>
      <w:pPr>
        <w:spacing w:after="0" w:line="212"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 subject to all the terms,</w:t>
      </w:r>
    </w:p>
    <w:p>
      <w:pPr>
        <w:spacing w:after="0" w:line="2" w:lineRule="exact"/>
        <w:rPr>
          <w:sz w:val="20"/>
          <w:szCs w:val="20"/>
          <w:color w:val="auto"/>
        </w:rPr>
      </w:pPr>
    </w:p>
    <w:p>
      <w:pPr>
        <w:ind w:right="900"/>
        <w:spacing w:after="0" w:line="308" w:lineRule="auto"/>
        <w:rPr>
          <w:sz w:val="20"/>
          <w:szCs w:val="20"/>
          <w:color w:val="auto"/>
        </w:rPr>
      </w:pPr>
      <w:r>
        <w:rPr>
          <w:rFonts w:ascii="Arial" w:cs="Arial" w:eastAsia="Arial" w:hAnsi="Arial"/>
          <w:sz w:val="19"/>
          <w:szCs w:val="19"/>
          <w:color w:val="auto"/>
        </w:rPr>
        <w:t>conditions and provisions thereof. The Optionee hereby agrees to accept as binding, conclusive and final, all decisions or interpretations of the Board of Directors or the Committee upon any questions arising under the Plan.</w:t>
      </w:r>
    </w:p>
    <w:p>
      <w:pPr>
        <w:sectPr>
          <w:pgSz w:w="11900" w:h="16838" w:orient="portrait"/>
          <w:cols w:equalWidth="0" w:num="1">
            <w:col w:w="11380"/>
          </w:cols>
          <w:pgMar w:left="240" w:top="355" w:right="279" w:bottom="1440" w:gutter="0" w:footer="0" w:header="0"/>
        </w:sect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Date: ___________________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61" w:lineRule="exact"/>
        <w:rPr>
          <w:sz w:val="20"/>
          <w:szCs w:val="20"/>
          <w:color w:val="auto"/>
        </w:rPr>
      </w:pPr>
    </w:p>
    <w:p>
      <w:pPr>
        <w:sectPr>
          <w:pgSz w:w="11900" w:h="16838" w:orient="portrait"/>
          <w:cols w:equalWidth="0" w:num="2">
            <w:col w:w="2840" w:space="720"/>
            <w:col w:w="7820"/>
          </w:cols>
          <w:pgMar w:left="240" w:top="355" w:right="279"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380"/>
          </w:cols>
          <w:pgMar w:left="240" w:top="35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8"/>
              </w:rPr>
              <w:t>NOTICE OF EXERCISE OF STOCK OPTION</w:t>
            </w:r>
          </w:p>
        </w:tc>
      </w:tr>
      <w:tr>
        <w:trPr>
          <w:trHeight w:val="553"/>
        </w:trPr>
        <w:tc>
          <w:tcPr>
            <w:tcW w:w="520" w:type="dxa"/>
            <w:vAlign w:val="bottom"/>
          </w:tcPr>
          <w:p>
            <w:pPr>
              <w:spacing w:after="0"/>
              <w:rPr>
                <w:sz w:val="20"/>
                <w:szCs w:val="20"/>
                <w:color w:val="auto"/>
              </w:rPr>
            </w:pPr>
            <w:r>
              <w:rPr>
                <w:rFonts w:ascii="Arial" w:cs="Arial" w:eastAsia="Arial" w:hAnsi="Arial"/>
                <w:sz w:val="22"/>
                <w:szCs w:val="22"/>
                <w:color w:val="auto"/>
              </w:rPr>
              <w:t>To:</w:t>
            </w:r>
          </w:p>
        </w:tc>
        <w:tc>
          <w:tcPr>
            <w:tcW w:w="5880" w:type="dxa"/>
            <w:vAlign w:val="bottom"/>
            <w:gridSpan w:val="2"/>
          </w:tcPr>
          <w:p>
            <w:pPr>
              <w:ind w:left="240"/>
              <w:spacing w:after="0"/>
              <w:rPr>
                <w:sz w:val="20"/>
                <w:szCs w:val="20"/>
                <w:color w:val="auto"/>
              </w:rPr>
            </w:pPr>
            <w:r>
              <w:rPr>
                <w:rFonts w:ascii="Arial" w:cs="Arial" w:eastAsia="Arial" w:hAnsi="Arial"/>
                <w:sz w:val="22"/>
                <w:szCs w:val="22"/>
                <w:color w:val="auto"/>
              </w:rPr>
              <w:t>inTEST Corporation</w:t>
            </w:r>
          </w:p>
        </w:tc>
      </w:tr>
      <w:tr>
        <w:trPr>
          <w:trHeight w:val="243"/>
        </w:trPr>
        <w:tc>
          <w:tcPr>
            <w:tcW w:w="520" w:type="dxa"/>
            <w:vAlign w:val="bottom"/>
          </w:tcPr>
          <w:p>
            <w:pPr>
              <w:spacing w:after="0"/>
              <w:rPr>
                <w:sz w:val="21"/>
                <w:szCs w:val="21"/>
                <w:color w:val="auto"/>
              </w:rPr>
            </w:pPr>
          </w:p>
        </w:tc>
        <w:tc>
          <w:tcPr>
            <w:tcW w:w="58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804 East Gate Drive, Suite 200</w:t>
            </w:r>
          </w:p>
        </w:tc>
      </w:tr>
      <w:tr>
        <w:trPr>
          <w:trHeight w:val="243"/>
        </w:trPr>
        <w:tc>
          <w:tcPr>
            <w:tcW w:w="520" w:type="dxa"/>
            <w:vAlign w:val="bottom"/>
          </w:tcPr>
          <w:p>
            <w:pPr>
              <w:spacing w:after="0"/>
              <w:rPr>
                <w:sz w:val="21"/>
                <w:szCs w:val="21"/>
                <w:color w:val="auto"/>
              </w:rPr>
            </w:pPr>
          </w:p>
        </w:tc>
        <w:tc>
          <w:tcPr>
            <w:tcW w:w="58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Mt. Laurel, NJ 08054</w:t>
            </w:r>
          </w:p>
        </w:tc>
      </w:tr>
      <w:tr>
        <w:trPr>
          <w:trHeight w:val="275"/>
        </w:trPr>
        <w:tc>
          <w:tcPr>
            <w:tcW w:w="520" w:type="dxa"/>
            <w:vAlign w:val="bottom"/>
          </w:tcPr>
          <w:p>
            <w:pPr>
              <w:spacing w:after="0"/>
              <w:rPr>
                <w:sz w:val="23"/>
                <w:szCs w:val="23"/>
                <w:color w:val="auto"/>
              </w:rPr>
            </w:pPr>
          </w:p>
        </w:tc>
        <w:tc>
          <w:tcPr>
            <w:tcW w:w="5880" w:type="dxa"/>
            <w:vAlign w:val="bottom"/>
            <w:gridSpan w:val="2"/>
          </w:tcPr>
          <w:p>
            <w:pPr>
              <w:ind w:left="240"/>
              <w:spacing w:after="0"/>
              <w:rPr>
                <w:sz w:val="20"/>
                <w:szCs w:val="20"/>
                <w:color w:val="auto"/>
              </w:rPr>
            </w:pPr>
            <w:r>
              <w:rPr>
                <w:rFonts w:ascii="Arial" w:cs="Arial" w:eastAsia="Arial" w:hAnsi="Arial"/>
                <w:sz w:val="22"/>
                <w:szCs w:val="22"/>
                <w:color w:val="auto"/>
              </w:rPr>
              <w:t>Attn: Chief Financial Officer</w:t>
            </w:r>
          </w:p>
        </w:tc>
      </w:tr>
    </w:tbl>
    <w:p>
      <w:pPr>
        <w:spacing w:after="0" w:line="279"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_____________, 20___</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Section 4 of the Non-Qualified Stock Option Agreement dated as of _____________________ (the "Option"), I</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hereby irrevocably elect to exercise the Option to purchase _____________ Option Shares of the Common Stock of inTEST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Corporation (the "Corporation") at the exercise price of ___________________________ ($____) per Option Share and deliver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herewith a bank check payable to the order of the Corporation for the aggregate exercise price of $________________.</w:t>
      </w:r>
    </w:p>
    <w:p>
      <w:pPr>
        <w:spacing w:after="0" w:line="20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Signature*: ______________________________</w:t>
      </w:r>
    </w:p>
    <w:p>
      <w:pPr>
        <w:ind w:left="4880"/>
        <w:spacing w:after="0" w:line="238" w:lineRule="auto"/>
        <w:rPr>
          <w:sz w:val="20"/>
          <w:szCs w:val="20"/>
          <w:color w:val="auto"/>
        </w:rPr>
      </w:pPr>
      <w:r>
        <w:rPr>
          <w:rFonts w:ascii="Arial" w:cs="Arial" w:eastAsia="Arial" w:hAnsi="Arial"/>
          <w:sz w:val="22"/>
          <w:szCs w:val="22"/>
          <w:color w:val="auto"/>
        </w:rPr>
        <w:t>Name*:</w:t>
      </w:r>
    </w:p>
    <w:p>
      <w:pPr>
        <w:ind w:left="4880"/>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Phone:</w:t>
      </w:r>
    </w:p>
    <w:p>
      <w:pPr>
        <w:spacing w:after="0" w:line="8" w:lineRule="exact"/>
        <w:rPr>
          <w:sz w:val="20"/>
          <w:szCs w:val="20"/>
          <w:color w:val="auto"/>
        </w:rPr>
      </w:pPr>
    </w:p>
    <w:p>
      <w:pPr>
        <w:ind w:left="5160" w:hanging="290"/>
        <w:spacing w:after="0"/>
        <w:tabs>
          <w:tab w:leader="none" w:pos="5160" w:val="left"/>
        </w:tabs>
        <w:numPr>
          <w:ilvl w:val="1"/>
          <w:numId w:val="12"/>
        </w:numPr>
        <w:rPr>
          <w:rFonts w:ascii="Arial" w:cs="Arial" w:eastAsia="Arial" w:hAnsi="Arial"/>
          <w:sz w:val="21"/>
          <w:szCs w:val="21"/>
          <w:color w:val="auto"/>
        </w:rPr>
      </w:pPr>
      <w:r>
        <w:rPr>
          <w:rFonts w:ascii="Arial" w:cs="Arial" w:eastAsia="Arial" w:hAnsi="Arial"/>
          <w:sz w:val="21"/>
          <w:szCs w:val="21"/>
          <w:color w:val="auto"/>
        </w:rPr>
        <w:t>#:</w:t>
      </w:r>
    </w:p>
    <w:p>
      <w:pPr>
        <w:spacing w:after="0" w:line="19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The signature and name should correspond exactly with the name on the first page of the Option.</w:t>
      </w:r>
    </w:p>
    <w:p>
      <w:pPr>
        <w:sectPr>
          <w:pgSz w:w="11900" w:h="16838" w:orient="portrait"/>
          <w:cols w:equalWidth="0" w:num="1">
            <w:col w:w="11380"/>
          </w:cols>
          <w:pgMar w:left="240" w:top="355" w:right="279" w:bottom="1440" w:gutter="0" w:footer="0" w:header="0"/>
          <w:type w:val="continuous"/>
        </w:sectPr>
      </w:pPr>
    </w:p>
    <w:bookmarkStart w:id="24" w:name="page25"/>
    <w:bookmarkEnd w:id="24"/>
    <w:p>
      <w:pPr>
        <w:spacing w:after="0" w:line="4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Stock Option Agreement</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_____________________</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inTEST Corporation, a Delaware corporation ("inTEST"), hereby grants to _________________ (the "Optionee") an option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 a total of __________________ (_________) shares of the Common Stock (the "Option Shares") of inTEST, at the price</w:t>
      </w:r>
    </w:p>
    <w:p>
      <w:pPr>
        <w:spacing w:after="0" w:line="25" w:lineRule="exact"/>
        <w:rPr>
          <w:sz w:val="20"/>
          <w:szCs w:val="20"/>
          <w:color w:val="auto"/>
        </w:rPr>
      </w:pPr>
    </w:p>
    <w:p>
      <w:pPr>
        <w:ind w:right="320"/>
        <w:spacing w:after="0" w:line="267" w:lineRule="auto"/>
        <w:rPr>
          <w:sz w:val="20"/>
          <w:szCs w:val="20"/>
          <w:color w:val="auto"/>
        </w:rPr>
      </w:pPr>
      <w:r>
        <w:rPr>
          <w:rFonts w:ascii="Arial" w:cs="Arial" w:eastAsia="Arial" w:hAnsi="Arial"/>
          <w:sz w:val="19"/>
          <w:szCs w:val="19"/>
          <w:color w:val="auto"/>
        </w:rPr>
        <w:t>and on the terms and conditions set forth herein and in all respects subject to the terms, conditions and provisions of the inTEST Corporation _______ Stock Plan (the "Plan") applicable to incentive options, which terms, conditions and provisions are hereby</w:t>
      </w:r>
    </w:p>
    <w:p>
      <w:pPr>
        <w:ind w:right="320"/>
        <w:spacing w:after="0" w:line="237" w:lineRule="auto"/>
        <w:rPr>
          <w:sz w:val="20"/>
          <w:szCs w:val="20"/>
          <w:color w:val="auto"/>
        </w:rPr>
      </w:pPr>
      <w:r>
        <w:rPr>
          <w:rFonts w:ascii="Arial" w:cs="Arial" w:eastAsia="Arial" w:hAnsi="Arial"/>
          <w:sz w:val="22"/>
          <w:szCs w:val="22"/>
          <w:color w:val="auto"/>
        </w:rPr>
        <w:t>incorporated herein by reference. Unless the context herein otherwise requires, the terms defined in the Plan shall have the same meanings herein.</w:t>
      </w:r>
    </w:p>
    <w:p>
      <w:pPr>
        <w:spacing w:after="0" w:line="273" w:lineRule="exact"/>
        <w:rPr>
          <w:sz w:val="20"/>
          <w:szCs w:val="20"/>
          <w:color w:val="auto"/>
        </w:rPr>
      </w:pPr>
    </w:p>
    <w:p>
      <w:pPr>
        <w:ind w:left="580" w:hanging="477"/>
        <w:spacing w:after="0"/>
        <w:tabs>
          <w:tab w:leader="none" w:pos="5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Option</w:t>
      </w:r>
    </w:p>
    <w:p>
      <w:pPr>
        <w:spacing w:after="0" w:line="185" w:lineRule="exact"/>
        <w:rPr>
          <w:rFonts w:ascii="Arial" w:cs="Arial" w:eastAsia="Arial" w:hAnsi="Arial"/>
          <w:sz w:val="22"/>
          <w:szCs w:val="22"/>
          <w:b w:val="1"/>
          <w:bCs w:val="1"/>
          <w:color w:val="auto"/>
        </w:rPr>
      </w:pPr>
    </w:p>
    <w:p>
      <w:pPr>
        <w:ind w:left="580" w:right="250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This Option is intended to be an incentive stock option within the meaning of Section 422 of the Internal Revenue Code of 1986, as amended (the "Code").</w:t>
      </w:r>
    </w:p>
    <w:p>
      <w:pPr>
        <w:spacing w:after="0" w:line="140" w:lineRule="exact"/>
        <w:rPr>
          <w:rFonts w:ascii="Arial" w:cs="Arial" w:eastAsia="Arial" w:hAnsi="Arial"/>
          <w:sz w:val="22"/>
          <w:szCs w:val="22"/>
          <w:b w:val="1"/>
          <w:bCs w:val="1"/>
          <w:color w:val="auto"/>
        </w:rPr>
      </w:pPr>
    </w:p>
    <w:p>
      <w:pPr>
        <w:ind w:left="580" w:hanging="477"/>
        <w:spacing w:after="0"/>
        <w:tabs>
          <w:tab w:leader="none" w:pos="5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Term of Option</w:t>
      </w:r>
    </w:p>
    <w:p>
      <w:pPr>
        <w:spacing w:after="0" w:line="185" w:lineRule="exact"/>
        <w:rPr>
          <w:rFonts w:ascii="Arial" w:cs="Arial" w:eastAsia="Arial" w:hAnsi="Arial"/>
          <w:sz w:val="22"/>
          <w:szCs w:val="22"/>
          <w:b w:val="1"/>
          <w:bCs w:val="1"/>
          <w:color w:val="auto"/>
        </w:rPr>
      </w:pPr>
    </w:p>
    <w:p>
      <w:pPr>
        <w:ind w:left="580" w:right="212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This Option is granted as of ______________ (the "Date of Grant") and it may not be exercised later than the close of business on ________________ (the "Expiration Date"); however, this Option is subject to earlier termination as set forth in this Option Agreement and in the Plan.</w:t>
      </w:r>
    </w:p>
    <w:p>
      <w:pPr>
        <w:spacing w:after="0" w:line="101" w:lineRule="exact"/>
        <w:rPr>
          <w:rFonts w:ascii="Arial" w:cs="Arial" w:eastAsia="Arial" w:hAnsi="Arial"/>
          <w:sz w:val="22"/>
          <w:szCs w:val="22"/>
          <w:b w:val="1"/>
          <w:bCs w:val="1"/>
          <w:color w:val="auto"/>
        </w:rPr>
      </w:pPr>
    </w:p>
    <w:p>
      <w:pPr>
        <w:ind w:left="580" w:hanging="477"/>
        <w:spacing w:after="0"/>
        <w:tabs>
          <w:tab w:leader="none" w:pos="5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Option Exercise Price</w:t>
      </w:r>
    </w:p>
    <w:p>
      <w:pPr>
        <w:spacing w:after="0" w:line="185" w:lineRule="exact"/>
        <w:rPr>
          <w:rFonts w:ascii="Arial" w:cs="Arial" w:eastAsia="Arial" w:hAnsi="Arial"/>
          <w:sz w:val="22"/>
          <w:szCs w:val="22"/>
          <w:b w:val="1"/>
          <w:bCs w:val="1"/>
          <w:color w:val="auto"/>
        </w:rPr>
      </w:pPr>
    </w:p>
    <w:p>
      <w:pPr>
        <w:ind w:left="580" w:right="222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The Option exercise price ("Option Price") is ___________________________ ($____) per Option Share.</w:t>
      </w:r>
    </w:p>
    <w:p>
      <w:pPr>
        <w:spacing w:after="0" w:line="140" w:lineRule="exact"/>
        <w:rPr>
          <w:rFonts w:ascii="Arial" w:cs="Arial" w:eastAsia="Arial" w:hAnsi="Arial"/>
          <w:sz w:val="22"/>
          <w:szCs w:val="22"/>
          <w:b w:val="1"/>
          <w:bCs w:val="1"/>
          <w:color w:val="auto"/>
        </w:rPr>
      </w:pPr>
    </w:p>
    <w:p>
      <w:pPr>
        <w:ind w:left="580" w:hanging="477"/>
        <w:spacing w:after="0"/>
        <w:tabs>
          <w:tab w:leader="none" w:pos="5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w:t>
      </w:r>
    </w:p>
    <w:p>
      <w:pPr>
        <w:spacing w:after="0" w:line="185" w:lineRule="exact"/>
        <w:rPr>
          <w:rFonts w:ascii="Arial" w:cs="Arial" w:eastAsia="Arial" w:hAnsi="Arial"/>
          <w:sz w:val="22"/>
          <w:szCs w:val="22"/>
          <w:b w:val="1"/>
          <w:bCs w:val="1"/>
          <w:color w:val="auto"/>
        </w:rPr>
      </w:pPr>
    </w:p>
    <w:p>
      <w:pPr>
        <w:ind w:left="580" w:right="290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This Option is exercisable during its term only in accordance with the terms, conditions and provisions of the Plan and this Option Agreement as follows:</w:t>
      </w:r>
    </w:p>
    <w:p>
      <w:pPr>
        <w:spacing w:after="0" w:line="146" w:lineRule="exact"/>
        <w:rPr>
          <w:rFonts w:ascii="Arial" w:cs="Arial" w:eastAsia="Arial" w:hAnsi="Arial"/>
          <w:sz w:val="22"/>
          <w:szCs w:val="22"/>
          <w:b w:val="1"/>
          <w:bCs w:val="1"/>
          <w:color w:val="auto"/>
        </w:rPr>
      </w:pPr>
    </w:p>
    <w:p>
      <w:pPr>
        <w:ind w:left="1160" w:right="2220" w:hanging="571"/>
        <w:spacing w:after="0" w:line="282" w:lineRule="auto"/>
        <w:tabs>
          <w:tab w:leader="none" w:pos="1160" w:val="left"/>
        </w:tabs>
        <w:numPr>
          <w:ilvl w:val="1"/>
          <w:numId w:val="13"/>
        </w:numPr>
        <w:rPr>
          <w:rFonts w:ascii="Arial" w:cs="Arial" w:eastAsia="Arial" w:hAnsi="Arial"/>
          <w:sz w:val="19"/>
          <w:szCs w:val="19"/>
          <w:color w:val="auto"/>
        </w:rPr>
      </w:pPr>
      <w:r>
        <w:rPr>
          <w:rFonts w:ascii="Arial" w:cs="Arial" w:eastAsia="Arial" w:hAnsi="Arial"/>
          <w:sz w:val="19"/>
          <w:szCs w:val="19"/>
          <w:i w:val="1"/>
          <w:iCs w:val="1"/>
          <w:u w:val="single" w:color="auto"/>
          <w:color w:val="auto"/>
        </w:rPr>
        <w:t>Right to Exercise</w:t>
      </w:r>
      <w:r>
        <w:rPr>
          <w:rFonts w:ascii="Arial" w:cs="Arial" w:eastAsia="Arial" w:hAnsi="Arial"/>
          <w:sz w:val="19"/>
          <w:szCs w:val="19"/>
          <w:color w:val="auto"/>
        </w:rPr>
        <w:t>. This Option shall vest at the rate: ______________________________,</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however, that the Optionee is in the employ of inTEST or any of its Affiliates on such anniversary date.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120" w:lineRule="exact"/>
        <w:rPr>
          <w:rFonts w:ascii="Arial" w:cs="Arial" w:eastAsia="Arial" w:hAnsi="Arial"/>
          <w:sz w:val="19"/>
          <w:szCs w:val="19"/>
          <w:color w:val="auto"/>
        </w:rPr>
      </w:pPr>
    </w:p>
    <w:p>
      <w:pPr>
        <w:ind w:left="1160" w:right="2060" w:hanging="571"/>
        <w:spacing w:after="0" w:line="276" w:lineRule="auto"/>
        <w:tabs>
          <w:tab w:leader="none" w:pos="1160" w:val="left"/>
        </w:tabs>
        <w:numPr>
          <w:ilvl w:val="1"/>
          <w:numId w:val="13"/>
        </w:numPr>
        <w:rPr>
          <w:rFonts w:ascii="Arial" w:cs="Arial" w:eastAsia="Arial" w:hAnsi="Arial"/>
          <w:sz w:val="19"/>
          <w:szCs w:val="19"/>
          <w:color w:val="auto"/>
        </w:rPr>
      </w:pPr>
      <w:r>
        <w:rPr>
          <w:rFonts w:ascii="Arial" w:cs="Arial" w:eastAsia="Arial" w:hAnsi="Arial"/>
          <w:sz w:val="19"/>
          <w:szCs w:val="19"/>
          <w:i w:val="1"/>
          <w:iCs w:val="1"/>
          <w:u w:val="single" w:color="auto"/>
          <w:color w:val="auto"/>
        </w:rPr>
        <w:t>Method of Exercise</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When exercisable, this Option shall be exercised only upon receipt by</w:t>
      </w:r>
      <w:r>
        <w:rPr>
          <w:rFonts w:ascii="Arial" w:cs="Arial" w:eastAsia="Arial" w:hAnsi="Arial"/>
          <w:sz w:val="19"/>
          <w:szCs w:val="19"/>
          <w:i w:val="1"/>
          <w:iCs w:val="1"/>
          <w:color w:val="auto"/>
        </w:rPr>
        <w:t xml:space="preserve"> </w:t>
      </w:r>
      <w:r>
        <w:rPr>
          <w:rFonts w:ascii="Arial" w:cs="Arial" w:eastAsia="Arial" w:hAnsi="Arial"/>
          <w:sz w:val="19"/>
          <w:szCs w:val="19"/>
          <w:color w:val="auto"/>
        </w:rPr>
        <w:t>inTEST, in form and substance acceptable to inTEST, of (i) written notice of such exercise and</w:t>
      </w:r>
    </w:p>
    <w:p>
      <w:pPr>
        <w:spacing w:after="0" w:line="1" w:lineRule="exact"/>
        <w:rPr>
          <w:rFonts w:ascii="Arial" w:cs="Arial" w:eastAsia="Arial" w:hAnsi="Arial"/>
          <w:sz w:val="19"/>
          <w:szCs w:val="19"/>
          <w:color w:val="auto"/>
        </w:rPr>
      </w:pPr>
    </w:p>
    <w:p>
      <w:pPr>
        <w:ind w:left="1160" w:right="2060" w:hanging="4"/>
        <w:spacing w:after="0" w:line="232" w:lineRule="auto"/>
        <w:tabs>
          <w:tab w:leader="none" w:pos="1478" w:val="left"/>
        </w:tabs>
        <w:numPr>
          <w:ilvl w:val="2"/>
          <w:numId w:val="13"/>
        </w:numPr>
        <w:rPr>
          <w:rFonts w:ascii="Arial" w:cs="Arial" w:eastAsia="Arial" w:hAnsi="Arial"/>
          <w:sz w:val="22"/>
          <w:szCs w:val="22"/>
          <w:color w:val="auto"/>
        </w:rPr>
      </w:pPr>
      <w:r>
        <w:rPr>
          <w:rFonts w:ascii="Arial" w:cs="Arial" w:eastAsia="Arial" w:hAnsi="Arial"/>
          <w:sz w:val="22"/>
          <w:szCs w:val="22"/>
          <w:color w:val="auto"/>
        </w:rPr>
        <w:t>payment in full of the Option Price for the Option Shares to be purchased and any additional amount described in Section 13 below. Each such notice shall (i) specify the number of Option Shares to be purchased, (ii) satisfy the securities law requirements set forth in the Plan, and (iii) contain a statement by the Optionee acknowledging that the Option will not be treated as an incentive stock option for federal income tax purposes if the Option is exercised more than three (3) months after the termination of employment, or if the Option Shares are sold or otherwise disposed of within one (1) year of exercise or two (2) years from the Date of Grant.</w:t>
      </w:r>
    </w:p>
    <w:p>
      <w:pPr>
        <w:spacing w:after="0" w:line="159" w:lineRule="exact"/>
        <w:rPr>
          <w:rFonts w:ascii="Arial" w:cs="Arial" w:eastAsia="Arial" w:hAnsi="Arial"/>
          <w:sz w:val="22"/>
          <w:szCs w:val="22"/>
          <w:color w:val="auto"/>
        </w:rPr>
      </w:pPr>
    </w:p>
    <w:p>
      <w:pPr>
        <w:ind w:left="1160" w:right="2060" w:hanging="571"/>
        <w:spacing w:after="0" w:line="282" w:lineRule="auto"/>
        <w:tabs>
          <w:tab w:leader="none" w:pos="1160" w:val="left"/>
        </w:tabs>
        <w:numPr>
          <w:ilvl w:val="1"/>
          <w:numId w:val="13"/>
        </w:numPr>
        <w:rPr>
          <w:rFonts w:ascii="Arial" w:cs="Arial" w:eastAsia="Arial" w:hAnsi="Arial"/>
          <w:sz w:val="19"/>
          <w:szCs w:val="19"/>
          <w:color w:val="auto"/>
        </w:rPr>
      </w:pPr>
      <w:r>
        <w:rPr>
          <w:rFonts w:ascii="Arial" w:cs="Arial" w:eastAsia="Arial" w:hAnsi="Arial"/>
          <w:sz w:val="19"/>
          <w:szCs w:val="19"/>
          <w:i w:val="1"/>
          <w:iCs w:val="1"/>
          <w:u w:val="single" w:color="auto"/>
          <w:color w:val="auto"/>
        </w:rPr>
        <w:t>Restrictions on Exercise</w:t>
      </w:r>
      <w:r>
        <w:rPr>
          <w:rFonts w:ascii="Arial" w:cs="Arial" w:eastAsia="Arial" w:hAnsi="Arial"/>
          <w:sz w:val="19"/>
          <w:szCs w:val="19"/>
          <w:color w:val="auto"/>
        </w:rPr>
        <w:t>. This Option may not be exercised if the issuance of the option Shares</w:t>
      </w:r>
      <w:r>
        <w:rPr>
          <w:rFonts w:ascii="Arial" w:cs="Arial" w:eastAsia="Arial" w:hAnsi="Arial"/>
          <w:sz w:val="19"/>
          <w:szCs w:val="19"/>
          <w:i w:val="1"/>
          <w:iCs w:val="1"/>
          <w:color w:val="auto"/>
        </w:rPr>
        <w:t xml:space="preserve"> </w:t>
      </w:r>
      <w:r>
        <w:rPr>
          <w:rFonts w:ascii="Arial" w:cs="Arial" w:eastAsia="Arial" w:hAnsi="Arial"/>
          <w:sz w:val="19"/>
          <w:szCs w:val="19"/>
          <w:color w:val="auto"/>
        </w:rPr>
        <w:t>upon such exercise would constitute a violation of 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114" w:lineRule="exact"/>
        <w:rPr>
          <w:rFonts w:ascii="Arial" w:cs="Arial" w:eastAsia="Arial" w:hAnsi="Arial"/>
          <w:sz w:val="19"/>
          <w:szCs w:val="19"/>
          <w:color w:val="auto"/>
        </w:rPr>
      </w:pPr>
    </w:p>
    <w:p>
      <w:pPr>
        <w:ind w:left="580" w:hanging="477"/>
        <w:spacing w:after="0"/>
        <w:tabs>
          <w:tab w:leader="none" w:pos="5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Option Shares</w:t>
      </w:r>
    </w:p>
    <w:p>
      <w:pPr>
        <w:spacing w:after="0" w:line="185" w:lineRule="exact"/>
        <w:rPr>
          <w:rFonts w:ascii="Arial" w:cs="Arial" w:eastAsia="Arial" w:hAnsi="Arial"/>
          <w:sz w:val="22"/>
          <w:szCs w:val="22"/>
          <w:b w:val="1"/>
          <w:bCs w:val="1"/>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color w:val="auto"/>
        </w:rPr>
        <w:t>The Optionee shall pay for the shares (i) in cash, (ii) by bank check payable to the order of inTEST or</w:t>
      </w:r>
    </w:p>
    <w:p>
      <w:pPr>
        <w:spacing w:after="0" w:line="8" w:lineRule="exact"/>
        <w:rPr>
          <w:rFonts w:ascii="Arial" w:cs="Arial" w:eastAsia="Arial" w:hAnsi="Arial"/>
          <w:sz w:val="22"/>
          <w:szCs w:val="22"/>
          <w:b w:val="1"/>
          <w:bCs w:val="1"/>
          <w:color w:val="auto"/>
        </w:rPr>
      </w:pPr>
    </w:p>
    <w:p>
      <w:pPr>
        <w:ind w:left="960" w:hanging="371"/>
        <w:spacing w:after="0"/>
        <w:tabs>
          <w:tab w:leader="none" w:pos="9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by such other mode of payment as inTEST may approve.</w:t>
      </w:r>
    </w:p>
    <w:p>
      <w:pPr>
        <w:spacing w:after="0" w:line="155" w:lineRule="exact"/>
        <w:rPr>
          <w:rFonts w:ascii="Arial" w:cs="Arial" w:eastAsia="Arial" w:hAnsi="Arial"/>
          <w:sz w:val="22"/>
          <w:szCs w:val="22"/>
          <w:color w:val="auto"/>
        </w:rPr>
      </w:pPr>
    </w:p>
    <w:p>
      <w:pPr>
        <w:ind w:left="580" w:hanging="477"/>
        <w:spacing w:after="0"/>
        <w:tabs>
          <w:tab w:leader="none" w:pos="5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Option Shares</w:t>
      </w:r>
    </w:p>
    <w:p>
      <w:pPr>
        <w:spacing w:after="0" w:line="185" w:lineRule="exact"/>
        <w:rPr>
          <w:rFonts w:ascii="Arial" w:cs="Arial" w:eastAsia="Arial" w:hAnsi="Arial"/>
          <w:sz w:val="22"/>
          <w:szCs w:val="22"/>
          <w:b w:val="1"/>
          <w:bCs w:val="1"/>
          <w:color w:val="auto"/>
        </w:rPr>
      </w:pPr>
    </w:p>
    <w:p>
      <w:pPr>
        <w:jc w:val="both"/>
        <w:ind w:left="580" w:right="2120"/>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ectPr>
          <w:pgSz w:w="11900" w:h="16881" w:orient="portrait"/>
          <w:cols w:equalWidth="0" w:num="1">
            <w:col w:w="11420"/>
          </w:cols>
          <w:pgMar w:left="240" w:top="111" w:right="239" w:bottom="0" w:gutter="0" w:footer="0" w:header="0"/>
        </w:sectPr>
      </w:pPr>
    </w:p>
    <w:bookmarkStart w:id="25" w:name="page26"/>
    <w:bookmarkEnd w:id="25"/>
    <w:p>
      <w:pPr>
        <w:spacing w:after="0" w:line="171" w:lineRule="exact"/>
        <w:rPr>
          <w:sz w:val="20"/>
          <w:szCs w:val="20"/>
          <w:color w:val="auto"/>
        </w:rPr>
      </w:pPr>
    </w:p>
    <w:p>
      <w:pPr>
        <w:ind w:left="477" w:hanging="477"/>
        <w:spacing w:after="0"/>
        <w:tabs>
          <w:tab w:leader="none" w:pos="477"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Disqualifying Disposition</w:t>
      </w:r>
    </w:p>
    <w:p>
      <w:pPr>
        <w:spacing w:after="0" w:line="185" w:lineRule="exact"/>
        <w:rPr>
          <w:rFonts w:ascii="Arial" w:cs="Arial" w:eastAsia="Arial" w:hAnsi="Arial"/>
          <w:sz w:val="22"/>
          <w:szCs w:val="22"/>
          <w:b w:val="1"/>
          <w:bCs w:val="1"/>
          <w:color w:val="auto"/>
        </w:rPr>
      </w:pPr>
    </w:p>
    <w:p>
      <w:pPr>
        <w:ind w:left="477" w:right="879"/>
        <w:spacing w:after="0" w:line="276" w:lineRule="auto"/>
        <w:rPr>
          <w:rFonts w:ascii="Arial" w:cs="Arial" w:eastAsia="Arial" w:hAnsi="Arial"/>
          <w:sz w:val="22"/>
          <w:szCs w:val="22"/>
          <w:b w:val="1"/>
          <w:bCs w:val="1"/>
          <w:color w:val="auto"/>
        </w:rPr>
      </w:pPr>
      <w:r>
        <w:rPr>
          <w:rFonts w:ascii="Arial" w:cs="Arial" w:eastAsia="Arial" w:hAnsi="Arial"/>
          <w:sz w:val="19"/>
          <w:szCs w:val="19"/>
          <w:color w:val="auto"/>
        </w:rPr>
        <w:t>The Optionee shall notify inTEST if any Option Shares received upon exercise of this Option are sold, assigned, gifted, transferred or disposed of in any manner within one (1) year of exercise or two</w:t>
      </w:r>
    </w:p>
    <w:p>
      <w:pPr>
        <w:spacing w:after="0" w:line="1" w:lineRule="exact"/>
        <w:rPr>
          <w:rFonts w:ascii="Arial" w:cs="Arial" w:eastAsia="Arial" w:hAnsi="Arial"/>
          <w:sz w:val="22"/>
          <w:szCs w:val="22"/>
          <w:b w:val="1"/>
          <w:bCs w:val="1"/>
          <w:color w:val="auto"/>
        </w:rPr>
      </w:pPr>
    </w:p>
    <w:p>
      <w:pPr>
        <w:ind w:left="477" w:right="899"/>
        <w:spacing w:after="0" w:line="243" w:lineRule="auto"/>
        <w:rPr>
          <w:rFonts w:ascii="Arial" w:cs="Arial" w:eastAsia="Arial" w:hAnsi="Arial"/>
          <w:sz w:val="22"/>
          <w:szCs w:val="22"/>
          <w:b w:val="1"/>
          <w:bCs w:val="1"/>
          <w:color w:val="auto"/>
        </w:rPr>
      </w:pPr>
      <w:r>
        <w:rPr>
          <w:rFonts w:ascii="Arial" w:cs="Arial" w:eastAsia="Arial" w:hAnsi="Arial"/>
          <w:sz w:val="21"/>
          <w:szCs w:val="21"/>
          <w:color w:val="auto"/>
        </w:rPr>
        <w:t>(2) years from the Date of Grant (a "Disqualifying Disposition"). In the event of a Disqualifying Disposition, the Optionee shall, upon request of inTEST, provide inTEST with the amount of any federal, state or local taxes that inTEST is required to withhold with respect to such Disqualifying Disposition. If inTEST does not withhold income taxes from the Optionee with respect to a Disqualifying Disposition, the Optionee shall timely pay all income taxes resulting from such Disqualifying Disposition, shall provide inTEST with such information as requested by inTEST to substantiate the payment of such taxes, and shall indemnify inTEST against penalties or other damages imposed upon inTEST for failure to withhold taxes, to the extent such penalties or damages could have been reduced or offset had the Optionee paid his or her income taxes attributable to the Disqualifying Disposition or are otherwise attributable to the Optionee's failure to pay his or her taxes.</w:t>
      </w:r>
    </w:p>
    <w:p>
      <w:pPr>
        <w:spacing w:after="0" w:line="149" w:lineRule="exact"/>
        <w:rPr>
          <w:rFonts w:ascii="Arial" w:cs="Arial" w:eastAsia="Arial" w:hAnsi="Arial"/>
          <w:sz w:val="22"/>
          <w:szCs w:val="22"/>
          <w:b w:val="1"/>
          <w:bCs w:val="1"/>
          <w:color w:val="auto"/>
        </w:rPr>
      </w:pPr>
    </w:p>
    <w:p>
      <w:pPr>
        <w:ind w:left="477" w:hanging="477"/>
        <w:spacing w:after="0"/>
        <w:tabs>
          <w:tab w:leader="none" w:pos="477"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Option</w:t>
      </w:r>
    </w:p>
    <w:p>
      <w:pPr>
        <w:spacing w:after="0" w:line="185" w:lineRule="exact"/>
        <w:rPr>
          <w:rFonts w:ascii="Arial" w:cs="Arial" w:eastAsia="Arial" w:hAnsi="Arial"/>
          <w:sz w:val="22"/>
          <w:szCs w:val="22"/>
          <w:b w:val="1"/>
          <w:bCs w:val="1"/>
          <w:color w:val="auto"/>
        </w:rPr>
      </w:pPr>
    </w:p>
    <w:p>
      <w:pPr>
        <w:ind w:left="477" w:right="979"/>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This Option may not be sold, pledged, assigned, hypothecated, gifted, transferred or disposed of in any manner, either voluntarily or involuntarily by operation of law, other than by will or by the laws of descent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114" w:lineRule="exact"/>
        <w:rPr>
          <w:rFonts w:ascii="Arial" w:cs="Arial" w:eastAsia="Arial" w:hAnsi="Arial"/>
          <w:sz w:val="22"/>
          <w:szCs w:val="22"/>
          <w:b w:val="1"/>
          <w:bCs w:val="1"/>
          <w:color w:val="auto"/>
        </w:rPr>
      </w:pPr>
    </w:p>
    <w:p>
      <w:pPr>
        <w:ind w:left="477" w:hanging="477"/>
        <w:spacing w:after="0"/>
        <w:tabs>
          <w:tab w:leader="none" w:pos="477"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185" w:lineRule="exact"/>
        <w:rPr>
          <w:rFonts w:ascii="Arial" w:cs="Arial" w:eastAsia="Arial" w:hAnsi="Arial"/>
          <w:sz w:val="22"/>
          <w:szCs w:val="22"/>
          <w:b w:val="1"/>
          <w:bCs w:val="1"/>
          <w:color w:val="auto"/>
        </w:rPr>
      </w:pPr>
    </w:p>
    <w:p>
      <w:pPr>
        <w:ind w:left="477" w:right="1039"/>
        <w:spacing w:after="0"/>
        <w:rPr>
          <w:rFonts w:ascii="Arial" w:cs="Arial" w:eastAsia="Arial" w:hAnsi="Arial"/>
          <w:sz w:val="22"/>
          <w:szCs w:val="22"/>
          <w:b w:val="1"/>
          <w:bCs w:val="1"/>
          <w:color w:val="auto"/>
        </w:rPr>
      </w:pPr>
      <w:r>
        <w:rPr>
          <w:rFonts w:ascii="Arial" w:cs="Arial" w:eastAsia="Arial" w:hAnsi="Arial"/>
          <w:sz w:val="22"/>
          <w:szCs w:val="22"/>
          <w:color w:val="auto"/>
        </w:rPr>
        <w:t>This Option shall expire as set forth above and may not be exercised later than the Expiration Date. Notwithstanding the foregoing, this Option may not be exercised after the first to occur of the following:</w:t>
      </w:r>
    </w:p>
    <w:p>
      <w:pPr>
        <w:spacing w:after="0" w:line="159" w:lineRule="exact"/>
        <w:rPr>
          <w:sz w:val="20"/>
          <w:szCs w:val="20"/>
          <w:color w:val="auto"/>
        </w:rPr>
      </w:pPr>
    </w:p>
    <w:p>
      <w:pPr>
        <w:ind w:left="1057" w:right="959" w:hanging="571"/>
        <w:spacing w:after="0"/>
        <w:tabs>
          <w:tab w:leader="none" w:pos="1057" w:val="left"/>
        </w:tabs>
        <w:numPr>
          <w:ilvl w:val="1"/>
          <w:numId w:val="17"/>
        </w:numPr>
        <w:rPr>
          <w:rFonts w:ascii="Arial" w:cs="Arial" w:eastAsia="Arial" w:hAnsi="Arial"/>
          <w:sz w:val="22"/>
          <w:szCs w:val="22"/>
          <w:color w:val="auto"/>
        </w:rPr>
      </w:pPr>
      <w:r>
        <w:rPr>
          <w:rFonts w:ascii="Arial" w:cs="Arial" w:eastAsia="Arial" w:hAnsi="Arial"/>
          <w:sz w:val="22"/>
          <w:szCs w:val="22"/>
          <w:color w:val="auto"/>
        </w:rPr>
        <w:t>five years from the Date of Grant, if on such date the Optionee owns directly or by attribution under the Code, shares possessing more than ten percent (10%) of the total combined voting power of all classes of stock of inTEST;</w:t>
      </w:r>
    </w:p>
    <w:p>
      <w:pPr>
        <w:spacing w:after="0" w:line="159" w:lineRule="exact"/>
        <w:rPr>
          <w:rFonts w:ascii="Arial" w:cs="Arial" w:eastAsia="Arial" w:hAnsi="Arial"/>
          <w:sz w:val="22"/>
          <w:szCs w:val="22"/>
          <w:color w:val="auto"/>
        </w:rPr>
      </w:pPr>
    </w:p>
    <w:p>
      <w:pPr>
        <w:ind w:left="1057" w:right="939" w:hanging="571"/>
        <w:spacing w:after="0" w:line="247" w:lineRule="auto"/>
        <w:tabs>
          <w:tab w:leader="none" w:pos="1057" w:val="left"/>
        </w:tabs>
        <w:numPr>
          <w:ilvl w:val="1"/>
          <w:numId w:val="17"/>
        </w:numPr>
        <w:rPr>
          <w:rFonts w:ascii="Arial" w:cs="Arial" w:eastAsia="Arial" w:hAnsi="Arial"/>
          <w:sz w:val="21"/>
          <w:szCs w:val="21"/>
          <w:color w:val="auto"/>
        </w:rPr>
      </w:pPr>
      <w:r>
        <w:rPr>
          <w:rFonts w:ascii="Arial" w:cs="Arial" w:eastAsia="Arial" w:hAnsi="Arial"/>
          <w:sz w:val="21"/>
          <w:szCs w:val="21"/>
          <w:color w:val="auto"/>
        </w:rPr>
        <w:t>the date set by the Board of Directors of inTEST (the "Board of Directors") to be an accelerated expiration date after a finding by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151" w:lineRule="exact"/>
        <w:rPr>
          <w:rFonts w:ascii="Arial" w:cs="Arial" w:eastAsia="Arial" w:hAnsi="Arial"/>
          <w:sz w:val="21"/>
          <w:szCs w:val="21"/>
          <w:color w:val="auto"/>
        </w:rPr>
      </w:pPr>
    </w:p>
    <w:p>
      <w:pPr>
        <w:ind w:left="1057" w:right="839" w:hanging="571"/>
        <w:spacing w:after="0" w:line="238" w:lineRule="auto"/>
        <w:tabs>
          <w:tab w:leader="none" w:pos="1057" w:val="left"/>
        </w:tabs>
        <w:numPr>
          <w:ilvl w:val="1"/>
          <w:numId w:val="17"/>
        </w:numPr>
        <w:rPr>
          <w:rFonts w:ascii="Arial" w:cs="Arial" w:eastAsia="Arial" w:hAnsi="Arial"/>
          <w:sz w:val="22"/>
          <w:szCs w:val="22"/>
          <w:color w:val="auto"/>
        </w:rPr>
      </w:pPr>
      <w:r>
        <w:rPr>
          <w:rFonts w:ascii="Arial" w:cs="Arial" w:eastAsia="Arial" w:hAnsi="Arial"/>
          <w:sz w:val="22"/>
          <w:szCs w:val="22"/>
          <w:color w:val="auto"/>
        </w:rPr>
        <w:t>expiration of one (1) year from the date the Optionee's employment or service with inTEST (or any of its Affiliates) terminates for any reason other than if the Optionee has been discharged from employment with inTEST for Cause (as defined in the Plan), in which case, this Option shall expire immediately; or</w:t>
      </w:r>
    </w:p>
    <w:p>
      <w:pPr>
        <w:spacing w:after="0" w:line="158" w:lineRule="exact"/>
        <w:rPr>
          <w:rFonts w:ascii="Arial" w:cs="Arial" w:eastAsia="Arial" w:hAnsi="Arial"/>
          <w:sz w:val="22"/>
          <w:szCs w:val="22"/>
          <w:color w:val="auto"/>
        </w:rPr>
      </w:pPr>
    </w:p>
    <w:p>
      <w:pPr>
        <w:ind w:left="1057" w:right="899" w:hanging="571"/>
        <w:spacing w:after="0" w:line="238" w:lineRule="auto"/>
        <w:tabs>
          <w:tab w:leader="none" w:pos="1057"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 the event of a "Change in Control" (as defined in the Plan), the expiration date of any Option which has vested may be accelerated to a date not earlier than thirty (30) days after notice of such acceleration is given to the Optionee, and any Option which has not vested may be terminated.</w:t>
      </w:r>
    </w:p>
    <w:p>
      <w:pPr>
        <w:spacing w:after="0" w:line="152" w:lineRule="exact"/>
        <w:rPr>
          <w:rFonts w:ascii="Arial" w:cs="Arial" w:eastAsia="Arial" w:hAnsi="Arial"/>
          <w:sz w:val="22"/>
          <w:szCs w:val="22"/>
          <w:color w:val="auto"/>
        </w:rPr>
      </w:pPr>
    </w:p>
    <w:p>
      <w:pPr>
        <w:ind w:left="477" w:hanging="477"/>
        <w:spacing w:after="0"/>
        <w:tabs>
          <w:tab w:leader="none" w:pos="477"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Option</w:t>
      </w:r>
    </w:p>
    <w:p>
      <w:pPr>
        <w:spacing w:after="0" w:line="185" w:lineRule="exact"/>
        <w:rPr>
          <w:rFonts w:ascii="Arial" w:cs="Arial" w:eastAsia="Arial" w:hAnsi="Arial"/>
          <w:sz w:val="22"/>
          <w:szCs w:val="22"/>
          <w:b w:val="1"/>
          <w:bCs w:val="1"/>
          <w:color w:val="auto"/>
        </w:rPr>
      </w:pPr>
    </w:p>
    <w:p>
      <w:pPr>
        <w:jc w:val="both"/>
        <w:ind w:left="477" w:right="1119"/>
        <w:spacing w:after="0"/>
        <w:rPr>
          <w:rFonts w:ascii="Arial" w:cs="Arial" w:eastAsia="Arial" w:hAnsi="Arial"/>
          <w:sz w:val="22"/>
          <w:szCs w:val="22"/>
          <w:b w:val="1"/>
          <w:bCs w:val="1"/>
          <w:color w:val="auto"/>
        </w:rPr>
      </w:pPr>
      <w:r>
        <w:rPr>
          <w:rFonts w:ascii="Arial" w:cs="Arial" w:eastAsia="Arial" w:hAnsi="Arial"/>
          <w:sz w:val="22"/>
          <w:szCs w:val="22"/>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153" w:lineRule="exact"/>
        <w:rPr>
          <w:rFonts w:ascii="Arial" w:cs="Arial" w:eastAsia="Arial" w:hAnsi="Arial"/>
          <w:sz w:val="22"/>
          <w:szCs w:val="22"/>
          <w:b w:val="1"/>
          <w:bCs w:val="1"/>
          <w:color w:val="auto"/>
        </w:rPr>
      </w:pPr>
    </w:p>
    <w:p>
      <w:pPr>
        <w:ind w:left="477" w:hanging="477"/>
        <w:spacing w:after="0"/>
        <w:tabs>
          <w:tab w:leader="none" w:pos="477"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w:t>
      </w:r>
    </w:p>
    <w:p>
      <w:pPr>
        <w:spacing w:after="0" w:line="185" w:lineRule="exact"/>
        <w:rPr>
          <w:rFonts w:ascii="Arial" w:cs="Arial" w:eastAsia="Arial" w:hAnsi="Arial"/>
          <w:sz w:val="22"/>
          <w:szCs w:val="22"/>
          <w:b w:val="1"/>
          <w:bCs w:val="1"/>
          <w:color w:val="auto"/>
        </w:rPr>
      </w:pPr>
    </w:p>
    <w:p>
      <w:pPr>
        <w:ind w:left="477" w:right="83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Subject to certain restrictions contained in the Plan, the Board of Directors of inTEST may amend the Plan from time to time in such manner as it may deem advisable.</w:t>
      </w:r>
    </w:p>
    <w:p>
      <w:pPr>
        <w:spacing w:after="0" w:line="140" w:lineRule="exact"/>
        <w:rPr>
          <w:rFonts w:ascii="Arial" w:cs="Arial" w:eastAsia="Arial" w:hAnsi="Arial"/>
          <w:sz w:val="22"/>
          <w:szCs w:val="22"/>
          <w:b w:val="1"/>
          <w:bCs w:val="1"/>
          <w:color w:val="auto"/>
        </w:rPr>
      </w:pPr>
    </w:p>
    <w:p>
      <w:pPr>
        <w:ind w:left="477" w:hanging="477"/>
        <w:spacing w:after="0"/>
        <w:tabs>
          <w:tab w:leader="none" w:pos="477"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Employment</w:t>
      </w:r>
    </w:p>
    <w:p>
      <w:pPr>
        <w:spacing w:after="0" w:line="185" w:lineRule="exact"/>
        <w:rPr>
          <w:rFonts w:ascii="Arial" w:cs="Arial" w:eastAsia="Arial" w:hAnsi="Arial"/>
          <w:sz w:val="22"/>
          <w:szCs w:val="22"/>
          <w:b w:val="1"/>
          <w:bCs w:val="1"/>
          <w:color w:val="auto"/>
        </w:rPr>
      </w:pPr>
    </w:p>
    <w:p>
      <w:pPr>
        <w:ind w:left="477" w:right="979"/>
        <w:spacing w:after="0"/>
        <w:rPr>
          <w:rFonts w:ascii="Arial" w:cs="Arial" w:eastAsia="Arial" w:hAnsi="Arial"/>
          <w:sz w:val="22"/>
          <w:szCs w:val="22"/>
          <w:b w:val="1"/>
          <w:bCs w:val="1"/>
          <w:color w:val="auto"/>
        </w:rPr>
      </w:pPr>
      <w:r>
        <w:rPr>
          <w:rFonts w:ascii="Arial" w:cs="Arial" w:eastAsia="Arial" w:hAnsi="Arial"/>
          <w:sz w:val="22"/>
          <w:szCs w:val="22"/>
          <w:color w:val="auto"/>
        </w:rPr>
        <w:t>The grant of this Option shall not be construed to imply or constitute evidence of any agreement, express or implied, on the part of inTEST to continue the employment of the Optionee with inTEST or any of its Affiliates.</w:t>
      </w:r>
    </w:p>
    <w:p>
      <w:pPr>
        <w:spacing w:after="0" w:line="153" w:lineRule="exact"/>
        <w:rPr>
          <w:rFonts w:ascii="Arial" w:cs="Arial" w:eastAsia="Arial" w:hAnsi="Arial"/>
          <w:sz w:val="22"/>
          <w:szCs w:val="22"/>
          <w:b w:val="1"/>
          <w:bCs w:val="1"/>
          <w:color w:val="auto"/>
        </w:rPr>
      </w:pPr>
    </w:p>
    <w:p>
      <w:pPr>
        <w:ind w:left="477" w:hanging="477"/>
        <w:spacing w:after="0"/>
        <w:tabs>
          <w:tab w:leader="none" w:pos="477"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of Taxes</w:t>
      </w:r>
    </w:p>
    <w:p>
      <w:pPr>
        <w:spacing w:after="0" w:line="185" w:lineRule="exact"/>
        <w:rPr>
          <w:rFonts w:ascii="Arial" w:cs="Arial" w:eastAsia="Arial" w:hAnsi="Arial"/>
          <w:sz w:val="22"/>
          <w:szCs w:val="22"/>
          <w:b w:val="1"/>
          <w:bCs w:val="1"/>
          <w:color w:val="auto"/>
        </w:rPr>
      </w:pPr>
    </w:p>
    <w:p>
      <w:pPr>
        <w:ind w:left="477"/>
        <w:spacing w:after="0"/>
        <w:rPr>
          <w:rFonts w:ascii="Arial" w:cs="Arial" w:eastAsia="Arial" w:hAnsi="Arial"/>
          <w:sz w:val="22"/>
          <w:szCs w:val="22"/>
          <w:b w:val="1"/>
          <w:bCs w:val="1"/>
          <w:color w:val="auto"/>
        </w:rPr>
      </w:pPr>
      <w:r>
        <w:rPr>
          <w:rFonts w:ascii="Arial" w:cs="Arial" w:eastAsia="Arial" w:hAnsi="Arial"/>
          <w:sz w:val="21"/>
          <w:szCs w:val="21"/>
          <w:color w:val="auto"/>
        </w:rPr>
        <w:t>If required by inTEST the Optionee shall as a condition to the exercise of the Option and the</w:t>
      </w:r>
    </w:p>
    <w:p>
      <w:pPr>
        <w:sectPr>
          <w:pgSz w:w="11900" w:h="17009" w:orient="portrait"/>
          <w:cols w:equalWidth="0" w:num="1">
            <w:col w:w="10117"/>
          </w:cols>
          <w:pgMar w:left="343" w:top="220" w:right="1440" w:bottom="0" w:gutter="0" w:footer="0" w:header="0"/>
        </w:sectPr>
      </w:pPr>
    </w:p>
    <w:bookmarkStart w:id="26" w:name="page27"/>
    <w:bookmarkEnd w:id="26"/>
    <w:p>
      <w:pPr>
        <w:ind w:left="580" w:right="2080"/>
        <w:spacing w:after="0" w:line="235" w:lineRule="auto"/>
        <w:rPr>
          <w:sz w:val="20"/>
          <w:szCs w:val="20"/>
          <w:color w:val="auto"/>
        </w:rPr>
      </w:pPr>
      <w:r>
        <w:rPr>
          <w:rFonts w:ascii="Arial" w:cs="Arial" w:eastAsia="Arial" w:hAnsi="Arial"/>
          <w:sz w:val="22"/>
          <w:szCs w:val="22"/>
          <w:color w:val="auto"/>
        </w:rPr>
        <w:t>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277" w:lineRule="exact"/>
        <w:rPr>
          <w:sz w:val="20"/>
          <w:szCs w:val="20"/>
          <w:color w:val="auto"/>
        </w:rPr>
      </w:pPr>
    </w:p>
    <w:p>
      <w:pPr>
        <w:ind w:left="580" w:hanging="477"/>
        <w:spacing w:after="0"/>
        <w:tabs>
          <w:tab w:leader="none" w:pos="5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85" w:lineRule="exact"/>
        <w:rPr>
          <w:rFonts w:ascii="Arial" w:cs="Arial" w:eastAsia="Arial" w:hAnsi="Arial"/>
          <w:sz w:val="22"/>
          <w:szCs w:val="22"/>
          <w:b w:val="1"/>
          <w:bCs w:val="1"/>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color w:val="auto"/>
        </w:rPr>
        <w:t>This Option Agreement, together with the Plan, represents the entire agreement between the parties.</w:t>
      </w:r>
    </w:p>
    <w:p>
      <w:pPr>
        <w:spacing w:after="0" w:line="173" w:lineRule="exact"/>
        <w:rPr>
          <w:rFonts w:ascii="Arial" w:cs="Arial" w:eastAsia="Arial" w:hAnsi="Arial"/>
          <w:sz w:val="22"/>
          <w:szCs w:val="22"/>
          <w:b w:val="1"/>
          <w:bCs w:val="1"/>
          <w:color w:val="auto"/>
        </w:rPr>
      </w:pPr>
    </w:p>
    <w:p>
      <w:pPr>
        <w:ind w:left="580" w:hanging="477"/>
        <w:spacing w:after="0"/>
        <w:tabs>
          <w:tab w:leader="none" w:pos="5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85" w:lineRule="exact"/>
        <w:rPr>
          <w:rFonts w:ascii="Arial" w:cs="Arial" w:eastAsia="Arial" w:hAnsi="Arial"/>
          <w:sz w:val="22"/>
          <w:szCs w:val="22"/>
          <w:b w:val="1"/>
          <w:bCs w:val="1"/>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color w:val="auto"/>
        </w:rPr>
        <w:t>This Option Agreement shall be construed in accordance with the laws of the State of Delaware.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inTEST executes this Option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inTEST Corporation</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By:____________________________</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Hugh T. Regan, Jr.</w:t>
      </w:r>
    </w:p>
    <w:p>
      <w:pPr>
        <w:ind w:left="4700"/>
        <w:spacing w:after="0"/>
        <w:rPr>
          <w:sz w:val="20"/>
          <w:szCs w:val="20"/>
          <w:color w:val="auto"/>
        </w:rPr>
      </w:pPr>
      <w:r>
        <w:rPr>
          <w:rFonts w:ascii="Arial" w:cs="Arial" w:eastAsia="Arial" w:hAnsi="Arial"/>
          <w:sz w:val="22"/>
          <w:szCs w:val="22"/>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 * * * * * * * * * * * * * * * * * * * * * * * * * * *</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ACKNOWLEDGMENT</w:t>
      </w:r>
    </w:p>
    <w:p>
      <w:pPr>
        <w:spacing w:after="0" w:line="206" w:lineRule="exact"/>
        <w:rPr>
          <w:sz w:val="20"/>
          <w:szCs w:val="20"/>
          <w:color w:val="auto"/>
        </w:rPr>
      </w:pPr>
    </w:p>
    <w:p>
      <w:pPr>
        <w:jc w:val="both"/>
        <w:ind w:right="400"/>
        <w:spacing w:after="0" w:line="275" w:lineRule="auto"/>
        <w:rPr>
          <w:sz w:val="20"/>
          <w:szCs w:val="20"/>
          <w:color w:val="auto"/>
        </w:rPr>
      </w:pPr>
      <w:r>
        <w:rPr>
          <w:rFonts w:ascii="Arial" w:cs="Arial" w:eastAsia="Arial" w:hAnsi="Arial"/>
          <w:sz w:val="19"/>
          <w:szCs w:val="19"/>
          <w:b w:val="1"/>
          <w:bCs w:val="1"/>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__________________</w:t>
      </w:r>
    </w:p>
    <w:p>
      <w:pPr>
        <w:spacing w:after="0" w:line="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subject to all the terms, conditions and provisions thereof. The Optionee hereby agrees to accept as binding, conclusive and final, all decisions or interpretations of the Board of Directors or the Committee upon any questions arising under the Plan.</w:t>
      </w:r>
    </w:p>
    <w:p>
      <w:pPr>
        <w:sectPr>
          <w:pgSz w:w="11900" w:h="16838" w:orient="portrait"/>
          <w:cols w:equalWidth="0" w:num="1">
            <w:col w:w="11360"/>
          </w:cols>
          <w:pgMar w:left="240" w:top="240" w:right="299" w:bottom="0" w:gutter="0" w:footer="0" w:header="0"/>
        </w:sect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Date: ___________________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61" w:lineRule="exact"/>
        <w:rPr>
          <w:sz w:val="20"/>
          <w:szCs w:val="20"/>
          <w:color w:val="auto"/>
        </w:rPr>
      </w:pPr>
    </w:p>
    <w:p>
      <w:pPr>
        <w:sectPr>
          <w:pgSz w:w="11900" w:h="16838" w:orient="portrait"/>
          <w:cols w:equalWidth="0" w:num="2">
            <w:col w:w="2840" w:space="720"/>
            <w:col w:w="7800"/>
          </w:cols>
          <w:pgMar w:left="240" w:top="240" w:right="299" w:bottom="0" w:gutter="0" w:footer="0" w:header="0"/>
          <w:type w:val="continuous"/>
        </w:sectPr>
      </w:pPr>
    </w:p>
    <w:p>
      <w:pPr>
        <w:ind w:left="356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360"/>
          </w:cols>
          <w:pgMar w:left="240" w:top="240"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7300" w:type="dxa"/>
            <w:vAlign w:val="bottom"/>
            <w:gridSpan w:val="2"/>
          </w:tcPr>
          <w:p>
            <w:pPr>
              <w:ind w:left="2860"/>
              <w:spacing w:after="0"/>
              <w:rPr>
                <w:sz w:val="20"/>
                <w:szCs w:val="20"/>
                <w:color w:val="auto"/>
              </w:rPr>
            </w:pPr>
            <w:r>
              <w:rPr>
                <w:rFonts w:ascii="Arial" w:cs="Arial" w:eastAsia="Arial" w:hAnsi="Arial"/>
                <w:sz w:val="22"/>
                <w:szCs w:val="22"/>
                <w:b w:val="1"/>
                <w:bCs w:val="1"/>
                <w:color w:val="auto"/>
                <w:w w:val="98"/>
              </w:rPr>
              <w:t>NOTICE OF EXERCISE OF STOCK OPTION</w:t>
            </w:r>
          </w:p>
        </w:tc>
      </w:tr>
      <w:tr>
        <w:trPr>
          <w:trHeight w:val="553"/>
        </w:trPr>
        <w:tc>
          <w:tcPr>
            <w:tcW w:w="540" w:type="dxa"/>
            <w:vAlign w:val="bottom"/>
          </w:tcPr>
          <w:p>
            <w:pPr>
              <w:spacing w:after="0"/>
              <w:rPr>
                <w:sz w:val="20"/>
                <w:szCs w:val="20"/>
                <w:color w:val="auto"/>
              </w:rPr>
            </w:pPr>
            <w:r>
              <w:rPr>
                <w:rFonts w:ascii="Arial" w:cs="Arial" w:eastAsia="Arial" w:hAnsi="Arial"/>
                <w:sz w:val="22"/>
                <w:szCs w:val="22"/>
                <w:color w:val="auto"/>
              </w:rPr>
              <w:t>To:</w:t>
            </w:r>
          </w:p>
        </w:tc>
        <w:tc>
          <w:tcPr>
            <w:tcW w:w="2860" w:type="dxa"/>
            <w:vAlign w:val="bottom"/>
          </w:tcPr>
          <w:p>
            <w:pPr>
              <w:ind w:left="240"/>
              <w:spacing w:after="0"/>
              <w:rPr>
                <w:sz w:val="20"/>
                <w:szCs w:val="20"/>
                <w:color w:val="auto"/>
              </w:rPr>
            </w:pPr>
            <w:r>
              <w:rPr>
                <w:rFonts w:ascii="Arial" w:cs="Arial" w:eastAsia="Arial" w:hAnsi="Arial"/>
                <w:sz w:val="22"/>
                <w:szCs w:val="22"/>
                <w:color w:val="auto"/>
              </w:rPr>
              <w:t>inTEST Corporation</w:t>
            </w:r>
          </w:p>
        </w:tc>
        <w:tc>
          <w:tcPr>
            <w:tcW w:w="4440" w:type="dxa"/>
            <w:vAlign w:val="bottom"/>
            <w:tcBorders>
              <w:top w:val="single" w:sz="8" w:color="auto"/>
            </w:tcBorders>
          </w:tcPr>
          <w:p>
            <w:pPr>
              <w:spacing w:after="0"/>
              <w:rPr>
                <w:sz w:val="24"/>
                <w:szCs w:val="24"/>
                <w:color w:val="auto"/>
              </w:rPr>
            </w:pPr>
          </w:p>
        </w:tc>
      </w:tr>
      <w:tr>
        <w:trPr>
          <w:trHeight w:val="243"/>
        </w:trPr>
        <w:tc>
          <w:tcPr>
            <w:tcW w:w="540" w:type="dxa"/>
            <w:vAlign w:val="bottom"/>
          </w:tcPr>
          <w:p>
            <w:pPr>
              <w:spacing w:after="0"/>
              <w:rPr>
                <w:sz w:val="21"/>
                <w:szCs w:val="21"/>
                <w:color w:val="auto"/>
              </w:rPr>
            </w:pPr>
          </w:p>
        </w:tc>
        <w:tc>
          <w:tcPr>
            <w:tcW w:w="730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7 Esterbrook Lane</w:t>
            </w:r>
          </w:p>
        </w:tc>
      </w:tr>
      <w:tr>
        <w:trPr>
          <w:trHeight w:val="243"/>
        </w:trPr>
        <w:tc>
          <w:tcPr>
            <w:tcW w:w="540" w:type="dxa"/>
            <w:vAlign w:val="bottom"/>
          </w:tcPr>
          <w:p>
            <w:pPr>
              <w:spacing w:after="0"/>
              <w:rPr>
                <w:sz w:val="21"/>
                <w:szCs w:val="21"/>
                <w:color w:val="auto"/>
              </w:rPr>
            </w:pPr>
          </w:p>
        </w:tc>
        <w:tc>
          <w:tcPr>
            <w:tcW w:w="730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Cherry Hill, NJ 08003</w:t>
            </w:r>
          </w:p>
        </w:tc>
      </w:tr>
      <w:tr>
        <w:trPr>
          <w:trHeight w:val="275"/>
        </w:trPr>
        <w:tc>
          <w:tcPr>
            <w:tcW w:w="540" w:type="dxa"/>
            <w:vAlign w:val="bottom"/>
          </w:tcPr>
          <w:p>
            <w:pPr>
              <w:spacing w:after="0"/>
              <w:rPr>
                <w:sz w:val="23"/>
                <w:szCs w:val="23"/>
                <w:color w:val="auto"/>
              </w:rPr>
            </w:pPr>
          </w:p>
        </w:tc>
        <w:tc>
          <w:tcPr>
            <w:tcW w:w="7300" w:type="dxa"/>
            <w:vAlign w:val="bottom"/>
            <w:gridSpan w:val="2"/>
          </w:tcPr>
          <w:p>
            <w:pPr>
              <w:ind w:left="240"/>
              <w:spacing w:after="0"/>
              <w:rPr>
                <w:sz w:val="20"/>
                <w:szCs w:val="20"/>
                <w:color w:val="auto"/>
              </w:rPr>
            </w:pPr>
            <w:r>
              <w:rPr>
                <w:rFonts w:ascii="Arial" w:cs="Arial" w:eastAsia="Arial" w:hAnsi="Arial"/>
                <w:sz w:val="22"/>
                <w:szCs w:val="22"/>
                <w:color w:val="auto"/>
              </w:rPr>
              <w:t>Attn: Chief Financial Officer</w:t>
            </w:r>
          </w:p>
        </w:tc>
      </w:tr>
    </w:tbl>
    <w:p>
      <w:pPr>
        <w:spacing w:after="0" w:line="273" w:lineRule="exact"/>
        <w:rPr>
          <w:sz w:val="20"/>
          <w:szCs w:val="20"/>
          <w:color w:val="auto"/>
        </w:rPr>
      </w:pPr>
    </w:p>
    <w:p>
      <w:pPr>
        <w:ind w:left="7120"/>
        <w:spacing w:after="0"/>
        <w:rPr>
          <w:sz w:val="20"/>
          <w:szCs w:val="20"/>
          <w:color w:val="auto"/>
        </w:rPr>
      </w:pPr>
      <w:r>
        <w:rPr>
          <w:rFonts w:ascii="Arial" w:cs="Arial" w:eastAsia="Arial" w:hAnsi="Arial"/>
          <w:sz w:val="22"/>
          <w:szCs w:val="22"/>
          <w:b w:val="1"/>
          <w:bCs w:val="1"/>
          <w:color w:val="auto"/>
        </w:rPr>
        <w:t>_____________, 20___</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accordance with Section 4 of the Incentive Stock Option Agreement granted as of ____________________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I hereby irrevocably elect to exercise the Option to purchase ____________________ Option Shares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of inTEST Corporation (the "Corporation") at the exercise price of 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 per Option Share and deliver herewith a bank check payable to the order of the Corporation for the aggregate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of $__________________.</w:t>
      </w:r>
    </w:p>
    <w:p>
      <w:pPr>
        <w:sectPr>
          <w:pgSz w:w="11900" w:h="16838" w:orient="portrait"/>
          <w:cols w:equalWidth="0" w:num="1">
            <w:col w:w="11360"/>
          </w:cols>
          <w:pgMar w:left="240" w:top="240" w:right="299" w:bottom="0" w:gutter="0" w:footer="0" w:header="0"/>
          <w:type w:val="continuous"/>
        </w:sectPr>
      </w:pPr>
    </w:p>
    <w:bookmarkStart w:id="27" w:name="page28"/>
    <w:bookmarkEnd w:id="27"/>
    <w:p>
      <w:pPr>
        <w:ind w:right="240"/>
        <w:spacing w:after="0" w:line="301" w:lineRule="auto"/>
        <w:rPr>
          <w:sz w:val="20"/>
          <w:szCs w:val="20"/>
          <w:color w:val="auto"/>
        </w:rPr>
      </w:pPr>
      <w:r>
        <w:rPr>
          <w:rFonts w:ascii="Arial" w:cs="Arial" w:eastAsia="Arial" w:hAnsi="Arial"/>
          <w:sz w:val="19"/>
          <w:szCs w:val="19"/>
          <w:b w:val="1"/>
          <w:bCs w:val="1"/>
          <w:color w:val="auto"/>
        </w:rPr>
        <w:t>I agree to notify the Chief Financial Officer of the Corporation at the address set forth above, or at such other address as the Corporation may designate in the future, in the event I sell, assign, gift, transfer or otherwise dispose of any of the Option Shares within one (1) year of exercise or two (2) years from the Date of Grant (a "Disqualifying Disposition").</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22"/>
          <w:szCs w:val="22"/>
          <w:b w:val="1"/>
          <w:bCs w:val="1"/>
          <w:color w:val="auto"/>
        </w:rPr>
        <w:t>I understand that any Disqualifying Disposition of the Option Shares will result in the Option not qualifying as an incentive stock option with respect to such Option Shares. If requested by the Corporation, I will provide the Corporation the amount of any taxes the Corporation is required to withhold as a result of a Disqualifying Disposition of Option Shares. Furthermore, the Option must be exercised within three (3) months following the termination of my employment with the Corporation in order to maintain the incentive stock option status with respect to Option Shares issuable upon such exercise.</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Signature*: ______________________________</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Name*:</w:t>
      </w:r>
    </w:p>
    <w:p>
      <w:pPr>
        <w:ind w:left="4880"/>
        <w:spacing w:after="0"/>
        <w:rPr>
          <w:sz w:val="20"/>
          <w:szCs w:val="20"/>
          <w:color w:val="auto"/>
        </w:rPr>
      </w:pPr>
      <w:r>
        <w:rPr>
          <w:rFonts w:ascii="Arial" w:cs="Arial" w:eastAsia="Arial" w:hAnsi="Arial"/>
          <w:sz w:val="22"/>
          <w:szCs w:val="22"/>
          <w:b w:val="1"/>
          <w:bCs w:val="1"/>
          <w:color w:val="auto"/>
        </w:rPr>
        <w:t>Address:</w:t>
      </w:r>
    </w:p>
    <w:p>
      <w:pPr>
        <w:spacing w:after="0" w:line="20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Phone:</w:t>
      </w:r>
    </w:p>
    <w:p>
      <w:pPr>
        <w:spacing w:after="0" w:line="14" w:lineRule="exact"/>
        <w:rPr>
          <w:sz w:val="20"/>
          <w:szCs w:val="20"/>
          <w:color w:val="auto"/>
        </w:rPr>
      </w:pPr>
    </w:p>
    <w:p>
      <w:pPr>
        <w:ind w:left="5160" w:hanging="290"/>
        <w:spacing w:after="0"/>
        <w:tabs>
          <w:tab w:leader="none" w:pos="5160" w:val="left"/>
        </w:tabs>
        <w:numPr>
          <w:ilvl w:val="1"/>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w:t>
      </w:r>
    </w:p>
    <w:p>
      <w:pPr>
        <w:spacing w:after="0" w:line="19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 The signature and name should correspond exactly with the name on the first page of the Option.</w:t>
      </w:r>
    </w:p>
    <w:p>
      <w:pPr>
        <w:sectPr>
          <w:pgSz w:w="11900" w:h="16838" w:orient="portrait"/>
          <w:cols w:equalWidth="0" w:num="1">
            <w:col w:w="11360"/>
          </w:cols>
          <w:pgMar w:left="240" w:top="111"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quarterly report on Form 10-Q of inTEST Corporation;</w:t>
      </w:r>
    </w:p>
    <w:p>
      <w:pPr>
        <w:spacing w:after="0" w:line="184" w:lineRule="exact"/>
        <w:rPr>
          <w:rFonts w:ascii="Arial" w:cs="Arial" w:eastAsia="Arial" w:hAnsi="Arial"/>
          <w:sz w:val="18"/>
          <w:szCs w:val="18"/>
          <w:b w:val="1"/>
          <w:bCs w:val="1"/>
          <w:color w:val="auto"/>
        </w:rPr>
      </w:pPr>
    </w:p>
    <w:p>
      <w:pPr>
        <w:ind w:right="20" w:firstLine="447"/>
        <w:spacing w:after="0" w:line="262" w:lineRule="auto"/>
        <w:tabs>
          <w:tab w:leader="none" w:pos="7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8"/>
          <w:szCs w:val="18"/>
          <w:b w:val="1"/>
          <w:bCs w:val="1"/>
          <w:color w:val="auto"/>
        </w:rPr>
      </w:pPr>
    </w:p>
    <w:p>
      <w:pPr>
        <w:ind w:firstLine="447"/>
        <w:spacing w:after="0" w:line="339" w:lineRule="auto"/>
        <w:tabs>
          <w:tab w:leader="none" w:pos="746"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b w:val="1"/>
          <w:bCs w:val="1"/>
          <w:color w:val="auto"/>
        </w:rPr>
      </w:pPr>
    </w:p>
    <w:p>
      <w:pPr>
        <w:ind w:right="60" w:firstLine="447"/>
        <w:spacing w:after="0" w:line="262" w:lineRule="auto"/>
        <w:tabs>
          <w:tab w:leader="none" w:pos="74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8"/>
          <w:szCs w:val="18"/>
          <w:b w:val="1"/>
          <w:bCs w:val="1"/>
          <w:color w:val="auto"/>
        </w:rPr>
      </w:pPr>
    </w:p>
    <w:p>
      <w:pPr>
        <w:ind w:left="1200" w:hanging="301"/>
        <w:spacing w:after="0"/>
        <w:tabs>
          <w:tab w:leader="none" w:pos="1200"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Designed such disclosure controls and procedures, or caused such disclosure controls and procedures to be designed under our</w:t>
      </w:r>
    </w:p>
    <w:p>
      <w:pPr>
        <w:spacing w:after="0" w:line="44" w:lineRule="exact"/>
        <w:rPr>
          <w:rFonts w:ascii="Arial" w:cs="Arial" w:eastAsia="Arial" w:hAnsi="Arial"/>
          <w:sz w:val="16"/>
          <w:szCs w:val="16"/>
          <w:b w:val="1"/>
          <w:bCs w:val="1"/>
          <w:color w:val="auto"/>
        </w:rPr>
      </w:pPr>
    </w:p>
    <w:p>
      <w:pPr>
        <w:ind w:left="540" w:right="12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Arial" w:cs="Arial" w:eastAsia="Arial" w:hAnsi="Arial"/>
          <w:sz w:val="16"/>
          <w:szCs w:val="16"/>
          <w:b w:val="1"/>
          <w:bCs w:val="1"/>
          <w:color w:val="auto"/>
        </w:rPr>
      </w:pPr>
    </w:p>
    <w:p>
      <w:pPr>
        <w:ind w:left="540" w:right="200" w:firstLine="359"/>
        <w:spacing w:after="0" w:line="262" w:lineRule="auto"/>
        <w:tabs>
          <w:tab w:leader="none" w:pos="1194"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18"/>
          <w:szCs w:val="18"/>
          <w:b w:val="1"/>
          <w:bCs w:val="1"/>
          <w:color w:val="auto"/>
        </w:rPr>
      </w:pPr>
    </w:p>
    <w:p>
      <w:pPr>
        <w:ind w:left="540" w:right="120" w:firstLine="359"/>
        <w:spacing w:after="0" w:line="378" w:lineRule="auto"/>
        <w:tabs>
          <w:tab w:leader="none" w:pos="1174" w:val="left"/>
        </w:tabs>
        <w:numPr>
          <w:ilvl w:val="1"/>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5"/>
          <w:szCs w:val="15"/>
          <w:b w:val="1"/>
          <w:bCs w:val="1"/>
          <w:color w:val="auto"/>
        </w:rPr>
      </w:pPr>
    </w:p>
    <w:p>
      <w:pPr>
        <w:ind w:left="540" w:firstLine="359"/>
        <w:spacing w:after="0" w:line="262" w:lineRule="auto"/>
        <w:tabs>
          <w:tab w:leader="none" w:pos="1194"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8"/>
          <w:szCs w:val="18"/>
          <w:b w:val="1"/>
          <w:bCs w:val="1"/>
          <w:color w:val="auto"/>
        </w:rPr>
      </w:pPr>
    </w:p>
    <w:p>
      <w:pPr>
        <w:ind w:right="120" w:firstLine="447"/>
        <w:spacing w:after="0" w:line="378" w:lineRule="auto"/>
        <w:tabs>
          <w:tab w:leader="none" w:pos="743"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5"/>
          <w:szCs w:val="15"/>
          <w:b w:val="1"/>
          <w:bCs w:val="1"/>
          <w:color w:val="auto"/>
        </w:rPr>
      </w:pPr>
    </w:p>
    <w:p>
      <w:pPr>
        <w:ind w:left="540" w:right="420" w:firstLine="359"/>
        <w:spacing w:after="0" w:line="339" w:lineRule="auto"/>
        <w:tabs>
          <w:tab w:leader="none" w:pos="1174"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b w:val="1"/>
          <w:bCs w:val="1"/>
          <w:color w:val="auto"/>
        </w:rPr>
      </w:pPr>
    </w:p>
    <w:p>
      <w:pPr>
        <w:ind w:left="540" w:right="20" w:firstLine="359"/>
        <w:spacing w:after="0" w:line="275" w:lineRule="auto"/>
        <w:tabs>
          <w:tab w:leader="none" w:pos="1184"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b w:val="1"/>
          <w:bCs w:val="1"/>
          <w:u w:val="single" w:color="auto"/>
          <w:color w:val="auto"/>
        </w:rPr>
        <w:t>May 13,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/s/ Robert E. Matthiessen</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1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quarterly report on Form 10-Q of inTEST Corporation;</w:t>
      </w:r>
    </w:p>
    <w:p>
      <w:pPr>
        <w:spacing w:after="0" w:line="184" w:lineRule="exact"/>
        <w:rPr>
          <w:rFonts w:ascii="Arial" w:cs="Arial" w:eastAsia="Arial" w:hAnsi="Arial"/>
          <w:sz w:val="18"/>
          <w:szCs w:val="18"/>
          <w:b w:val="1"/>
          <w:bCs w:val="1"/>
          <w:color w:val="auto"/>
        </w:rPr>
      </w:pPr>
    </w:p>
    <w:p>
      <w:pPr>
        <w:ind w:right="20" w:firstLine="447"/>
        <w:spacing w:after="0" w:line="262" w:lineRule="auto"/>
        <w:tabs>
          <w:tab w:leader="none" w:pos="74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8"/>
          <w:szCs w:val="18"/>
          <w:b w:val="1"/>
          <w:bCs w:val="1"/>
          <w:color w:val="auto"/>
        </w:rPr>
      </w:pPr>
    </w:p>
    <w:p>
      <w:pPr>
        <w:ind w:firstLine="447"/>
        <w:spacing w:after="0" w:line="339" w:lineRule="auto"/>
        <w:tabs>
          <w:tab w:leader="none" w:pos="74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b w:val="1"/>
          <w:bCs w:val="1"/>
          <w:color w:val="auto"/>
        </w:rPr>
      </w:pPr>
    </w:p>
    <w:p>
      <w:pPr>
        <w:ind w:right="60" w:firstLine="447"/>
        <w:spacing w:after="0" w:line="262" w:lineRule="auto"/>
        <w:tabs>
          <w:tab w:leader="none" w:pos="74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8"/>
          <w:szCs w:val="18"/>
          <w:b w:val="1"/>
          <w:bCs w:val="1"/>
          <w:color w:val="auto"/>
        </w:rPr>
      </w:pPr>
    </w:p>
    <w:p>
      <w:pPr>
        <w:ind w:left="1200" w:hanging="301"/>
        <w:spacing w:after="0"/>
        <w:tabs>
          <w:tab w:leader="none" w:pos="1200"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Designed such disclosure controls and procedures, or caused such disclosure controls and procedures to be designed under our</w:t>
      </w:r>
    </w:p>
    <w:p>
      <w:pPr>
        <w:spacing w:after="0" w:line="44" w:lineRule="exact"/>
        <w:rPr>
          <w:rFonts w:ascii="Arial" w:cs="Arial" w:eastAsia="Arial" w:hAnsi="Arial"/>
          <w:sz w:val="16"/>
          <w:szCs w:val="16"/>
          <w:b w:val="1"/>
          <w:bCs w:val="1"/>
          <w:color w:val="auto"/>
        </w:rPr>
      </w:pPr>
    </w:p>
    <w:p>
      <w:pPr>
        <w:ind w:left="540" w:right="12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Arial" w:cs="Arial" w:eastAsia="Arial" w:hAnsi="Arial"/>
          <w:sz w:val="16"/>
          <w:szCs w:val="16"/>
          <w:b w:val="1"/>
          <w:bCs w:val="1"/>
          <w:color w:val="auto"/>
        </w:rPr>
      </w:pPr>
    </w:p>
    <w:p>
      <w:pPr>
        <w:ind w:left="540" w:right="200" w:firstLine="359"/>
        <w:spacing w:after="0" w:line="262" w:lineRule="auto"/>
        <w:tabs>
          <w:tab w:leader="none" w:pos="119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18"/>
          <w:szCs w:val="18"/>
          <w:b w:val="1"/>
          <w:bCs w:val="1"/>
          <w:color w:val="auto"/>
        </w:rPr>
      </w:pPr>
    </w:p>
    <w:p>
      <w:pPr>
        <w:ind w:left="540" w:right="120" w:firstLine="359"/>
        <w:spacing w:after="0" w:line="378" w:lineRule="auto"/>
        <w:tabs>
          <w:tab w:leader="none" w:pos="1174" w:val="left"/>
        </w:tabs>
        <w:numPr>
          <w:ilvl w:val="1"/>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5"/>
          <w:szCs w:val="15"/>
          <w:b w:val="1"/>
          <w:bCs w:val="1"/>
          <w:color w:val="auto"/>
        </w:rPr>
      </w:pPr>
    </w:p>
    <w:p>
      <w:pPr>
        <w:ind w:left="540" w:firstLine="359"/>
        <w:spacing w:after="0" w:line="262" w:lineRule="auto"/>
        <w:tabs>
          <w:tab w:leader="none" w:pos="119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8"/>
          <w:szCs w:val="18"/>
          <w:b w:val="1"/>
          <w:bCs w:val="1"/>
          <w:color w:val="auto"/>
        </w:rPr>
      </w:pPr>
    </w:p>
    <w:p>
      <w:pPr>
        <w:ind w:right="120" w:firstLine="447"/>
        <w:spacing w:after="0" w:line="378" w:lineRule="auto"/>
        <w:tabs>
          <w:tab w:leader="none" w:pos="743"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5"/>
          <w:szCs w:val="15"/>
          <w:b w:val="1"/>
          <w:bCs w:val="1"/>
          <w:color w:val="auto"/>
        </w:rPr>
      </w:pPr>
    </w:p>
    <w:p>
      <w:pPr>
        <w:ind w:left="540" w:right="420" w:firstLine="359"/>
        <w:spacing w:after="0" w:line="339" w:lineRule="auto"/>
        <w:tabs>
          <w:tab w:leader="none" w:pos="1174"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b w:val="1"/>
          <w:bCs w:val="1"/>
          <w:color w:val="auto"/>
        </w:rPr>
      </w:pPr>
    </w:p>
    <w:p>
      <w:pPr>
        <w:ind w:left="540" w:right="20" w:firstLine="359"/>
        <w:spacing w:after="0" w:line="275" w:lineRule="auto"/>
        <w:tabs>
          <w:tab w:leader="none" w:pos="118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b w:val="1"/>
          <w:bCs w:val="1"/>
          <w:u w:val="single" w:color="auto"/>
          <w:color w:val="auto"/>
        </w:rPr>
        <w:t>May 13,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/s/ Hugh T. Regan, Jr.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spacing w:after="0" w:line="289" w:lineRule="auto"/>
        <w:rPr>
          <w:sz w:val="20"/>
          <w:szCs w:val="20"/>
          <w:color w:val="auto"/>
        </w:rPr>
      </w:pPr>
      <w:r>
        <w:rPr>
          <w:rFonts w:ascii="Arial" w:cs="Arial" w:eastAsia="Arial" w:hAnsi="Arial"/>
          <w:sz w:val="22"/>
          <w:szCs w:val="22"/>
          <w:b w:val="1"/>
          <w:bCs w:val="1"/>
          <w:color w:val="auto"/>
        </w:rPr>
        <w:t>In connection with the Quarterly Report of inTEST Corporation (the "Company") on Form 10-Q for the period ending March 31, 2016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00" w:lineRule="exact"/>
        <w:rPr>
          <w:sz w:val="20"/>
          <w:szCs w:val="20"/>
          <w:color w:val="auto"/>
        </w:rPr>
      </w:pPr>
    </w:p>
    <w:p>
      <w:pPr>
        <w:ind w:right="240" w:firstLine="8"/>
        <w:spacing w:after="0" w:line="281" w:lineRule="auto"/>
        <w:tabs>
          <w:tab w:leader="none" w:pos="344" w:val="left"/>
        </w:tabs>
        <w:numPr>
          <w:ilvl w:val="0"/>
          <w:numId w:val="23"/>
        </w:numPr>
        <w:rPr>
          <w:rFonts w:ascii="Arial" w:cs="Arial" w:eastAsia="Arial" w:hAnsi="Arial"/>
          <w:sz w:val="24"/>
          <w:szCs w:val="24"/>
          <w:b w:val="1"/>
          <w:bCs w:val="1"/>
          <w:color w:val="auto"/>
        </w:rPr>
      </w:pPr>
      <w:r>
        <w:rPr>
          <w:rFonts w:ascii="Arial" w:cs="Arial" w:eastAsia="Arial" w:hAnsi="Arial"/>
          <w:sz w:val="24"/>
          <w:szCs w:val="24"/>
          <w:b w:val="1"/>
          <w:bCs w:val="1"/>
          <w:color w:val="auto"/>
        </w:rPr>
        <w:t>The Report fully complies with the requirements of Section 13(a) or 15(d) of the Securities Exchange Act of 1934; and</w:t>
      </w:r>
    </w:p>
    <w:p>
      <w:pPr>
        <w:spacing w:after="0" w:line="204" w:lineRule="exact"/>
        <w:rPr>
          <w:rFonts w:ascii="Arial" w:cs="Arial" w:eastAsia="Arial" w:hAnsi="Arial"/>
          <w:sz w:val="24"/>
          <w:szCs w:val="24"/>
          <w:b w:val="1"/>
          <w:bCs w:val="1"/>
          <w:color w:val="auto"/>
        </w:rPr>
      </w:pPr>
    </w:p>
    <w:p>
      <w:pPr>
        <w:ind w:right="380" w:firstLine="8"/>
        <w:spacing w:after="0" w:line="281" w:lineRule="auto"/>
        <w:tabs>
          <w:tab w:leader="none" w:pos="344" w:val="left"/>
        </w:tabs>
        <w:numPr>
          <w:ilvl w:val="0"/>
          <w:numId w:val="23"/>
        </w:numPr>
        <w:rPr>
          <w:rFonts w:ascii="Arial" w:cs="Arial" w:eastAsia="Arial" w:hAnsi="Arial"/>
          <w:sz w:val="24"/>
          <w:szCs w:val="24"/>
          <w:b w:val="1"/>
          <w:bCs w:val="1"/>
          <w:color w:val="auto"/>
        </w:rPr>
      </w:pPr>
      <w:r>
        <w:rPr>
          <w:rFonts w:ascii="Arial" w:cs="Arial" w:eastAsia="Arial" w:hAnsi="Arial"/>
          <w:sz w:val="24"/>
          <w:szCs w:val="24"/>
          <w:b w:val="1"/>
          <w:bCs w:val="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Date: May 13,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b w:val="1"/>
          <w:bCs w:val="1"/>
          <w:u w:val="single" w:color="auto"/>
          <w:color w:val="auto"/>
        </w:rPr>
        <w:t>/s/ Robert E. Matthiessen</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President and Chief Executive Officer</w:t>
      </w:r>
    </w:p>
    <w:p>
      <w:pPr>
        <w:sectPr>
          <w:pgSz w:w="11900" w:h="16838" w:orient="portrait"/>
          <w:cols w:equalWidth="0" w:num="1">
            <w:col w:w="11420"/>
          </w:cols>
          <w:pgMar w:left="240" w:top="11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60"/>
        <w:spacing w:after="0" w:line="255" w:lineRule="auto"/>
        <w:rPr>
          <w:sz w:val="20"/>
          <w:szCs w:val="20"/>
          <w:color w:val="auto"/>
        </w:rPr>
      </w:pPr>
      <w:r>
        <w:rPr>
          <w:rFonts w:ascii="Arial" w:cs="Arial" w:eastAsia="Arial" w:hAnsi="Arial"/>
          <w:sz w:val="24"/>
          <w:szCs w:val="24"/>
          <w:b w:val="1"/>
          <w:bCs w:val="1"/>
          <w:color w:val="auto"/>
        </w:rPr>
        <w:t>In connection with the Quarterly Report of inTEST Corporation (the "Company") on Form 10-Q for the period ending March 31, 2016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36" w:lineRule="exact"/>
        <w:rPr>
          <w:sz w:val="20"/>
          <w:szCs w:val="20"/>
          <w:color w:val="auto"/>
        </w:rPr>
      </w:pPr>
    </w:p>
    <w:p>
      <w:pPr>
        <w:ind w:right="240" w:firstLine="8"/>
        <w:spacing w:after="0" w:line="281" w:lineRule="auto"/>
        <w:tabs>
          <w:tab w:leader="none" w:pos="344" w:val="left"/>
        </w:tabs>
        <w:numPr>
          <w:ilvl w:val="0"/>
          <w:numId w:val="24"/>
        </w:numPr>
        <w:rPr>
          <w:rFonts w:ascii="Arial" w:cs="Arial" w:eastAsia="Arial" w:hAnsi="Arial"/>
          <w:sz w:val="24"/>
          <w:szCs w:val="24"/>
          <w:b w:val="1"/>
          <w:bCs w:val="1"/>
          <w:color w:val="auto"/>
        </w:rPr>
      </w:pPr>
      <w:r>
        <w:rPr>
          <w:rFonts w:ascii="Arial" w:cs="Arial" w:eastAsia="Arial" w:hAnsi="Arial"/>
          <w:sz w:val="24"/>
          <w:szCs w:val="24"/>
          <w:b w:val="1"/>
          <w:bCs w:val="1"/>
          <w:color w:val="auto"/>
        </w:rPr>
        <w:t>The Report fully complies with the requirements of Section 13(a) or 15(d) of the Securities Exchange Act of 1934; and</w:t>
      </w:r>
    </w:p>
    <w:p>
      <w:pPr>
        <w:spacing w:after="0" w:line="204" w:lineRule="exact"/>
        <w:rPr>
          <w:rFonts w:ascii="Arial" w:cs="Arial" w:eastAsia="Arial" w:hAnsi="Arial"/>
          <w:sz w:val="24"/>
          <w:szCs w:val="24"/>
          <w:b w:val="1"/>
          <w:bCs w:val="1"/>
          <w:color w:val="auto"/>
        </w:rPr>
      </w:pPr>
    </w:p>
    <w:p>
      <w:pPr>
        <w:ind w:right="380" w:firstLine="8"/>
        <w:spacing w:after="0" w:line="281" w:lineRule="auto"/>
        <w:tabs>
          <w:tab w:leader="none" w:pos="344" w:val="left"/>
        </w:tabs>
        <w:numPr>
          <w:ilvl w:val="0"/>
          <w:numId w:val="24"/>
        </w:numPr>
        <w:rPr>
          <w:rFonts w:ascii="Arial" w:cs="Arial" w:eastAsia="Arial" w:hAnsi="Arial"/>
          <w:sz w:val="24"/>
          <w:szCs w:val="24"/>
          <w:b w:val="1"/>
          <w:bCs w:val="1"/>
          <w:color w:val="auto"/>
        </w:rPr>
      </w:pPr>
      <w:r>
        <w:rPr>
          <w:rFonts w:ascii="Arial" w:cs="Arial" w:eastAsia="Arial" w:hAnsi="Arial"/>
          <w:sz w:val="24"/>
          <w:szCs w:val="24"/>
          <w:b w:val="1"/>
          <w:bCs w:val="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Date: May 13,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b w:val="1"/>
          <w:bCs w:val="1"/>
          <w:u w:val="single" w:color="auto"/>
          <w:color w:val="auto"/>
        </w:rPr>
        <w:t>/s/ Hugh T. Regan, Jr.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lvl w:ilvl="1">
      <w:lvlJc w:val="left"/>
      <w:lvlText w:val="-"/>
      <w:numFmt w:val="bullet"/>
      <w:start w:val="1"/>
    </w:lvl>
  </w:abstractNum>
  <w:abstractNum w:abstractNumId="6">
    <w:nsid w:val="41A7C4C9"/>
    <w:multiLevelType w:val="hybridMultilevel"/>
    <w:lvl w:ilvl="0">
      <w:lvlJc w:val="left"/>
      <w:lvlText w:val="%1."/>
      <w:numFmt w:val="decimal"/>
      <w:start w:val="1"/>
    </w:lvl>
    <w:lvl w:ilvl="1">
      <w:lvlJc w:val="left"/>
      <w:lvlText w:val="(%2)"/>
      <w:numFmt w:val="lowerRoman"/>
      <w:start w:val="1"/>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1"/>
    </w:lvl>
    <w:lvl w:ilvl="1">
      <w:lvlJc w:val="left"/>
      <w:lvlText w:val="(%2)"/>
      <w:numFmt w:val="lowerLetter"/>
      <w:start w:val="1"/>
    </w:lvl>
  </w:abstractNum>
  <w:abstractNum w:abstractNumId="9">
    <w:nsid w:val="25E45D32"/>
    <w:multiLevelType w:val="hybridMultilevel"/>
    <w:lvl w:ilvl="0">
      <w:lvlJc w:val="left"/>
      <w:lvlText w:val="%1"/>
      <w:numFmt w:val="decimal"/>
      <w:start w:val="1"/>
    </w:lvl>
    <w:lvl w:ilvl="1">
      <w:lvlJc w:val="left"/>
      <w:lvlText w:val="(%2)"/>
      <w:numFmt w:val="lowerRoman"/>
      <w:start w:val="1"/>
    </w:lvl>
  </w:abstractNum>
  <w:abstractNum w:abstractNumId="10">
    <w:nsid w:val="519B500D"/>
    <w:multiLevelType w:val="hybridMultilevel"/>
    <w:lvl w:ilvl="0">
      <w:lvlJc w:val="left"/>
      <w:lvlText w:val="%1."/>
      <w:numFmt w:val="decimal"/>
      <w:start w:val="8"/>
    </w:lvl>
    <w:lvl w:ilvl="1">
      <w:lvlJc w:val="left"/>
      <w:lvlText w:val="%2"/>
      <w:numFmt w:val="lowerRoman"/>
      <w:start w:val="1"/>
    </w:lvl>
  </w:abstractNum>
  <w:abstractNum w:abstractNumId="11">
    <w:nsid w:val="431BD7B7"/>
    <w:multiLevelType w:val="hybridMultilevel"/>
    <w:lvl w:ilvl="0">
      <w:lvlJc w:val="left"/>
      <w:lvlText w:val="*"/>
      <w:numFmt w:val="bullet"/>
      <w:start w:val="1"/>
    </w:lvl>
    <w:lvl w:ilvl="1">
      <w:lvlJc w:val="left"/>
      <w:lvlText w:val="%2"/>
      <w:numFmt w:val="upperLetter"/>
      <w:start w:val="45"/>
    </w:lvl>
  </w:abstractNum>
  <w:abstractNum w:abstractNumId="12">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7C83E458"/>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14">
    <w:nsid w:val="257130A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decimal"/>
      <w:start w:val="1"/>
    </w:lvl>
    <w:lvl w:ilvl="1">
      <w:lvlJc w:val="left"/>
      <w:lvlText w:val="(%2)"/>
      <w:numFmt w:val="lowerRoman"/>
      <w:start w:val="1"/>
    </w:lvl>
  </w:abstractNum>
  <w:abstractNum w:abstractNumId="17">
    <w:nsid w:val="628C895D"/>
    <w:multiLevelType w:val="hybridMultilevel"/>
    <w:lvl w:ilvl="0">
      <w:lvlJc w:val="left"/>
      <w:lvlText w:val="%1."/>
      <w:numFmt w:val="decimal"/>
      <w:start w:val="10"/>
    </w:lvl>
    <w:lvl w:ilvl="1">
      <w:lvlJc w:val="left"/>
      <w:lvlText w:val="%2"/>
      <w:numFmt w:val="lowerRoman"/>
      <w:start w:val="1"/>
    </w:lvl>
  </w:abstractNum>
  <w:abstractNum w:abstractNumId="18">
    <w:nsid w:val="333AB105"/>
    <w:multiLevelType w:val="hybridMultilevel"/>
    <w:lvl w:ilvl="0">
      <w:lvlJc w:val="left"/>
      <w:lvlText w:val="%1."/>
      <w:numFmt w:val="decimal"/>
      <w:start w:val="14"/>
    </w:lvl>
  </w:abstractNum>
  <w:abstractNum w:abstractNumId="19">
    <w:nsid w:val="721DA317"/>
    <w:multiLevelType w:val="hybridMultilevel"/>
    <w:lvl w:ilvl="0">
      <w:lvlJc w:val="left"/>
      <w:lvlText w:val="*"/>
      <w:numFmt w:val="bullet"/>
      <w:start w:val="1"/>
    </w:lvl>
    <w:lvl w:ilvl="1">
      <w:lvlJc w:val="left"/>
      <w:lvlText w:val="%2"/>
      <w:numFmt w:val="upperLetter"/>
      <w:start w:val="4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2019-12-06T15:32:52Z</dcterms:created>
  <dcterms:modified xsi:type="dcterms:W3CDTF">2019-12-06T15:32:52Z</dcterms:modified>
</cp:coreProperties>
</file>