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UNITED STATES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140335</wp:posOffset>
            </wp:positionV>
            <wp:extent cx="1423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151130</wp:posOffset>
            </wp:positionV>
            <wp:extent cx="1423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(Mark One)</w:t>
      </w:r>
    </w:p>
    <w:p>
      <w:pPr>
        <w:spacing w:after="0" w:line="16" w:lineRule="exact"/>
        <w:rPr>
          <w:sz w:val="24"/>
          <w:szCs w:val="24"/>
          <w:color w:val="auto"/>
        </w:rPr>
      </w:pPr>
    </w:p>
    <w:p>
      <w:pPr>
        <w:ind w:left="3860" w:right="840" w:hanging="2902"/>
        <w:spacing w:after="0" w:line="259" w:lineRule="auto"/>
        <w:tabs>
          <w:tab w:leader="none" w:pos="125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2021</w:t>
      </w:r>
      <w:r>
        <w:rPr>
          <w:rFonts w:ascii="Arial" w:cs="Arial" w:eastAsia="Arial" w:hAnsi="Arial"/>
          <w:sz w:val="18"/>
          <w:szCs w:val="18"/>
          <w:color w:val="auto"/>
        </w:rPr>
        <w:t xml:space="preserve"> or</w:t>
      </w:r>
    </w:p>
    <w:p>
      <w:pPr>
        <w:spacing w:after="0" w:line="180" w:lineRule="exact"/>
        <w:rPr>
          <w:rFonts w:ascii="MS PGothic" w:cs="MS PGothic" w:eastAsia="MS PGothic" w:hAnsi="MS PGothic"/>
          <w:sz w:val="18"/>
          <w:szCs w:val="18"/>
          <w:color w:val="auto"/>
        </w:rPr>
      </w:pPr>
    </w:p>
    <w:p>
      <w:pPr>
        <w:ind w:left="2780" w:right="860" w:hanging="1806"/>
        <w:spacing w:after="0" w:line="274" w:lineRule="auto"/>
        <w:tabs>
          <w:tab w:leader="none" w:pos="1216" w:val="left"/>
        </w:tabs>
        <w:numPr>
          <w:ilvl w:val="1"/>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inTEST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88" w:lineRule="exact"/>
        <w:rPr>
          <w:sz w:val="24"/>
          <w:szCs w:val="24"/>
          <w:color w:val="auto"/>
        </w:rPr>
      </w:pPr>
    </w:p>
    <w:tbl>
      <w:tblPr>
        <w:tblLayout w:type="fixed"/>
        <w:tblInd w:w="70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7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8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w w:val="87"/>
              </w:rPr>
              <w:t>22-2370659</w:t>
            </w:r>
          </w:p>
        </w:tc>
      </w:tr>
      <w:tr>
        <w:trPr>
          <w:trHeight w:val="20"/>
        </w:trPr>
        <w:tc>
          <w:tcPr>
            <w:tcW w:w="17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2"/>
        </w:trPr>
        <w:tc>
          <w:tcPr>
            <w:tcW w:w="5260" w:type="dxa"/>
            <w:vAlign w:val="bottom"/>
            <w:gridSpan w:val="3"/>
          </w:tcPr>
          <w:p>
            <w:pPr>
              <w:jc w:val="center"/>
              <w:ind w:right="1020"/>
              <w:spacing w:after="0"/>
              <w:rPr>
                <w:sz w:val="20"/>
                <w:szCs w:val="20"/>
                <w:color w:val="auto"/>
              </w:rPr>
            </w:pPr>
            <w:r>
              <w:rPr>
                <w:rFonts w:ascii="Arial" w:cs="Arial" w:eastAsia="Arial" w:hAnsi="Arial"/>
                <w:sz w:val="18"/>
                <w:szCs w:val="18"/>
                <w:color w:val="auto"/>
                <w:w w:val="91"/>
              </w:rPr>
              <w:t>(State or other jurisdiction of incorporation or organization)</w:t>
            </w:r>
          </w:p>
        </w:tc>
        <w:tc>
          <w:tcPr>
            <w:tcW w:w="3920" w:type="dxa"/>
            <w:vAlign w:val="bottom"/>
            <w:gridSpan w:val="3"/>
          </w:tcPr>
          <w:p>
            <w:pPr>
              <w:jc w:val="center"/>
              <w:ind w:left="931"/>
              <w:spacing w:after="0"/>
              <w:rPr>
                <w:sz w:val="20"/>
                <w:szCs w:val="20"/>
                <w:color w:val="auto"/>
              </w:rPr>
            </w:pPr>
            <w:r>
              <w:rPr>
                <w:rFonts w:ascii="Arial" w:cs="Arial" w:eastAsia="Arial" w:hAnsi="Arial"/>
                <w:sz w:val="18"/>
                <w:szCs w:val="18"/>
                <w:color w:val="auto"/>
                <w:w w:val="92"/>
              </w:rPr>
              <w:t>(I.R.S. Employer Identification Number)</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804 East Gate Drive, Suite 200</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07"/>
        </w:trPr>
        <w:tc>
          <w:tcPr>
            <w:tcW w:w="780" w:type="dxa"/>
            <w:vAlign w:val="bottom"/>
          </w:tcPr>
          <w:p>
            <w:pPr>
              <w:spacing w:after="0"/>
              <w:rPr>
                <w:sz w:val="18"/>
                <w:szCs w:val="18"/>
                <w:color w:val="auto"/>
              </w:rPr>
            </w:pPr>
          </w:p>
        </w:tc>
        <w:tc>
          <w:tcPr>
            <w:tcW w:w="3460" w:type="dxa"/>
            <w:vAlign w:val="bottom"/>
            <w:gridSpan w:val="2"/>
          </w:tcPr>
          <w:p>
            <w:pPr>
              <w:jc w:val="center"/>
              <w:ind w:right="2040"/>
              <w:spacing w:after="0"/>
              <w:rPr>
                <w:sz w:val="20"/>
                <w:szCs w:val="20"/>
                <w:color w:val="auto"/>
              </w:rPr>
            </w:pPr>
            <w:r>
              <w:rPr>
                <w:rFonts w:ascii="Arial" w:cs="Arial" w:eastAsia="Arial" w:hAnsi="Arial"/>
                <w:sz w:val="18"/>
                <w:szCs w:val="18"/>
                <w:b w:val="1"/>
                <w:bCs w:val="1"/>
                <w:color w:val="auto"/>
                <w:w w:val="88"/>
              </w:rPr>
              <w:t>Title of Each Class</w:t>
            </w: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Trading Symbol</w:t>
            </w:r>
          </w:p>
        </w:tc>
        <w:tc>
          <w:tcPr>
            <w:tcW w:w="3980" w:type="dxa"/>
            <w:vAlign w:val="bottom"/>
            <w:gridSpan w:val="2"/>
          </w:tcPr>
          <w:p>
            <w:pPr>
              <w:jc w:val="center"/>
              <w:ind w:left="411"/>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r>
      <w:tr>
        <w:trPr>
          <w:trHeight w:val="232"/>
        </w:trPr>
        <w:tc>
          <w:tcPr>
            <w:tcW w:w="4240" w:type="dxa"/>
            <w:vAlign w:val="bottom"/>
            <w:gridSpan w:val="3"/>
          </w:tcPr>
          <w:p>
            <w:pPr>
              <w:jc w:val="center"/>
              <w:ind w:right="1240"/>
              <w:spacing w:after="0"/>
              <w:rPr>
                <w:sz w:val="20"/>
                <w:szCs w:val="20"/>
                <w:color w:val="auto"/>
              </w:rPr>
            </w:pPr>
            <w:r>
              <w:rPr>
                <w:rFonts w:ascii="Arial" w:cs="Arial" w:eastAsia="Arial" w:hAnsi="Arial"/>
                <w:sz w:val="18"/>
                <w:szCs w:val="18"/>
                <w:color w:val="auto"/>
                <w:w w:val="88"/>
              </w:rPr>
              <w:t>Common Stock, par value $0.01 per share</w:t>
            </w: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INTT</w:t>
            </w:r>
          </w:p>
        </w:tc>
        <w:tc>
          <w:tcPr>
            <w:tcW w:w="50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NYSE American</w:t>
            </w:r>
          </w:p>
        </w:tc>
      </w:tr>
    </w:tbl>
    <w:p>
      <w:pPr>
        <w:spacing w:after="0" w:line="200" w:lineRule="exact"/>
        <w:rPr>
          <w:sz w:val="24"/>
          <w:szCs w:val="24"/>
          <w:color w:val="auto"/>
        </w:rPr>
      </w:pPr>
    </w:p>
    <w:p>
      <w:pPr>
        <w:ind w:right="320"/>
        <w:spacing w:after="0" w:line="251"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1"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ind w:right="38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686" w:right="439" w:bottom="1440" w:gutter="0" w:footer="0" w:header="0"/>
        </w:sectPr>
      </w:pPr>
    </w:p>
    <w:p>
      <w:pPr>
        <w:spacing w:after="0" w:line="15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 w:lineRule="exact"/>
        <w:rPr>
          <w:sz w:val="24"/>
          <w:szCs w:val="24"/>
          <w:color w:val="auto"/>
        </w:rPr>
      </w:pPr>
    </w:p>
    <w:p>
      <w:pPr>
        <w:sectPr>
          <w:pgSz w:w="11900" w:h="16838" w:orient="portrait"/>
          <w:cols w:equalWidth="0" w:num="2">
            <w:col w:w="6040" w:space="720"/>
            <w:col w:w="4380"/>
          </w:cols>
          <w:pgMar w:left="320" w:top="686" w:right="439" w:bottom="1440" w:gutter="0" w:footer="0" w:header="0"/>
          <w:type w:val="continuous"/>
        </w:sect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3" w:lineRule="exact"/>
        <w:rPr>
          <w:sz w:val="24"/>
          <w:szCs w:val="24"/>
          <w:color w:val="auto"/>
        </w:rPr>
      </w:pPr>
    </w:p>
    <w:p>
      <w:pPr>
        <w:sectPr>
          <w:pgSz w:w="11900" w:h="16838" w:orient="portrait"/>
          <w:cols w:equalWidth="0" w:num="2">
            <w:col w:w="1940" w:space="100"/>
            <w:col w:w="9100"/>
          </w:cols>
          <w:pgMar w:left="320" w:top="686" w:right="439" w:bottom="1440" w:gutter="0" w:footer="0" w:header="0"/>
          <w:type w:val="continuous"/>
        </w:sectPr>
      </w:pPr>
    </w:p>
    <w:p>
      <w:pPr>
        <w:spacing w:after="0" w:line="10"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6" w:lineRule="exact"/>
        <w:rPr>
          <w:sz w:val="24"/>
          <w:szCs w:val="24"/>
          <w:color w:val="auto"/>
        </w:rPr>
      </w:pPr>
    </w:p>
    <w:p>
      <w:pPr>
        <w:spacing w:after="0" w:line="207" w:lineRule="exact"/>
        <w:tabs>
          <w:tab w:leader="none" w:pos="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outstanding as of the close of business on April 30, 2021:  10,747,131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368935</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40"/>
          </w:cols>
          <w:pgMar w:left="320" w:top="686"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60" w:type="dxa"/>
            <w:vAlign w:val="bottom"/>
          </w:tcPr>
          <w:p>
            <w:pPr>
              <w:jc w:val="center"/>
              <w:ind w:right="151"/>
              <w:spacing w:after="0"/>
              <w:rPr>
                <w:sz w:val="20"/>
                <w:szCs w:val="20"/>
                <w:color w:val="auto"/>
              </w:rPr>
            </w:pPr>
            <w:r>
              <w:rPr>
                <w:rFonts w:ascii="Arial" w:cs="Arial" w:eastAsia="Arial" w:hAnsi="Arial"/>
                <w:sz w:val="18"/>
                <w:szCs w:val="18"/>
                <w:b w:val="1"/>
                <w:bCs w:val="1"/>
                <w:color w:val="auto"/>
                <w:w w:val="97"/>
              </w:rPr>
              <w:t>inTEST CORPORATION</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27"/>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tcPr>
          <w:p>
            <w:pPr>
              <w:jc w:val="center"/>
              <w:ind w:right="151"/>
              <w:spacing w:after="0"/>
              <w:rPr>
                <w:sz w:val="20"/>
                <w:szCs w:val="20"/>
                <w:color w:val="auto"/>
              </w:rPr>
            </w:pPr>
            <w:r>
              <w:rPr>
                <w:rFonts w:ascii="Arial" w:cs="Arial" w:eastAsia="Arial" w:hAnsi="Arial"/>
                <w:sz w:val="18"/>
                <w:szCs w:val="18"/>
                <w:b w:val="1"/>
                <w:bCs w:val="1"/>
                <w:color w:val="auto"/>
              </w:rPr>
              <w:t>INDEX</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8"/>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860" w:type="dxa"/>
            <w:vAlign w:val="bottom"/>
            <w:gridSpan w:val="3"/>
          </w:tcPr>
          <w:p>
            <w:pPr>
              <w:ind w:left="460"/>
              <w:spacing w:after="0"/>
              <w:rPr>
                <w:sz w:val="20"/>
                <w:szCs w:val="20"/>
                <w:color w:val="auto"/>
              </w:rPr>
            </w:pPr>
            <w:r>
              <w:rPr>
                <w:rFonts w:ascii="Arial" w:cs="Arial" w:eastAsia="Arial" w:hAnsi="Arial"/>
                <w:sz w:val="18"/>
                <w:szCs w:val="18"/>
                <w:b w:val="1"/>
                <w:bCs w:val="1"/>
                <w:color w:val="auto"/>
                <w:w w:val="88"/>
              </w:rPr>
              <w:t>Page</w:t>
            </w: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3"/>
        </w:trPr>
        <w:tc>
          <w:tcPr>
            <w:tcW w:w="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5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FINANCIAL INFORMATION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Item 1.</w:t>
            </w:r>
          </w:p>
        </w:tc>
        <w:tc>
          <w:tcPr>
            <w:tcW w:w="95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Financial Statements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9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Consolidated Balance Sheets as of March 31, 2021 (Unaudited) and December 31, 2020</w:t>
            </w:r>
          </w:p>
        </w:tc>
        <w:tc>
          <w:tcPr>
            <w:tcW w:w="820" w:type="dxa"/>
            <w:vAlign w:val="bottom"/>
            <w:gridSpan w:val="2"/>
            <w:shd w:val="clear" w:color="auto" w:fill="CCEEFF"/>
          </w:tcPr>
          <w:p>
            <w:pPr>
              <w:jc w:val="center"/>
              <w:ind w:left="371"/>
              <w:spacing w:after="0"/>
              <w:rPr>
                <w:sz w:val="20"/>
                <w:szCs w:val="20"/>
                <w:color w:val="auto"/>
              </w:rPr>
            </w:pPr>
            <w:r>
              <w:rPr>
                <w:rFonts w:ascii="Arial" w:cs="Arial" w:eastAsia="Arial" w:hAnsi="Arial"/>
                <w:sz w:val="18"/>
                <w:szCs w:val="18"/>
                <w:color w:val="auto"/>
                <w:w w:val="79"/>
              </w:rPr>
              <w:t>1</w:t>
            </w:r>
          </w:p>
        </w:tc>
        <w:tc>
          <w:tcPr>
            <w:tcW w:w="40" w:type="dxa"/>
            <w:vAlign w:val="bottom"/>
            <w:shd w:val="clear" w:color="auto" w:fill="CCEEFF"/>
          </w:tcPr>
          <w:p>
            <w:pPr>
              <w:spacing w:after="0"/>
              <w:rPr>
                <w:sz w:val="18"/>
                <w:szCs w:val="18"/>
                <w:color w:val="auto"/>
              </w:rPr>
            </w:pPr>
          </w:p>
        </w:tc>
      </w:tr>
      <w:tr>
        <w:trPr>
          <w:trHeight w:val="213"/>
        </w:trPr>
        <w:tc>
          <w:tcPr>
            <w:tcW w:w="860" w:type="dxa"/>
            <w:vAlign w:val="bottom"/>
          </w:tcPr>
          <w:p>
            <w:pPr>
              <w:spacing w:after="0"/>
              <w:rPr>
                <w:sz w:val="18"/>
                <w:szCs w:val="18"/>
                <w:color w:val="auto"/>
              </w:rPr>
            </w:pPr>
          </w:p>
        </w:tc>
        <w:tc>
          <w:tcPr>
            <w:tcW w:w="9520" w:type="dxa"/>
            <w:vAlign w:val="bottom"/>
            <w:gridSpan w:val="2"/>
          </w:tcPr>
          <w:p>
            <w:pPr>
              <w:ind w:left="160"/>
              <w:spacing w:after="0"/>
              <w:rPr>
                <w:sz w:val="20"/>
                <w:szCs w:val="20"/>
                <w:color w:val="auto"/>
              </w:rPr>
            </w:pPr>
            <w:r>
              <w:rPr>
                <w:rFonts w:ascii="Arial" w:cs="Arial" w:eastAsia="Arial" w:hAnsi="Arial"/>
                <w:sz w:val="18"/>
                <w:szCs w:val="18"/>
                <w:color w:val="auto"/>
              </w:rPr>
              <w:t>Unaudited Consolidated Statements of Operations for the three months ended March 31, 2021 and 2020</w:t>
            </w:r>
          </w:p>
        </w:tc>
        <w:tc>
          <w:tcPr>
            <w:tcW w:w="820" w:type="dxa"/>
            <w:vAlign w:val="bottom"/>
            <w:gridSpan w:val="2"/>
          </w:tcPr>
          <w:p>
            <w:pPr>
              <w:jc w:val="center"/>
              <w:ind w:left="371"/>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9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Unaudited Consolidated Statements of Comprehensive Earnings (Loss) for the three months ended March 31, 2021 and 2020</w:t>
            </w:r>
          </w:p>
        </w:tc>
        <w:tc>
          <w:tcPr>
            <w:tcW w:w="820" w:type="dxa"/>
            <w:vAlign w:val="bottom"/>
            <w:gridSpan w:val="2"/>
            <w:shd w:val="clear" w:color="auto" w:fill="CCEEFF"/>
          </w:tcPr>
          <w:p>
            <w:pPr>
              <w:jc w:val="center"/>
              <w:ind w:left="371"/>
              <w:spacing w:after="0"/>
              <w:rPr>
                <w:sz w:val="20"/>
                <w:szCs w:val="20"/>
                <w:color w:val="auto"/>
              </w:rPr>
            </w:pPr>
            <w:r>
              <w:rPr>
                <w:rFonts w:ascii="Arial" w:cs="Arial" w:eastAsia="Arial" w:hAnsi="Arial"/>
                <w:sz w:val="18"/>
                <w:szCs w:val="18"/>
                <w:color w:val="auto"/>
                <w:w w:val="79"/>
              </w:rPr>
              <w:t>3</w:t>
            </w:r>
          </w:p>
        </w:tc>
        <w:tc>
          <w:tcPr>
            <w:tcW w:w="40" w:type="dxa"/>
            <w:vAlign w:val="bottom"/>
            <w:shd w:val="clear" w:color="auto" w:fill="CCEEFF"/>
          </w:tcPr>
          <w:p>
            <w:pPr>
              <w:spacing w:after="0"/>
              <w:rPr>
                <w:sz w:val="18"/>
                <w:szCs w:val="18"/>
                <w:color w:val="auto"/>
              </w:rPr>
            </w:pPr>
          </w:p>
        </w:tc>
      </w:tr>
      <w:tr>
        <w:trPr>
          <w:trHeight w:val="213"/>
        </w:trPr>
        <w:tc>
          <w:tcPr>
            <w:tcW w:w="860" w:type="dxa"/>
            <w:vAlign w:val="bottom"/>
          </w:tcPr>
          <w:p>
            <w:pPr>
              <w:spacing w:after="0"/>
              <w:rPr>
                <w:sz w:val="18"/>
                <w:szCs w:val="18"/>
                <w:color w:val="auto"/>
              </w:rPr>
            </w:pPr>
          </w:p>
        </w:tc>
        <w:tc>
          <w:tcPr>
            <w:tcW w:w="9520" w:type="dxa"/>
            <w:vAlign w:val="bottom"/>
            <w:gridSpan w:val="2"/>
          </w:tcPr>
          <w:p>
            <w:pPr>
              <w:ind w:left="160"/>
              <w:spacing w:after="0"/>
              <w:rPr>
                <w:sz w:val="20"/>
                <w:szCs w:val="20"/>
                <w:color w:val="auto"/>
              </w:rPr>
            </w:pPr>
            <w:r>
              <w:rPr>
                <w:rFonts w:ascii="Arial" w:cs="Arial" w:eastAsia="Arial" w:hAnsi="Arial"/>
                <w:sz w:val="18"/>
                <w:szCs w:val="18"/>
                <w:color w:val="auto"/>
              </w:rPr>
              <w:t>Unaudited Consolidated Statements of Stockholders' Equity for the three months ended March 31, 2021 and 2020</w:t>
            </w:r>
          </w:p>
        </w:tc>
        <w:tc>
          <w:tcPr>
            <w:tcW w:w="820" w:type="dxa"/>
            <w:vAlign w:val="bottom"/>
            <w:gridSpan w:val="2"/>
          </w:tcPr>
          <w:p>
            <w:pPr>
              <w:jc w:val="center"/>
              <w:ind w:left="371"/>
              <w:spacing w:after="0"/>
              <w:rPr>
                <w:sz w:val="20"/>
                <w:szCs w:val="20"/>
                <w:color w:val="auto"/>
              </w:rPr>
            </w:pPr>
            <w:r>
              <w:rPr>
                <w:rFonts w:ascii="Arial" w:cs="Arial" w:eastAsia="Arial" w:hAnsi="Arial"/>
                <w:sz w:val="18"/>
                <w:szCs w:val="18"/>
                <w:color w:val="auto"/>
                <w:w w:val="79"/>
              </w:rPr>
              <w:t>4</w:t>
            </w:r>
          </w:p>
        </w:tc>
        <w:tc>
          <w:tcPr>
            <w:tcW w:w="4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9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Unaudited Consolidated Statements of Cash Flows for the three months ended March 31, 2021 and 2020</w:t>
            </w:r>
          </w:p>
        </w:tc>
        <w:tc>
          <w:tcPr>
            <w:tcW w:w="820" w:type="dxa"/>
            <w:vAlign w:val="bottom"/>
            <w:gridSpan w:val="2"/>
            <w:shd w:val="clear" w:color="auto" w:fill="CCEEFF"/>
          </w:tcPr>
          <w:p>
            <w:pPr>
              <w:jc w:val="center"/>
              <w:ind w:left="371"/>
              <w:spacing w:after="0"/>
              <w:rPr>
                <w:sz w:val="20"/>
                <w:szCs w:val="20"/>
                <w:color w:val="auto"/>
              </w:rPr>
            </w:pPr>
            <w:r>
              <w:rPr>
                <w:rFonts w:ascii="Arial" w:cs="Arial" w:eastAsia="Arial" w:hAnsi="Arial"/>
                <w:sz w:val="18"/>
                <w:szCs w:val="18"/>
                <w:color w:val="auto"/>
                <w:w w:val="79"/>
              </w:rPr>
              <w:t>5</w:t>
            </w:r>
          </w:p>
        </w:tc>
        <w:tc>
          <w:tcPr>
            <w:tcW w:w="40" w:type="dxa"/>
            <w:vAlign w:val="bottom"/>
            <w:shd w:val="clear" w:color="auto" w:fill="CCEEFF"/>
          </w:tcPr>
          <w:p>
            <w:pPr>
              <w:spacing w:after="0"/>
              <w:rPr>
                <w:sz w:val="18"/>
                <w:szCs w:val="18"/>
                <w:color w:val="auto"/>
              </w:rPr>
            </w:pPr>
          </w:p>
        </w:tc>
      </w:tr>
      <w:tr>
        <w:trPr>
          <w:trHeight w:val="213"/>
        </w:trPr>
        <w:tc>
          <w:tcPr>
            <w:tcW w:w="860" w:type="dxa"/>
            <w:vAlign w:val="bottom"/>
          </w:tcPr>
          <w:p>
            <w:pPr>
              <w:spacing w:after="0"/>
              <w:rPr>
                <w:sz w:val="18"/>
                <w:szCs w:val="18"/>
                <w:color w:val="auto"/>
              </w:rPr>
            </w:pPr>
          </w:p>
        </w:tc>
        <w:tc>
          <w:tcPr>
            <w:tcW w:w="9520" w:type="dxa"/>
            <w:vAlign w:val="bottom"/>
            <w:gridSpan w:val="2"/>
          </w:tcPr>
          <w:p>
            <w:pPr>
              <w:ind w:left="160"/>
              <w:spacing w:after="0"/>
              <w:rPr>
                <w:sz w:val="20"/>
                <w:szCs w:val="20"/>
                <w:color w:val="auto"/>
              </w:rPr>
            </w:pPr>
            <w:r>
              <w:rPr>
                <w:rFonts w:ascii="Arial" w:cs="Arial" w:eastAsia="Arial" w:hAnsi="Arial"/>
                <w:sz w:val="18"/>
                <w:szCs w:val="18"/>
                <w:color w:val="auto"/>
              </w:rPr>
              <w:t>Notes to Consolidated Financial Statements</w:t>
            </w:r>
          </w:p>
        </w:tc>
        <w:tc>
          <w:tcPr>
            <w:tcW w:w="820" w:type="dxa"/>
            <w:vAlign w:val="bottom"/>
            <w:gridSpan w:val="2"/>
          </w:tcPr>
          <w:p>
            <w:pPr>
              <w:jc w:val="center"/>
              <w:ind w:left="371"/>
              <w:spacing w:after="0"/>
              <w:rPr>
                <w:sz w:val="20"/>
                <w:szCs w:val="20"/>
                <w:color w:val="auto"/>
              </w:rPr>
            </w:pPr>
            <w:r>
              <w:rPr>
                <w:rFonts w:ascii="Arial" w:cs="Arial" w:eastAsia="Arial" w:hAnsi="Arial"/>
                <w:sz w:val="18"/>
                <w:szCs w:val="18"/>
                <w:color w:val="auto"/>
                <w:w w:val="79"/>
              </w:rPr>
              <w:t>6</w:t>
            </w:r>
          </w:p>
        </w:tc>
        <w:tc>
          <w:tcPr>
            <w:tcW w:w="4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952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w:t>
            </w:r>
          </w:p>
        </w:tc>
        <w:tc>
          <w:tcPr>
            <w:tcW w:w="820" w:type="dxa"/>
            <w:vAlign w:val="bottom"/>
            <w:gridSpan w:val="2"/>
          </w:tcPr>
          <w:p>
            <w:pPr>
              <w:jc w:val="center"/>
              <w:ind w:left="391"/>
              <w:spacing w:after="0"/>
              <w:rPr>
                <w:sz w:val="20"/>
                <w:szCs w:val="20"/>
                <w:color w:val="auto"/>
              </w:rPr>
            </w:pPr>
            <w:r>
              <w:rPr>
                <w:rFonts w:ascii="Arial" w:cs="Arial" w:eastAsia="Arial" w:hAnsi="Arial"/>
                <w:sz w:val="18"/>
                <w:szCs w:val="18"/>
                <w:color w:val="auto"/>
                <w:w w:val="89"/>
              </w:rPr>
              <w:t>20</w:t>
            </w:r>
          </w:p>
        </w:tc>
        <w:tc>
          <w:tcPr>
            <w:tcW w:w="4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952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820" w:type="dxa"/>
            <w:vAlign w:val="bottom"/>
            <w:gridSpan w:val="2"/>
          </w:tcPr>
          <w:p>
            <w:pPr>
              <w:jc w:val="center"/>
              <w:ind w:left="391"/>
              <w:spacing w:after="0"/>
              <w:rPr>
                <w:sz w:val="20"/>
                <w:szCs w:val="20"/>
                <w:color w:val="auto"/>
              </w:rPr>
            </w:pPr>
            <w:r>
              <w:rPr>
                <w:rFonts w:ascii="Arial" w:cs="Arial" w:eastAsia="Arial" w:hAnsi="Arial"/>
                <w:sz w:val="18"/>
                <w:szCs w:val="18"/>
                <w:color w:val="auto"/>
                <w:w w:val="89"/>
              </w:rPr>
              <w:t>27</w:t>
            </w:r>
          </w:p>
        </w:tc>
        <w:tc>
          <w:tcPr>
            <w:tcW w:w="4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952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Controls and Procedures</w:t>
            </w:r>
          </w:p>
        </w:tc>
        <w:tc>
          <w:tcPr>
            <w:tcW w:w="820" w:type="dxa"/>
            <w:vAlign w:val="bottom"/>
            <w:gridSpan w:val="2"/>
          </w:tcPr>
          <w:p>
            <w:pPr>
              <w:jc w:val="center"/>
              <w:ind w:left="391"/>
              <w:spacing w:after="0"/>
              <w:rPr>
                <w:sz w:val="20"/>
                <w:szCs w:val="20"/>
                <w:color w:val="auto"/>
              </w:rPr>
            </w:pPr>
            <w:r>
              <w:rPr>
                <w:rFonts w:ascii="Arial" w:cs="Arial" w:eastAsia="Arial" w:hAnsi="Arial"/>
                <w:sz w:val="18"/>
                <w:szCs w:val="18"/>
                <w:color w:val="auto"/>
                <w:w w:val="89"/>
              </w:rPr>
              <w:t>27</w:t>
            </w:r>
          </w:p>
        </w:tc>
        <w:tc>
          <w:tcPr>
            <w:tcW w:w="4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2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INFORMATION</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952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Legal Proceedings</w:t>
            </w:r>
          </w:p>
        </w:tc>
        <w:tc>
          <w:tcPr>
            <w:tcW w:w="820" w:type="dxa"/>
            <w:vAlign w:val="bottom"/>
            <w:gridSpan w:val="2"/>
          </w:tcPr>
          <w:p>
            <w:pPr>
              <w:jc w:val="center"/>
              <w:ind w:left="391"/>
              <w:spacing w:after="0"/>
              <w:rPr>
                <w:sz w:val="20"/>
                <w:szCs w:val="20"/>
                <w:color w:val="auto"/>
              </w:rPr>
            </w:pPr>
            <w:r>
              <w:rPr>
                <w:rFonts w:ascii="Arial" w:cs="Arial" w:eastAsia="Arial" w:hAnsi="Arial"/>
                <w:sz w:val="18"/>
                <w:szCs w:val="18"/>
                <w:color w:val="auto"/>
                <w:w w:val="89"/>
              </w:rPr>
              <w:t>28</w:t>
            </w:r>
          </w:p>
        </w:tc>
        <w:tc>
          <w:tcPr>
            <w:tcW w:w="4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Item 1A.</w:t>
            </w:r>
          </w:p>
        </w:tc>
        <w:tc>
          <w:tcPr>
            <w:tcW w:w="952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Risk Factors</w:t>
            </w:r>
          </w:p>
        </w:tc>
        <w:tc>
          <w:tcPr>
            <w:tcW w:w="820" w:type="dxa"/>
            <w:vAlign w:val="bottom"/>
            <w:gridSpan w:val="2"/>
          </w:tcPr>
          <w:p>
            <w:pPr>
              <w:jc w:val="center"/>
              <w:ind w:left="391"/>
              <w:spacing w:after="0"/>
              <w:rPr>
                <w:sz w:val="20"/>
                <w:szCs w:val="20"/>
                <w:color w:val="auto"/>
              </w:rPr>
            </w:pPr>
            <w:r>
              <w:rPr>
                <w:rFonts w:ascii="Arial" w:cs="Arial" w:eastAsia="Arial" w:hAnsi="Arial"/>
                <w:sz w:val="18"/>
                <w:szCs w:val="18"/>
                <w:color w:val="auto"/>
                <w:w w:val="89"/>
              </w:rPr>
              <w:t>28</w:t>
            </w:r>
          </w:p>
        </w:tc>
        <w:tc>
          <w:tcPr>
            <w:tcW w:w="4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952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820" w:type="dxa"/>
            <w:vAlign w:val="bottom"/>
            <w:gridSpan w:val="2"/>
          </w:tcPr>
          <w:p>
            <w:pPr>
              <w:jc w:val="center"/>
              <w:ind w:left="391"/>
              <w:spacing w:after="0"/>
              <w:rPr>
                <w:sz w:val="20"/>
                <w:szCs w:val="20"/>
                <w:color w:val="auto"/>
              </w:rPr>
            </w:pPr>
            <w:r>
              <w:rPr>
                <w:rFonts w:ascii="Arial" w:cs="Arial" w:eastAsia="Arial" w:hAnsi="Arial"/>
                <w:sz w:val="18"/>
                <w:szCs w:val="18"/>
                <w:color w:val="auto"/>
                <w:w w:val="89"/>
              </w:rPr>
              <w:t>28</w:t>
            </w:r>
          </w:p>
        </w:tc>
        <w:tc>
          <w:tcPr>
            <w:tcW w:w="4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952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820" w:type="dxa"/>
            <w:vAlign w:val="bottom"/>
            <w:gridSpan w:val="2"/>
          </w:tcPr>
          <w:p>
            <w:pPr>
              <w:jc w:val="center"/>
              <w:ind w:left="391"/>
              <w:spacing w:after="0"/>
              <w:rPr>
                <w:sz w:val="20"/>
                <w:szCs w:val="20"/>
                <w:color w:val="auto"/>
              </w:rPr>
            </w:pPr>
            <w:r>
              <w:rPr>
                <w:rFonts w:ascii="Arial" w:cs="Arial" w:eastAsia="Arial" w:hAnsi="Arial"/>
                <w:sz w:val="18"/>
                <w:szCs w:val="18"/>
                <w:color w:val="auto"/>
                <w:w w:val="89"/>
              </w:rPr>
              <w:t>28</w:t>
            </w:r>
          </w:p>
        </w:tc>
        <w:tc>
          <w:tcPr>
            <w:tcW w:w="4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952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Mine Safety Disclosures</w:t>
            </w:r>
          </w:p>
        </w:tc>
        <w:tc>
          <w:tcPr>
            <w:tcW w:w="820" w:type="dxa"/>
            <w:vAlign w:val="bottom"/>
            <w:gridSpan w:val="2"/>
          </w:tcPr>
          <w:p>
            <w:pPr>
              <w:jc w:val="center"/>
              <w:ind w:left="391"/>
              <w:spacing w:after="0"/>
              <w:rPr>
                <w:sz w:val="20"/>
                <w:szCs w:val="20"/>
                <w:color w:val="auto"/>
              </w:rPr>
            </w:pPr>
            <w:r>
              <w:rPr>
                <w:rFonts w:ascii="Arial" w:cs="Arial" w:eastAsia="Arial" w:hAnsi="Arial"/>
                <w:sz w:val="18"/>
                <w:szCs w:val="18"/>
                <w:color w:val="auto"/>
                <w:w w:val="89"/>
              </w:rPr>
              <w:t>28</w:t>
            </w:r>
          </w:p>
        </w:tc>
        <w:tc>
          <w:tcPr>
            <w:tcW w:w="4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952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Other Information</w:t>
            </w:r>
          </w:p>
        </w:tc>
        <w:tc>
          <w:tcPr>
            <w:tcW w:w="820" w:type="dxa"/>
            <w:vAlign w:val="bottom"/>
            <w:gridSpan w:val="2"/>
          </w:tcPr>
          <w:p>
            <w:pPr>
              <w:jc w:val="center"/>
              <w:ind w:left="391"/>
              <w:spacing w:after="0"/>
              <w:rPr>
                <w:sz w:val="20"/>
                <w:szCs w:val="20"/>
                <w:color w:val="auto"/>
              </w:rPr>
            </w:pPr>
            <w:r>
              <w:rPr>
                <w:rFonts w:ascii="Arial" w:cs="Arial" w:eastAsia="Arial" w:hAnsi="Arial"/>
                <w:sz w:val="18"/>
                <w:szCs w:val="18"/>
                <w:color w:val="auto"/>
                <w:w w:val="89"/>
              </w:rPr>
              <w:t>28</w:t>
            </w:r>
          </w:p>
        </w:tc>
        <w:tc>
          <w:tcPr>
            <w:tcW w:w="4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952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Exhibits</w:t>
            </w:r>
          </w:p>
        </w:tc>
        <w:tc>
          <w:tcPr>
            <w:tcW w:w="820" w:type="dxa"/>
            <w:vAlign w:val="bottom"/>
            <w:gridSpan w:val="2"/>
          </w:tcPr>
          <w:p>
            <w:pPr>
              <w:jc w:val="center"/>
              <w:ind w:left="391"/>
              <w:spacing w:after="0"/>
              <w:rPr>
                <w:sz w:val="20"/>
                <w:szCs w:val="20"/>
                <w:color w:val="auto"/>
              </w:rPr>
            </w:pPr>
            <w:r>
              <w:rPr>
                <w:rFonts w:ascii="Arial" w:cs="Arial" w:eastAsia="Arial" w:hAnsi="Arial"/>
                <w:sz w:val="18"/>
                <w:szCs w:val="18"/>
                <w:color w:val="auto"/>
                <w:w w:val="89"/>
              </w:rPr>
              <w:t>28</w:t>
            </w:r>
          </w:p>
        </w:tc>
        <w:tc>
          <w:tcPr>
            <w:tcW w:w="40" w:type="dxa"/>
            <w:vAlign w:val="bottom"/>
          </w:tcPr>
          <w:p>
            <w:pPr>
              <w:spacing w:after="0"/>
              <w:rPr>
                <w:sz w:val="18"/>
                <w:szCs w:val="18"/>
                <w:color w:val="auto"/>
              </w:rPr>
            </w:pPr>
          </w:p>
        </w:tc>
      </w:tr>
      <w:tr>
        <w:trPr>
          <w:trHeight w:val="213"/>
        </w:trPr>
        <w:tc>
          <w:tcPr>
            <w:tcW w:w="1120" w:type="dxa"/>
            <w:vAlign w:val="bottom"/>
            <w:gridSpan w:val="2"/>
            <w:shd w:val="clear" w:color="auto" w:fill="CCEEFF"/>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73"/>
        </w:trPr>
        <w:tc>
          <w:tcPr>
            <w:tcW w:w="10380" w:type="dxa"/>
            <w:vAlign w:val="bottom"/>
            <w:gridSpan w:val="3"/>
          </w:tcPr>
          <w:p>
            <w:pPr>
              <w:spacing w:after="0" w:line="174" w:lineRule="exact"/>
              <w:rPr>
                <w:sz w:val="20"/>
                <w:szCs w:val="20"/>
                <w:color w:val="auto"/>
              </w:rPr>
            </w:pPr>
            <w:r>
              <w:rPr>
                <w:rFonts w:ascii="Arial" w:cs="Arial" w:eastAsia="Arial" w:hAnsi="Arial"/>
                <w:sz w:val="18"/>
                <w:szCs w:val="18"/>
                <w:b w:val="1"/>
                <w:bCs w:val="1"/>
                <w:i w:val="1"/>
                <w:iCs w:val="1"/>
                <w:color w:val="auto"/>
              </w:rPr>
              <w:t>SIGNATURES</w:t>
            </w:r>
          </w:p>
        </w:tc>
        <w:tc>
          <w:tcPr>
            <w:tcW w:w="820" w:type="dxa"/>
            <w:vAlign w:val="bottom"/>
            <w:gridSpan w:val="2"/>
          </w:tcPr>
          <w:p>
            <w:pPr>
              <w:jc w:val="center"/>
              <w:ind w:left="391"/>
              <w:spacing w:after="0" w:line="174" w:lineRule="exact"/>
              <w:rPr>
                <w:sz w:val="20"/>
                <w:szCs w:val="20"/>
                <w:color w:val="auto"/>
              </w:rPr>
            </w:pPr>
            <w:r>
              <w:rPr>
                <w:rFonts w:ascii="Arial" w:cs="Arial" w:eastAsia="Arial" w:hAnsi="Arial"/>
                <w:sz w:val="18"/>
                <w:szCs w:val="18"/>
                <w:color w:val="auto"/>
                <w:w w:val="89"/>
              </w:rPr>
              <w:t>29</w:t>
            </w:r>
          </w:p>
        </w:tc>
        <w:tc>
          <w:tcPr>
            <w:tcW w:w="40" w:type="dxa"/>
            <w:vAlign w:val="bottom"/>
          </w:tcPr>
          <w:p>
            <w:pPr>
              <w:spacing w:after="0"/>
              <w:rPr>
                <w:sz w:val="15"/>
                <w:szCs w:val="15"/>
                <w:color w:val="auto"/>
              </w:rPr>
            </w:pPr>
          </w:p>
        </w:tc>
      </w:tr>
      <w:tr>
        <w:trPr>
          <w:trHeight w:val="587"/>
        </w:trPr>
        <w:tc>
          <w:tcPr>
            <w:tcW w:w="8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5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0"/>
        </w:trPr>
        <w:tc>
          <w:tcPr>
            <w:tcW w:w="8000" w:type="dxa"/>
            <w:vAlign w:val="bottom"/>
          </w:tcPr>
          <w:p>
            <w:pPr>
              <w:jc w:val="center"/>
              <w:ind w:left="3171"/>
              <w:spacing w:after="0"/>
              <w:rPr>
                <w:sz w:val="20"/>
                <w:szCs w:val="20"/>
                <w:color w:val="auto"/>
              </w:rPr>
            </w:pPr>
            <w:r>
              <w:rPr>
                <w:rFonts w:ascii="Arial" w:cs="Arial" w:eastAsia="Arial" w:hAnsi="Arial"/>
                <w:sz w:val="18"/>
                <w:szCs w:val="18"/>
                <w:b w:val="1"/>
                <w:bCs w:val="1"/>
                <w:color w:val="auto"/>
                <w:w w:val="97"/>
              </w:rPr>
              <w:t>inTEST CORPORATION</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8000" w:type="dxa"/>
            <w:vAlign w:val="bottom"/>
          </w:tcPr>
          <w:p>
            <w:pPr>
              <w:jc w:val="center"/>
              <w:ind w:left="3151"/>
              <w:spacing w:after="0"/>
              <w:rPr>
                <w:sz w:val="20"/>
                <w:szCs w:val="20"/>
                <w:color w:val="auto"/>
              </w:rPr>
            </w:pPr>
            <w:r>
              <w:rPr>
                <w:rFonts w:ascii="Arial" w:cs="Arial" w:eastAsia="Arial" w:hAnsi="Arial"/>
                <w:sz w:val="18"/>
                <w:szCs w:val="18"/>
                <w:b w:val="1"/>
                <w:bCs w:val="1"/>
                <w:color w:val="auto"/>
                <w:w w:val="98"/>
              </w:rPr>
              <w:t>CONSOLIDATED BALANCE SHEETS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6"/>
        </w:trPr>
        <w:tc>
          <w:tcPr>
            <w:tcW w:w="8000" w:type="dxa"/>
            <w:vAlign w:val="bottom"/>
          </w:tcPr>
          <w:p>
            <w:pPr>
              <w:jc w:val="center"/>
              <w:ind w:left="3151"/>
              <w:spacing w:after="0"/>
              <w:rPr>
                <w:sz w:val="20"/>
                <w:szCs w:val="20"/>
                <w:color w:val="auto"/>
              </w:rPr>
            </w:pPr>
            <w:r>
              <w:rPr>
                <w:rFonts w:ascii="Arial" w:cs="Arial" w:eastAsia="Arial" w:hAnsi="Arial"/>
                <w:sz w:val="18"/>
                <w:szCs w:val="18"/>
                <w:color w:val="auto"/>
                <w:w w:val="86"/>
              </w:rPr>
              <w:t>(In thousands, except share and per share data)</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0"/>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0"/>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8"/>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1"/>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10,277</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Trade accounts receivable, net of allowance for doubtful accounts of $212</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13,487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8,435</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7,476</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8"/>
                <w:szCs w:val="18"/>
                <w:color w:val="auto"/>
              </w:rPr>
            </w:pPr>
          </w:p>
        </w:tc>
      </w:tr>
      <w:tr>
        <w:trPr>
          <w:trHeight w:val="207"/>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32,456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26,964</w:t>
            </w:r>
          </w:p>
        </w:tc>
      </w:tr>
      <w:tr>
        <w:trPr>
          <w:trHeight w:val="207"/>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Machinery and equipment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5,356</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8"/>
                <w:szCs w:val="18"/>
                <w:color w:val="auto"/>
              </w:rPr>
            </w:pPr>
          </w:p>
        </w:tc>
      </w:tr>
      <w:tr>
        <w:trPr>
          <w:trHeight w:val="207"/>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property and equipment</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7,992</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8"/>
                <w:szCs w:val="18"/>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(5,764)</w:t>
            </w: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(5,642)</w:t>
            </w:r>
          </w:p>
        </w:tc>
      </w:tr>
      <w:tr>
        <w:trPr>
          <w:trHeight w:val="207"/>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property and equipment</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7"/>
        </w:trPr>
        <w:tc>
          <w:tcPr>
            <w:tcW w:w="8000" w:type="dxa"/>
            <w:vAlign w:val="bottom"/>
          </w:tcPr>
          <w:p>
            <w:pPr>
              <w:spacing w:after="0"/>
              <w:rPr>
                <w:sz w:val="20"/>
                <w:szCs w:val="20"/>
                <w:color w:val="auto"/>
              </w:rPr>
            </w:pPr>
            <w:r>
              <w:rPr>
                <w:rFonts w:ascii="Arial" w:cs="Arial" w:eastAsia="Arial" w:hAnsi="Arial"/>
                <w:sz w:val="18"/>
                <w:szCs w:val="18"/>
                <w:color w:val="auto"/>
              </w:rPr>
              <w:t>Right-of-use assets, net</w:t>
            </w:r>
          </w:p>
        </w:tc>
        <w:tc>
          <w:tcPr>
            <w:tcW w:w="20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6,099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6,387</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13,738</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12,117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12,421</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Restricted certificates of deposit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47"/>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67,126</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62,030</w:t>
            </w:r>
          </w:p>
        </w:tc>
      </w:tr>
      <w:tr>
        <w:trPr>
          <w:trHeight w:val="194"/>
        </w:trPr>
        <w:tc>
          <w:tcPr>
            <w:tcW w:w="80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2,424</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Accrued wages and benefits</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1,944</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professional fees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Customer deposits and deferred revenue</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sales commissions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1,215</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and foreign income taxes payable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8"/>
                <w:szCs w:val="18"/>
                <w:color w:val="auto"/>
              </w:rPr>
            </w:pPr>
          </w:p>
        </w:tc>
      </w:tr>
      <w:tr>
        <w:trPr>
          <w:trHeight w:val="207"/>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11,171</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7"/>
        </w:trPr>
        <w:tc>
          <w:tcPr>
            <w:tcW w:w="80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5,753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6,050</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r>
      <w:tr>
        <w:trPr>
          <w:trHeight w:val="207"/>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19,277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17,278</w:t>
            </w:r>
          </w:p>
        </w:tc>
      </w:tr>
      <w:tr>
        <w:trPr>
          <w:trHeight w:val="207"/>
        </w:trPr>
        <w:tc>
          <w:tcPr>
            <w:tcW w:w="80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$0.01 par value; 5,000,000 shares authorized; no shares issued or outstanding</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9"/>
        </w:trPr>
        <w:tc>
          <w:tcPr>
            <w:tcW w:w="8000" w:type="dxa"/>
            <w:vAlign w:val="bottom"/>
          </w:tcPr>
          <w:p>
            <w:pPr>
              <w:ind w:left="160"/>
              <w:spacing w:after="0" w:line="199" w:lineRule="exact"/>
              <w:rPr>
                <w:sz w:val="20"/>
                <w:szCs w:val="20"/>
                <w:color w:val="auto"/>
              </w:rPr>
            </w:pPr>
            <w:r>
              <w:rPr>
                <w:rFonts w:ascii="Arial" w:cs="Arial" w:eastAsia="Arial" w:hAnsi="Arial"/>
                <w:sz w:val="18"/>
                <w:szCs w:val="18"/>
                <w:color w:val="auto"/>
                <w:w w:val="91"/>
              </w:rPr>
              <w:t>Common stock, $0.01 par value; 20,000,000 shares authorized; 10,743,408 and 10,562,200 shares issued,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8000" w:type="dxa"/>
            <w:vAlign w:val="bottom"/>
          </w:tcPr>
          <w:p>
            <w:pPr>
              <w:ind w:left="32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14"/>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26,851</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19,322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17,110</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earnings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Treasury stock, at cost; 33,077 shares</w:t>
            </w:r>
          </w:p>
        </w:tc>
        <w:tc>
          <w:tcPr>
            <w:tcW w:w="200" w:type="dxa"/>
            <w:vAlign w:val="bottom"/>
          </w:tcPr>
          <w:p>
            <w:pPr>
              <w:spacing w:after="0"/>
              <w:rPr>
                <w:sz w:val="18"/>
                <w:szCs w:val="18"/>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r>
      <w:tr>
        <w:trPr>
          <w:trHeight w:val="207"/>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47,849</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7"/>
        </w:trPr>
        <w:tc>
          <w:tcPr>
            <w:tcW w:w="800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67,126</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62,030</w:t>
            </w: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inTEST CORPORATION</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31"/>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7"/>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19,556</w:t>
            </w: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11,230</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10,035</w:t>
            </w: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6,363</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9,521</w:t>
            </w: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4,867</w:t>
            </w:r>
          </w:p>
        </w:tc>
      </w:tr>
      <w:tr>
        <w:trPr>
          <w:trHeight w:val="207"/>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Selling expense</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2,403</w:t>
            </w: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2,052</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Engineering and product development expense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1,322</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3,161</w:t>
            </w: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2,876</w:t>
            </w:r>
          </w:p>
        </w:tc>
      </w:tr>
      <w:tr>
        <w:trPr>
          <w:trHeight w:val="213"/>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Restructuring and other charges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0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6,941</w:t>
            </w:r>
          </w:p>
        </w:tc>
        <w:tc>
          <w:tcPr>
            <w:tcW w:w="4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6,228</w:t>
            </w:r>
          </w:p>
        </w:tc>
      </w:tr>
      <w:tr>
        <w:trPr>
          <w:trHeight w:val="207"/>
        </w:trPr>
        <w:tc>
          <w:tcPr>
            <w:tcW w:w="80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2,580</w:t>
            </w: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(1,361)</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r>
        <w:trPr>
          <w:trHeight w:val="207"/>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 expense (benefit)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2,578</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(1,393)</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r>
      <w:tr>
        <w:trPr>
          <w:trHeight w:val="207"/>
        </w:trPr>
        <w:tc>
          <w:tcPr>
            <w:tcW w:w="80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Net earnings (loss)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2,212</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(1,143)</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8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Net earnings (loss) per common share - basic</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r>
      <w:tr>
        <w:trPr>
          <w:trHeight w:val="213"/>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10,329,449</w:t>
            </w: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10,220,853</w:t>
            </w:r>
          </w:p>
        </w:tc>
      </w:tr>
      <w:tr>
        <w:trPr>
          <w:trHeight w:val="213"/>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Net earnings (loss) per common share - diluted</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r>
      <w:tr>
        <w:trPr>
          <w:trHeight w:val="213"/>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6"/>
        </w:trPr>
        <w:tc>
          <w:tcPr>
            <w:tcW w:w="8000" w:type="dxa"/>
            <w:vAlign w:val="bottom"/>
          </w:tcPr>
          <w:p>
            <w:pPr>
              <w:spacing w:after="0"/>
              <w:rPr>
                <w:sz w:val="20"/>
                <w:szCs w:val="20"/>
                <w:color w:val="auto"/>
              </w:rPr>
            </w:pPr>
            <w:r>
              <w:rPr>
                <w:rFonts w:ascii="Arial" w:cs="Arial" w:eastAsia="Arial" w:hAnsi="Arial"/>
                <w:sz w:val="18"/>
                <w:szCs w:val="18"/>
                <w:color w:val="auto"/>
              </w:rPr>
              <w:t>Weighted average common shares and common share equivalents outstanding - diluted</w:t>
            </w: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10,525,826</w:t>
            </w: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10,220,853</w:t>
            </w:r>
          </w:p>
        </w:tc>
      </w:tr>
      <w:tr>
        <w:trPr>
          <w:trHeight w:val="413"/>
        </w:trPr>
        <w:tc>
          <w:tcPr>
            <w:tcW w:w="8000" w:type="dxa"/>
            <w:vAlign w:val="bottom"/>
          </w:tcPr>
          <w:p>
            <w:pPr>
              <w:ind w:left="3360"/>
              <w:spacing w:after="0"/>
              <w:rPr>
                <w:sz w:val="20"/>
                <w:szCs w:val="20"/>
                <w:color w:val="auto"/>
              </w:rPr>
            </w:pPr>
            <w:r>
              <w:rPr>
                <w:rFonts w:ascii="Arial" w:cs="Arial" w:eastAsia="Arial" w:hAnsi="Arial"/>
                <w:sz w:val="18"/>
                <w:szCs w:val="18"/>
                <w:color w:val="auto"/>
                <w:w w:val="90"/>
              </w:rPr>
              <w:t>See accompanying Notes to Consolidated Financial Statements.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000" w:type="dxa"/>
            <w:vAlign w:val="bottom"/>
          </w:tcPr>
          <w:p>
            <w:pPr>
              <w:ind w:left="55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81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640" w:type="dxa"/>
            <w:vAlign w:val="bottom"/>
            <w:gridSpan w:val="4"/>
          </w:tcPr>
          <w:p>
            <w:pPr>
              <w:jc w:val="right"/>
              <w:ind w:right="182"/>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1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31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31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584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2,212</w:t>
            </w:r>
          </w:p>
        </w:tc>
        <w:tc>
          <w:tcPr>
            <w:tcW w:w="960" w:type="dxa"/>
            <w:vAlign w:val="bottom"/>
            <w:shd w:val="clear" w:color="auto" w:fill="CCEEFF"/>
          </w:tcPr>
          <w:p>
            <w:pPr>
              <w:jc w:val="right"/>
              <w:ind w:right="802"/>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(1,143)</w:t>
            </w:r>
          </w:p>
        </w:tc>
      </w:tr>
      <w:tr>
        <w:trPr>
          <w:trHeight w:val="213"/>
        </w:trPr>
        <w:tc>
          <w:tcPr>
            <w:tcW w:w="31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5"/>
              </w:rPr>
              <w:t>Foreign currency translation adjustments</w:t>
            </w:r>
          </w:p>
        </w:tc>
        <w:tc>
          <w:tcPr>
            <w:tcW w:w="4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07"/>
        </w:trPr>
        <w:tc>
          <w:tcPr>
            <w:tcW w:w="3140" w:type="dxa"/>
            <w:vAlign w:val="bottom"/>
            <w:tcBorders>
              <w:top w:val="single" w:sz="8" w:color="CCEEFF"/>
            </w:tcBorders>
          </w:tcPr>
          <w:p>
            <w:pPr>
              <w:spacing w:after="0"/>
              <w:rPr>
                <w:sz w:val="17"/>
                <w:szCs w:val="17"/>
                <w:color w:val="auto"/>
              </w:rPr>
            </w:pPr>
          </w:p>
        </w:tc>
        <w:tc>
          <w:tcPr>
            <w:tcW w:w="486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earnings (loss)</w:t>
            </w:r>
          </w:p>
        </w:tc>
        <w:tc>
          <w:tcPr>
            <w:tcW w:w="584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2,111</w:t>
            </w:r>
          </w:p>
        </w:tc>
        <w:tc>
          <w:tcPr>
            <w:tcW w:w="960" w:type="dxa"/>
            <w:vAlign w:val="bottom"/>
            <w:shd w:val="clear" w:color="auto" w:fill="CCEEFF"/>
          </w:tcPr>
          <w:p>
            <w:pPr>
              <w:jc w:val="right"/>
              <w:ind w:right="802"/>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(1,181)</w:t>
            </w:r>
          </w:p>
        </w:tc>
      </w:tr>
      <w:tr>
        <w:trPr>
          <w:trHeight w:val="406"/>
        </w:trPr>
        <w:tc>
          <w:tcPr>
            <w:tcW w:w="3140" w:type="dxa"/>
            <w:vAlign w:val="bottom"/>
            <w:tcBorders>
              <w:top w:val="single" w:sz="8" w:color="CCEEFF"/>
            </w:tcBorders>
          </w:tcPr>
          <w:p>
            <w:pPr>
              <w:spacing w:after="0"/>
              <w:rPr>
                <w:sz w:val="24"/>
                <w:szCs w:val="24"/>
                <w:color w:val="auto"/>
              </w:rPr>
            </w:pPr>
          </w:p>
        </w:tc>
        <w:tc>
          <w:tcPr>
            <w:tcW w:w="4860" w:type="dxa"/>
            <w:vAlign w:val="bottom"/>
            <w:tcBorders>
              <w:top w:val="single" w:sz="8" w:color="CCEEFF"/>
            </w:tcBorders>
          </w:tcPr>
          <w:p>
            <w:pPr>
              <w:jc w:val="center"/>
              <w:ind w:left="31"/>
              <w:spacing w:after="0"/>
              <w:rPr>
                <w:sz w:val="20"/>
                <w:szCs w:val="20"/>
                <w:color w:val="auto"/>
              </w:rPr>
            </w:pPr>
            <w:r>
              <w:rPr>
                <w:rFonts w:ascii="Arial" w:cs="Arial" w:eastAsia="Arial" w:hAnsi="Arial"/>
                <w:sz w:val="18"/>
                <w:szCs w:val="18"/>
                <w:color w:val="auto"/>
                <w:w w:val="88"/>
              </w:rPr>
              <w:t>See accompanying Notes to Consolidated Financial Statements.</w:t>
            </w: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27"/>
        </w:trPr>
        <w:tc>
          <w:tcPr>
            <w:tcW w:w="3140" w:type="dxa"/>
            <w:vAlign w:val="bottom"/>
          </w:tcPr>
          <w:p>
            <w:pPr>
              <w:spacing w:after="0"/>
              <w:rPr>
                <w:sz w:val="24"/>
                <w:szCs w:val="24"/>
                <w:color w:val="auto"/>
              </w:rPr>
            </w:pPr>
          </w:p>
        </w:tc>
        <w:tc>
          <w:tcPr>
            <w:tcW w:w="4860" w:type="dxa"/>
            <w:vAlign w:val="bottom"/>
          </w:tcPr>
          <w:p>
            <w:pPr>
              <w:jc w:val="right"/>
              <w:ind w:right="2191"/>
              <w:spacing w:after="0"/>
              <w:rPr>
                <w:sz w:val="20"/>
                <w:szCs w:val="20"/>
                <w:color w:val="auto"/>
              </w:rPr>
            </w:pPr>
            <w:r>
              <w:rPr>
                <w:rFonts w:ascii="Arial" w:cs="Arial" w:eastAsia="Arial" w:hAnsi="Arial"/>
                <w:sz w:val="18"/>
                <w:szCs w:val="18"/>
                <w:color w:val="auto"/>
              </w:rPr>
              <w:t>-3-</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14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81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rPr>
              <w:t>Three Months Ended March 31, 2021</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4"/>
            <w:vMerge w:val="restart"/>
          </w:tcPr>
          <w:p>
            <w:pPr>
              <w:ind w:left="320"/>
              <w:spacing w:after="0"/>
              <w:rPr>
                <w:sz w:val="20"/>
                <w:szCs w:val="20"/>
                <w:color w:val="auto"/>
              </w:rPr>
            </w:pPr>
            <w:r>
              <w:rPr>
                <w:rFonts w:ascii="Arial" w:cs="Arial" w:eastAsia="Arial" w:hAnsi="Arial"/>
                <w:sz w:val="18"/>
                <w:szCs w:val="18"/>
                <w:b w:val="1"/>
                <w:bCs w:val="1"/>
                <w:color w:val="auto"/>
                <w:w w:val="87"/>
              </w:rPr>
              <w:t>Common Stock</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Additional</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gridSpan w:val="4"/>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Retained</w:t>
            </w: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Comprehensive</w:t>
            </w:r>
          </w:p>
        </w:tc>
        <w:tc>
          <w:tcPr>
            <w:tcW w:w="10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Treasury</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7"/>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Earnings</w:t>
            </w:r>
          </w:p>
        </w:tc>
        <w:tc>
          <w:tcPr>
            <w:tcW w:w="1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7"/>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10,562,200</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26,851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44,752</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9"/>
        </w:trPr>
        <w:tc>
          <w:tcPr>
            <w:tcW w:w="33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89"/>
              </w:rPr>
              <w:t>Amortization of deferred compensation related</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stock-based awards</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w w:val="88"/>
              </w:rPr>
              <w:t>Issuance of unvested shares of restricted stock</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81,468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99,740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2021</w:t>
            </w:r>
          </w:p>
        </w:tc>
        <w:tc>
          <w:tcPr>
            <w:tcW w:w="12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10,743,408</w:t>
            </w: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27,835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47,849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3"/>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rPr>
              <w:t>Three Months Ended March 31, 2020</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4"/>
            <w:vMerge w:val="restart"/>
          </w:tcPr>
          <w:p>
            <w:pPr>
              <w:ind w:left="320"/>
              <w:spacing w:after="0"/>
              <w:rPr>
                <w:sz w:val="20"/>
                <w:szCs w:val="20"/>
                <w:color w:val="auto"/>
              </w:rPr>
            </w:pPr>
            <w:r>
              <w:rPr>
                <w:rFonts w:ascii="Arial" w:cs="Arial" w:eastAsia="Arial" w:hAnsi="Arial"/>
                <w:sz w:val="18"/>
                <w:szCs w:val="18"/>
                <w:b w:val="1"/>
                <w:bCs w:val="1"/>
                <w:color w:val="auto"/>
                <w:w w:val="87"/>
              </w:rPr>
              <w:t>Common Stock</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Additional</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gridSpan w:val="4"/>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Retained</w:t>
            </w: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Comprehensive</w:t>
            </w:r>
          </w:p>
        </w:tc>
        <w:tc>
          <w:tcPr>
            <w:tcW w:w="10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Treasury</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7"/>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Earnings</w:t>
            </w:r>
          </w:p>
        </w:tc>
        <w:tc>
          <w:tcPr>
            <w:tcW w:w="1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7"/>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10,413,982</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26,256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44,834</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9"/>
        </w:trPr>
        <w:tc>
          <w:tcPr>
            <w:tcW w:w="33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89"/>
              </w:rPr>
              <w:t>Amortization of deferred compensation related</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stock-based awards</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w w:val="88"/>
              </w:rPr>
              <w:t>Issuance of unvested shares of restricted stock</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58,160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3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9"/>
              </w:rPr>
              <w:t>Forfeiture of unvested shares of restricted</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w w:val="92"/>
              </w:rPr>
              <w:t>Repurchase and retirement of common stock</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(13,767)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3"/>
        </w:trPr>
        <w:tc>
          <w:tcPr>
            <w:tcW w:w="3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40" w:type="dxa"/>
            <w:vAlign w:val="bottom"/>
          </w:tcPr>
          <w:p>
            <w:pPr>
              <w:spacing w:after="0"/>
              <w:rPr>
                <w:sz w:val="20"/>
                <w:szCs w:val="20"/>
                <w:color w:val="auto"/>
              </w:rPr>
            </w:pPr>
            <w:r>
              <w:rPr>
                <w:rFonts w:ascii="Arial" w:cs="Arial" w:eastAsia="Arial" w:hAnsi="Arial"/>
                <w:sz w:val="18"/>
                <w:szCs w:val="18"/>
                <w:color w:val="auto"/>
              </w:rPr>
              <w:t>Balance, March 31, 2020</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10,450,060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26,368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16,862</w:t>
            </w:r>
          </w:p>
        </w:tc>
        <w:tc>
          <w:tcPr>
            <w:tcW w:w="16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43,766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340" w:type="dxa"/>
            <w:vAlign w:val="bottom"/>
          </w:tcPr>
          <w:p>
            <w:pPr>
              <w:spacing w:after="0"/>
              <w:rPr>
                <w:sz w:val="24"/>
                <w:szCs w:val="24"/>
                <w:color w:val="auto"/>
              </w:rPr>
            </w:pPr>
          </w:p>
        </w:tc>
        <w:tc>
          <w:tcPr>
            <w:tcW w:w="5680" w:type="dxa"/>
            <w:vAlign w:val="bottom"/>
            <w:gridSpan w:val="17"/>
          </w:tcPr>
          <w:p>
            <w:pPr>
              <w:jc w:val="center"/>
              <w:ind w:right="1100"/>
              <w:spacing w:after="0"/>
              <w:rPr>
                <w:sz w:val="20"/>
                <w:szCs w:val="20"/>
                <w:color w:val="auto"/>
              </w:rPr>
            </w:pPr>
            <w:r>
              <w:rPr>
                <w:rFonts w:ascii="Arial" w:cs="Arial" w:eastAsia="Arial" w:hAnsi="Arial"/>
                <w:sz w:val="18"/>
                <w:szCs w:val="18"/>
                <w:color w:val="auto"/>
                <w:w w:val="88"/>
              </w:rPr>
              <w:t>See accompanying Notes to Consolidated Financial Statements.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531"/>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2640" w:type="dxa"/>
            <w:vAlign w:val="bottom"/>
            <w:gridSpan w:val="4"/>
          </w:tcPr>
          <w:p>
            <w:pPr>
              <w:jc w:val="right"/>
              <w:ind w:right="184"/>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04"/>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Net earnings (loss)</w:t>
            </w:r>
          </w:p>
        </w:tc>
        <w:tc>
          <w:tcPr>
            <w:tcW w:w="940" w:type="dxa"/>
            <w:vAlign w:val="bottom"/>
          </w:tcPr>
          <w:p>
            <w:pPr>
              <w:jc w:val="right"/>
              <w:ind w:right="781"/>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2,212</w:t>
            </w:r>
          </w:p>
        </w:tc>
        <w:tc>
          <w:tcPr>
            <w:tcW w:w="960" w:type="dxa"/>
            <w:vAlign w:val="bottom"/>
          </w:tcPr>
          <w:p>
            <w:pPr>
              <w:jc w:val="right"/>
              <w:ind w:right="804"/>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(1,143)</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(loss) to net cash used in operating activities: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740</w:t>
            </w: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excess and obsolete inventory</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Foreign exchange loss</w:t>
            </w: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deferred compensation related to stock-based awards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of demonstration equipment, net of gain</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Deferred income tax benefit</w:t>
            </w:r>
          </w:p>
        </w:tc>
        <w:tc>
          <w:tcPr>
            <w:tcW w:w="9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9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480"/>
              <w:spacing w:after="0"/>
              <w:rPr>
                <w:sz w:val="20"/>
                <w:szCs w:val="20"/>
                <w:color w:val="auto"/>
              </w:rPr>
            </w:pPr>
            <w:r>
              <w:rPr>
                <w:rFonts w:ascii="Arial" w:cs="Arial" w:eastAsia="Arial" w:hAnsi="Arial"/>
                <w:sz w:val="18"/>
                <w:szCs w:val="18"/>
                <w:color w:val="auto"/>
              </w:rPr>
              <w:t>Trade accounts receivable</w:t>
            </w:r>
          </w:p>
        </w:tc>
        <w:tc>
          <w:tcPr>
            <w:tcW w:w="9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(5,082)</w:t>
            </w: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1,188</w:t>
            </w: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(783)</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w:t>
            </w:r>
          </w:p>
        </w:tc>
      </w:tr>
      <w:tr>
        <w:trPr>
          <w:trHeight w:val="213"/>
        </w:trPr>
        <w:tc>
          <w:tcPr>
            <w:tcW w:w="800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3"/>
        </w:trPr>
        <w:tc>
          <w:tcPr>
            <w:tcW w:w="80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1,235</w:t>
            </w: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wages and benefits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w:t>
            </w:r>
          </w:p>
        </w:tc>
      </w:tr>
      <w:tr>
        <w:trPr>
          <w:trHeight w:val="213"/>
        </w:trPr>
        <w:tc>
          <w:tcPr>
            <w:tcW w:w="8000" w:type="dxa"/>
            <w:vAlign w:val="bottom"/>
          </w:tcPr>
          <w:p>
            <w:pPr>
              <w:ind w:left="480"/>
              <w:spacing w:after="0"/>
              <w:rPr>
                <w:sz w:val="20"/>
                <w:szCs w:val="20"/>
                <w:color w:val="auto"/>
              </w:rPr>
            </w:pPr>
            <w:r>
              <w:rPr>
                <w:rFonts w:ascii="Arial" w:cs="Arial" w:eastAsia="Arial" w:hAnsi="Arial"/>
                <w:sz w:val="18"/>
                <w:szCs w:val="18"/>
                <w:color w:val="auto"/>
              </w:rPr>
              <w:t>Accrued professional fees</w:t>
            </w:r>
          </w:p>
        </w:tc>
        <w:tc>
          <w:tcPr>
            <w:tcW w:w="9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(261)</w:t>
            </w:r>
          </w:p>
        </w:tc>
        <w:tc>
          <w:tcPr>
            <w:tcW w:w="9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Customer deposits and deferred revenue</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r>
      <w:tr>
        <w:trPr>
          <w:trHeight w:val="213"/>
        </w:trPr>
        <w:tc>
          <w:tcPr>
            <w:tcW w:w="8000" w:type="dxa"/>
            <w:vAlign w:val="bottom"/>
          </w:tcPr>
          <w:p>
            <w:pPr>
              <w:ind w:left="480"/>
              <w:spacing w:after="0"/>
              <w:rPr>
                <w:sz w:val="20"/>
                <w:szCs w:val="20"/>
                <w:color w:val="auto"/>
              </w:rPr>
            </w:pPr>
            <w:r>
              <w:rPr>
                <w:rFonts w:ascii="Arial" w:cs="Arial" w:eastAsia="Arial" w:hAnsi="Arial"/>
                <w:sz w:val="18"/>
                <w:szCs w:val="18"/>
                <w:color w:val="auto"/>
              </w:rPr>
              <w:t>Accrued sales commissions</w:t>
            </w: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lease liabilities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w:t>
            </w:r>
          </w:p>
        </w:tc>
      </w:tr>
      <w:tr>
        <w:trPr>
          <w:trHeight w:val="213"/>
        </w:trPr>
        <w:tc>
          <w:tcPr>
            <w:tcW w:w="8000" w:type="dxa"/>
            <w:vAlign w:val="bottom"/>
          </w:tcPr>
          <w:p>
            <w:pPr>
              <w:ind w:left="480"/>
              <w:spacing w:after="0"/>
              <w:rPr>
                <w:sz w:val="20"/>
                <w:szCs w:val="20"/>
                <w:color w:val="auto"/>
              </w:rPr>
            </w:pPr>
            <w:r>
              <w:rPr>
                <w:rFonts w:ascii="Arial" w:cs="Arial" w:eastAsia="Arial" w:hAnsi="Arial"/>
                <w:sz w:val="18"/>
                <w:szCs w:val="18"/>
                <w:color w:val="auto"/>
              </w:rPr>
              <w:t>Domestic and foreign income taxes payable</w:t>
            </w: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335</w:t>
            </w:r>
          </w:p>
        </w:tc>
        <w:tc>
          <w:tcPr>
            <w:tcW w:w="9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liabilities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13"/>
        </w:trPr>
        <w:tc>
          <w:tcPr>
            <w:tcW w:w="8000" w:type="dxa"/>
            <w:vAlign w:val="bottom"/>
          </w:tcPr>
          <w:p>
            <w:pPr>
              <w:ind w:left="480"/>
              <w:spacing w:after="0"/>
              <w:rPr>
                <w:sz w:val="20"/>
                <w:szCs w:val="20"/>
                <w:color w:val="auto"/>
              </w:rPr>
            </w:pPr>
            <w:r>
              <w:rPr>
                <w:rFonts w:ascii="Arial" w:cs="Arial" w:eastAsia="Arial" w:hAnsi="Arial"/>
                <w:sz w:val="18"/>
                <w:szCs w:val="18"/>
                <w:color w:val="auto"/>
              </w:rPr>
              <w:t>Other liabilities</w:t>
            </w:r>
          </w:p>
        </w:tc>
        <w:tc>
          <w:tcPr>
            <w:tcW w:w="9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w:t>
            </w:r>
          </w:p>
        </w:tc>
        <w:tc>
          <w:tcPr>
            <w:tcW w:w="9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r>
      <w:tr>
        <w:trPr>
          <w:trHeight w:val="207"/>
        </w:trPr>
        <w:tc>
          <w:tcPr>
            <w:tcW w:w="80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9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(388)</w:t>
            </w:r>
          </w:p>
        </w:tc>
        <w:tc>
          <w:tcPr>
            <w:tcW w:w="9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9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r>
      <w:tr>
        <w:trPr>
          <w:trHeight w:val="207"/>
        </w:trPr>
        <w:tc>
          <w:tcPr>
            <w:tcW w:w="80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Proceeds from stock options exercised</w:t>
            </w: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717</w:t>
            </w:r>
          </w:p>
        </w:tc>
        <w:tc>
          <w:tcPr>
            <w:tcW w:w="9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Repurchases of common stock</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717</w:t>
            </w:r>
          </w:p>
        </w:tc>
        <w:tc>
          <w:tcPr>
            <w:tcW w:w="9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07"/>
        </w:trPr>
        <w:tc>
          <w:tcPr>
            <w:tcW w:w="800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Effects of exchange rates on cash</w:t>
            </w:r>
          </w:p>
        </w:tc>
        <w:tc>
          <w:tcPr>
            <w:tcW w:w="9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9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07"/>
        </w:trPr>
        <w:tc>
          <w:tcPr>
            <w:tcW w:w="800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Net cash used in all activities</w:t>
            </w:r>
          </w:p>
        </w:tc>
        <w:tc>
          <w:tcPr>
            <w:tcW w:w="9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9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10,277</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940" w:type="dxa"/>
            <w:vAlign w:val="bottom"/>
          </w:tcPr>
          <w:p>
            <w:pPr>
              <w:jc w:val="right"/>
              <w:ind w:right="781"/>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10,195</w:t>
            </w:r>
          </w:p>
        </w:tc>
        <w:tc>
          <w:tcPr>
            <w:tcW w:w="960" w:type="dxa"/>
            <w:vAlign w:val="bottom"/>
          </w:tcPr>
          <w:p>
            <w:pPr>
              <w:jc w:val="right"/>
              <w:ind w:right="804"/>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7,318</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80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Cash payments for:</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and foreign income taxes</w:t>
            </w:r>
          </w:p>
        </w:tc>
        <w:tc>
          <w:tcPr>
            <w:tcW w:w="940" w:type="dxa"/>
            <w:vAlign w:val="bottom"/>
            <w:shd w:val="clear" w:color="auto" w:fill="CCEEFF"/>
          </w:tcPr>
          <w:p>
            <w:pPr>
              <w:jc w:val="right"/>
              <w:ind w:right="781"/>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4"/>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7" w:name="page8"/>
    <w:bookmarkEnd w:id="7"/>
    <w:p>
      <w:pPr>
        <w:jc w:val="center"/>
        <w:ind w:right="-12"/>
        <w:spacing w:after="0"/>
        <w:rPr>
          <w:sz w:val="20"/>
          <w:szCs w:val="20"/>
          <w:color w:val="auto"/>
        </w:rPr>
      </w:pPr>
      <w:r>
        <w:rPr>
          <w:rFonts w:ascii="Arial" w:cs="Arial" w:eastAsia="Arial" w:hAnsi="Arial"/>
          <w:sz w:val="18"/>
          <w:szCs w:val="18"/>
          <w:b w:val="1"/>
          <w:bCs w:val="1"/>
          <w:color w:val="auto"/>
        </w:rPr>
        <w:t>inTEST CORPORATION</w:t>
      </w:r>
    </w:p>
    <w:p>
      <w:pPr>
        <w:spacing w:after="0" w:line="23"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(Unaudited)</w:t>
      </w:r>
    </w:p>
    <w:p>
      <w:pPr>
        <w:spacing w:after="0" w:line="6"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93" w:hanging="793"/>
        <w:spacing w:after="0"/>
        <w:tabs>
          <w:tab w:leader="none" w:pos="793"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3" w:lineRule="exact"/>
        <w:rPr>
          <w:rFonts w:ascii="Arial" w:cs="Arial" w:eastAsia="Arial" w:hAnsi="Arial"/>
          <w:sz w:val="18"/>
          <w:szCs w:val="18"/>
          <w:b w:val="1"/>
          <w:bCs w:val="1"/>
          <w:color w:val="auto"/>
        </w:rPr>
      </w:pPr>
    </w:p>
    <w:p>
      <w:pPr>
        <w:ind w:left="773" w:right="14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We are a global supplier of innovative test and process solutions for use in manufacturing and testing across a wide range of markets including automotive, defense/aerospace, industrial, medical, semiconductor and telecommunications. We manage our business as two operating segments which are also our reportable segments and reporting units: Thermal Products ("Thermal") and Electromechanical Solutions ("EMS"). Our Thermal segment designs, manufactures and sells our thermal test and thermal process products while our EMS segment designs, manufactures and sells our semiconductor test products. We manufacture our products in the U.S. Marketing and support activities are conducted worldwide from our facilities in the U.S., Germany, Singapore, the Netherlands and the U.K. The consolidated entity is comprised of inTEST Corporation and our wholly-owned subsidiaries.</w:t>
      </w:r>
    </w:p>
    <w:p>
      <w:pPr>
        <w:spacing w:after="0" w:line="179" w:lineRule="exact"/>
        <w:rPr>
          <w:rFonts w:ascii="Arial" w:cs="Arial" w:eastAsia="Arial" w:hAnsi="Arial"/>
          <w:sz w:val="18"/>
          <w:szCs w:val="18"/>
          <w:b w:val="1"/>
          <w:bCs w:val="1"/>
          <w:color w:val="auto"/>
        </w:rPr>
      </w:pPr>
    </w:p>
    <w:p>
      <w:pPr>
        <w:ind w:left="773" w:right="6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Our EMS segment sells its products to semiconductor manufacturers and third-party test and assembly houses (end user sales) and to automated test equipment (“ATE”) manufacturers (original equipment manufacturer (“OEM”) sales), who ultimately resell our equipment with theirs to both semiconductor manufacturers and third-party test and assembly houses. These sales all fall within the ATE sector of the broader semiconductor market. Our Thermal segment sells its products to many of these same types of customers; however, it also sells to customers in the wafer processing sector within the broader semiconductor market and to customers in a variety of other markets outside the semiconductor market, including the automotive, defense/aerospace, industrial (including consumer products packaging, fiber optics and other sectors within the broader industrial market), medical and telecommunications markets.</w:t>
      </w:r>
    </w:p>
    <w:p>
      <w:pPr>
        <w:spacing w:after="0" w:line="179" w:lineRule="exact"/>
        <w:rPr>
          <w:rFonts w:ascii="Arial" w:cs="Arial" w:eastAsia="Arial" w:hAnsi="Arial"/>
          <w:sz w:val="18"/>
          <w:szCs w:val="18"/>
          <w:b w:val="1"/>
          <w:bCs w:val="1"/>
          <w:color w:val="auto"/>
        </w:rPr>
      </w:pPr>
    </w:p>
    <w:p>
      <w:pPr>
        <w:ind w:left="773" w:right="60"/>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Both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74" w:lineRule="exact"/>
        <w:rPr>
          <w:rFonts w:ascii="Arial" w:cs="Arial" w:eastAsia="Arial" w:hAnsi="Arial"/>
          <w:sz w:val="18"/>
          <w:szCs w:val="18"/>
          <w:b w:val="1"/>
          <w:bCs w:val="1"/>
          <w:color w:val="auto"/>
        </w:rPr>
      </w:pPr>
    </w:p>
    <w:p>
      <w:pPr>
        <w:ind w:left="773"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refer to the broader semiconductor market, including the more specialized ATE and wafer processing sectors within that market, as the “Semi Market.” All other markets are designated as “Multimarket.” The Semi Market, which is the principal market in which we operate, is characterized by rapid technological change, competitive pricing pressures and cyclical market patterns. This market is subject to significant economic downturns at various times.</w:t>
      </w:r>
    </w:p>
    <w:p>
      <w:pPr>
        <w:spacing w:after="0" w:line="187" w:lineRule="exact"/>
        <w:rPr>
          <w:rFonts w:ascii="Arial" w:cs="Arial" w:eastAsia="Arial" w:hAnsi="Arial"/>
          <w:sz w:val="18"/>
          <w:szCs w:val="18"/>
          <w:b w:val="1"/>
          <w:bCs w:val="1"/>
          <w:color w:val="auto"/>
        </w:rPr>
      </w:pPr>
    </w:p>
    <w:p>
      <w:pPr>
        <w:ind w:left="773" w:right="6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Our financial results are affected by a wide variety of factors, including, but not limited to, general economic conditions worldwide and in the markets in which we operate, economic conditions specific to the Semi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the review and evaluation of potential transactions. We may or may not be successful in locating suitable businesses to acquire or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our future operating results.</w:t>
      </w:r>
    </w:p>
    <w:p>
      <w:pPr>
        <w:spacing w:after="0" w:line="168" w:lineRule="exact"/>
        <w:rPr>
          <w:rFonts w:ascii="Arial" w:cs="Arial" w:eastAsia="Arial" w:hAnsi="Arial"/>
          <w:sz w:val="18"/>
          <w:szCs w:val="18"/>
          <w:b w:val="1"/>
          <w:bCs w:val="1"/>
          <w:color w:val="auto"/>
        </w:rPr>
      </w:pPr>
    </w:p>
    <w:p>
      <w:pPr>
        <w:ind w:left="773"/>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COVID-19 Pandemic</w:t>
      </w:r>
    </w:p>
    <w:p>
      <w:pPr>
        <w:spacing w:after="0" w:line="219" w:lineRule="exact"/>
        <w:rPr>
          <w:rFonts w:ascii="Arial" w:cs="Arial" w:eastAsia="Arial" w:hAnsi="Arial"/>
          <w:sz w:val="18"/>
          <w:szCs w:val="18"/>
          <w:b w:val="1"/>
          <w:bCs w:val="1"/>
          <w:color w:val="auto"/>
        </w:rPr>
      </w:pPr>
    </w:p>
    <w:p>
      <w:pPr>
        <w:ind w:left="773"/>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Demand from all of the markets we serve was significantly affected by COVID-19 during the first half of 2020. The impact of COVID-19 on demand from the Semi Market was intensified during the first half of 2020 because our business operations were also being negatively affected by a global downturn in the Semi Market at that time. The Semi Market, from which approximately half of our orders and net revenues are derived, entered a cyclical downturn in the beginning of 2019. During the first quarter of 2020, before the spread of COVID-19, we had started to see indications that the downturn was coming to an end. These indications included increased quoting activity and order levels for the first quarter of 2020 compared to the fourth quarter of 2019. However, we believe COVID-19 delayed the recovery in the Semi Market as the increase in activity leveled off during late March 2020. Although we saw slightly increased order rates from our customers in the Semi Market during the second and third quarters of 2020, it was not until the fourth quarter of 2020 that we saw a significant increase in our orders from the Semi Market, which we believe indicates that we have now entered the next cyclical upturn. During the fourth quarter of 2020, our orders from the Semi Market increased 53% sequentially and were 141% higher than in the fourth quarter of 2019, the low point of the prior cyclical downturn for the products that we sell. This trend in our orders from the Semi Market continued in the first quarter of 2021 with a further 54% sequential increase from the level in the fourth quarter of 2020. We believe the level of increase in our orders and net revenues from the Semi Market during the fourth quarter of 2020 and the first quarter of 2021 reflects a combination of increased demand in the market resulting from the interruption of the normal recovery in the Semi Market cycle caused by the onset of COVID-19 in the first half of 2020, as well as increased demand for semiconductors, generally. We believe this increase in demand is being driven both by changing technology as well as increased use of technology across all aspects of daily life, such as in devices that facilitate remote work and education, smart technology used in homes and businesses, the increase in the number of integrated circuits used in the automotive industry and changes occurring in the telecommunications and mobility markets.</w:t>
      </w:r>
    </w:p>
    <w:p>
      <w:pPr>
        <w:spacing w:after="0" w:line="181"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13"/>
          </w:cols>
          <w:pgMar w:left="327" w:top="575" w:right="359" w:bottom="1440" w:gutter="0" w:footer="0" w:header="0"/>
        </w:sectPr>
      </w:pPr>
    </w:p>
    <w:bookmarkStart w:id="8" w:name="page9"/>
    <w:bookmarkEnd w:id="8"/>
    <w:p>
      <w:pPr>
        <w:ind w:left="773" w:right="80"/>
        <w:spacing w:after="0" w:line="266" w:lineRule="auto"/>
        <w:rPr>
          <w:sz w:val="20"/>
          <w:szCs w:val="20"/>
          <w:color w:val="auto"/>
        </w:rPr>
      </w:pPr>
      <w:r>
        <w:rPr>
          <w:rFonts w:ascii="Arial" w:cs="Arial" w:eastAsia="Arial" w:hAnsi="Arial"/>
          <w:sz w:val="17"/>
          <w:szCs w:val="17"/>
          <w:color w:val="auto"/>
        </w:rPr>
        <w:t>As of the date of this filing, all of our operations continue to be deemed “critical and essential business operations” under the various governmental COVID-19 mandates, which has allowed us to continue to operate our business with certain modifications. These modifications include a significant number of our employees working remotely. Such employees have been provided with the tools and technology necessary to do so. Additionally, we have implemented workplace safeguards designed to protect the health and well-being of our employees. Employees who remain in our facilities are following World Health Organization (“WHO”) and Centers for Disease Control and Prevention (“CDC”) recommended safety practices, as well as state and local directives. We have had occasions where one or more employees have contracted COVID-19 and entered our facilities while infected. To date, we have managed these occurrences with minimal disruption to our business while protecting other employees, but there can be no assurances that we can avoid similar occurrences in the future or, that in such cases, we can avoid significant disruption of our operations.</w:t>
      </w:r>
    </w:p>
    <w:p>
      <w:pPr>
        <w:spacing w:after="0" w:line="185" w:lineRule="exact"/>
        <w:rPr>
          <w:sz w:val="20"/>
          <w:szCs w:val="20"/>
          <w:color w:val="auto"/>
        </w:rPr>
      </w:pPr>
    </w:p>
    <w:p>
      <w:pPr>
        <w:ind w:left="773" w:right="180"/>
        <w:spacing w:after="0" w:line="252" w:lineRule="auto"/>
        <w:rPr>
          <w:sz w:val="20"/>
          <w:szCs w:val="20"/>
          <w:color w:val="auto"/>
        </w:rPr>
      </w:pPr>
      <w:r>
        <w:rPr>
          <w:rFonts w:ascii="Arial" w:cs="Arial" w:eastAsia="Arial" w:hAnsi="Arial"/>
          <w:sz w:val="18"/>
          <w:szCs w:val="18"/>
          <w:color w:val="auto"/>
        </w:rPr>
        <w:t>The aftermarket service and support that we provide to our customers has been, and we expect may continue to be, adversely impacted by COVID-19. Specifically, the travel restrictions that remain in place, coupled with limitations on visitors into customer facilities, have resulted in the reduction or suspension of in-person service and support activities. The net revenues associated with these aftermarket service and support activities typically range from 8% to 10% of our consolidated net revenues. Although these net revenues returned to a more typical range during the second half of 2020, they declined again in the first quarter of 2021. If the spread of COVID-19 or variations of the virus worsen, these revenues may continue to be reduced in future periods.</w:t>
      </w:r>
    </w:p>
    <w:p>
      <w:pPr>
        <w:spacing w:after="0" w:line="190" w:lineRule="exact"/>
        <w:rPr>
          <w:sz w:val="20"/>
          <w:szCs w:val="20"/>
          <w:color w:val="auto"/>
        </w:rPr>
      </w:pPr>
    </w:p>
    <w:p>
      <w:pPr>
        <w:ind w:left="773" w:right="40"/>
        <w:spacing w:after="0" w:line="289" w:lineRule="auto"/>
        <w:rPr>
          <w:sz w:val="20"/>
          <w:szCs w:val="20"/>
          <w:color w:val="auto"/>
        </w:rPr>
      </w:pPr>
      <w:r>
        <w:rPr>
          <w:rFonts w:ascii="Arial" w:cs="Arial" w:eastAsia="Arial" w:hAnsi="Arial"/>
          <w:sz w:val="16"/>
          <w:szCs w:val="16"/>
          <w:color w:val="auto"/>
        </w:rPr>
        <w:t>While the negative impact of COVID-19 on our business was reduced significantly in the second half of 2020 and the first quarter of 2021, the spread of the virus or variants of the virus could worsen and one or more of our significant customers or suppliers could be impacted, or significant additional governmental regulations and restrictions could be imposed, thus negatively impacting our business in the future. As a result of our current level of working capital as well as the availability of our revolving credit facility, which is discussed in Note 9, we currently expect to have sufficient liquidity to operate our business throughout 2021. Our revolving credit facility, which had no outstanding balance, was set to mature on April 9, 2021. As discussed in Note 14, we modified this facility on April 10, 2021 and extended it as modified through April 9,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73" w:right="5800" w:hanging="773"/>
        <w:spacing w:after="0" w:line="497" w:lineRule="auto"/>
        <w:tabs>
          <w:tab w:leader="none" w:pos="791"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u w:val="single" w:color="auto"/>
          <w:color w:val="auto"/>
        </w:rPr>
        <w:t>Basis of Presentation and Use of Estimates</w:t>
      </w:r>
    </w:p>
    <w:p>
      <w:pPr>
        <w:ind w:left="773" w:right="4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including related valuation allowances, are particularly impacted by estimates.</w:t>
      </w:r>
    </w:p>
    <w:p>
      <w:pPr>
        <w:spacing w:after="0" w:line="180" w:lineRule="exact"/>
        <w:rPr>
          <w:sz w:val="20"/>
          <w:szCs w:val="20"/>
          <w:color w:val="auto"/>
        </w:rPr>
      </w:pPr>
    </w:p>
    <w:p>
      <w:pPr>
        <w:ind w:left="773"/>
        <w:spacing w:after="0" w:line="292"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Form 10-K for the year ended December 31, 2020 (“2020 Form 10-K”) filed on March 23, 2021 with the Securities and Exchange Commission.</w:t>
      </w:r>
    </w:p>
    <w:p>
      <w:pPr>
        <w:spacing w:after="0" w:line="162"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33"/>
          </w:cols>
          <w:pgMar w:left="327" w:top="57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0" w:lineRule="exact"/>
        <w:rPr>
          <w:sz w:val="20"/>
          <w:szCs w:val="20"/>
          <w:color w:val="auto"/>
        </w:rPr>
      </w:pPr>
    </w:p>
    <w:p>
      <w:pPr>
        <w:ind w:right="740"/>
        <w:spacing w:after="0" w:line="333" w:lineRule="auto"/>
        <w:rPr>
          <w:sz w:val="20"/>
          <w:szCs w:val="20"/>
          <w:color w:val="auto"/>
        </w:rPr>
      </w:pPr>
      <w:r>
        <w:rPr>
          <w:rFonts w:ascii="Arial" w:cs="Arial" w:eastAsia="Arial" w:hAnsi="Arial"/>
          <w:sz w:val="16"/>
          <w:szCs w:val="16"/>
          <w:color w:val="auto"/>
        </w:rPr>
        <w:t>We have made an assessment of our operations and determined that there were no material subsequent events requiring adjustment to, or disclosure in, our consolidated financial statements for the three months ended March 31, 2021 other than those described in Note 14.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22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Restructuring and Other Charges</w:t>
      </w:r>
    </w:p>
    <w:p>
      <w:pPr>
        <w:spacing w:after="0" w:line="220"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In accordance with the guidance in Accounting Standards Codification (“ASC”) Topic 420 (Exit or Disposal Cost Obligations), we recognize a liability for restructuring costs at fair value only when the liability is incurred. Workforce-related charges are accrued when it is determined that a liability has been incurred, which is generally after individuals have been notified of their termination dates and expected severance benefits. Depending on the timing of the termination dates, these charges may be recognized upon notification or ratably over the remaining required service period of the employees. Plans to consolidate excess facilities may result in lease termination fees and impairment charges related to our right-of-use (“ROU”) assets that are associated with the leases for these facilities. Other long-lived assets that may be impaired as a result of restructuring consist of property and equipment, goodwill and intangible assets. Asset impairment charges included in restructuring and other charges are based on an estimate of the amounts and timing of future cash flows related to the expected future remaining use and ultimate sale or disposal of the asset, and, in the case of our ROU assets, would include expected future sublease rental income, if applicable. These estimates are derived using the guidance in ASC Topic 842 (Leases), ASC Topic 360 (Property, Plant and Equipment) and ASC Topic 350 (Intangibles - Goodwill and Other).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0"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account for goodwill and intangible assets in accordance with ASC Topic 350 (Intangibles - Goodwill and Other).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81280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460"/>
          </w:cols>
          <w:pgMar w:left="1100" w:top="579" w:right="339" w:bottom="1440" w:gutter="0" w:footer="0" w:header="0"/>
        </w:sectPr>
      </w:pPr>
    </w:p>
    <w:bookmarkStart w:id="10" w:name="page11"/>
    <w:bookmarkEnd w:id="10"/>
    <w:p>
      <w:pPr>
        <w:ind w:right="100"/>
        <w:spacing w:after="0" w:line="268" w:lineRule="auto"/>
        <w:rPr>
          <w:sz w:val="20"/>
          <w:szCs w:val="20"/>
          <w:color w:val="auto"/>
        </w:rPr>
      </w:pPr>
      <w:r>
        <w:rPr>
          <w:rFonts w:ascii="Arial" w:cs="Arial" w:eastAsia="Arial" w:hAnsi="Arial"/>
          <w:sz w:val="17"/>
          <w:szCs w:val="17"/>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80"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Long-lived assets, which consist of finite-lived intangible assets, property and equipment and ROU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0"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spacing w:after="0" w:line="182"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19"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We are a global supplier of innovative test and process solutions for use in manufacturing and testing across a wide range of markets including automotive, defense/aerospace, industrial, medical, semiconductor and telecommunications. We sell thermal management products including ThermoStreams, ThermoChambers and process chillers, which we sell under our Temptronic, Sigma and Thermonics product lines, and Ambrell Corporation’s (“Ambrell”) precision induction heating systems, including EKOHEAT and EASYHEAT products. We sell semiconductor ATE interface solutions which include manipulators, docking hardware and electrical interface products. We provide post-warranty service for the equipment we sell. We sell semiconductor ATE interface solutions and certain thermal management products to the Semi Market. We also sell our thermal management products to various other markets including the automotive, defense/aerospace, industrial, medical and telecommunications markets.</w:t>
      </w:r>
    </w:p>
    <w:p>
      <w:pPr>
        <w:spacing w:after="0" w:line="182"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We lease certain of our equipment under short-term leasing agreements with original lease terms of six months or less. Our lease agreements do not contain purchase options.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Contracts with Customers</w:t>
      </w:r>
    </w:p>
    <w:p>
      <w:pPr>
        <w:spacing w:after="0" w:line="1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64"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81280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460"/>
          </w:cols>
          <w:pgMar w:left="1100" w:top="57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Contract Balances</w:t>
      </w:r>
    </w:p>
    <w:p>
      <w:pPr>
        <w:spacing w:after="0" w:line="19"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We record accounts receivable at the time of invoicing. Accounts receivable, net of the allowance for doubtful accounts,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consolidated balance sheets.</w:t>
      </w:r>
    </w:p>
    <w:p>
      <w:pPr>
        <w:spacing w:after="0" w:line="178" w:lineRule="exact"/>
        <w:rPr>
          <w:sz w:val="20"/>
          <w:szCs w:val="20"/>
          <w:color w:val="auto"/>
        </w:rPr>
      </w:pPr>
    </w:p>
    <w:p>
      <w:pPr>
        <w:ind w:right="260"/>
        <w:spacing w:after="0" w:line="300" w:lineRule="auto"/>
        <w:rPr>
          <w:sz w:val="20"/>
          <w:szCs w:val="20"/>
          <w:color w:val="auto"/>
        </w:rPr>
      </w:pPr>
      <w:r>
        <w:rPr>
          <w:rFonts w:ascii="Arial" w:cs="Arial" w:eastAsia="Arial" w:hAnsi="Arial"/>
          <w:sz w:val="17"/>
          <w:szCs w:val="17"/>
          <w:color w:val="auto"/>
        </w:rPr>
        <w:t>The allowance for doubtful accounts reflects our best estimate of probable losses inherent in the accounts receivable balance. We determine the allowance based on known troubled accounts, if any, historical experience, and other currently available evidence.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19"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Refer to Notes 5 and 13 for further information about our revenue from contracts with customers.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Effective January 1, 2021, our criteria identify obsolete material as material that has not been used in a work order during the prior twenty-four months. Prior to January 1, 2021, these criteria identified obsolete material as material that had not been used in a work order during the prior twelve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$39 and $171 for the three months ended March 31, 2021 and 2020, respectively. The change in our estimate of obsolete material that was effective as of January 1, 2021 reflects changes that have occurred in the markets we serve and the business cycles within those markets. This change in estimate did not have a material impact on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220"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account for leases in accordance with ASC Topic 842 (Leases) which was effective for us as of January 1, 2019. Upon adoption of ASC Topic 842, we elected the package of practical expedients which included the grandfathering of the lease classification that had been made under prior guidance and, accordingly, we did not re-evaluate any of our leases for classification purposes in connection with the implementation of ASC Topic 842. All our lease contracts are still being treated as operating leases. We do not currently have any lease contracts that meet the criteria to be categorized as finance leases. We did not elect the hindsight practical expedient and therefore did not reevaluate the lease terms that we used under prior guidance. The implementation of ASC Topic 842 had a significant impact on our consolidated balance sheet as a result of recording ROU assets and lease liabilities for all our multi-year leases. Under prior guidance, none of these leases had any related asset recorded on our balance sheets. The only related liability recorded on our balance sheets was the amount which represented the difference between the lease payments we had made and the straight-line rent expense we had recorded in our statements of operations. The implementation of ASC Topic 842 did not have a significant impact on our pattern of expense recognition for any of our multi-year leases.</w:t>
      </w:r>
    </w:p>
    <w:p>
      <w:pPr>
        <w:spacing w:after="0" w:line="17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81280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460"/>
          </w:cols>
          <w:pgMar w:left="1100" w:top="579" w:right="339" w:bottom="1440" w:gutter="0" w:footer="0" w:header="0"/>
        </w:sectPr>
      </w:pPr>
    </w:p>
    <w:bookmarkStart w:id="12" w:name="page13"/>
    <w:bookmarkEnd w:id="12"/>
    <w:p>
      <w:pPr>
        <w:ind w:right="120"/>
        <w:spacing w:after="0" w:line="266" w:lineRule="auto"/>
        <w:rPr>
          <w:sz w:val="20"/>
          <w:szCs w:val="20"/>
          <w:color w:val="auto"/>
        </w:rPr>
      </w:pPr>
      <w:r>
        <w:rPr>
          <w:rFonts w:ascii="Arial" w:cs="Arial" w:eastAsia="Arial" w:hAnsi="Arial"/>
          <w:sz w:val="17"/>
          <w:szCs w:val="17"/>
          <w:color w:val="auto"/>
        </w:rPr>
        <w:t>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the economic benefits from the use of the asset as well as decision-making authority over how the asset will be used. Leases are classified as either operating leases or finance leases based on the guidance in ASC Topic 842. Operating leases are included in operating lease ROU assets and operating lease liabilities in our consolidated balance sheets. Finance leases are included in property and equipment and finance lease liabilities. We do not currently have any finance leases. We do not have embedded leases nor do we have any initial direct costs related to our lease contracts.</w:t>
      </w:r>
    </w:p>
    <w:p>
      <w:pPr>
        <w:spacing w:after="0" w:line="18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spacing w:after="0" w:line="18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90"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in our consolidated statements of cash flows.</w:t>
      </w:r>
    </w:p>
    <w:p>
      <w:pPr>
        <w:spacing w:after="0" w:line="18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have made an accounting policy election not to apply the recognition requirements of ASC Topic 842 to short-term leases (leases with a term of one year or less at the commencement date of the lease). Lease expense for short-term lease payments is recognized on a straight-line basis over the lease term.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further disclosures regarding our leases.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Contingent Liability for Repayment of State and Local Grant Proceeds</w:t>
      </w:r>
    </w:p>
    <w:p>
      <w:pPr>
        <w:spacing w:after="0" w:line="22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connection with leasing a new facility in Rochester, New York, which our subsidiary, Ambrell, occupied in May 2018, we entered into agreements with the city of Rochester and the state of New York under which we received grants totaling $463 to help offset a portion of the cost of the leasehold improvements we have made to this facility. In exchange for the funds we received under these agreements, we are required to create and maintain specified levels of employment in this location through various dates ending in 2023. If we fail to meet these employment targets, we may be required to repay a proportionate share of the proceeds. As of March 31, 2021, $370 of the total proceeds received could still be required to be repaid if we do not meet the targets. We have recorded this amount as a contingent liability which is included in other liabilities on our balance sheet. Those portions of the proceeds which are no longer subject to repayment are reclassified to deferred grant proceeds and amortized to income on a straight-line basis over the remaining lease term for the Rochester facility. Deferred grant proceeds are included in other current liabilities and other liabilities on our balance sheet and totaled $81 at March 31, 2021.</w:t>
      </w:r>
    </w:p>
    <w:p>
      <w:pPr>
        <w:spacing w:after="0" w:line="168"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As of December 31, 2020, we were not in compliance with the employment targets as specified in the grant agreement with the city of Rochester. We applied for and received a waiver of this requirement for the year ended December 31, 2020. The waiver provided us until December 31, 2021 to come into compliance with the targets as outlined in the waiver. As of March 31, 2021, we were in compliance with those targets.</w:t>
      </w:r>
    </w:p>
    <w:p>
      <w:pPr>
        <w:spacing w:after="0" w:line="15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81280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460"/>
          </w:cols>
          <w:pgMar w:left="1100" w:top="579" w:right="339" w:bottom="1440" w:gutter="0" w:footer="0" w:header="0"/>
        </w:sectPr>
      </w:pPr>
    </w:p>
    <w:bookmarkStart w:id="13" w:name="page14"/>
    <w:bookmarkEnd w:id="13"/>
    <w:p>
      <w:pPr>
        <w:ind w:left="78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0" w:lineRule="exact"/>
        <w:rPr>
          <w:sz w:val="20"/>
          <w:szCs w:val="20"/>
          <w:color w:val="auto"/>
        </w:rPr>
      </w:pPr>
    </w:p>
    <w:p>
      <w:pPr>
        <w:ind w:left="780" w:right="200"/>
        <w:spacing w:after="0" w:line="255"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10.</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0" w:lineRule="exact"/>
        <w:rPr>
          <w:sz w:val="20"/>
          <w:szCs w:val="20"/>
          <w:color w:val="auto"/>
        </w:rPr>
      </w:pPr>
    </w:p>
    <w:p>
      <w:pPr>
        <w:ind w:left="780" w:right="140"/>
        <w:spacing w:after="0" w:line="251"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93"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Net Earnings (Loss) Per Common Share</w:t>
      </w:r>
    </w:p>
    <w:p>
      <w:pPr>
        <w:spacing w:after="0" w:line="220" w:lineRule="exact"/>
        <w:rPr>
          <w:sz w:val="20"/>
          <w:szCs w:val="20"/>
          <w:color w:val="auto"/>
        </w:rPr>
      </w:pPr>
    </w:p>
    <w:p>
      <w:pPr>
        <w:ind w:left="780" w:right="180"/>
        <w:spacing w:after="0" w:line="253" w:lineRule="auto"/>
        <w:rPr>
          <w:sz w:val="20"/>
          <w:szCs w:val="20"/>
          <w:color w:val="auto"/>
        </w:rPr>
      </w:pPr>
      <w:r>
        <w:rPr>
          <w:rFonts w:ascii="Arial" w:cs="Arial" w:eastAsia="Arial" w:hAnsi="Arial"/>
          <w:sz w:val="18"/>
          <w:szCs w:val="18"/>
          <w:color w:val="auto"/>
        </w:rPr>
        <w:t>Net earnings (loss) per common share - basic is computed by dividing net earnings (loss)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90" w:lineRule="exact"/>
        <w:rPr>
          <w:sz w:val="20"/>
          <w:szCs w:val="20"/>
          <w:color w:val="auto"/>
        </w:rPr>
      </w:pPr>
    </w:p>
    <w:p>
      <w:pPr>
        <w:jc w:val="both"/>
        <w:ind w:left="780" w:right="180"/>
        <w:spacing w:after="0" w:line="258"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182" w:lineRule="exact"/>
        <w:rPr>
          <w:sz w:val="20"/>
          <w:szCs w:val="20"/>
          <w:color w:val="auto"/>
        </w:rPr>
      </w:pPr>
    </w:p>
    <w:tbl>
      <w:tblPr>
        <w:tblLayout w:type="fixed"/>
        <w:tblInd w:w="78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1031"/>
              <w:spacing w:after="0"/>
              <w:rPr>
                <w:sz w:val="20"/>
                <w:szCs w:val="20"/>
                <w:color w:val="auto"/>
              </w:rPr>
            </w:pPr>
            <w:r>
              <w:rPr>
                <w:rFonts w:ascii="Arial" w:cs="Arial" w:eastAsia="Arial" w:hAnsi="Arial"/>
                <w:sz w:val="18"/>
                <w:szCs w:val="18"/>
                <w:b w:val="1"/>
                <w:bCs w:val="1"/>
                <w:color w:val="auto"/>
                <w:w w:val="96"/>
              </w:rPr>
              <w:t>March,</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10,329,449</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10,220,853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Potentially dilutive securities: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Unvested shares of restricted stock and employee stock options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196,377</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Weighted average common shares and common share equivalents outstanding - diluted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10,525,826</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10,220,853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Average number of potentially dilutive securities excluded from calculation</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347,068</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685,667</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Effect of Recently Issued Amendments to Authoritative Accounting Guidance</w:t>
            </w: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400" w:type="dxa"/>
            <w:vAlign w:val="bottom"/>
            <w:gridSpan w:val="3"/>
            <w:vMerge w:val="continue"/>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56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780" w:right="100"/>
        <w:spacing w:after="0" w:line="286" w:lineRule="auto"/>
        <w:rPr>
          <w:sz w:val="20"/>
          <w:szCs w:val="20"/>
          <w:color w:val="auto"/>
        </w:rPr>
      </w:pPr>
      <w:r>
        <w:rPr>
          <w:rFonts w:ascii="Arial" w:cs="Arial" w:eastAsia="Arial" w:hAnsi="Arial"/>
          <w:sz w:val="16"/>
          <w:szCs w:val="16"/>
          <w:color w:val="auto"/>
        </w:rPr>
        <w:t>In June 2016, the Financial Accounting Standards Board (“FASB”) issued amendments to the guidance for accounting for credit losses. In November 2019, the FASB deferred the effective date of these amendments for certain companies, including smaller reporting companies. As a result of the deferral, the amendments are effective for us for reporting periods beginning after December 15, 2022. The amendments replace the incurred loss impairment methodology under current GAAP with a methodology that reflects expected credit losses and requires the use of a forward-looking expected credit loss model for accounts receivables, loans, and other financial instruments. The amendments require a modified retrospective approach through a cumulative-effect adjustment to retained earnings as of the beginning of the first reporting period in which the guidance is effective. We plan to adopt the amendments when they become effective for us on January 1, 2023. We do not currently expect that the adoption of these amendments will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0" w:hanging="793"/>
        <w:spacing w:after="0"/>
        <w:tabs>
          <w:tab w:leader="none" w:pos="8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CHARGES</w:t>
      </w:r>
    </w:p>
    <w:p>
      <w:pPr>
        <w:spacing w:after="0" w:line="223"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EMS Segment Restructuring and Facility Consolidation</w:t>
      </w:r>
    </w:p>
    <w:p>
      <w:pPr>
        <w:spacing w:after="0" w:line="219" w:lineRule="exact"/>
        <w:rPr>
          <w:rFonts w:ascii="Arial" w:cs="Arial" w:eastAsia="Arial" w:hAnsi="Arial"/>
          <w:sz w:val="18"/>
          <w:szCs w:val="18"/>
          <w:b w:val="1"/>
          <w:bCs w:val="1"/>
          <w:color w:val="auto"/>
        </w:rPr>
      </w:pPr>
    </w:p>
    <w:p>
      <w:pPr>
        <w:ind w:left="780" w:right="10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On September 21, 2020, we notified employees in our Fremont, California facility of a plan to consolidate all manufacturing for our EMS segment into our manufacturing operations located in Mt. Laurel, New Jersey. The consolidation was substantially completed during the fourth quarter of 2020 and resulted in the termination of employment for certain employees at the Fremont location. Prior to the consolidation, our interface products were manufactured in the Fremont facility, and our manipulator and docking hardware products were manufactured in the Mt. Laurel facility. The consolidation was undertaken to better serve customers through streamlined operations and reduce the fixed annual operating costs for the EMS segment. A small engineering and sales office will be maintained in northern California.</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40"/>
          </w:cols>
          <w:pgMar w:left="320" w:top="579" w:right="239" w:bottom="1440" w:gutter="0" w:footer="0" w:header="0"/>
        </w:sectPr>
      </w:pPr>
    </w:p>
    <w:bookmarkStart w:id="14" w:name="page15"/>
    <w:bookmarkEnd w:id="14"/>
    <w:p>
      <w:pPr>
        <w:ind w:left="780" w:right="120"/>
        <w:spacing w:after="0" w:line="252" w:lineRule="auto"/>
        <w:rPr>
          <w:sz w:val="20"/>
          <w:szCs w:val="20"/>
          <w:color w:val="auto"/>
        </w:rPr>
      </w:pPr>
      <w:r>
        <w:rPr>
          <w:rFonts w:ascii="Arial" w:cs="Arial" w:eastAsia="Arial" w:hAnsi="Arial"/>
          <w:sz w:val="18"/>
          <w:szCs w:val="18"/>
          <w:color w:val="auto"/>
        </w:rPr>
        <w:t>As a result of the consolidation, we incurred charges for severance and other one-time termination benefits, other associated costs, including moving and production start-up costs, and charges related to exiting the facility, including an impairment charge related to the ROU asset for the lease of the Fremont facility, which are more fully discussed in Note 3 to our consolidated financial statements in our 2020 Form 10-K. During the first quarter of 2021, we incurred $55 of additional charges associated with finalizing the integration of the manufacturing operations. All of these charges were cash charges. We expect to complete the integration in the second quarter of 2021 and expect to incur additional cash charges in the range of $50 to $100.</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Other Restructuring Actions</w:t>
      </w:r>
    </w:p>
    <w:p>
      <w:pPr>
        <w:spacing w:after="0" w:line="220" w:lineRule="exact"/>
        <w:rPr>
          <w:sz w:val="20"/>
          <w:szCs w:val="20"/>
          <w:color w:val="auto"/>
        </w:rPr>
      </w:pPr>
    </w:p>
    <w:p>
      <w:pPr>
        <w:ind w:left="780" w:right="640"/>
        <w:spacing w:after="0" w:line="270" w:lineRule="auto"/>
        <w:rPr>
          <w:sz w:val="20"/>
          <w:szCs w:val="20"/>
          <w:color w:val="auto"/>
        </w:rPr>
      </w:pPr>
      <w:r>
        <w:rPr>
          <w:rFonts w:ascii="Arial" w:cs="Arial" w:eastAsia="Arial" w:hAnsi="Arial"/>
          <w:sz w:val="18"/>
          <w:szCs w:val="18"/>
          <w:color w:val="auto"/>
        </w:rPr>
        <w:t>During the first quarter of 2020, we recorded cash charges for severance and other one-time termination benefits of $8 related to headcount reductions in our corporate office.</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Accrued Restructuring</w:t>
      </w:r>
    </w:p>
    <w:p>
      <w:pPr>
        <w:spacing w:after="0" w:line="220" w:lineRule="exact"/>
        <w:rPr>
          <w:sz w:val="20"/>
          <w:szCs w:val="20"/>
          <w:color w:val="auto"/>
        </w:rPr>
      </w:pPr>
    </w:p>
    <w:p>
      <w:pPr>
        <w:ind w:left="780" w:right="260"/>
        <w:spacing w:after="0" w:line="270" w:lineRule="auto"/>
        <w:rPr>
          <w:sz w:val="20"/>
          <w:szCs w:val="20"/>
          <w:color w:val="auto"/>
        </w:rPr>
      </w:pPr>
      <w:r>
        <w:rPr>
          <w:rFonts w:ascii="Arial" w:cs="Arial" w:eastAsia="Arial" w:hAnsi="Arial"/>
          <w:sz w:val="18"/>
          <w:szCs w:val="18"/>
          <w:color w:val="auto"/>
        </w:rPr>
        <w:t>The liability for accrued restructuring charges is included in other current liabilities on our consolidated balance sheet. Changes in the amount of the liability for accrued restructuring for the three months ended March 31, 2021 is as follows:</w:t>
      </w:r>
    </w:p>
    <w:p>
      <w:pPr>
        <w:spacing w:after="0" w:line="189"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2021</w:t>
            </w:r>
          </w:p>
        </w:tc>
        <w:tc>
          <w:tcPr>
            <w:tcW w:w="6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r>
      <w:tr>
        <w:trPr>
          <w:trHeight w:val="213"/>
        </w:trPr>
        <w:tc>
          <w:tcPr>
            <w:tcW w:w="8500" w:type="dxa"/>
            <w:vAlign w:val="bottom"/>
          </w:tcPr>
          <w:p>
            <w:pPr>
              <w:spacing w:after="0"/>
              <w:rPr>
                <w:sz w:val="20"/>
                <w:szCs w:val="20"/>
                <w:color w:val="auto"/>
              </w:rPr>
            </w:pPr>
            <w:r>
              <w:rPr>
                <w:rFonts w:ascii="Arial" w:cs="Arial" w:eastAsia="Arial" w:hAnsi="Arial"/>
                <w:sz w:val="18"/>
                <w:szCs w:val="18"/>
                <w:color w:val="auto"/>
              </w:rPr>
              <w:t>Accruals for other costs associated with the EMS segment facility consolidation</w:t>
            </w: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r>
      <w:tr>
        <w:trPr>
          <w:trHeight w:val="213"/>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r>
      <w:tr>
        <w:trPr>
          <w:trHeight w:val="207"/>
        </w:trPr>
        <w:tc>
          <w:tcPr>
            <w:tcW w:w="8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 March 31, 2021</w:t>
            </w:r>
          </w:p>
        </w:tc>
        <w:tc>
          <w:tcPr>
            <w:tcW w:w="6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80" w:type="dxa"/>
            <w:vAlign w:val="bottom"/>
            <w:tcBorders>
              <w:top w:val="single" w:sz="8" w:color="CCEEFF"/>
            </w:tcBorders>
          </w:tcPr>
          <w:p>
            <w:pPr>
              <w:spacing w:after="0"/>
              <w:rPr>
                <w:sz w:val="17"/>
                <w:szCs w:val="17"/>
                <w:color w:val="auto"/>
              </w:rPr>
            </w:pPr>
          </w:p>
        </w:tc>
      </w:tr>
      <w:tr>
        <w:trPr>
          <w:trHeight w:val="20"/>
        </w:trPr>
        <w:tc>
          <w:tcPr>
            <w:tcW w:w="8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0" w:hanging="793"/>
        <w:spacing w:after="0"/>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3" w:lineRule="exact"/>
        <w:rPr>
          <w:rFonts w:ascii="Arial" w:cs="Arial" w:eastAsia="Arial" w:hAnsi="Arial"/>
          <w:sz w:val="18"/>
          <w:szCs w:val="18"/>
          <w:b w:val="1"/>
          <w:bCs w:val="1"/>
          <w:color w:val="auto"/>
        </w:rPr>
      </w:pPr>
    </w:p>
    <w:p>
      <w:pPr>
        <w:jc w:val="both"/>
        <w:ind w:left="780" w:right="220"/>
        <w:spacing w:after="0" w:line="281" w:lineRule="auto"/>
        <w:rPr>
          <w:rFonts w:ascii="Arial" w:cs="Arial" w:eastAsia="Arial" w:hAnsi="Arial"/>
          <w:sz w:val="18"/>
          <w:szCs w:val="18"/>
          <w:b w:val="1"/>
          <w:bCs w:val="1"/>
          <w:color w:val="auto"/>
        </w:rPr>
      </w:pPr>
      <w:r>
        <w:rPr>
          <w:rFonts w:ascii="Arial" w:cs="Arial" w:eastAsia="Arial" w:hAnsi="Arial"/>
          <w:sz w:val="17"/>
          <w:szCs w:val="17"/>
          <w:color w:val="auto"/>
        </w:rPr>
        <w:t>We have two operating segments which are also our reporting units: Thermal and EMS. Goodwill and intangible assets on our balance sheets are the result of our acquisitions of Sigma Systems Corp. ("Sigma") in October 2008, Thermonics, Inc. ("Thermonics") in January 2012 and Ambrell in May 2017. All our goodwill and intangible assets are allocated to our Thermal segment.</w:t>
      </w:r>
    </w:p>
    <w:p>
      <w:pPr>
        <w:spacing w:after="0" w:line="148"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86"/>
              </w:rPr>
              <w:t>Goodwill</w:t>
            </w:r>
          </w:p>
        </w:tc>
        <w:tc>
          <w:tcPr>
            <w:tcW w:w="8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46"/>
        </w:trPr>
        <w:tc>
          <w:tcPr>
            <w:tcW w:w="9100" w:type="dxa"/>
            <w:vAlign w:val="bottom"/>
            <w:gridSpan w:val="3"/>
          </w:tcPr>
          <w:p>
            <w:pPr>
              <w:spacing w:after="0"/>
              <w:rPr>
                <w:sz w:val="20"/>
                <w:szCs w:val="20"/>
                <w:color w:val="auto"/>
              </w:rPr>
            </w:pPr>
            <w:r>
              <w:rPr>
                <w:rFonts w:ascii="Arial" w:cs="Arial" w:eastAsia="Arial" w:hAnsi="Arial"/>
                <w:sz w:val="18"/>
                <w:szCs w:val="18"/>
                <w:color w:val="auto"/>
              </w:rPr>
              <w:t>Goodwill totaled $13,738 at both March 31, 2021 and December 31, 2020 and was comprised of the following:</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Sigma</w:t>
            </w: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r>
      <w:tr>
        <w:trPr>
          <w:trHeight w:val="213"/>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Thermonics</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3"/>
        </w:trPr>
        <w:tc>
          <w:tcPr>
            <w:tcW w:w="20" w:type="dxa"/>
            <w:vAlign w:val="bottom"/>
          </w:tcPr>
          <w:p>
            <w:pPr>
              <w:spacing w:after="0"/>
              <w:rPr>
                <w:sz w:val="18"/>
                <w:szCs w:val="18"/>
                <w:color w:val="auto"/>
              </w:rPr>
            </w:pPr>
          </w:p>
        </w:tc>
        <w:tc>
          <w:tcPr>
            <w:tcW w:w="9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Ambrell</w:t>
            </w: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w:t>
            </w:r>
          </w:p>
        </w:tc>
      </w:tr>
      <w:tr>
        <w:trPr>
          <w:trHeight w:val="207"/>
        </w:trPr>
        <w:tc>
          <w:tcPr>
            <w:tcW w:w="20" w:type="dxa"/>
            <w:vAlign w:val="bottom"/>
          </w:tcPr>
          <w:p>
            <w:pPr>
              <w:spacing w:after="0"/>
              <w:rPr>
                <w:sz w:val="17"/>
                <w:szCs w:val="17"/>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13,738</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7"/>
          <w:szCs w:val="17"/>
          <w:color w:val="auto"/>
        </w:rPr>
        <w:t>Changes in the amount of the carrying value of finite-lived intangible assets for the three months ended March 31, 2021 are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2021</w:t>
            </w:r>
          </w:p>
        </w:tc>
        <w:tc>
          <w:tcPr>
            <w:tcW w:w="6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5,711</w:t>
            </w:r>
          </w:p>
        </w:tc>
      </w:tr>
      <w:tr>
        <w:trPr>
          <w:trHeight w:val="213"/>
        </w:trPr>
        <w:tc>
          <w:tcPr>
            <w:tcW w:w="8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Amortization</w:t>
            </w:r>
          </w:p>
        </w:tc>
        <w:tc>
          <w:tcPr>
            <w:tcW w:w="58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(304</w:t>
            </w:r>
          </w:p>
        </w:tc>
      </w:tr>
      <w:tr>
        <w:trPr>
          <w:trHeight w:val="247"/>
        </w:trPr>
        <w:tc>
          <w:tcPr>
            <w:tcW w:w="800" w:type="dxa"/>
            <w:vAlign w:val="bottom"/>
          </w:tcPr>
          <w:p>
            <w:pPr>
              <w:spacing w:after="0"/>
              <w:rPr>
                <w:sz w:val="21"/>
                <w:szCs w:val="21"/>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2021</w:t>
            </w:r>
          </w:p>
        </w:tc>
        <w:tc>
          <w:tcPr>
            <w:tcW w:w="6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5,407</w:t>
            </w:r>
          </w:p>
        </w:tc>
      </w:tr>
      <w:tr>
        <w:trPr>
          <w:trHeight w:val="406"/>
        </w:trPr>
        <w:tc>
          <w:tcPr>
            <w:tcW w:w="800" w:type="dxa"/>
            <w:vAlign w:val="bottom"/>
          </w:tcPr>
          <w:p>
            <w:pPr>
              <w:spacing w:after="0"/>
              <w:rPr>
                <w:sz w:val="24"/>
                <w:szCs w:val="24"/>
                <w:color w:val="auto"/>
              </w:rPr>
            </w:pPr>
          </w:p>
        </w:tc>
        <w:tc>
          <w:tcPr>
            <w:tcW w:w="3260" w:type="dxa"/>
            <w:vAlign w:val="bottom"/>
            <w:tcBorders>
              <w:top w:val="single" w:sz="8" w:color="CCEEFF"/>
            </w:tcBorders>
          </w:tcPr>
          <w:p>
            <w:pPr>
              <w:spacing w:after="0"/>
              <w:rPr>
                <w:sz w:val="24"/>
                <w:szCs w:val="24"/>
                <w:color w:val="auto"/>
              </w:rPr>
            </w:pPr>
          </w:p>
        </w:tc>
        <w:tc>
          <w:tcPr>
            <w:tcW w:w="5820" w:type="dxa"/>
            <w:vAlign w:val="bottom"/>
            <w:tcBorders>
              <w:top w:val="single" w:sz="8" w:color="CCEEFF"/>
            </w:tcBorders>
          </w:tcPr>
          <w:p>
            <w:pPr>
              <w:jc w:val="right"/>
              <w:ind w:right="4011"/>
              <w:spacing w:after="0"/>
              <w:rPr>
                <w:sz w:val="20"/>
                <w:szCs w:val="20"/>
                <w:color w:val="auto"/>
              </w:rPr>
            </w:pPr>
            <w:r>
              <w:rPr>
                <w:rFonts w:ascii="Arial" w:cs="Arial" w:eastAsia="Arial" w:hAnsi="Arial"/>
                <w:sz w:val="18"/>
                <w:szCs w:val="18"/>
                <w:color w:val="auto"/>
              </w:rPr>
              <w:t>-13-</w:t>
            </w:r>
          </w:p>
        </w:tc>
        <w:tc>
          <w:tcPr>
            <w:tcW w:w="6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ectPr>
          <w:pgSz w:w="11900" w:h="16838" w:orient="portrait"/>
          <w:cols w:equalWidth="0" w:num="1">
            <w:col w:w="11340"/>
          </w:cols>
          <w:pgMar w:left="320" w:top="579" w:right="239" w:bottom="1440" w:gutter="0" w:footer="0" w:header="0"/>
        </w:sectPr>
      </w:pPr>
    </w:p>
    <w:bookmarkStart w:id="15" w:name="page16"/>
    <w:bookmarkEnd w:id="15"/>
    <w:p>
      <w:pPr>
        <w:ind w:left="780"/>
        <w:spacing w:after="0"/>
        <w:rPr>
          <w:sz w:val="20"/>
          <w:szCs w:val="20"/>
          <w:color w:val="auto"/>
        </w:rPr>
      </w:pPr>
      <w:r>
        <w:rPr>
          <w:rFonts w:ascii="Arial" w:cs="Arial" w:eastAsia="Arial" w:hAnsi="Arial"/>
          <w:sz w:val="18"/>
          <w:szCs w:val="18"/>
          <w:color w:val="auto"/>
        </w:rPr>
        <w:t>The following tables provide further detail about our intangible assets as of March 31, 2021 and December 31, 2020:</w:t>
      </w: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231"/>
        </w:trPr>
        <w:tc>
          <w:tcPr>
            <w:tcW w:w="5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0"/>
              </w:rPr>
              <w:t>March 31, 2021</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89"/>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31"/>
              <w:spacing w:after="0" w:line="189"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11"/>
              <w:spacing w:after="0" w:line="189" w:lineRule="exact"/>
              <w:rPr>
                <w:sz w:val="20"/>
                <w:szCs w:val="20"/>
                <w:color w:val="auto"/>
              </w:rPr>
            </w:pPr>
            <w:r>
              <w:rPr>
                <w:rFonts w:ascii="Arial" w:cs="Arial" w:eastAsia="Arial" w:hAnsi="Arial"/>
                <w:sz w:val="18"/>
                <w:szCs w:val="18"/>
                <w:b w:val="1"/>
                <w:bCs w:val="1"/>
                <w:color w:val="auto"/>
                <w:w w:val="89"/>
              </w:rPr>
              <w:t>Net</w:t>
            </w:r>
          </w:p>
        </w:tc>
      </w:tr>
      <w:tr>
        <w:trPr>
          <w:trHeight w:val="213"/>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51"/>
              <w:spacing w:after="0"/>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Accumulated</w:t>
            </w:r>
          </w:p>
        </w:tc>
        <w:tc>
          <w:tcPr>
            <w:tcW w:w="240" w:type="dxa"/>
            <w:vAlign w:val="bottom"/>
          </w:tcPr>
          <w:p>
            <w:pPr>
              <w:spacing w:after="0"/>
              <w:rPr>
                <w:sz w:val="18"/>
                <w:szCs w:val="18"/>
                <w:color w:val="auto"/>
              </w:rPr>
            </w:pPr>
          </w:p>
        </w:tc>
        <w:tc>
          <w:tcPr>
            <w:tcW w:w="1220" w:type="dxa"/>
            <w:vAlign w:val="bottom"/>
          </w:tcPr>
          <w:p>
            <w:pPr>
              <w:jc w:val="center"/>
              <w:ind w:right="111"/>
              <w:spacing w:after="0"/>
              <w:rPr>
                <w:sz w:val="20"/>
                <w:szCs w:val="20"/>
                <w:color w:val="auto"/>
              </w:rPr>
            </w:pPr>
            <w:r>
              <w:rPr>
                <w:rFonts w:ascii="Arial" w:cs="Arial" w:eastAsia="Arial" w:hAnsi="Arial"/>
                <w:sz w:val="18"/>
                <w:szCs w:val="18"/>
                <w:b w:val="1"/>
                <w:bCs w:val="1"/>
                <w:color w:val="auto"/>
                <w:w w:val="94"/>
              </w:rPr>
              <w:t>Carrying</w:t>
            </w:r>
          </w:p>
        </w:tc>
      </w:tr>
      <w:tr>
        <w:trPr>
          <w:trHeight w:val="231"/>
        </w:trPr>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center"/>
              <w:ind w:right="151"/>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Amortization</w:t>
            </w:r>
          </w:p>
        </w:tc>
        <w:tc>
          <w:tcPr>
            <w:tcW w:w="240" w:type="dxa"/>
            <w:vAlign w:val="bottom"/>
          </w:tcPr>
          <w:p>
            <w:pPr>
              <w:spacing w:after="0"/>
              <w:rPr>
                <w:sz w:val="20"/>
                <w:szCs w:val="20"/>
                <w:color w:val="auto"/>
              </w:rPr>
            </w:pPr>
          </w:p>
        </w:tc>
        <w:tc>
          <w:tcPr>
            <w:tcW w:w="1220" w:type="dxa"/>
            <w:vAlign w:val="bottom"/>
          </w:tcPr>
          <w:p>
            <w:pPr>
              <w:jc w:val="center"/>
              <w:ind w:right="111"/>
              <w:spacing w:after="0"/>
              <w:rPr>
                <w:sz w:val="20"/>
                <w:szCs w:val="20"/>
                <w:color w:val="auto"/>
              </w:rPr>
            </w:pPr>
            <w:r>
              <w:rPr>
                <w:rFonts w:ascii="Arial" w:cs="Arial" w:eastAsia="Arial" w:hAnsi="Arial"/>
                <w:sz w:val="18"/>
                <w:szCs w:val="18"/>
                <w:b w:val="1"/>
                <w:bCs w:val="1"/>
                <w:color w:val="auto"/>
                <w:w w:val="91"/>
              </w:rPr>
              <w:t>Amount</w:t>
            </w:r>
          </w:p>
        </w:tc>
      </w:tr>
      <w:tr>
        <w:trPr>
          <w:trHeight w:val="208"/>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3"/>
        </w:trPr>
        <w:tc>
          <w:tcPr>
            <w:tcW w:w="566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10,480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5,191</w:t>
            </w:r>
          </w:p>
        </w:tc>
        <w:tc>
          <w:tcPr>
            <w:tcW w:w="22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5,289</w:t>
            </w:r>
          </w:p>
        </w:tc>
      </w:tr>
      <w:tr>
        <w:trPr>
          <w:trHeight w:val="213"/>
        </w:trPr>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13"/>
        </w:trPr>
        <w:tc>
          <w:tcPr>
            <w:tcW w:w="5660" w:type="dxa"/>
            <w:vAlign w:val="bottom"/>
          </w:tcPr>
          <w:p>
            <w:pPr>
              <w:ind w:left="160"/>
              <w:spacing w:after="0"/>
              <w:rPr>
                <w:sz w:val="20"/>
                <w:szCs w:val="20"/>
                <w:color w:val="auto"/>
              </w:rPr>
            </w:pPr>
            <w:r>
              <w:rPr>
                <w:rFonts w:ascii="Arial" w:cs="Arial" w:eastAsia="Arial" w:hAnsi="Arial"/>
                <w:sz w:val="18"/>
                <w:szCs w:val="18"/>
                <w:color w:val="auto"/>
              </w:rPr>
              <w:t>Patents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574</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3"/>
        </w:trPr>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66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w:t>
            </w:r>
          </w:p>
        </w:tc>
      </w:tr>
      <w:tr>
        <w:trPr>
          <w:trHeight w:val="213"/>
        </w:trPr>
        <w:tc>
          <w:tcPr>
            <w:tcW w:w="566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3"/>
        </w:trPr>
        <w:tc>
          <w:tcPr>
            <w:tcW w:w="5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r>
      <w:tr>
        <w:trPr>
          <w:trHeight w:val="207"/>
        </w:trPr>
        <w:tc>
          <w:tcPr>
            <w:tcW w:w="56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18,790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6,673</w:t>
            </w:r>
          </w:p>
        </w:tc>
        <w:tc>
          <w:tcPr>
            <w:tcW w:w="2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12,117</w:t>
            </w:r>
          </w:p>
        </w:tc>
      </w:tr>
      <w:tr>
        <w:trPr>
          <w:trHeight w:val="20"/>
        </w:trPr>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06"/>
        </w:trPr>
        <w:tc>
          <w:tcPr>
            <w:tcW w:w="5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 2020</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89"/>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31"/>
              <w:spacing w:after="0" w:line="189"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11"/>
              <w:spacing w:after="0" w:line="189" w:lineRule="exact"/>
              <w:rPr>
                <w:sz w:val="20"/>
                <w:szCs w:val="20"/>
                <w:color w:val="auto"/>
              </w:rPr>
            </w:pPr>
            <w:r>
              <w:rPr>
                <w:rFonts w:ascii="Arial" w:cs="Arial" w:eastAsia="Arial" w:hAnsi="Arial"/>
                <w:sz w:val="18"/>
                <w:szCs w:val="18"/>
                <w:b w:val="1"/>
                <w:bCs w:val="1"/>
                <w:color w:val="auto"/>
                <w:w w:val="89"/>
              </w:rPr>
              <w:t>Net</w:t>
            </w:r>
          </w:p>
        </w:tc>
      </w:tr>
      <w:tr>
        <w:trPr>
          <w:trHeight w:val="213"/>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51"/>
              <w:spacing w:after="0"/>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Accumulated</w:t>
            </w:r>
          </w:p>
        </w:tc>
        <w:tc>
          <w:tcPr>
            <w:tcW w:w="240" w:type="dxa"/>
            <w:vAlign w:val="bottom"/>
          </w:tcPr>
          <w:p>
            <w:pPr>
              <w:spacing w:after="0"/>
              <w:rPr>
                <w:sz w:val="18"/>
                <w:szCs w:val="18"/>
                <w:color w:val="auto"/>
              </w:rPr>
            </w:pPr>
          </w:p>
        </w:tc>
        <w:tc>
          <w:tcPr>
            <w:tcW w:w="1220" w:type="dxa"/>
            <w:vAlign w:val="bottom"/>
          </w:tcPr>
          <w:p>
            <w:pPr>
              <w:jc w:val="center"/>
              <w:ind w:right="111"/>
              <w:spacing w:after="0"/>
              <w:rPr>
                <w:sz w:val="20"/>
                <w:szCs w:val="20"/>
                <w:color w:val="auto"/>
              </w:rPr>
            </w:pPr>
            <w:r>
              <w:rPr>
                <w:rFonts w:ascii="Arial" w:cs="Arial" w:eastAsia="Arial" w:hAnsi="Arial"/>
                <w:sz w:val="18"/>
                <w:szCs w:val="18"/>
                <w:b w:val="1"/>
                <w:bCs w:val="1"/>
                <w:color w:val="auto"/>
                <w:w w:val="94"/>
              </w:rPr>
              <w:t>Carrying</w:t>
            </w:r>
          </w:p>
        </w:tc>
      </w:tr>
      <w:tr>
        <w:trPr>
          <w:trHeight w:val="231"/>
        </w:trPr>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center"/>
              <w:ind w:right="151"/>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Amortization</w:t>
            </w:r>
          </w:p>
        </w:tc>
        <w:tc>
          <w:tcPr>
            <w:tcW w:w="240" w:type="dxa"/>
            <w:vAlign w:val="bottom"/>
          </w:tcPr>
          <w:p>
            <w:pPr>
              <w:spacing w:after="0"/>
              <w:rPr>
                <w:sz w:val="20"/>
                <w:szCs w:val="20"/>
                <w:color w:val="auto"/>
              </w:rPr>
            </w:pPr>
          </w:p>
        </w:tc>
        <w:tc>
          <w:tcPr>
            <w:tcW w:w="1220" w:type="dxa"/>
            <w:vAlign w:val="bottom"/>
          </w:tcPr>
          <w:p>
            <w:pPr>
              <w:jc w:val="center"/>
              <w:ind w:right="111"/>
              <w:spacing w:after="0"/>
              <w:rPr>
                <w:sz w:val="20"/>
                <w:szCs w:val="20"/>
                <w:color w:val="auto"/>
              </w:rPr>
            </w:pPr>
            <w:r>
              <w:rPr>
                <w:rFonts w:ascii="Arial" w:cs="Arial" w:eastAsia="Arial" w:hAnsi="Arial"/>
                <w:sz w:val="18"/>
                <w:szCs w:val="18"/>
                <w:b w:val="1"/>
                <w:bCs w:val="1"/>
                <w:color w:val="auto"/>
                <w:w w:val="91"/>
              </w:rPr>
              <w:t>Amount</w:t>
            </w:r>
          </w:p>
        </w:tc>
      </w:tr>
      <w:tr>
        <w:trPr>
          <w:trHeight w:val="208"/>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3"/>
        </w:trPr>
        <w:tc>
          <w:tcPr>
            <w:tcW w:w="566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10,480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4,912</w:t>
            </w:r>
          </w:p>
        </w:tc>
        <w:tc>
          <w:tcPr>
            <w:tcW w:w="22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5,568</w:t>
            </w:r>
          </w:p>
        </w:tc>
      </w:tr>
      <w:tr>
        <w:trPr>
          <w:trHeight w:val="213"/>
        </w:trPr>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13"/>
        </w:trPr>
        <w:tc>
          <w:tcPr>
            <w:tcW w:w="5660" w:type="dxa"/>
            <w:vAlign w:val="bottom"/>
          </w:tcPr>
          <w:p>
            <w:pPr>
              <w:ind w:left="160"/>
              <w:spacing w:after="0"/>
              <w:rPr>
                <w:sz w:val="20"/>
                <w:szCs w:val="20"/>
                <w:color w:val="auto"/>
              </w:rPr>
            </w:pPr>
            <w:r>
              <w:rPr>
                <w:rFonts w:ascii="Arial" w:cs="Arial" w:eastAsia="Arial" w:hAnsi="Arial"/>
                <w:sz w:val="18"/>
                <w:szCs w:val="18"/>
                <w:color w:val="auto"/>
              </w:rPr>
              <w:t>Patents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570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3"/>
        </w:trPr>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66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6,369</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5,711</w:t>
            </w:r>
          </w:p>
        </w:tc>
      </w:tr>
      <w:tr>
        <w:trPr>
          <w:trHeight w:val="213"/>
        </w:trPr>
        <w:tc>
          <w:tcPr>
            <w:tcW w:w="566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3"/>
        </w:trPr>
        <w:tc>
          <w:tcPr>
            <w:tcW w:w="5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r>
      <w:tr>
        <w:trPr>
          <w:trHeight w:val="207"/>
        </w:trPr>
        <w:tc>
          <w:tcPr>
            <w:tcW w:w="56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18,790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6,369</w:t>
            </w:r>
          </w:p>
        </w:tc>
        <w:tc>
          <w:tcPr>
            <w:tcW w:w="2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12,421</w:t>
            </w:r>
          </w:p>
        </w:tc>
      </w:tr>
      <w:tr>
        <w:trPr>
          <w:trHeight w:val="20"/>
        </w:trPr>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780" w:right="240"/>
        <w:spacing w:after="0" w:line="281" w:lineRule="auto"/>
        <w:rPr>
          <w:sz w:val="20"/>
          <w:szCs w:val="20"/>
          <w:color w:val="auto"/>
        </w:rPr>
      </w:pPr>
      <w:r>
        <w:rPr>
          <w:rFonts w:ascii="Arial" w:cs="Arial" w:eastAsia="Arial" w:hAnsi="Arial"/>
          <w:sz w:val="17"/>
          <w:szCs w:val="17"/>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67" w:lineRule="exact"/>
        <w:rPr>
          <w:sz w:val="20"/>
          <w:szCs w:val="20"/>
          <w:color w:val="auto"/>
        </w:rPr>
      </w:pPr>
    </w:p>
    <w:p>
      <w:pPr>
        <w:ind w:left="780" w:right="220"/>
        <w:spacing w:after="0" w:line="300" w:lineRule="auto"/>
        <w:rPr>
          <w:sz w:val="20"/>
          <w:szCs w:val="20"/>
          <w:color w:val="auto"/>
        </w:rPr>
      </w:pPr>
      <w:r>
        <w:rPr>
          <w:rFonts w:ascii="Arial" w:cs="Arial" w:eastAsia="Arial" w:hAnsi="Arial"/>
          <w:sz w:val="17"/>
          <w:szCs w:val="17"/>
          <w:color w:val="auto"/>
        </w:rPr>
        <w:t>Total amortization expense for our finite-lived intangible assets was $304 and $311, respectively, for the three months ended March 31, 2021 and 2020. The following table sets forth the estimated annual amortization expense for each of the next five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2021 (remainder)</w:t>
            </w:r>
          </w:p>
        </w:tc>
        <w:tc>
          <w:tcPr>
            <w:tcW w:w="67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13"/>
        </w:trPr>
        <w:tc>
          <w:tcPr>
            <w:tcW w:w="8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2022</w:t>
            </w:r>
          </w:p>
        </w:tc>
        <w:tc>
          <w:tcPr>
            <w:tcW w:w="672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1,167</w:t>
            </w:r>
          </w:p>
        </w:tc>
      </w:tr>
      <w:tr>
        <w:trPr>
          <w:trHeight w:val="213"/>
        </w:trPr>
        <w:tc>
          <w:tcPr>
            <w:tcW w:w="8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7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w:t>
            </w:r>
          </w:p>
        </w:tc>
      </w:tr>
      <w:tr>
        <w:trPr>
          <w:trHeight w:val="213"/>
        </w:trPr>
        <w:tc>
          <w:tcPr>
            <w:tcW w:w="8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2024</w:t>
            </w:r>
          </w:p>
        </w:tc>
        <w:tc>
          <w:tcPr>
            <w:tcW w:w="672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980</w:t>
            </w:r>
          </w:p>
        </w:tc>
      </w:tr>
      <w:tr>
        <w:trPr>
          <w:trHeight w:val="213"/>
        </w:trPr>
        <w:tc>
          <w:tcPr>
            <w:tcW w:w="8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7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426"/>
        </w:trPr>
        <w:tc>
          <w:tcPr>
            <w:tcW w:w="8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720" w:type="dxa"/>
            <w:vAlign w:val="bottom"/>
          </w:tcPr>
          <w:p>
            <w:pPr>
              <w:jc w:val="right"/>
              <w:ind w:right="4611"/>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c>
          <w:tcPr>
            <w:tcW w:w="67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ectPr>
          <w:pgSz w:w="11900" w:h="16838" w:orient="portrait"/>
          <w:cols w:equalWidth="0" w:num="1">
            <w:col w:w="11340"/>
          </w:cols>
          <w:pgMar w:left="320" w:top="579" w:right="239" w:bottom="1440" w:gutter="0" w:footer="0" w:header="0"/>
        </w:sectPr>
      </w:pPr>
    </w:p>
    <w:bookmarkStart w:id="16" w:name="page17"/>
    <w:bookmarkEnd w:id="16"/>
    <w:p>
      <w:pPr>
        <w:ind w:left="793" w:hanging="793"/>
        <w:spacing w:after="0"/>
        <w:tabs>
          <w:tab w:leader="none" w:pos="793"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3" w:lineRule="exact"/>
        <w:rPr>
          <w:rFonts w:ascii="Arial" w:cs="Arial" w:eastAsia="Arial" w:hAnsi="Arial"/>
          <w:sz w:val="18"/>
          <w:szCs w:val="18"/>
          <w:b w:val="1"/>
          <w:bCs w:val="1"/>
          <w:color w:val="auto"/>
        </w:rPr>
      </w:pPr>
    </w:p>
    <w:p>
      <w:pPr>
        <w:ind w:left="773" w:right="140"/>
        <w:spacing w:after="0" w:line="300" w:lineRule="auto"/>
        <w:rPr>
          <w:rFonts w:ascii="Arial" w:cs="Arial" w:eastAsia="Arial" w:hAnsi="Arial"/>
          <w:sz w:val="18"/>
          <w:szCs w:val="18"/>
          <w:b w:val="1"/>
          <w:bCs w:val="1"/>
          <w:color w:val="auto"/>
        </w:rPr>
      </w:pPr>
      <w:r>
        <w:rPr>
          <w:rFonts w:ascii="Arial" w:cs="Arial" w:eastAsia="Arial" w:hAnsi="Arial"/>
          <w:sz w:val="17"/>
          <w:szCs w:val="17"/>
          <w:color w:val="auto"/>
        </w:rPr>
        <w:t>The following tables provide additional information about our revenue from contracts with customers, including revenue by customer and product type and revenue by market. See also Note 13 for information about revenue by operating segment and geographic region.</w:t>
      </w:r>
    </w:p>
    <w:p>
      <w:pPr>
        <w:spacing w:after="0" w:line="148" w:lineRule="exact"/>
        <w:rPr>
          <w:sz w:val="20"/>
          <w:szCs w:val="20"/>
          <w:color w:val="auto"/>
        </w:rPr>
      </w:pPr>
    </w:p>
    <w:tbl>
      <w:tblPr>
        <w:tblLayout w:type="fixed"/>
        <w:tblInd w:w="793"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40" w:type="dxa"/>
            <w:vAlign w:val="bottom"/>
            <w:gridSpan w:val="4"/>
          </w:tcPr>
          <w:p>
            <w:pPr>
              <w:jc w:val="right"/>
              <w:ind w:right="185"/>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r>
      <w:tr>
        <w:trPr>
          <w:trHeight w:val="230"/>
        </w:trPr>
        <w:tc>
          <w:tcPr>
            <w:tcW w:w="7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05"/>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r>
      <w:tr>
        <w:trPr>
          <w:trHeight w:val="208"/>
        </w:trPr>
        <w:tc>
          <w:tcPr>
            <w:tcW w:w="7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r>
      <w:tr>
        <w:trPr>
          <w:trHeight w:val="207"/>
        </w:trPr>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customer type:</w:t>
            </w: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3"/>
        </w:trPr>
        <w:tc>
          <w:tcPr>
            <w:tcW w:w="7380" w:type="dxa"/>
            <w:vAlign w:val="bottom"/>
          </w:tcPr>
          <w:p>
            <w:pPr>
              <w:spacing w:after="0"/>
              <w:rPr>
                <w:sz w:val="20"/>
                <w:szCs w:val="20"/>
                <w:color w:val="auto"/>
              </w:rPr>
            </w:pPr>
            <w:r>
              <w:rPr>
                <w:rFonts w:ascii="Arial" w:cs="Arial" w:eastAsia="Arial" w:hAnsi="Arial"/>
                <w:sz w:val="18"/>
                <w:szCs w:val="18"/>
                <w:color w:val="auto"/>
              </w:rPr>
              <w:t>End user</w:t>
            </w:r>
          </w:p>
        </w:tc>
        <w:tc>
          <w:tcPr>
            <w:tcW w:w="960" w:type="dxa"/>
            <w:vAlign w:val="bottom"/>
            <w:gridSpan w:val="2"/>
          </w:tcPr>
          <w:p>
            <w:pPr>
              <w:jc w:val="right"/>
              <w:ind w:right="791"/>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17,660</w:t>
            </w:r>
          </w:p>
        </w:tc>
        <w:tc>
          <w:tcPr>
            <w:tcW w:w="220" w:type="dxa"/>
            <w:vAlign w:val="bottom"/>
          </w:tcPr>
          <w:p>
            <w:pPr>
              <w:spacing w:after="0"/>
              <w:rPr>
                <w:sz w:val="18"/>
                <w:szCs w:val="18"/>
                <w:color w:val="auto"/>
              </w:rPr>
            </w:pPr>
          </w:p>
        </w:tc>
        <w:tc>
          <w:tcPr>
            <w:tcW w:w="960" w:type="dxa"/>
            <w:vAlign w:val="bottom"/>
          </w:tcPr>
          <w:p>
            <w:pPr>
              <w:jc w:val="right"/>
              <w:ind w:right="805"/>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9,922</w:t>
            </w:r>
          </w:p>
        </w:tc>
      </w:tr>
      <w:tr>
        <w:trPr>
          <w:trHeight w:val="213"/>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OEM/Integrator</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r>
      <w:tr>
        <w:trPr>
          <w:trHeight w:val="207"/>
        </w:trPr>
        <w:tc>
          <w:tcPr>
            <w:tcW w:w="7380" w:type="dxa"/>
            <w:vAlign w:val="bottom"/>
          </w:tcPr>
          <w:p>
            <w:pPr>
              <w:spacing w:after="0"/>
              <w:rPr>
                <w:sz w:val="17"/>
                <w:szCs w:val="17"/>
                <w:color w:val="auto"/>
              </w:rPr>
            </w:pPr>
          </w:p>
        </w:tc>
        <w:tc>
          <w:tcPr>
            <w:tcW w:w="960" w:type="dxa"/>
            <w:vAlign w:val="bottom"/>
            <w:gridSpan w:val="2"/>
          </w:tcPr>
          <w:p>
            <w:pPr>
              <w:jc w:val="right"/>
              <w:ind w:right="791"/>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19,556</w:t>
            </w:r>
          </w:p>
        </w:tc>
        <w:tc>
          <w:tcPr>
            <w:tcW w:w="220" w:type="dxa"/>
            <w:vAlign w:val="bottom"/>
          </w:tcPr>
          <w:p>
            <w:pPr>
              <w:spacing w:after="0"/>
              <w:rPr>
                <w:sz w:val="17"/>
                <w:szCs w:val="17"/>
                <w:color w:val="auto"/>
              </w:rPr>
            </w:pPr>
          </w:p>
        </w:tc>
        <w:tc>
          <w:tcPr>
            <w:tcW w:w="960" w:type="dxa"/>
            <w:vAlign w:val="bottom"/>
          </w:tcPr>
          <w:p>
            <w:pPr>
              <w:jc w:val="right"/>
              <w:ind w:right="805"/>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11,230</w:t>
            </w:r>
          </w:p>
        </w:tc>
      </w:tr>
      <w:tr>
        <w:trPr>
          <w:trHeight w:val="20"/>
        </w:trPr>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194"/>
        </w:trPr>
        <w:tc>
          <w:tcPr>
            <w:tcW w:w="7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213"/>
        </w:trPr>
        <w:tc>
          <w:tcPr>
            <w:tcW w:w="738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by product type: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Thermal test</w:t>
            </w:r>
          </w:p>
        </w:tc>
        <w:tc>
          <w:tcPr>
            <w:tcW w:w="960" w:type="dxa"/>
            <w:vAlign w:val="bottom"/>
            <w:gridSpan w:val="2"/>
            <w:shd w:val="clear" w:color="auto" w:fill="CCEEFF"/>
          </w:tcPr>
          <w:p>
            <w:pPr>
              <w:jc w:val="right"/>
              <w:ind w:right="791"/>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5"/>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r>
      <w:tr>
        <w:trPr>
          <w:trHeight w:val="213"/>
        </w:trPr>
        <w:tc>
          <w:tcPr>
            <w:tcW w:w="7380" w:type="dxa"/>
            <w:vAlign w:val="bottom"/>
          </w:tcPr>
          <w:p>
            <w:pPr>
              <w:spacing w:after="0"/>
              <w:rPr>
                <w:sz w:val="20"/>
                <w:szCs w:val="20"/>
                <w:color w:val="auto"/>
              </w:rPr>
            </w:pPr>
            <w:r>
              <w:rPr>
                <w:rFonts w:ascii="Arial" w:cs="Arial" w:eastAsia="Arial" w:hAnsi="Arial"/>
                <w:sz w:val="18"/>
                <w:szCs w:val="18"/>
                <w:color w:val="auto"/>
              </w:rPr>
              <w:t>Thermal process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5,566</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3,748</w:t>
            </w:r>
          </w:p>
        </w:tc>
      </w:tr>
      <w:tr>
        <w:trPr>
          <w:trHeight w:val="21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Semiconductor production test</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r>
      <w:tr>
        <w:trPr>
          <w:trHeight w:val="213"/>
        </w:trPr>
        <w:tc>
          <w:tcPr>
            <w:tcW w:w="7380" w:type="dxa"/>
            <w:vAlign w:val="bottom"/>
          </w:tcPr>
          <w:p>
            <w:pPr>
              <w:spacing w:after="0"/>
              <w:rPr>
                <w:sz w:val="20"/>
                <w:szCs w:val="20"/>
                <w:color w:val="auto"/>
              </w:rPr>
            </w:pPr>
            <w:r>
              <w:rPr>
                <w:rFonts w:ascii="Arial" w:cs="Arial" w:eastAsia="Arial" w:hAnsi="Arial"/>
                <w:sz w:val="18"/>
                <w:szCs w:val="18"/>
                <w:color w:val="auto"/>
              </w:rPr>
              <w:t>Service/other</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2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w:t>
            </w:r>
          </w:p>
        </w:tc>
      </w:tr>
      <w:tr>
        <w:trPr>
          <w:trHeight w:val="247"/>
        </w:trPr>
        <w:tc>
          <w:tcPr>
            <w:tcW w:w="7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791"/>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19,556</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05"/>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11,230</w:t>
            </w:r>
          </w:p>
        </w:tc>
      </w:tr>
      <w:tr>
        <w:trPr>
          <w:trHeight w:val="194"/>
        </w:trPr>
        <w:tc>
          <w:tcPr>
            <w:tcW w:w="73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r>
      <w:tr>
        <w:trPr>
          <w:trHeight w:val="213"/>
        </w:trPr>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market:</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3"/>
        </w:trPr>
        <w:tc>
          <w:tcPr>
            <w:tcW w:w="7380" w:type="dxa"/>
            <w:vAlign w:val="bottom"/>
          </w:tcPr>
          <w:p>
            <w:pPr>
              <w:spacing w:after="0"/>
              <w:rPr>
                <w:sz w:val="20"/>
                <w:szCs w:val="20"/>
                <w:color w:val="auto"/>
              </w:rPr>
            </w:pPr>
            <w:r>
              <w:rPr>
                <w:rFonts w:ascii="Arial" w:cs="Arial" w:eastAsia="Arial" w:hAnsi="Arial"/>
                <w:sz w:val="18"/>
                <w:szCs w:val="18"/>
                <w:color w:val="auto"/>
              </w:rPr>
              <w:t>Semi Market</w:t>
            </w:r>
          </w:p>
        </w:tc>
        <w:tc>
          <w:tcPr>
            <w:tcW w:w="960" w:type="dxa"/>
            <w:vAlign w:val="bottom"/>
            <w:gridSpan w:val="2"/>
          </w:tcPr>
          <w:p>
            <w:pPr>
              <w:jc w:val="right"/>
              <w:ind w:right="791"/>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13,320</w:t>
            </w:r>
          </w:p>
        </w:tc>
        <w:tc>
          <w:tcPr>
            <w:tcW w:w="220" w:type="dxa"/>
            <w:vAlign w:val="bottom"/>
          </w:tcPr>
          <w:p>
            <w:pPr>
              <w:spacing w:after="0"/>
              <w:rPr>
                <w:sz w:val="18"/>
                <w:szCs w:val="18"/>
                <w:color w:val="auto"/>
              </w:rPr>
            </w:pPr>
          </w:p>
        </w:tc>
        <w:tc>
          <w:tcPr>
            <w:tcW w:w="960" w:type="dxa"/>
            <w:vAlign w:val="bottom"/>
          </w:tcPr>
          <w:p>
            <w:pPr>
              <w:jc w:val="right"/>
              <w:ind w:right="805"/>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5,011</w:t>
            </w:r>
          </w:p>
        </w:tc>
      </w:tr>
      <w:tr>
        <w:trPr>
          <w:trHeight w:val="21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3"/>
        </w:trPr>
        <w:tc>
          <w:tcPr>
            <w:tcW w:w="7380" w:type="dxa"/>
            <w:vAlign w:val="bottom"/>
          </w:tcPr>
          <w:p>
            <w:pPr>
              <w:ind w:left="160"/>
              <w:spacing w:after="0"/>
              <w:rPr>
                <w:sz w:val="20"/>
                <w:szCs w:val="20"/>
                <w:color w:val="auto"/>
              </w:rPr>
            </w:pPr>
            <w:r>
              <w:rPr>
                <w:rFonts w:ascii="Arial" w:cs="Arial" w:eastAsia="Arial" w:hAnsi="Arial"/>
                <w:sz w:val="18"/>
                <w:szCs w:val="18"/>
                <w:color w:val="auto"/>
              </w:rPr>
              <w:t>Industrial</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3,828</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4,227</w:t>
            </w:r>
          </w:p>
        </w:tc>
      </w:tr>
      <w:tr>
        <w:trPr>
          <w:trHeight w:val="213"/>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Defense/aerospace</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r>
      <w:tr>
        <w:trPr>
          <w:trHeight w:val="213"/>
        </w:trPr>
        <w:tc>
          <w:tcPr>
            <w:tcW w:w="7380" w:type="dxa"/>
            <w:vAlign w:val="bottom"/>
          </w:tcPr>
          <w:p>
            <w:pPr>
              <w:ind w:left="160"/>
              <w:spacing w:after="0"/>
              <w:rPr>
                <w:sz w:val="20"/>
                <w:szCs w:val="20"/>
                <w:color w:val="auto"/>
              </w:rPr>
            </w:pPr>
            <w:r>
              <w:rPr>
                <w:rFonts w:ascii="Arial" w:cs="Arial" w:eastAsia="Arial" w:hAnsi="Arial"/>
                <w:sz w:val="18"/>
                <w:szCs w:val="18"/>
                <w:color w:val="auto"/>
              </w:rPr>
              <w:t>Telecommunications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13"/>
        </w:trPr>
        <w:tc>
          <w:tcPr>
            <w:tcW w:w="7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Multimarket</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07"/>
        </w:trPr>
        <w:tc>
          <w:tcPr>
            <w:tcW w:w="7380" w:type="dxa"/>
            <w:vAlign w:val="bottom"/>
          </w:tcPr>
          <w:p>
            <w:pPr>
              <w:spacing w:after="0"/>
              <w:rPr>
                <w:sz w:val="17"/>
                <w:szCs w:val="17"/>
                <w:color w:val="auto"/>
              </w:rPr>
            </w:pPr>
          </w:p>
        </w:tc>
        <w:tc>
          <w:tcPr>
            <w:tcW w:w="960" w:type="dxa"/>
            <w:vAlign w:val="bottom"/>
            <w:tcBorders>
              <w:bottom w:val="single" w:sz="8" w:color="auto"/>
            </w:tcBorders>
            <w:gridSpan w:val="2"/>
          </w:tcPr>
          <w:p>
            <w:pPr>
              <w:jc w:val="right"/>
              <w:ind w:right="791"/>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19,556</w:t>
            </w:r>
          </w:p>
        </w:tc>
        <w:tc>
          <w:tcPr>
            <w:tcW w:w="220" w:type="dxa"/>
            <w:vAlign w:val="bottom"/>
          </w:tcPr>
          <w:p>
            <w:pPr>
              <w:spacing w:after="0"/>
              <w:rPr>
                <w:sz w:val="17"/>
                <w:szCs w:val="17"/>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11,230</w:t>
            </w:r>
          </w:p>
        </w:tc>
      </w:tr>
      <w:tr>
        <w:trPr>
          <w:trHeight w:val="20"/>
        </w:trPr>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773"/>
        <w:spacing w:after="0"/>
        <w:rPr>
          <w:sz w:val="20"/>
          <w:szCs w:val="20"/>
          <w:color w:val="auto"/>
        </w:rPr>
      </w:pPr>
      <w:r>
        <w:rPr>
          <w:rFonts w:ascii="Arial" w:cs="Arial" w:eastAsia="Arial" w:hAnsi="Arial"/>
          <w:sz w:val="18"/>
          <w:szCs w:val="18"/>
          <w:color w:val="auto"/>
        </w:rPr>
        <w:t>There was no change in the amount of the allowance for doubtful accounts for the three months ended March 31, 2021.</w:t>
      </w:r>
    </w:p>
    <w:p>
      <w:pPr>
        <w:spacing w:after="0" w:line="220" w:lineRule="exact"/>
        <w:rPr>
          <w:sz w:val="20"/>
          <w:szCs w:val="20"/>
          <w:color w:val="auto"/>
        </w:rPr>
      </w:pPr>
    </w:p>
    <w:p>
      <w:pPr>
        <w:ind w:left="5473"/>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33"/>
          </w:cols>
          <w:pgMar w:left="327" w:top="815" w:right="239" w:bottom="1440" w:gutter="0" w:footer="0" w:header="0"/>
        </w:sectPr>
      </w:pPr>
    </w:p>
    <w:bookmarkStart w:id="17" w:name="page18"/>
    <w:bookmarkEnd w:id="17"/>
    <w:p>
      <w:pPr>
        <w:ind w:left="800" w:hanging="793"/>
        <w:spacing w:after="0"/>
        <w:tabs>
          <w:tab w:leader="none" w:pos="8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3" w:lineRule="exact"/>
        <w:rPr>
          <w:rFonts w:ascii="Arial" w:cs="Arial" w:eastAsia="Arial" w:hAnsi="Arial"/>
          <w:sz w:val="18"/>
          <w:szCs w:val="18"/>
          <w:b w:val="1"/>
          <w:bCs w:val="1"/>
          <w:color w:val="auto"/>
        </w:rPr>
      </w:pPr>
    </w:p>
    <w:p>
      <w:pPr>
        <w:ind w:left="780" w:right="2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During the three months ended March 31, 2021, Texas Instruments Incorporated accounted for 16% of our consolidated net revenues. While both of our segments sold to this customer, these revenues were primarily generated by our EMS segment. No other customers accounted for 10% or more of our consolidated net revenues during the three months ended March 31, 2021. During the three months ended March 31, 2020, no customer accounted for 10% or more of our consolidated net revenues.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ind w:left="800" w:hanging="793"/>
        <w:spacing w:after="0"/>
        <w:tabs>
          <w:tab w:leader="none" w:pos="8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3"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Inventories held at March 31, 2021 and December 31, 2020 were comprised of the following:</w:t>
      </w: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47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r>
      <w:tr>
        <w:trPr>
          <w:trHeight w:val="208"/>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w:t>
            </w:r>
          </w:p>
        </w:tc>
      </w:tr>
      <w:tr>
        <w:trPr>
          <w:trHeight w:val="213"/>
        </w:trPr>
        <w:tc>
          <w:tcPr>
            <w:tcW w:w="4740" w:type="dxa"/>
            <w:vAlign w:val="bottom"/>
          </w:tcPr>
          <w:p>
            <w:pPr>
              <w:spacing w:after="0"/>
              <w:rPr>
                <w:sz w:val="20"/>
                <w:szCs w:val="20"/>
                <w:color w:val="auto"/>
              </w:rPr>
            </w:pPr>
            <w:r>
              <w:rPr>
                <w:rFonts w:ascii="Arial" w:cs="Arial" w:eastAsia="Arial" w:hAnsi="Arial"/>
                <w:sz w:val="18"/>
                <w:szCs w:val="18"/>
                <w:color w:val="auto"/>
              </w:rPr>
              <w:t>Work in process</w:t>
            </w: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992</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1,085</w:t>
            </w:r>
          </w:p>
        </w:tc>
      </w:tr>
      <w:tr>
        <w:trPr>
          <w:trHeight w:val="21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Inventory consigned to others</w:t>
            </w: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3"/>
        </w:trPr>
        <w:tc>
          <w:tcPr>
            <w:tcW w:w="4740" w:type="dxa"/>
            <w:vAlign w:val="bottom"/>
          </w:tcPr>
          <w:p>
            <w:pPr>
              <w:spacing w:after="0"/>
              <w:rPr>
                <w:sz w:val="20"/>
                <w:szCs w:val="20"/>
                <w:color w:val="auto"/>
              </w:rPr>
            </w:pPr>
            <w:r>
              <w:rPr>
                <w:rFonts w:ascii="Arial" w:cs="Arial" w:eastAsia="Arial" w:hAnsi="Arial"/>
                <w:sz w:val="18"/>
                <w:szCs w:val="18"/>
                <w:color w:val="auto"/>
              </w:rPr>
              <w:t>Finished goods</w:t>
            </w:r>
          </w:p>
        </w:tc>
        <w:tc>
          <w:tcPr>
            <w:tcW w:w="2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r>
      <w:tr>
        <w:trPr>
          <w:trHeight w:val="227"/>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r>
      <w:tr>
        <w:trPr>
          <w:trHeight w:val="20"/>
        </w:trPr>
        <w:tc>
          <w:tcPr>
            <w:tcW w:w="474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0" w:hanging="793"/>
        <w:spacing w:after="0"/>
        <w:tabs>
          <w:tab w:leader="none" w:pos="8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3"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6"/>
          <w:szCs w:val="16"/>
          <w:color w:val="auto"/>
        </w:rPr>
        <w:t>We lease our offices, warehouse facilities and certain equipment under non-cancellable operating leases which expire at various dates through</w:t>
      </w:r>
    </w:p>
    <w:p>
      <w:pPr>
        <w:spacing w:after="0" w:line="42"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2031. Total operating lease and short-term lease costs for the three months ended March 31, 2021 and 2020 were as follows:</w:t>
      </w:r>
    </w:p>
    <w:p>
      <w:pPr>
        <w:spacing w:after="0" w:line="203"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80" w:type="dxa"/>
            <w:vAlign w:val="bottom"/>
            <w:gridSpan w:val="4"/>
          </w:tcPr>
          <w:p>
            <w:pPr>
              <w:jc w:val="right"/>
              <w:ind w:right="302"/>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r>
      <w:tr>
        <w:trPr>
          <w:trHeight w:val="230"/>
        </w:trPr>
        <w:tc>
          <w:tcPr>
            <w:tcW w:w="44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22"/>
              <w:spacing w:after="0"/>
              <w:rPr>
                <w:sz w:val="20"/>
                <w:szCs w:val="20"/>
                <w:color w:val="auto"/>
              </w:rPr>
            </w:pPr>
            <w:r>
              <w:rPr>
                <w:rFonts w:ascii="Arial" w:cs="Arial" w:eastAsia="Arial" w:hAnsi="Arial"/>
                <w:sz w:val="18"/>
                <w:szCs w:val="18"/>
                <w:b w:val="1"/>
                <w:bCs w:val="1"/>
                <w:color w:val="auto"/>
              </w:rPr>
              <w:t>March 31,</w:t>
            </w:r>
          </w:p>
        </w:tc>
        <w:tc>
          <w:tcPr>
            <w:tcW w:w="380" w:type="dxa"/>
            <w:vAlign w:val="bottom"/>
            <w:tcBorders>
              <w:bottom w:val="single" w:sz="8" w:color="auto"/>
            </w:tcBorders>
          </w:tcPr>
          <w:p>
            <w:pPr>
              <w:spacing w:after="0"/>
              <w:rPr>
                <w:sz w:val="20"/>
                <w:szCs w:val="20"/>
                <w:color w:val="auto"/>
              </w:rPr>
            </w:pPr>
          </w:p>
        </w:tc>
      </w:tr>
      <w:tr>
        <w:trPr>
          <w:trHeight w:val="208"/>
        </w:trPr>
        <w:tc>
          <w:tcPr>
            <w:tcW w:w="44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8"/>
                <w:szCs w:val="18"/>
                <w:color w:val="auto"/>
              </w:rPr>
            </w:pPr>
          </w:p>
        </w:tc>
      </w:tr>
      <w:tr>
        <w:trPr>
          <w:trHeight w:val="207"/>
        </w:trPr>
        <w:tc>
          <w:tcPr>
            <w:tcW w:w="44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1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4000" w:type="dxa"/>
            <w:vAlign w:val="bottom"/>
            <w:gridSpan w:val="2"/>
            <w:shd w:val="clear" w:color="auto" w:fill="CCEEFF"/>
          </w:tcPr>
          <w:p>
            <w:pPr>
              <w:jc w:val="right"/>
              <w:ind w:right="891"/>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w:t>
            </w:r>
          </w:p>
        </w:tc>
        <w:tc>
          <w:tcPr>
            <w:tcW w:w="1080" w:type="dxa"/>
            <w:vAlign w:val="bottom"/>
            <w:shd w:val="clear" w:color="auto" w:fill="CCEEFF"/>
          </w:tcPr>
          <w:p>
            <w:pPr>
              <w:jc w:val="right"/>
              <w:ind w:right="922"/>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26"/>
        </w:trPr>
        <w:tc>
          <w:tcPr>
            <w:tcW w:w="4440" w:type="dxa"/>
            <w:vAlign w:val="bottom"/>
          </w:tcPr>
          <w:p>
            <w:pPr>
              <w:spacing w:after="0"/>
              <w:rPr>
                <w:sz w:val="20"/>
                <w:szCs w:val="20"/>
                <w:color w:val="auto"/>
              </w:rPr>
            </w:pPr>
            <w:r>
              <w:rPr>
                <w:rFonts w:ascii="Arial" w:cs="Arial" w:eastAsia="Arial" w:hAnsi="Arial"/>
                <w:sz w:val="18"/>
                <w:szCs w:val="18"/>
                <w:color w:val="auto"/>
              </w:rPr>
              <w:t>Short-term lease cost</w:t>
            </w:r>
          </w:p>
        </w:tc>
        <w:tc>
          <w:tcPr>
            <w:tcW w:w="4000" w:type="dxa"/>
            <w:vAlign w:val="bottom"/>
            <w:gridSpan w:val="2"/>
          </w:tcPr>
          <w:p>
            <w:pPr>
              <w:jc w:val="right"/>
              <w:ind w:right="891"/>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080" w:type="dxa"/>
            <w:vAlign w:val="bottom"/>
          </w:tcPr>
          <w:p>
            <w:pPr>
              <w:jc w:val="right"/>
              <w:ind w:right="922"/>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8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is additional information about our leases as of March 31,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Range of remaining lease terms (in years)</w:t>
            </w:r>
          </w:p>
        </w:tc>
        <w:tc>
          <w:tcPr>
            <w:tcW w:w="6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  to 10.0</w:t>
            </w:r>
          </w:p>
        </w:tc>
      </w:tr>
      <w:tr>
        <w:trPr>
          <w:trHeight w:val="213"/>
        </w:trPr>
        <w:tc>
          <w:tcPr>
            <w:tcW w:w="8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644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213"/>
        </w:trPr>
        <w:tc>
          <w:tcPr>
            <w:tcW w:w="80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6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426"/>
        </w:trPr>
        <w:tc>
          <w:tcPr>
            <w:tcW w:w="8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340" w:type="dxa"/>
            <w:vAlign w:val="bottom"/>
          </w:tcPr>
          <w:p>
            <w:pPr>
              <w:jc w:val="right"/>
              <w:ind w:right="537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9"/>
                <w:szCs w:val="9"/>
                <w:color w:val="auto"/>
              </w:rPr>
            </w:pPr>
          </w:p>
        </w:tc>
        <w:tc>
          <w:tcPr>
            <w:tcW w:w="4100" w:type="dxa"/>
            <w:vAlign w:val="bottom"/>
            <w:tcBorders>
              <w:bottom w:val="single" w:sz="8" w:color="auto"/>
            </w:tcBorders>
          </w:tcPr>
          <w:p>
            <w:pPr>
              <w:spacing w:after="0"/>
              <w:rPr>
                <w:sz w:val="9"/>
                <w:szCs w:val="9"/>
                <w:color w:val="auto"/>
              </w:rPr>
            </w:pPr>
          </w:p>
        </w:tc>
        <w:tc>
          <w:tcPr>
            <w:tcW w:w="6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ectPr>
          <w:pgSz w:w="11900" w:h="16838" w:orient="portrait"/>
          <w:cols w:equalWidth="0" w:num="1">
            <w:col w:w="11340"/>
          </w:cols>
          <w:pgMar w:left="320" w:top="815" w:right="239" w:bottom="1440" w:gutter="0" w:footer="0" w:header="0"/>
        </w:sectPr>
      </w:pPr>
    </w:p>
    <w:bookmarkStart w:id="18" w:name="page19"/>
    <w:bookmarkEnd w:id="18"/>
    <w:p>
      <w:pPr>
        <w:spacing w:after="0" w:line="1" w:lineRule="exact"/>
        <w:rPr>
          <w:sz w:val="20"/>
          <w:szCs w:val="20"/>
          <w:color w:val="auto"/>
        </w:rPr>
      </w:pPr>
    </w:p>
    <w:tbl>
      <w:tblPr>
        <w:tblLayout w:type="fixed"/>
        <w:tblInd w:w="773" w:type="dxa"/>
        <w:tblCellMar>
          <w:top w:w="0" w:type="dxa"/>
          <w:left w:w="0" w:type="dxa"/>
          <w:bottom w:w="0" w:type="dxa"/>
          <w:right w:w="0" w:type="dxa"/>
        </w:tblCellMar>
      </w:tblPr>
      <w:tr>
        <w:trPr>
          <w:trHeight w:val="226"/>
        </w:trPr>
        <w:tc>
          <w:tcPr>
            <w:tcW w:w="9100" w:type="dxa"/>
            <w:vAlign w:val="bottom"/>
            <w:gridSpan w:val="2"/>
          </w:tcPr>
          <w:p>
            <w:pPr>
              <w:spacing w:after="0"/>
              <w:rPr>
                <w:sz w:val="20"/>
                <w:szCs w:val="20"/>
                <w:color w:val="auto"/>
              </w:rPr>
            </w:pPr>
            <w:r>
              <w:rPr>
                <w:rFonts w:ascii="Arial" w:cs="Arial" w:eastAsia="Arial" w:hAnsi="Arial"/>
                <w:sz w:val="18"/>
                <w:szCs w:val="18"/>
                <w:color w:val="auto"/>
              </w:rPr>
              <w:t>Maturities of lease liabilities as of March 31, 2021 were as follows:</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2021 (remainder)</w:t>
            </w: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13"/>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1,402</w:t>
            </w:r>
          </w:p>
        </w:tc>
      </w:tr>
      <w:tr>
        <w:trPr>
          <w:trHeight w:val="213"/>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r>
      <w:tr>
        <w:trPr>
          <w:trHeight w:val="213"/>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2024</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1,394</w:t>
            </w:r>
          </w:p>
        </w:tc>
      </w:tr>
      <w:tr>
        <w:trPr>
          <w:trHeight w:val="213"/>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13"/>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r>
      <w:tr>
        <w:trPr>
          <w:trHeight w:val="207"/>
        </w:trPr>
        <w:tc>
          <w:tcPr>
            <w:tcW w:w="20" w:type="dxa"/>
            <w:vAlign w:val="bottom"/>
          </w:tcPr>
          <w:p>
            <w:pPr>
              <w:spacing w:after="0"/>
              <w:rPr>
                <w:sz w:val="17"/>
                <w:szCs w:val="17"/>
                <w:color w:val="auto"/>
              </w:rPr>
            </w:pPr>
          </w:p>
        </w:tc>
        <w:tc>
          <w:tcPr>
            <w:tcW w:w="9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w:t>
            </w:r>
          </w:p>
        </w:tc>
      </w:tr>
      <w:tr>
        <w:trPr>
          <w:trHeight w:val="213"/>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Less imputed interest</w:t>
            </w: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r>
      <w:tr>
        <w:trPr>
          <w:trHeight w:val="247"/>
        </w:trPr>
        <w:tc>
          <w:tcPr>
            <w:tcW w:w="20" w:type="dxa"/>
            <w:vAlign w:val="bottom"/>
          </w:tcPr>
          <w:p>
            <w:pPr>
              <w:spacing w:after="0"/>
              <w:rPr>
                <w:sz w:val="21"/>
                <w:szCs w:val="21"/>
                <w:color w:val="auto"/>
              </w:rPr>
            </w:pPr>
          </w:p>
        </w:tc>
        <w:tc>
          <w:tcPr>
            <w:tcW w:w="9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w:t>
            </w:r>
          </w:p>
        </w:tc>
      </w:tr>
    </w:tbl>
    <w:p>
      <w:pPr>
        <w:spacing w:after="0" w:line="199" w:lineRule="exact"/>
        <w:rPr>
          <w:sz w:val="20"/>
          <w:szCs w:val="20"/>
          <w:color w:val="auto"/>
        </w:rPr>
      </w:pPr>
    </w:p>
    <w:p>
      <w:pPr>
        <w:ind w:left="773"/>
        <w:spacing w:after="0"/>
        <w:rPr>
          <w:sz w:val="20"/>
          <w:szCs w:val="20"/>
          <w:color w:val="auto"/>
        </w:rPr>
      </w:pPr>
      <w:r>
        <w:rPr>
          <w:rFonts w:ascii="Arial" w:cs="Arial" w:eastAsia="Arial" w:hAnsi="Arial"/>
          <w:sz w:val="18"/>
          <w:szCs w:val="18"/>
          <w:b w:val="1"/>
          <w:bCs w:val="1"/>
          <w:i w:val="1"/>
          <w:iCs w:val="1"/>
          <w:u w:val="single" w:color="auto"/>
          <w:color w:val="auto"/>
        </w:rPr>
        <w:t>Supplemental Cash Flow Information</w:t>
      </w:r>
    </w:p>
    <w:p>
      <w:pPr>
        <w:spacing w:after="0" w:line="220" w:lineRule="exact"/>
        <w:rPr>
          <w:sz w:val="20"/>
          <w:szCs w:val="20"/>
          <w:color w:val="auto"/>
        </w:rPr>
      </w:pPr>
    </w:p>
    <w:p>
      <w:pPr>
        <w:ind w:left="773"/>
        <w:spacing w:after="0"/>
        <w:rPr>
          <w:sz w:val="20"/>
          <w:szCs w:val="20"/>
          <w:color w:val="auto"/>
        </w:rPr>
      </w:pPr>
      <w:r>
        <w:rPr>
          <w:rFonts w:ascii="Arial" w:cs="Arial" w:eastAsia="Arial" w:hAnsi="Arial"/>
          <w:sz w:val="18"/>
          <w:szCs w:val="18"/>
          <w:color w:val="auto"/>
        </w:rPr>
        <w:t>Total amortization of ROU assets for the three months ended March 31, 2021 and 2020 was $280 and $325, respectively.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93" w:hanging="793"/>
        <w:spacing w:after="0"/>
        <w:tabs>
          <w:tab w:leader="none" w:pos="793"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3" w:lineRule="exact"/>
        <w:rPr>
          <w:rFonts w:ascii="Arial" w:cs="Arial" w:eastAsia="Arial" w:hAnsi="Arial"/>
          <w:sz w:val="18"/>
          <w:szCs w:val="18"/>
          <w:b w:val="1"/>
          <w:bCs w:val="1"/>
          <w:color w:val="auto"/>
        </w:rPr>
      </w:pPr>
    </w:p>
    <w:p>
      <w:pPr>
        <w:ind w:left="773"/>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Letters of Credit</w:t>
      </w:r>
    </w:p>
    <w:p>
      <w:pPr>
        <w:spacing w:after="0" w:line="219" w:lineRule="exact"/>
        <w:rPr>
          <w:rFonts w:ascii="Arial" w:cs="Arial" w:eastAsia="Arial" w:hAnsi="Arial"/>
          <w:sz w:val="18"/>
          <w:szCs w:val="18"/>
          <w:b w:val="1"/>
          <w:bCs w:val="1"/>
          <w:color w:val="auto"/>
        </w:rPr>
      </w:pPr>
    </w:p>
    <w:p>
      <w:pPr>
        <w:jc w:val="both"/>
        <w:ind w:left="773" w:right="1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We have issued letters of credit as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w:t>
      </w:r>
    </w:p>
    <w:p>
      <w:pPr>
        <w:spacing w:after="0" w:line="150" w:lineRule="exact"/>
        <w:rPr>
          <w:rFonts w:ascii="Arial" w:cs="Arial" w:eastAsia="Arial" w:hAnsi="Arial"/>
          <w:sz w:val="18"/>
          <w:szCs w:val="18"/>
          <w:b w:val="1"/>
          <w:bCs w:val="1"/>
          <w:color w:val="auto"/>
        </w:rPr>
      </w:pPr>
    </w:p>
    <w:p>
      <w:pPr>
        <w:ind w:left="773"/>
        <w:spacing w:after="0"/>
        <w:rPr>
          <w:rFonts w:ascii="Arial" w:cs="Arial" w:eastAsia="Arial" w:hAnsi="Arial"/>
          <w:sz w:val="18"/>
          <w:szCs w:val="18"/>
          <w:b w:val="1"/>
          <w:bCs w:val="1"/>
          <w:color w:val="auto"/>
        </w:rPr>
      </w:pPr>
      <w:r>
        <w:rPr>
          <w:rFonts w:ascii="Arial" w:cs="Arial" w:eastAsia="Arial" w:hAnsi="Arial"/>
          <w:sz w:val="18"/>
          <w:szCs w:val="18"/>
          <w:color w:val="auto"/>
        </w:rPr>
        <w:t>Our outstanding letters of credit at March 31, 2021 and December 31, 2020 consisted of the following:</w:t>
      </w:r>
    </w:p>
    <w:p>
      <w:pPr>
        <w:spacing w:after="0" w:line="216" w:lineRule="exact"/>
        <w:rPr>
          <w:sz w:val="20"/>
          <w:szCs w:val="20"/>
          <w:color w:val="auto"/>
        </w:rPr>
      </w:pPr>
    </w:p>
    <w:tbl>
      <w:tblPr>
        <w:tblLayout w:type="fixed"/>
        <w:tblInd w:w="793" w:type="dxa"/>
        <w:tblCellMar>
          <w:top w:w="0" w:type="dxa"/>
          <w:left w:w="0" w:type="dxa"/>
          <w:bottom w:w="0" w:type="dxa"/>
          <w:right w:w="0" w:type="dxa"/>
        </w:tblCellMar>
      </w:tblPr>
      <w:tr>
        <w:trPr>
          <w:trHeight w:val="213"/>
        </w:trPr>
        <w:tc>
          <w:tcPr>
            <w:tcW w:w="5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5"/>
          </w:tcPr>
          <w:p>
            <w:pPr>
              <w:jc w:val="right"/>
              <w:ind w:right="731"/>
              <w:spacing w:after="0"/>
              <w:rPr>
                <w:sz w:val="20"/>
                <w:szCs w:val="20"/>
                <w:color w:val="auto"/>
              </w:rPr>
            </w:pPr>
            <w:r>
              <w:rPr>
                <w:rFonts w:ascii="Arial" w:cs="Arial" w:eastAsia="Arial" w:hAnsi="Arial"/>
                <w:sz w:val="18"/>
                <w:szCs w:val="18"/>
                <w:b w:val="1"/>
                <w:bCs w:val="1"/>
                <w:color w:val="auto"/>
              </w:rPr>
              <w:t>Letters of Credit</w:t>
            </w:r>
          </w:p>
        </w:tc>
        <w:tc>
          <w:tcPr>
            <w:tcW w:w="0" w:type="dxa"/>
            <w:vAlign w:val="bottom"/>
          </w:tcPr>
          <w:p>
            <w:pPr>
              <w:spacing w:after="0"/>
              <w:rPr>
                <w:sz w:val="1"/>
                <w:szCs w:val="1"/>
                <w:color w:val="auto"/>
              </w:rPr>
            </w:pPr>
          </w:p>
        </w:tc>
      </w:tr>
      <w:tr>
        <w:trPr>
          <w:trHeight w:val="231"/>
        </w:trPr>
        <w:tc>
          <w:tcPr>
            <w:tcW w:w="5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rPr>
              <w:t>L/C</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6"/>
              </w:rPr>
              <w:t>Lease</w:t>
            </w:r>
          </w:p>
        </w:tc>
        <w:tc>
          <w:tcPr>
            <w:tcW w:w="2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jc w:val="right"/>
              <w:ind w:right="571"/>
              <w:spacing w:after="0"/>
              <w:rPr>
                <w:sz w:val="20"/>
                <w:szCs w:val="20"/>
                <w:color w:val="auto"/>
              </w:rPr>
            </w:pPr>
            <w:r>
              <w:rPr>
                <w:rFonts w:ascii="Arial" w:cs="Arial" w:eastAsia="Arial" w:hAnsi="Arial"/>
                <w:sz w:val="18"/>
                <w:szCs w:val="18"/>
                <w:b w:val="1"/>
                <w:bCs w:val="1"/>
                <w:color w:val="auto"/>
              </w:rPr>
              <w:t>Amount Outstanding</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Original L/C</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Expiration</w:t>
            </w:r>
          </w:p>
        </w:tc>
        <w:tc>
          <w:tcPr>
            <w:tcW w:w="1580" w:type="dxa"/>
            <w:vAlign w:val="bottom"/>
            <w:gridSpan w:val="3"/>
          </w:tcPr>
          <w:p>
            <w:pPr>
              <w:jc w:val="center"/>
              <w:ind w:right="231"/>
              <w:spacing w:after="0"/>
              <w:rPr>
                <w:sz w:val="20"/>
                <w:szCs w:val="20"/>
                <w:color w:val="auto"/>
              </w:rPr>
            </w:pPr>
            <w:r>
              <w:rPr>
                <w:rFonts w:ascii="Arial" w:cs="Arial" w:eastAsia="Arial" w:hAnsi="Arial"/>
                <w:sz w:val="18"/>
                <w:szCs w:val="18"/>
                <w:b w:val="1"/>
                <w:bCs w:val="1"/>
                <w:color w:val="auto"/>
                <w:w w:val="93"/>
              </w:rPr>
              <w:t>Expiration</w:t>
            </w: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05"/>
        </w:trPr>
        <w:tc>
          <w:tcPr>
            <w:tcW w:w="342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Facility</w:t>
            </w:r>
          </w:p>
        </w:tc>
        <w:tc>
          <w:tcPr>
            <w:tcW w:w="1400" w:type="dxa"/>
            <w:vAlign w:val="bottom"/>
            <w:gridSpan w:val="2"/>
          </w:tcPr>
          <w:p>
            <w:pPr>
              <w:jc w:val="right"/>
              <w:ind w:right="360"/>
              <w:spacing w:after="0" w:line="205" w:lineRule="exact"/>
              <w:rPr>
                <w:sz w:val="20"/>
                <w:szCs w:val="20"/>
                <w:color w:val="auto"/>
              </w:rPr>
            </w:pPr>
            <w:r>
              <w:rPr>
                <w:rFonts w:ascii="Arial" w:cs="Arial" w:eastAsia="Arial" w:hAnsi="Arial"/>
                <w:sz w:val="18"/>
                <w:szCs w:val="18"/>
                <w:b w:val="1"/>
                <w:bCs w:val="1"/>
                <w:color w:val="auto"/>
              </w:rPr>
              <w:t>Issue Date</w:t>
            </w:r>
          </w:p>
        </w:tc>
        <w:tc>
          <w:tcPr>
            <w:tcW w:w="1380" w:type="dxa"/>
            <w:vAlign w:val="bottom"/>
            <w:gridSpan w:val="2"/>
          </w:tcPr>
          <w:p>
            <w:pPr>
              <w:jc w:val="center"/>
              <w:ind w:right="120"/>
              <w:spacing w:after="0" w:line="205" w:lineRule="exact"/>
              <w:rPr>
                <w:sz w:val="20"/>
                <w:szCs w:val="20"/>
                <w:color w:val="auto"/>
              </w:rPr>
            </w:pPr>
            <w:r>
              <w:rPr>
                <w:rFonts w:ascii="Arial" w:cs="Arial" w:eastAsia="Arial" w:hAnsi="Arial"/>
                <w:sz w:val="18"/>
                <w:szCs w:val="18"/>
                <w:b w:val="1"/>
                <w:bCs w:val="1"/>
                <w:color w:val="auto"/>
                <w:w w:val="87"/>
              </w:rPr>
              <w:t>Date</w:t>
            </w:r>
          </w:p>
        </w:tc>
        <w:tc>
          <w:tcPr>
            <w:tcW w:w="1580" w:type="dxa"/>
            <w:vAlign w:val="bottom"/>
            <w:gridSpan w:val="3"/>
          </w:tcPr>
          <w:p>
            <w:pPr>
              <w:jc w:val="center"/>
              <w:ind w:right="211"/>
              <w:spacing w:after="0" w:line="205" w:lineRule="exact"/>
              <w:rPr>
                <w:sz w:val="20"/>
                <w:szCs w:val="20"/>
                <w:color w:val="auto"/>
              </w:rPr>
            </w:pPr>
            <w:r>
              <w:rPr>
                <w:rFonts w:ascii="Arial" w:cs="Arial" w:eastAsia="Arial" w:hAnsi="Arial"/>
                <w:sz w:val="18"/>
                <w:szCs w:val="18"/>
                <w:b w:val="1"/>
                <w:bCs w:val="1"/>
                <w:color w:val="auto"/>
                <w:w w:val="92"/>
              </w:rPr>
              <w:t>Date</w:t>
            </w:r>
          </w:p>
        </w:tc>
        <w:tc>
          <w:tcPr>
            <w:tcW w:w="1200" w:type="dxa"/>
            <w:vAlign w:val="bottom"/>
          </w:tcPr>
          <w:p>
            <w:pPr>
              <w:jc w:val="right"/>
              <w:ind w:right="431"/>
              <w:spacing w:after="0" w:line="205"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391"/>
              <w:spacing w:after="0" w:line="205"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42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color w:val="auto"/>
              </w:rPr>
              <w:t>Mt. Laurel, NJ</w:t>
            </w:r>
          </w:p>
        </w:tc>
        <w:tc>
          <w:tcPr>
            <w:tcW w:w="140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8"/>
                <w:szCs w:val="18"/>
                <w:color w:val="auto"/>
              </w:rPr>
              <w:t>3/29/2010</w:t>
            </w:r>
          </w:p>
        </w:tc>
        <w:tc>
          <w:tcPr>
            <w:tcW w:w="13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8"/>
                <w:szCs w:val="18"/>
                <w:color w:val="auto"/>
              </w:rPr>
              <w:t>4/30/2022</w:t>
            </w:r>
          </w:p>
        </w:tc>
        <w:tc>
          <w:tcPr>
            <w:tcW w:w="1580" w:type="dxa"/>
            <w:vAlign w:val="bottom"/>
            <w:gridSpan w:val="3"/>
            <w:shd w:val="clear" w:color="auto" w:fill="CCEEFF"/>
          </w:tcPr>
          <w:p>
            <w:pPr>
              <w:jc w:val="right"/>
              <w:ind w:right="11"/>
              <w:spacing w:after="0" w:line="194" w:lineRule="exact"/>
              <w:rPr>
                <w:sz w:val="20"/>
                <w:szCs w:val="20"/>
                <w:color w:val="auto"/>
              </w:rPr>
            </w:pPr>
            <w:r>
              <w:rPr>
                <w:rFonts w:ascii="Arial" w:cs="Arial" w:eastAsia="Arial" w:hAnsi="Arial"/>
                <w:sz w:val="18"/>
                <w:szCs w:val="18"/>
                <w:color w:val="auto"/>
              </w:rPr>
              <w:t>4/30/2031 $</w:t>
            </w:r>
          </w:p>
        </w:tc>
        <w:tc>
          <w:tcPr>
            <w:tcW w:w="13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8"/>
                <w:szCs w:val="18"/>
                <w:color w:val="auto"/>
              </w:rPr>
              <w:t>90</w:t>
            </w:r>
          </w:p>
        </w:tc>
        <w:tc>
          <w:tcPr>
            <w:tcW w:w="2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3"/>
        </w:trPr>
        <w:tc>
          <w:tcPr>
            <w:tcW w:w="3420" w:type="dxa"/>
            <w:vAlign w:val="bottom"/>
            <w:gridSpan w:val="2"/>
          </w:tcPr>
          <w:p>
            <w:pPr>
              <w:spacing w:after="0"/>
              <w:rPr>
                <w:sz w:val="20"/>
                <w:szCs w:val="20"/>
                <w:color w:val="auto"/>
              </w:rPr>
            </w:pPr>
            <w:r>
              <w:rPr>
                <w:rFonts w:ascii="Arial" w:cs="Arial" w:eastAsia="Arial" w:hAnsi="Arial"/>
                <w:sz w:val="18"/>
                <w:szCs w:val="18"/>
                <w:color w:val="auto"/>
              </w:rPr>
              <w:t>Mansfield, MA</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10/27/2010</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12/31/2024</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12/31/2024</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7"/>
        </w:trPr>
        <w:tc>
          <w:tcPr>
            <w:tcW w:w="58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773"/>
        <w:spacing w:after="0"/>
        <w:rPr>
          <w:sz w:val="20"/>
          <w:szCs w:val="20"/>
          <w:color w:val="auto"/>
        </w:rPr>
      </w:pPr>
      <w:r>
        <w:rPr>
          <w:rFonts w:ascii="Arial" w:cs="Arial" w:eastAsia="Arial" w:hAnsi="Arial"/>
          <w:sz w:val="18"/>
          <w:szCs w:val="18"/>
          <w:b w:val="1"/>
          <w:bCs w:val="1"/>
          <w:i w:val="1"/>
          <w:iCs w:val="1"/>
          <w:u w:val="single" w:color="auto"/>
          <w:color w:val="auto"/>
        </w:rPr>
        <w:t>Line of Credit</w:t>
      </w:r>
    </w:p>
    <w:p>
      <w:pPr>
        <w:spacing w:after="0" w:line="220" w:lineRule="exact"/>
        <w:rPr>
          <w:sz w:val="20"/>
          <w:szCs w:val="20"/>
          <w:color w:val="auto"/>
        </w:rPr>
      </w:pPr>
    </w:p>
    <w:p>
      <w:pPr>
        <w:ind w:left="773" w:right="100"/>
        <w:spacing w:after="0" w:line="292" w:lineRule="auto"/>
        <w:rPr>
          <w:sz w:val="20"/>
          <w:szCs w:val="20"/>
          <w:color w:val="auto"/>
        </w:rPr>
      </w:pPr>
      <w:r>
        <w:rPr>
          <w:rFonts w:ascii="Arial" w:cs="Arial" w:eastAsia="Arial" w:hAnsi="Arial"/>
          <w:sz w:val="16"/>
          <w:szCs w:val="16"/>
          <w:color w:val="auto"/>
        </w:rPr>
        <w:t>As discussed more fully in Note 10 to our consolidated financial statements in our 2020 Form 10-K, on April 10, 2020, we entered into a Loan and Security Agreement (the “Agreement”) with M&amp;T Bank (“M&amp;T”). Under the terms of the Agreement, M&amp;T has provided us with a $7,500 revolving credit facility which is guaranteed by our subsidiaries. This facility was put in place to provide us with additional liquidity in response to the current business environment, as a result of the COVID-19 pandemic. This facility, which had no outstanding balance, was set to mature on April 9, 2021. As discussed in Note 14, we modified this facility on April 10, 2021 and extended it as modified through April 9, 2024.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93" w:hanging="793"/>
        <w:spacing w:after="0"/>
        <w:tabs>
          <w:tab w:leader="none" w:pos="793"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3" w:lineRule="exact"/>
        <w:rPr>
          <w:rFonts w:ascii="Arial" w:cs="Arial" w:eastAsia="Arial" w:hAnsi="Arial"/>
          <w:sz w:val="18"/>
          <w:szCs w:val="18"/>
          <w:b w:val="1"/>
          <w:bCs w:val="1"/>
          <w:color w:val="auto"/>
        </w:rPr>
      </w:pPr>
    </w:p>
    <w:p>
      <w:pPr>
        <w:ind w:left="773" w:right="1100"/>
        <w:spacing w:after="0" w:line="333" w:lineRule="auto"/>
        <w:rPr>
          <w:rFonts w:ascii="Arial" w:cs="Arial" w:eastAsia="Arial" w:hAnsi="Arial"/>
          <w:sz w:val="18"/>
          <w:szCs w:val="18"/>
          <w:b w:val="1"/>
          <w:bCs w:val="1"/>
          <w:color w:val="auto"/>
        </w:rPr>
      </w:pPr>
      <w:r>
        <w:rPr>
          <w:rFonts w:ascii="Arial" w:cs="Arial" w:eastAsia="Arial" w:hAnsi="Arial"/>
          <w:sz w:val="16"/>
          <w:szCs w:val="16"/>
          <w:color w:val="auto"/>
        </w:rPr>
        <w:t>As of March 31, 2021, we had unvested restricted stock awards and stock options outstanding which were granted under stock-based compensation plans that are described more fully in Note 13 to the consolidated financial statements in our 2020 Form 10-K.</w:t>
      </w:r>
    </w:p>
    <w:p>
      <w:pPr>
        <w:spacing w:after="0" w:line="129" w:lineRule="exact"/>
        <w:rPr>
          <w:rFonts w:ascii="Arial" w:cs="Arial" w:eastAsia="Arial" w:hAnsi="Arial"/>
          <w:sz w:val="18"/>
          <w:szCs w:val="18"/>
          <w:b w:val="1"/>
          <w:bCs w:val="1"/>
          <w:color w:val="auto"/>
        </w:rPr>
      </w:pPr>
    </w:p>
    <w:p>
      <w:pPr>
        <w:ind w:left="773" w:right="2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unvested restricted stock awards and stock options are accounted for based on their grant date fair value. As of March 31, 2021, total compensation expense to be recognized in future periods is $2,787. The weighted average period over which this expense is expected to be recognized is 2.8 years. The following table shows the allocation of the compensation expense we recorded during the three months ended March 31, 2021 and 2020, respectively, related to stock-based compensation:</w:t>
      </w:r>
    </w:p>
    <w:p>
      <w:pPr>
        <w:spacing w:after="0" w:line="184" w:lineRule="exact"/>
        <w:rPr>
          <w:sz w:val="20"/>
          <w:szCs w:val="20"/>
          <w:color w:val="auto"/>
        </w:rPr>
      </w:pPr>
    </w:p>
    <w:tbl>
      <w:tblPr>
        <w:tblLayout w:type="fixed"/>
        <w:tblInd w:w="793"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780" w:type="dxa"/>
            <w:vAlign w:val="bottom"/>
            <w:gridSpan w:val="4"/>
          </w:tcPr>
          <w:p>
            <w:pPr>
              <w:jc w:val="right"/>
              <w:ind w:right="302"/>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r>
      <w:tr>
        <w:trPr>
          <w:trHeight w:val="230"/>
        </w:trPr>
        <w:tc>
          <w:tcPr>
            <w:tcW w:w="5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22"/>
              <w:spacing w:after="0"/>
              <w:rPr>
                <w:sz w:val="20"/>
                <w:szCs w:val="20"/>
                <w:color w:val="auto"/>
              </w:rPr>
            </w:pPr>
            <w:r>
              <w:rPr>
                <w:rFonts w:ascii="Arial" w:cs="Arial" w:eastAsia="Arial" w:hAnsi="Arial"/>
                <w:sz w:val="18"/>
                <w:szCs w:val="18"/>
                <w:b w:val="1"/>
                <w:bCs w:val="1"/>
                <w:color w:val="auto"/>
              </w:rPr>
              <w:t>March 31,</w:t>
            </w:r>
          </w:p>
        </w:tc>
        <w:tc>
          <w:tcPr>
            <w:tcW w:w="380" w:type="dxa"/>
            <w:vAlign w:val="bottom"/>
            <w:tcBorders>
              <w:bottom w:val="single" w:sz="8" w:color="auto"/>
            </w:tcBorders>
          </w:tcPr>
          <w:p>
            <w:pPr>
              <w:spacing w:after="0"/>
              <w:rPr>
                <w:sz w:val="20"/>
                <w:szCs w:val="20"/>
                <w:color w:val="auto"/>
              </w:rPr>
            </w:pPr>
          </w:p>
        </w:tc>
      </w:tr>
      <w:tr>
        <w:trPr>
          <w:trHeight w:val="208"/>
        </w:trPr>
        <w:tc>
          <w:tcPr>
            <w:tcW w:w="5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8"/>
                <w:szCs w:val="18"/>
                <w:color w:val="auto"/>
              </w:rPr>
            </w:pPr>
          </w:p>
        </w:tc>
      </w:tr>
      <w:tr>
        <w:trPr>
          <w:trHeight w:val="20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080" w:type="dxa"/>
            <w:vAlign w:val="bottom"/>
            <w:gridSpan w:val="2"/>
            <w:shd w:val="clear" w:color="auto" w:fill="CCEEFF"/>
          </w:tcPr>
          <w:p>
            <w:pPr>
              <w:jc w:val="right"/>
              <w:ind w:right="89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22"/>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spacing w:after="0"/>
              <w:rPr>
                <w:sz w:val="17"/>
                <w:szCs w:val="17"/>
                <w:color w:val="auto"/>
              </w:rPr>
            </w:pPr>
          </w:p>
        </w:tc>
      </w:tr>
      <w:tr>
        <w:trPr>
          <w:trHeight w:val="213"/>
        </w:trPr>
        <w:tc>
          <w:tcPr>
            <w:tcW w:w="5360" w:type="dxa"/>
            <w:vAlign w:val="bottom"/>
          </w:tcPr>
          <w:p>
            <w:pPr>
              <w:spacing w:after="0"/>
              <w:rPr>
                <w:sz w:val="20"/>
                <w:szCs w:val="20"/>
                <w:color w:val="auto"/>
              </w:rPr>
            </w:pPr>
            <w:r>
              <w:rPr>
                <w:rFonts w:ascii="Arial" w:cs="Arial" w:eastAsia="Arial" w:hAnsi="Arial"/>
                <w:sz w:val="18"/>
                <w:szCs w:val="18"/>
                <w:color w:val="auto"/>
              </w:rPr>
              <w:t>Selling expense</w:t>
            </w:r>
          </w:p>
        </w:tc>
        <w:tc>
          <w:tcPr>
            <w:tcW w:w="2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3"/>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 expense</w:t>
            </w:r>
          </w:p>
        </w:tc>
        <w:tc>
          <w:tcPr>
            <w:tcW w:w="2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3"/>
        </w:trPr>
        <w:tc>
          <w:tcPr>
            <w:tcW w:w="536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256</w:t>
            </w:r>
          </w:p>
        </w:tc>
        <w:tc>
          <w:tcPr>
            <w:tcW w:w="10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0"/>
        </w:trPr>
        <w:tc>
          <w:tcPr>
            <w:tcW w:w="5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227"/>
        </w:trPr>
        <w:tc>
          <w:tcPr>
            <w:tcW w:w="536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jc w:val="right"/>
              <w:ind w:right="891"/>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1080" w:type="dxa"/>
            <w:vAlign w:val="bottom"/>
            <w:shd w:val="clear" w:color="auto" w:fill="CCEEFF"/>
          </w:tcPr>
          <w:p>
            <w:pPr>
              <w:jc w:val="right"/>
              <w:ind w:right="922"/>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0"/>
        </w:trPr>
        <w:tc>
          <w:tcPr>
            <w:tcW w:w="53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r>
    </w:tbl>
    <w:p>
      <w:pPr>
        <w:spacing w:after="0" w:line="199" w:lineRule="exact"/>
        <w:rPr>
          <w:sz w:val="20"/>
          <w:szCs w:val="20"/>
          <w:color w:val="auto"/>
        </w:rPr>
      </w:pPr>
    </w:p>
    <w:p>
      <w:pPr>
        <w:ind w:left="773"/>
        <w:spacing w:after="0"/>
        <w:rPr>
          <w:sz w:val="20"/>
          <w:szCs w:val="20"/>
          <w:color w:val="auto"/>
        </w:rPr>
      </w:pPr>
      <w:r>
        <w:rPr>
          <w:rFonts w:ascii="Arial" w:cs="Arial" w:eastAsia="Arial" w:hAnsi="Arial"/>
          <w:sz w:val="18"/>
          <w:szCs w:val="18"/>
          <w:color w:val="auto"/>
        </w:rPr>
        <w:t>There was no stock-based compensation expense capitalized in the three months ended March 31, 2021 or 2020.</w:t>
      </w:r>
    </w:p>
    <w:p>
      <w:pPr>
        <w:spacing w:after="0" w:line="220" w:lineRule="exact"/>
        <w:rPr>
          <w:sz w:val="20"/>
          <w:szCs w:val="20"/>
          <w:color w:val="auto"/>
        </w:rPr>
      </w:pPr>
    </w:p>
    <w:p>
      <w:pPr>
        <w:ind w:left="5473"/>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33"/>
          </w:cols>
          <w:pgMar w:left="327" w:top="579" w:right="239" w:bottom="691" w:gutter="0" w:footer="0" w:header="0"/>
        </w:sectPr>
      </w:pPr>
    </w:p>
    <w:bookmarkStart w:id="19" w:name="page20"/>
    <w:bookmarkEnd w:id="19"/>
    <w:p>
      <w:pPr>
        <w:ind w:left="78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0" w:lineRule="exact"/>
        <w:rPr>
          <w:sz w:val="20"/>
          <w:szCs w:val="20"/>
          <w:color w:val="auto"/>
        </w:rPr>
      </w:pPr>
    </w:p>
    <w:p>
      <w:pPr>
        <w:jc w:val="both"/>
        <w:ind w:left="780" w:right="540"/>
        <w:spacing w:after="0" w:line="306" w:lineRule="auto"/>
        <w:rPr>
          <w:sz w:val="20"/>
          <w:szCs w:val="20"/>
          <w:color w:val="auto"/>
        </w:rPr>
      </w:pPr>
      <w:r>
        <w:rPr>
          <w:rFonts w:ascii="Arial" w:cs="Arial" w:eastAsia="Arial" w:hAnsi="Arial"/>
          <w:sz w:val="16"/>
          <w:szCs w:val="16"/>
          <w:color w:val="auto"/>
        </w:rP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March 31, June 30, September 30, and December 31 of the year in which they were granted).</w:t>
      </w:r>
    </w:p>
    <w:p>
      <w:pPr>
        <w:spacing w:after="0" w:line="150" w:lineRule="exact"/>
        <w:rPr>
          <w:sz w:val="20"/>
          <w:szCs w:val="20"/>
          <w:color w:val="auto"/>
        </w:rPr>
      </w:pPr>
    </w:p>
    <w:p>
      <w:pPr>
        <w:ind w:left="780" w:right="100"/>
        <w:spacing w:after="0" w:line="286" w:lineRule="auto"/>
        <w:rPr>
          <w:sz w:val="20"/>
          <w:szCs w:val="20"/>
          <w:color w:val="auto"/>
        </w:rPr>
      </w:pPr>
      <w:r>
        <w:rPr>
          <w:rFonts w:ascii="Arial" w:cs="Arial" w:eastAsia="Arial" w:hAnsi="Arial"/>
          <w:sz w:val="16"/>
          <w:szCs w:val="16"/>
          <w:color w:val="auto"/>
        </w:rPr>
        <w:t>On August 24, 2020, our new President and CEO received two restricted stock awards totaling 141,610 shares valued at $650 as of the date of grant, which was also his hire date. Of the total shares awarded, 66,448 shares vest over 4 years (25% at each anniversary) and 75,162 vest on the third anniversary of the grant date at a vesting percentage that could range from 0% to 150% of the number of shares awarded on August 24, 2020. The final vesting percentage will be based on the achievement of certain performance metrics, including net revenue compound annual growth rate and diluted earnings per share excluding amortization of intangibles, for specified time periods as determined by the Compensation Committee of our Board of Directors. As of March 31, 2021, we have estimated that these shares will vest at 100% of the original amount awarded and are recording expense based on this estimate on a straight-line basis over the three-year vesting period. Our estimate of the final expected vesting percentage is reassessed and adjusted, as needed, at the end of each reporting period.</w:t>
      </w:r>
    </w:p>
    <w:p>
      <w:pPr>
        <w:spacing w:after="0" w:line="167" w:lineRule="exact"/>
        <w:rPr>
          <w:sz w:val="20"/>
          <w:szCs w:val="20"/>
          <w:color w:val="auto"/>
        </w:rPr>
      </w:pPr>
    </w:p>
    <w:p>
      <w:pPr>
        <w:ind w:left="780" w:right="120"/>
        <w:spacing w:after="0" w:line="337" w:lineRule="auto"/>
        <w:rPr>
          <w:sz w:val="20"/>
          <w:szCs w:val="20"/>
          <w:color w:val="auto"/>
        </w:rPr>
      </w:pPr>
      <w:r>
        <w:rPr>
          <w:rFonts w:ascii="Arial" w:cs="Arial" w:eastAsia="Arial" w:hAnsi="Arial"/>
          <w:sz w:val="14"/>
          <w:szCs w:val="14"/>
          <w:color w:val="auto"/>
        </w:rPr>
        <w:t>On March 10, 2021 we issued restricted stock awards totaling 18,000 shares to members of the senior management within our operating segments. These shares will vest on the third anniversary of the grant date at a vesting percentage that could range from 0% to 150% of the number of shares awarded on March 10, 2021. The final vesting percentage will be based on the achievement of certain performance metrics related to the operating results of the business units for which these members of management are responsible. As of March 31, 2021, we have estimated that these shares will vest at 100% of the original amount awarded and are recording expense based on this estimate on a straight-line basis over the three-year vesting period. Our estimate of the final expected vesting percentage is reassessed and adjusted, as needed, at the end of each reporting period.</w:t>
      </w:r>
    </w:p>
    <w:p>
      <w:pPr>
        <w:spacing w:after="0" w:line="13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following table summarizes the activity related to unvested shares of restricted stock for the three months ended March 31, 2021:</w:t>
      </w:r>
    </w:p>
    <w:p>
      <w:pPr>
        <w:spacing w:after="0" w:line="227"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91"/>
              <w:spacing w:after="0"/>
              <w:rPr>
                <w:sz w:val="20"/>
                <w:szCs w:val="20"/>
                <w:color w:val="auto"/>
              </w:rPr>
            </w:pPr>
            <w:r>
              <w:rPr>
                <w:rFonts w:ascii="Arial" w:cs="Arial" w:eastAsia="Arial" w:hAnsi="Arial"/>
                <w:sz w:val="18"/>
                <w:szCs w:val="18"/>
                <w:b w:val="1"/>
                <w:bCs w:val="1"/>
                <w:color w:val="auto"/>
                <w:w w:val="88"/>
              </w:rPr>
              <w:t>Weighted</w:t>
            </w:r>
          </w:p>
        </w:tc>
      </w:tr>
      <w:tr>
        <w:trPr>
          <w:trHeight w:val="213"/>
        </w:trPr>
        <w:tc>
          <w:tcPr>
            <w:tcW w:w="7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71"/>
              <w:spacing w:after="0"/>
              <w:rPr>
                <w:sz w:val="20"/>
                <w:szCs w:val="20"/>
                <w:color w:val="auto"/>
              </w:rPr>
            </w:pPr>
            <w:r>
              <w:rPr>
                <w:rFonts w:ascii="Arial" w:cs="Arial" w:eastAsia="Arial" w:hAnsi="Arial"/>
                <w:sz w:val="18"/>
                <w:szCs w:val="18"/>
                <w:b w:val="1"/>
                <w:bCs w:val="1"/>
                <w:color w:val="auto"/>
                <w:w w:val="87"/>
              </w:rPr>
              <w:t>Average</w:t>
            </w:r>
          </w:p>
        </w:tc>
      </w:tr>
      <w:tr>
        <w:trPr>
          <w:trHeight w:val="213"/>
        </w:trPr>
        <w:tc>
          <w:tcPr>
            <w:tcW w:w="7380" w:type="dxa"/>
            <w:vAlign w:val="bottom"/>
          </w:tcPr>
          <w:p>
            <w:pPr>
              <w:spacing w:after="0"/>
              <w:rPr>
                <w:sz w:val="18"/>
                <w:szCs w:val="18"/>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1260" w:type="dxa"/>
            <w:vAlign w:val="bottom"/>
          </w:tcPr>
          <w:p>
            <w:pPr>
              <w:jc w:val="center"/>
              <w:ind w:right="71"/>
              <w:spacing w:after="0"/>
              <w:rPr>
                <w:sz w:val="20"/>
                <w:szCs w:val="20"/>
                <w:color w:val="auto"/>
              </w:rPr>
            </w:pPr>
            <w:r>
              <w:rPr>
                <w:rFonts w:ascii="Arial" w:cs="Arial" w:eastAsia="Arial" w:hAnsi="Arial"/>
                <w:sz w:val="18"/>
                <w:szCs w:val="18"/>
                <w:b w:val="1"/>
                <w:bCs w:val="1"/>
                <w:color w:val="auto"/>
                <w:w w:val="93"/>
              </w:rPr>
              <w:t>Grant Date</w:t>
            </w:r>
          </w:p>
        </w:tc>
      </w:tr>
      <w:tr>
        <w:trPr>
          <w:trHeight w:val="231"/>
        </w:trPr>
        <w:tc>
          <w:tcPr>
            <w:tcW w:w="7380" w:type="dxa"/>
            <w:vAlign w:val="bottom"/>
          </w:tcPr>
          <w:p>
            <w:pPr>
              <w:spacing w:after="0"/>
              <w:rPr>
                <w:sz w:val="20"/>
                <w:szCs w:val="20"/>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of Shares</w:t>
            </w:r>
          </w:p>
        </w:tc>
        <w:tc>
          <w:tcPr>
            <w:tcW w:w="200" w:type="dxa"/>
            <w:vAlign w:val="bottom"/>
          </w:tcPr>
          <w:p>
            <w:pPr>
              <w:spacing w:after="0"/>
              <w:rPr>
                <w:sz w:val="20"/>
                <w:szCs w:val="20"/>
                <w:color w:val="auto"/>
              </w:rPr>
            </w:pPr>
          </w:p>
        </w:tc>
        <w:tc>
          <w:tcPr>
            <w:tcW w:w="1260" w:type="dxa"/>
            <w:vAlign w:val="bottom"/>
          </w:tcPr>
          <w:p>
            <w:pPr>
              <w:jc w:val="center"/>
              <w:ind w:right="91"/>
              <w:spacing w:after="0"/>
              <w:rPr>
                <w:sz w:val="20"/>
                <w:szCs w:val="20"/>
                <w:color w:val="auto"/>
              </w:rPr>
            </w:pPr>
            <w:r>
              <w:rPr>
                <w:rFonts w:ascii="Arial" w:cs="Arial" w:eastAsia="Arial" w:hAnsi="Arial"/>
                <w:sz w:val="18"/>
                <w:szCs w:val="18"/>
                <w:b w:val="1"/>
                <w:bCs w:val="1"/>
                <w:color w:val="auto"/>
                <w:w w:val="92"/>
              </w:rPr>
              <w:t>Fair Value</w:t>
            </w:r>
          </w:p>
        </w:tc>
      </w:tr>
      <w:tr>
        <w:trPr>
          <w:trHeight w:val="208"/>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January 1, 2021</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237,155</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13"/>
        </w:trPr>
        <w:tc>
          <w:tcPr>
            <w:tcW w:w="73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81,468</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10.62</w:t>
            </w:r>
          </w:p>
        </w:tc>
      </w:tr>
      <w:tr>
        <w:trPr>
          <w:trHeight w:val="213"/>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(22,200)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13"/>
        </w:trPr>
        <w:tc>
          <w:tcPr>
            <w:tcW w:w="73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7"/>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 outstanding, March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296,423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r>
    </w:tbl>
    <w:p>
      <w:pPr>
        <w:spacing w:after="0" w:line="199" w:lineRule="exact"/>
        <w:rPr>
          <w:sz w:val="20"/>
          <w:szCs w:val="20"/>
          <w:color w:val="auto"/>
        </w:rPr>
      </w:pPr>
    </w:p>
    <w:p>
      <w:pPr>
        <w:ind w:left="780" w:right="300"/>
        <w:spacing w:after="0" w:line="270" w:lineRule="auto"/>
        <w:rPr>
          <w:sz w:val="20"/>
          <w:szCs w:val="20"/>
          <w:color w:val="auto"/>
        </w:rPr>
      </w:pPr>
      <w:r>
        <w:rPr>
          <w:rFonts w:ascii="Arial" w:cs="Arial" w:eastAsia="Arial" w:hAnsi="Arial"/>
          <w:sz w:val="18"/>
          <w:szCs w:val="18"/>
          <w:color w:val="auto"/>
        </w:rPr>
        <w:t>The total fair value of the shares that vested during the three months ended March 31, 2021 and 2020 was $244 and $155, respectively, as of the vesting dates of these shares.</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0" w:lineRule="exact"/>
        <w:rPr>
          <w:sz w:val="20"/>
          <w:szCs w:val="20"/>
          <w:color w:val="auto"/>
        </w:rPr>
      </w:pPr>
    </w:p>
    <w:p>
      <w:pPr>
        <w:ind w:left="780" w:right="340"/>
        <w:spacing w:after="0" w:line="258" w:lineRule="auto"/>
        <w:rPr>
          <w:sz w:val="20"/>
          <w:szCs w:val="20"/>
          <w:color w:val="auto"/>
        </w:rPr>
      </w:pPr>
      <w:r>
        <w:rPr>
          <w:rFonts w:ascii="Arial" w:cs="Arial" w:eastAsia="Arial" w:hAnsi="Arial"/>
          <w:sz w:val="18"/>
          <w:szCs w:val="18"/>
          <w:color w:val="auto"/>
        </w:rPr>
        <w:t>We record compensation expense for stock options based on the fair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8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fair value for stock options granted during the three months ended March 31, 2021 and 2020 was estimated at the date of grant using the</w:t>
      </w:r>
    </w:p>
    <w:p>
      <w:pPr>
        <w:spacing w:after="0" w:line="4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Black-Scholes option pricing model with the following weighted average assumptions: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08"/>
        </w:trPr>
        <w:tc>
          <w:tcPr>
            <w:tcW w:w="80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0.48</w:t>
            </w:r>
          </w:p>
        </w:tc>
      </w:tr>
      <w:tr>
        <w:trPr>
          <w:trHeight w:val="213"/>
        </w:trPr>
        <w:tc>
          <w:tcPr>
            <w:tcW w:w="80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0.00</w:t>
            </w:r>
          </w:p>
        </w:tc>
      </w:tr>
      <w:tr>
        <w:trPr>
          <w:trHeight w:val="213"/>
        </w:trPr>
        <w:tc>
          <w:tcPr>
            <w:tcW w:w="80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26"/>
        </w:trPr>
        <w:tc>
          <w:tcPr>
            <w:tcW w:w="800" w:type="dxa"/>
            <w:vAlign w:val="bottom"/>
          </w:tcPr>
          <w:p>
            <w:pPr>
              <w:spacing w:after="0"/>
              <w:rPr>
                <w:sz w:val="19"/>
                <w:szCs w:val="19"/>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6.25</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6.25</w:t>
            </w:r>
          </w:p>
        </w:tc>
      </w:tr>
      <w:tr>
        <w:trPr>
          <w:trHeight w:val="413"/>
        </w:trPr>
        <w:tc>
          <w:tcPr>
            <w:tcW w:w="800" w:type="dxa"/>
            <w:vAlign w:val="bottom"/>
          </w:tcPr>
          <w:p>
            <w:pPr>
              <w:spacing w:after="0"/>
              <w:rPr>
                <w:sz w:val="24"/>
                <w:szCs w:val="24"/>
                <w:color w:val="auto"/>
              </w:rPr>
            </w:pPr>
          </w:p>
        </w:tc>
        <w:tc>
          <w:tcPr>
            <w:tcW w:w="7320" w:type="dxa"/>
            <w:vAlign w:val="bottom"/>
          </w:tcPr>
          <w:p>
            <w:pPr>
              <w:ind w:left="4680"/>
              <w:spacing w:after="0"/>
              <w:rPr>
                <w:sz w:val="20"/>
                <w:szCs w:val="20"/>
                <w:color w:val="auto"/>
              </w:rPr>
            </w:pPr>
            <w:r>
              <w:rPr>
                <w:rFonts w:ascii="Arial" w:cs="Arial" w:eastAsia="Arial" w:hAnsi="Arial"/>
                <w:sz w:val="18"/>
                <w:szCs w:val="18"/>
                <w:color w:val="auto"/>
              </w:rPr>
              <w:t>-18-</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9"/>
                <w:szCs w:val="9"/>
                <w:color w:val="auto"/>
              </w:rPr>
            </w:pPr>
          </w:p>
        </w:tc>
        <w:tc>
          <w:tcPr>
            <w:tcW w:w="7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r>
    </w:tbl>
    <w:p>
      <w:pPr>
        <w:sectPr>
          <w:pgSz w:w="11900" w:h="16838" w:orient="portrait"/>
          <w:cols w:equalWidth="0" w:num="1">
            <w:col w:w="11340"/>
          </w:cols>
          <w:pgMar w:left="320" w:top="579" w:right="239" w:bottom="1440" w:gutter="0" w:footer="0" w:header="0"/>
        </w:sectPr>
      </w:pPr>
    </w:p>
    <w:bookmarkStart w:id="20" w:name="page21"/>
    <w:bookmarkEnd w:id="20"/>
    <w:p>
      <w:pPr>
        <w:ind w:left="773" w:right="260"/>
        <w:spacing w:after="0" w:line="270" w:lineRule="auto"/>
        <w:rPr>
          <w:sz w:val="20"/>
          <w:szCs w:val="20"/>
          <w:color w:val="auto"/>
        </w:rPr>
      </w:pPr>
      <w:r>
        <w:rPr>
          <w:rFonts w:ascii="Arial" w:cs="Arial" w:eastAsia="Arial" w:hAnsi="Arial"/>
          <w:sz w:val="18"/>
          <w:szCs w:val="18"/>
          <w:color w:val="auto"/>
        </w:rPr>
        <w:t>The per share weighted average fair value of stock options issued during the three months ended March 31, 2021 and 2020 was $5.09 and $1.55, respectively.</w:t>
      </w:r>
    </w:p>
    <w:p>
      <w:pPr>
        <w:spacing w:after="0" w:line="175" w:lineRule="exact"/>
        <w:rPr>
          <w:sz w:val="20"/>
          <w:szCs w:val="20"/>
          <w:color w:val="auto"/>
        </w:rPr>
      </w:pPr>
    </w:p>
    <w:p>
      <w:pPr>
        <w:ind w:left="773"/>
        <w:spacing w:after="0"/>
        <w:rPr>
          <w:sz w:val="20"/>
          <w:szCs w:val="20"/>
          <w:color w:val="auto"/>
        </w:rPr>
      </w:pPr>
      <w:r>
        <w:rPr>
          <w:rFonts w:ascii="Arial" w:cs="Arial" w:eastAsia="Arial" w:hAnsi="Arial"/>
          <w:sz w:val="18"/>
          <w:szCs w:val="18"/>
          <w:color w:val="auto"/>
        </w:rPr>
        <w:t>The following table summarizes the activity related to stock options for the three months ended March 31, 2021:</w:t>
      </w:r>
    </w:p>
    <w:p>
      <w:pPr>
        <w:sectPr>
          <w:pgSz w:w="11900" w:h="16838" w:orient="portrait"/>
          <w:cols w:equalWidth="0" w:num="1">
            <w:col w:w="11333"/>
          </w:cols>
          <w:pgMar w:left="327" w:top="5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93"/>
        <w:spacing w:after="0"/>
        <w:rPr>
          <w:sz w:val="20"/>
          <w:szCs w:val="20"/>
          <w:color w:val="auto"/>
        </w:rPr>
      </w:pPr>
      <w:r>
        <w:rPr>
          <w:rFonts w:ascii="Arial" w:cs="Arial" w:eastAsia="Arial" w:hAnsi="Arial"/>
          <w:sz w:val="14"/>
          <w:szCs w:val="14"/>
          <w:color w:val="auto"/>
        </w:rPr>
        <w:t>Options outstanding, January 1, 2021 (204,630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-92710</wp:posOffset>
            </wp:positionV>
            <wp:extent cx="6688455" cy="135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88455" cy="135255"/>
                    </a:xfrm>
                    <a:prstGeom prst="rect">
                      <a:avLst/>
                    </a:prstGeom>
                    <a:noFill/>
                  </pic:spPr>
                </pic:pic>
              </a:graphicData>
            </a:graphic>
          </wp:anchor>
        </w:drawing>
      </w:r>
    </w:p>
    <w:p>
      <w:pPr>
        <w:spacing w:after="0" w:line="45" w:lineRule="exact"/>
        <w:rPr>
          <w:sz w:val="20"/>
          <w:szCs w:val="20"/>
          <w:color w:val="auto"/>
        </w:rPr>
      </w:pPr>
    </w:p>
    <w:p>
      <w:pPr>
        <w:ind w:left="953"/>
        <w:spacing w:after="0"/>
        <w:rPr>
          <w:sz w:val="20"/>
          <w:szCs w:val="20"/>
          <w:color w:val="auto"/>
        </w:rPr>
      </w:pPr>
      <w:r>
        <w:rPr>
          <w:rFonts w:ascii="Arial" w:cs="Arial" w:eastAsia="Arial" w:hAnsi="Arial"/>
          <w:sz w:val="18"/>
          <w:szCs w:val="18"/>
          <w:color w:val="auto"/>
        </w:rPr>
        <w:t>Granted</w:t>
      </w:r>
    </w:p>
    <w:p>
      <w:pPr>
        <w:spacing w:after="0" w:line="6" w:lineRule="exact"/>
        <w:rPr>
          <w:sz w:val="20"/>
          <w:szCs w:val="20"/>
          <w:color w:val="auto"/>
        </w:rPr>
      </w:pPr>
    </w:p>
    <w:p>
      <w:pPr>
        <w:ind w:left="953"/>
        <w:spacing w:after="0"/>
        <w:rPr>
          <w:sz w:val="20"/>
          <w:szCs w:val="20"/>
          <w:color w:val="auto"/>
        </w:rPr>
      </w:pPr>
      <w:r>
        <w:rPr>
          <w:rFonts w:ascii="Arial" w:cs="Arial" w:eastAsia="Arial" w:hAnsi="Arial"/>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-130175</wp:posOffset>
            </wp:positionV>
            <wp:extent cx="6688455" cy="135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88455" cy="135255"/>
                    </a:xfrm>
                    <a:prstGeom prst="rect">
                      <a:avLst/>
                    </a:prstGeom>
                    <a:noFill/>
                  </pic:spPr>
                </pic:pic>
              </a:graphicData>
            </a:graphic>
          </wp:anchor>
        </w:drawing>
      </w:r>
    </w:p>
    <w:p>
      <w:pPr>
        <w:ind w:left="953"/>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13335</wp:posOffset>
            </wp:positionV>
            <wp:extent cx="6688455" cy="161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88455" cy="161290"/>
                    </a:xfrm>
                    <a:prstGeom prst="rect">
                      <a:avLst/>
                    </a:prstGeom>
                    <a:noFill/>
                  </pic:spPr>
                </pic:pic>
              </a:graphicData>
            </a:graphic>
          </wp:anchor>
        </w:drawing>
      </w:r>
    </w:p>
    <w:p>
      <w:pPr>
        <w:spacing w:after="0" w:line="27" w:lineRule="exact"/>
        <w:rPr>
          <w:sz w:val="20"/>
          <w:szCs w:val="20"/>
          <w:color w:val="auto"/>
        </w:rPr>
      </w:pPr>
    </w:p>
    <w:p>
      <w:pPr>
        <w:jc w:val="right"/>
        <w:ind w:right="2420"/>
        <w:spacing w:after="0"/>
        <w:rPr>
          <w:sz w:val="20"/>
          <w:szCs w:val="20"/>
          <w:color w:val="auto"/>
        </w:rPr>
      </w:pPr>
      <w:r>
        <w:rPr>
          <w:rFonts w:ascii="Arial" w:cs="Arial" w:eastAsia="Arial" w:hAnsi="Arial"/>
          <w:sz w:val="16"/>
          <w:szCs w:val="16"/>
          <w:color w:val="auto"/>
        </w:rPr>
        <w:t>Options outstanding, March 31, 2021 (144,265 exercisable)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93" w:hanging="793"/>
        <w:spacing w:after="0"/>
        <w:tabs>
          <w:tab w:leader="none" w:pos="793"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 PLAN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91"/>
              <w:spacing w:after="0"/>
              <w:rPr>
                <w:sz w:val="20"/>
                <w:szCs w:val="20"/>
                <w:color w:val="auto"/>
              </w:rPr>
            </w:pPr>
            <w:r>
              <w:rPr>
                <w:rFonts w:ascii="Arial" w:cs="Arial" w:eastAsia="Arial" w:hAnsi="Arial"/>
                <w:sz w:val="18"/>
                <w:szCs w:val="18"/>
                <w:b w:val="1"/>
                <w:bCs w:val="1"/>
                <w:color w:val="auto"/>
                <w:w w:val="88"/>
              </w:rPr>
              <w:t>Weighted</w:t>
            </w:r>
          </w:p>
        </w:tc>
      </w:tr>
      <w:tr>
        <w:trPr>
          <w:trHeight w:val="213"/>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71"/>
              <w:spacing w:after="0"/>
              <w:rPr>
                <w:sz w:val="20"/>
                <w:szCs w:val="20"/>
                <w:color w:val="auto"/>
              </w:rPr>
            </w:pPr>
            <w:r>
              <w:rPr>
                <w:rFonts w:ascii="Arial" w:cs="Arial" w:eastAsia="Arial" w:hAnsi="Arial"/>
                <w:sz w:val="18"/>
                <w:szCs w:val="18"/>
                <w:b w:val="1"/>
                <w:bCs w:val="1"/>
                <w:color w:val="auto"/>
                <w:w w:val="87"/>
              </w:rPr>
              <w:t>Average</w:t>
            </w:r>
          </w:p>
        </w:tc>
      </w:tr>
      <w:tr>
        <w:trPr>
          <w:trHeight w:val="213"/>
        </w:trPr>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18"/>
                <w:szCs w:val="18"/>
                <w:color w:val="auto"/>
              </w:rPr>
            </w:pPr>
          </w:p>
        </w:tc>
        <w:tc>
          <w:tcPr>
            <w:tcW w:w="1260" w:type="dxa"/>
            <w:vAlign w:val="bottom"/>
          </w:tcPr>
          <w:p>
            <w:pPr>
              <w:jc w:val="center"/>
              <w:ind w:right="71"/>
              <w:spacing w:after="0"/>
              <w:rPr>
                <w:sz w:val="20"/>
                <w:szCs w:val="20"/>
                <w:color w:val="auto"/>
              </w:rPr>
            </w:pPr>
            <w:r>
              <w:rPr>
                <w:rFonts w:ascii="Arial" w:cs="Arial" w:eastAsia="Arial" w:hAnsi="Arial"/>
                <w:sz w:val="18"/>
                <w:szCs w:val="18"/>
                <w:b w:val="1"/>
                <w:bCs w:val="1"/>
                <w:color w:val="auto"/>
                <w:w w:val="93"/>
              </w:rPr>
              <w:t>Grant Date</w:t>
            </w:r>
          </w:p>
        </w:tc>
      </w:tr>
      <w:tr>
        <w:trPr>
          <w:trHeight w:val="231"/>
        </w:trPr>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Shares</w:t>
            </w:r>
          </w:p>
        </w:tc>
        <w:tc>
          <w:tcPr>
            <w:tcW w:w="200" w:type="dxa"/>
            <w:vAlign w:val="bottom"/>
          </w:tcPr>
          <w:p>
            <w:pPr>
              <w:spacing w:after="0"/>
              <w:rPr>
                <w:sz w:val="20"/>
                <w:szCs w:val="20"/>
                <w:color w:val="auto"/>
              </w:rPr>
            </w:pPr>
          </w:p>
        </w:tc>
        <w:tc>
          <w:tcPr>
            <w:tcW w:w="1260" w:type="dxa"/>
            <w:vAlign w:val="bottom"/>
          </w:tcPr>
          <w:p>
            <w:pPr>
              <w:jc w:val="center"/>
              <w:ind w:right="91"/>
              <w:spacing w:after="0"/>
              <w:rPr>
                <w:sz w:val="20"/>
                <w:szCs w:val="20"/>
                <w:color w:val="auto"/>
              </w:rPr>
            </w:pPr>
            <w:r>
              <w:rPr>
                <w:rFonts w:ascii="Arial" w:cs="Arial" w:eastAsia="Arial" w:hAnsi="Arial"/>
                <w:sz w:val="18"/>
                <w:szCs w:val="18"/>
                <w:b w:val="1"/>
                <w:bCs w:val="1"/>
                <w:color w:val="auto"/>
                <w:w w:val="92"/>
              </w:rPr>
              <w:t>Fair Value</w:t>
            </w:r>
          </w:p>
        </w:tc>
      </w:tr>
      <w:tr>
        <w:trPr>
          <w:trHeight w:val="193"/>
        </w:trPr>
        <w:tc>
          <w:tcPr>
            <w:tcW w:w="14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438,200</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6.25</w:t>
            </w:r>
          </w:p>
        </w:tc>
      </w:tr>
      <w:tr>
        <w:trPr>
          <w:trHeight w:val="213"/>
        </w:trPr>
        <w:tc>
          <w:tcPr>
            <w:tcW w:w="1480" w:type="dxa"/>
            <w:vAlign w:val="bottom"/>
          </w:tcPr>
          <w:p>
            <w:pPr>
              <w:jc w:val="right"/>
              <w:spacing w:after="0"/>
              <w:rPr>
                <w:sz w:val="20"/>
                <w:szCs w:val="20"/>
                <w:color w:val="auto"/>
              </w:rPr>
            </w:pPr>
            <w:r>
              <w:rPr>
                <w:rFonts w:ascii="Arial" w:cs="Arial" w:eastAsia="Arial" w:hAnsi="Arial"/>
                <w:sz w:val="18"/>
                <w:szCs w:val="18"/>
                <w:color w:val="auto"/>
              </w:rPr>
              <w:t>164,800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10.62</w:t>
            </w:r>
          </w:p>
        </w:tc>
      </w:tr>
      <w:tr>
        <w:trPr>
          <w:trHeight w:val="213"/>
        </w:trPr>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(99,740)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2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8"/>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503,260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055" w:lineRule="exact"/>
        <w:rPr>
          <w:sz w:val="20"/>
          <w:szCs w:val="20"/>
          <w:color w:val="auto"/>
        </w:rPr>
      </w:pPr>
    </w:p>
    <w:p>
      <w:pPr>
        <w:sectPr>
          <w:pgSz w:w="11900" w:h="16838" w:orient="portrait"/>
          <w:cols w:equalWidth="0" w:num="2">
            <w:col w:w="7453" w:space="720"/>
            <w:col w:w="3160"/>
          </w:cols>
          <w:pgMar w:left="327" w:top="579" w:right="239" w:bottom="1440" w:gutter="0" w:footer="0" w:header="0"/>
          <w:type w:val="continuous"/>
        </w:sectPr>
      </w:pPr>
    </w:p>
    <w:p>
      <w:pPr>
        <w:spacing w:after="0" w:line="24" w:lineRule="exact"/>
        <w:rPr>
          <w:sz w:val="20"/>
          <w:szCs w:val="20"/>
          <w:color w:val="auto"/>
        </w:rPr>
      </w:pPr>
    </w:p>
    <w:p>
      <w:pPr>
        <w:ind w:left="793" w:right="100"/>
        <w:spacing w:after="0" w:line="280" w:lineRule="auto"/>
        <w:rPr>
          <w:sz w:val="20"/>
          <w:szCs w:val="20"/>
          <w:color w:val="auto"/>
        </w:rPr>
      </w:pPr>
      <w:r>
        <w:rPr>
          <w:rFonts w:ascii="Arial" w:cs="Arial" w:eastAsia="Arial" w:hAnsi="Arial"/>
          <w:sz w:val="16"/>
          <w:szCs w:val="16"/>
          <w:color w:val="auto"/>
        </w:rPr>
        <w:t>On July 31, 2019, our Board of Directors authorized the repurchase of up to $3,000 of our common stock from time to time on the open market, in compliance with Rule 10b-18 under the Securities Exchange Act of 1934, as amended (the “Exchange Act”), or in privately negotiated transactions pursuant to a newly authorized stock repurchase plan (the “2019 Repurchase Plan”). Repurchases may be made under a Rule 10b5-1 plan entered into with RW Baird &amp; Co., which would permit shares to be repurchased when we might otherwise be precluded from doing so under insider trading laws and our internal trading windows. The 2019 Repurchase Plan does not obligate us to purchase any particular amount of common stock and may be suspended or discontinued at any time without prior notice. The 2019 Repurchase Plan is funded using our operating cash flow or available cash. Purchases began on September 18, 2019 under this plan. On March 2, 2020, we suspended repurchases under the</w:t>
      </w:r>
    </w:p>
    <w:p>
      <w:pPr>
        <w:spacing w:after="0" w:line="5" w:lineRule="exact"/>
        <w:rPr>
          <w:sz w:val="20"/>
          <w:szCs w:val="20"/>
          <w:color w:val="auto"/>
        </w:rPr>
      </w:pPr>
    </w:p>
    <w:p>
      <w:pPr>
        <w:ind w:left="793" w:right="120"/>
        <w:spacing w:after="0" w:line="255" w:lineRule="auto"/>
        <w:rPr>
          <w:sz w:val="20"/>
          <w:szCs w:val="20"/>
          <w:color w:val="auto"/>
        </w:rPr>
      </w:pPr>
      <w:r>
        <w:rPr>
          <w:rFonts w:ascii="Arial" w:cs="Arial" w:eastAsia="Arial" w:hAnsi="Arial"/>
          <w:sz w:val="18"/>
          <w:szCs w:val="18"/>
          <w:color w:val="auto"/>
        </w:rPr>
        <w:t>2019 Repurchase Plan. For the term of the 2019 Repurchase Plan through March 31, 2021, we have repurchased a total of 243,075 shares at a cost of $1,216, which includes fees paid to our broker of $6. All of the repurchased shares were retired.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93" w:hanging="793"/>
        <w:spacing w:after="0"/>
        <w:tabs>
          <w:tab w:leader="none" w:pos="793"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3" w:lineRule="exact"/>
        <w:rPr>
          <w:rFonts w:ascii="Arial" w:cs="Arial" w:eastAsia="Arial" w:hAnsi="Arial"/>
          <w:sz w:val="18"/>
          <w:szCs w:val="18"/>
          <w:b w:val="1"/>
          <w:bCs w:val="1"/>
          <w:color w:val="auto"/>
        </w:rPr>
      </w:pPr>
    </w:p>
    <w:p>
      <w:pPr>
        <w:ind w:left="773" w:right="1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We have defined contribution 401(k) plans for our employees who work in the U.S. All permanent employees of inTEST Corporation, inTEST EMS LLC, Temptronic Corporation and inTEST Silicon Valley Corporation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three months ended March 31, 2021 and 2020, expense under the plan was $171 and $165, respectively.</w:t>
      </w:r>
    </w:p>
    <w:p>
      <w:pPr>
        <w:spacing w:after="0" w:line="177" w:lineRule="exact"/>
        <w:rPr>
          <w:rFonts w:ascii="Arial" w:cs="Arial" w:eastAsia="Arial" w:hAnsi="Arial"/>
          <w:sz w:val="18"/>
          <w:szCs w:val="18"/>
          <w:b w:val="1"/>
          <w:bCs w:val="1"/>
          <w:color w:val="auto"/>
        </w:rPr>
      </w:pPr>
    </w:p>
    <w:p>
      <w:pPr>
        <w:ind w:left="773" w:right="2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All permanent employees of Ambrell are immediately eligible to participate in the Ambrell Corporation Savings &amp; Profit Sharing Plan (the "Ambrell Plan") upon employment and are eligible for employer matching contributions after completing six months of service, as defined in the Ambrell Plan. The Ambrell Plan allows eligible employees to make voluntary contributions up to 100% of compensation, up to the federal government contribution limits. We will make a matching contribution of 50% of each employee's contributions up to a maximum of 10% of the employee's deferral with a maximum limit of $5. For the three months ended March 31, 2021 and 2020, expense under the plan was $43 and $17, respectively.</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53" w:lineRule="exact"/>
        <w:rPr>
          <w:rFonts w:ascii="Arial" w:cs="Arial" w:eastAsia="Arial" w:hAnsi="Arial"/>
          <w:sz w:val="18"/>
          <w:szCs w:val="18"/>
          <w:b w:val="1"/>
          <w:bCs w:val="1"/>
          <w:color w:val="auto"/>
        </w:rPr>
      </w:pPr>
    </w:p>
    <w:p>
      <w:pPr>
        <w:ind w:left="793" w:hanging="793"/>
        <w:spacing w:after="0"/>
        <w:tabs>
          <w:tab w:leader="none" w:pos="793"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3" w:lineRule="exact"/>
        <w:rPr>
          <w:rFonts w:ascii="Arial" w:cs="Arial" w:eastAsia="Arial" w:hAnsi="Arial"/>
          <w:sz w:val="18"/>
          <w:szCs w:val="18"/>
          <w:b w:val="1"/>
          <w:bCs w:val="1"/>
          <w:color w:val="auto"/>
        </w:rPr>
      </w:pPr>
    </w:p>
    <w:p>
      <w:pPr>
        <w:ind w:left="773" w:right="26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We have two reportable segments, Thermal and EMS, which are also our reporting units. Thermal includes the operations of Temptronic, Thermonics, Sigma, inTEST Thermal Solutions GmbH (Germany), inTEST Pte, Limited (Singapore) and Ambrell. Sales of this segment consist primarily of temperature management systems which we design, manufacture and market under our Temptronic, Thermonics and Sigma product lines, and precision induction heating systems which are designed, manufactured and marketed by Ambrell. In addition, this segment provides post-warranty service and support. EMS includes the operations of our manufacturing facilities in Mt. Laurel, New Jersey and, prior to the consolidation of manufacturing operations late in the fourth quarter of 2020, Fremont, California. Sales of this segment consist primarily of manipulator, docking hardware and tester interface products, which we design, manufacture and market.</w:t>
      </w:r>
    </w:p>
    <w:p>
      <w:pPr>
        <w:spacing w:after="0" w:line="180" w:lineRule="exact"/>
        <w:rPr>
          <w:sz w:val="20"/>
          <w:szCs w:val="20"/>
          <w:color w:val="auto"/>
        </w:rPr>
      </w:pPr>
    </w:p>
    <w:p>
      <w:pPr>
        <w:jc w:val="center"/>
        <w:ind w:right="87"/>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33"/>
          </w:cols>
          <w:pgMar w:left="327" w:top="579" w:right="239" w:bottom="1440" w:gutter="0" w:footer="0" w:header="0"/>
          <w:type w:val="continuous"/>
        </w:sectPr>
      </w:pPr>
    </w:p>
    <w:bookmarkStart w:id="21" w:name="page22"/>
    <w:bookmarkEnd w:id="21"/>
    <w:p>
      <w:pPr>
        <w:jc w:val="both"/>
        <w:ind w:left="780" w:right="540"/>
        <w:spacing w:after="0" w:line="306" w:lineRule="auto"/>
        <w:rPr>
          <w:sz w:val="20"/>
          <w:szCs w:val="20"/>
          <w:color w:val="auto"/>
        </w:rPr>
      </w:pPr>
      <w:r>
        <w:rPr>
          <w:rFonts w:ascii="Arial" w:cs="Arial" w:eastAsia="Arial" w:hAnsi="Arial"/>
          <w:sz w:val="16"/>
          <w:szCs w:val="16"/>
          <w:color w:val="auto"/>
        </w:rPr>
        <w:t>We operate our business worldwide and sell our products both domestically and internationally. Both of our segments sell to semiconductor manufacturers, third-party test and assembly houses and ATE manufacturers. Thermal also sells into a variety of markets outside of the Semi Market, including the automotive, defense/aerospace, medical, industrial, telecommunications and other markets.</w:t>
      </w:r>
    </w:p>
    <w:p>
      <w:pPr>
        <w:spacing w:after="0" w:line="146"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640" w:type="dxa"/>
            <w:vAlign w:val="bottom"/>
            <w:gridSpan w:val="4"/>
          </w:tcPr>
          <w:p>
            <w:pPr>
              <w:jc w:val="right"/>
              <w:ind w:right="185"/>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r>
      <w:tr>
        <w:trPr>
          <w:trHeight w:val="230"/>
        </w:trPr>
        <w:tc>
          <w:tcPr>
            <w:tcW w:w="74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05"/>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r>
      <w:tr>
        <w:trPr>
          <w:trHeight w:val="208"/>
        </w:trPr>
        <w:tc>
          <w:tcPr>
            <w:tcW w:w="74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r>
      <w:tr>
        <w:trPr>
          <w:trHeight w:val="207"/>
        </w:trPr>
        <w:tc>
          <w:tcPr>
            <w:tcW w:w="7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3"/>
        </w:trPr>
        <w:tc>
          <w:tcPr>
            <w:tcW w:w="7400" w:type="dxa"/>
            <w:vAlign w:val="bottom"/>
          </w:tcPr>
          <w:p>
            <w:pPr>
              <w:spacing w:after="0"/>
              <w:rPr>
                <w:sz w:val="20"/>
                <w:szCs w:val="20"/>
                <w:color w:val="auto"/>
              </w:rPr>
            </w:pPr>
            <w:r>
              <w:rPr>
                <w:rFonts w:ascii="Arial" w:cs="Arial" w:eastAsia="Arial" w:hAnsi="Arial"/>
                <w:sz w:val="18"/>
                <w:szCs w:val="18"/>
                <w:color w:val="auto"/>
              </w:rPr>
              <w:t>Thermal</w:t>
            </w:r>
          </w:p>
        </w:tc>
        <w:tc>
          <w:tcPr>
            <w:tcW w:w="940" w:type="dxa"/>
            <w:vAlign w:val="bottom"/>
          </w:tcPr>
          <w:p>
            <w:pPr>
              <w:jc w:val="right"/>
              <w:ind w:right="82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11,055</w:t>
            </w:r>
          </w:p>
        </w:tc>
        <w:tc>
          <w:tcPr>
            <w:tcW w:w="220" w:type="dxa"/>
            <w:vAlign w:val="bottom"/>
          </w:tcPr>
          <w:p>
            <w:pPr>
              <w:spacing w:after="0"/>
              <w:rPr>
                <w:sz w:val="18"/>
                <w:szCs w:val="18"/>
                <w:color w:val="auto"/>
              </w:rPr>
            </w:pPr>
          </w:p>
        </w:tc>
        <w:tc>
          <w:tcPr>
            <w:tcW w:w="960" w:type="dxa"/>
            <w:vAlign w:val="bottom"/>
          </w:tcPr>
          <w:p>
            <w:pPr>
              <w:jc w:val="right"/>
              <w:ind w:right="805"/>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9,334</w:t>
            </w:r>
          </w:p>
        </w:tc>
      </w:tr>
      <w:tr>
        <w:trPr>
          <w:trHeight w:val="213"/>
        </w:trPr>
        <w:tc>
          <w:tcPr>
            <w:tcW w:w="74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EMS</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r>
      <w:tr>
        <w:trPr>
          <w:trHeight w:val="207"/>
        </w:trPr>
        <w:tc>
          <w:tcPr>
            <w:tcW w:w="7400" w:type="dxa"/>
            <w:vAlign w:val="bottom"/>
          </w:tcPr>
          <w:p>
            <w:pPr>
              <w:spacing w:after="0"/>
              <w:rPr>
                <w:sz w:val="17"/>
                <w:szCs w:val="17"/>
                <w:color w:val="auto"/>
              </w:rPr>
            </w:pPr>
          </w:p>
        </w:tc>
        <w:tc>
          <w:tcPr>
            <w:tcW w:w="940" w:type="dxa"/>
            <w:vAlign w:val="bottom"/>
          </w:tcPr>
          <w:p>
            <w:pPr>
              <w:jc w:val="right"/>
              <w:ind w:right="82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19,556</w:t>
            </w:r>
          </w:p>
        </w:tc>
        <w:tc>
          <w:tcPr>
            <w:tcW w:w="960" w:type="dxa"/>
            <w:vAlign w:val="bottom"/>
          </w:tcPr>
          <w:p>
            <w:pPr>
              <w:jc w:val="right"/>
              <w:ind w:right="805"/>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11,230</w:t>
            </w:r>
          </w:p>
        </w:tc>
      </w:tr>
      <w:tr>
        <w:trPr>
          <w:trHeight w:val="20"/>
        </w:trPr>
        <w:tc>
          <w:tcPr>
            <w:tcW w:w="7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194"/>
        </w:trPr>
        <w:tc>
          <w:tcPr>
            <w:tcW w:w="7400" w:type="dxa"/>
            <w:vAlign w:val="bottom"/>
            <w:tcBorders>
              <w:right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i w:val="1"/>
                <w:iCs w:val="1"/>
                <w:color w:val="auto"/>
              </w:rPr>
              <w:t>Earnings (loss) before income tax expense (benefit):</w:t>
            </w:r>
          </w:p>
        </w:tc>
        <w:tc>
          <w:tcPr>
            <w:tcW w:w="9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213"/>
        </w:trPr>
        <w:tc>
          <w:tcPr>
            <w:tcW w:w="7400" w:type="dxa"/>
            <w:vAlign w:val="bottom"/>
          </w:tcPr>
          <w:p>
            <w:pPr>
              <w:spacing w:after="0"/>
              <w:rPr>
                <w:sz w:val="20"/>
                <w:szCs w:val="20"/>
                <w:color w:val="auto"/>
              </w:rPr>
            </w:pPr>
            <w:r>
              <w:rPr>
                <w:rFonts w:ascii="Arial" w:cs="Arial" w:eastAsia="Arial" w:hAnsi="Arial"/>
                <w:sz w:val="18"/>
                <w:szCs w:val="18"/>
                <w:color w:val="auto"/>
              </w:rPr>
              <w:t>Thermal</w:t>
            </w:r>
          </w:p>
        </w:tc>
        <w:tc>
          <w:tcPr>
            <w:tcW w:w="940" w:type="dxa"/>
            <w:vAlign w:val="bottom"/>
          </w:tcPr>
          <w:p>
            <w:pPr>
              <w:jc w:val="right"/>
              <w:ind w:right="82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960" w:type="dxa"/>
            <w:vAlign w:val="bottom"/>
          </w:tcPr>
          <w:p>
            <w:pPr>
              <w:jc w:val="right"/>
              <w:ind w:right="805"/>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13"/>
        </w:trPr>
        <w:tc>
          <w:tcPr>
            <w:tcW w:w="7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EMS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(1,004</w:t>
            </w:r>
          </w:p>
        </w:tc>
      </w:tr>
      <w:tr>
        <w:trPr>
          <w:trHeight w:val="213"/>
        </w:trPr>
        <w:tc>
          <w:tcPr>
            <w:tcW w:w="7400" w:type="dxa"/>
            <w:vAlign w:val="bottom"/>
          </w:tcPr>
          <w:p>
            <w:pPr>
              <w:spacing w:after="0"/>
              <w:rPr>
                <w:sz w:val="20"/>
                <w:szCs w:val="20"/>
                <w:color w:val="auto"/>
              </w:rPr>
            </w:pPr>
            <w:r>
              <w:rPr>
                <w:rFonts w:ascii="Arial" w:cs="Arial" w:eastAsia="Arial" w:hAnsi="Arial"/>
                <w:sz w:val="18"/>
                <w:szCs w:val="18"/>
                <w:color w:val="auto"/>
              </w:rPr>
              <w:t>Corporate</w:t>
            </w:r>
          </w:p>
        </w:tc>
        <w:tc>
          <w:tcPr>
            <w:tcW w:w="9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7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47"/>
        </w:trPr>
        <w:tc>
          <w:tcPr>
            <w:tcW w:w="7400" w:type="dxa"/>
            <w:vAlign w:val="bottom"/>
            <w:tcBorders>
              <w:right w:val="single" w:sz="8" w:color="CCEEFF"/>
            </w:tcBorders>
            <w:shd w:val="clear" w:color="auto" w:fill="CCEEFF"/>
          </w:tcPr>
          <w:p>
            <w:pPr>
              <w:spacing w:after="0"/>
              <w:rPr>
                <w:sz w:val="21"/>
                <w:szCs w:val="21"/>
                <w:color w:val="auto"/>
              </w:rPr>
            </w:pPr>
          </w:p>
        </w:tc>
        <w:tc>
          <w:tcPr>
            <w:tcW w:w="940" w:type="dxa"/>
            <w:vAlign w:val="bottom"/>
            <w:shd w:val="clear" w:color="auto" w:fill="CCEEFF"/>
          </w:tcPr>
          <w:p>
            <w:pPr>
              <w:jc w:val="right"/>
              <w:ind w:right="82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05"/>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(1,393</w:t>
            </w:r>
          </w:p>
        </w:tc>
      </w:tr>
      <w:tr>
        <w:trPr>
          <w:trHeight w:val="194"/>
        </w:trPr>
        <w:tc>
          <w:tcPr>
            <w:tcW w:w="7400" w:type="dxa"/>
            <w:vAlign w:val="bottom"/>
            <w:tcBorders>
              <w:top w:val="single" w:sz="8" w:color="CCEEFF"/>
            </w:tcBorders>
          </w:tcPr>
          <w:p>
            <w:pPr>
              <w:spacing w:after="0" w:line="194" w:lineRule="exact"/>
              <w:rPr>
                <w:sz w:val="20"/>
                <w:szCs w:val="20"/>
                <w:color w:val="auto"/>
              </w:rPr>
            </w:pPr>
            <w:r>
              <w:rPr>
                <w:rFonts w:ascii="Arial" w:cs="Arial" w:eastAsia="Arial" w:hAnsi="Arial"/>
                <w:sz w:val="18"/>
                <w:szCs w:val="18"/>
                <w:b w:val="1"/>
                <w:bCs w:val="1"/>
                <w:i w:val="1"/>
                <w:iCs w:val="1"/>
                <w:color w:val="auto"/>
              </w:rPr>
              <w:t>Net earnings (loss):</w:t>
            </w:r>
          </w:p>
        </w:tc>
        <w:tc>
          <w:tcPr>
            <w:tcW w:w="9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r>
      <w:tr>
        <w:trPr>
          <w:trHeight w:val="213"/>
        </w:trPr>
        <w:tc>
          <w:tcPr>
            <w:tcW w:w="7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Thermal</w:t>
            </w:r>
          </w:p>
        </w:tc>
        <w:tc>
          <w:tcPr>
            <w:tcW w:w="940" w:type="dxa"/>
            <w:vAlign w:val="bottom"/>
            <w:shd w:val="clear" w:color="auto" w:fill="CCEEFF"/>
          </w:tcPr>
          <w:p>
            <w:pPr>
              <w:jc w:val="right"/>
              <w:ind w:right="82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5"/>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13"/>
        </w:trPr>
        <w:tc>
          <w:tcPr>
            <w:tcW w:w="7400" w:type="dxa"/>
            <w:vAlign w:val="bottom"/>
          </w:tcPr>
          <w:p>
            <w:pPr>
              <w:spacing w:after="0"/>
              <w:rPr>
                <w:sz w:val="20"/>
                <w:szCs w:val="20"/>
                <w:color w:val="auto"/>
              </w:rPr>
            </w:pPr>
            <w:r>
              <w:rPr>
                <w:rFonts w:ascii="Arial" w:cs="Arial" w:eastAsia="Arial" w:hAnsi="Arial"/>
                <w:sz w:val="18"/>
                <w:szCs w:val="18"/>
                <w:color w:val="auto"/>
              </w:rPr>
              <w:t>EMS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2,248</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13"/>
        </w:trPr>
        <w:tc>
          <w:tcPr>
            <w:tcW w:w="7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40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07"/>
        </w:trPr>
        <w:tc>
          <w:tcPr>
            <w:tcW w:w="7400" w:type="dxa"/>
            <w:vAlign w:val="bottom"/>
          </w:tcPr>
          <w:p>
            <w:pPr>
              <w:spacing w:after="0"/>
              <w:rPr>
                <w:sz w:val="17"/>
                <w:szCs w:val="17"/>
                <w:color w:val="auto"/>
              </w:rPr>
            </w:pPr>
          </w:p>
        </w:tc>
        <w:tc>
          <w:tcPr>
            <w:tcW w:w="940" w:type="dxa"/>
            <w:vAlign w:val="bottom"/>
            <w:tcBorders>
              <w:bottom w:val="single" w:sz="8" w:color="auto"/>
            </w:tcBorders>
          </w:tcPr>
          <w:p>
            <w:pPr>
              <w:jc w:val="right"/>
              <w:ind w:right="82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w:t>
            </w:r>
          </w:p>
        </w:tc>
        <w:tc>
          <w:tcPr>
            <w:tcW w:w="220" w:type="dxa"/>
            <w:vAlign w:val="bottom"/>
          </w:tcPr>
          <w:p>
            <w:pPr>
              <w:spacing w:after="0"/>
              <w:rPr>
                <w:sz w:val="17"/>
                <w:szCs w:val="17"/>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(1,143</w:t>
            </w:r>
          </w:p>
        </w:tc>
      </w:tr>
      <w:tr>
        <w:trPr>
          <w:trHeight w:val="20"/>
        </w:trPr>
        <w:tc>
          <w:tcPr>
            <w:tcW w:w="7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43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r>
      <w:tr>
        <w:trPr>
          <w:trHeight w:val="208"/>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Thermal</w:t>
            </w:r>
          </w:p>
        </w:tc>
        <w:tc>
          <w:tcPr>
            <w:tcW w:w="3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52,096</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50,782</w:t>
            </w: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13,671</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w:t>
            </w: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Corporate</w:t>
            </w:r>
          </w:p>
        </w:tc>
        <w:tc>
          <w:tcPr>
            <w:tcW w:w="3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r>
      <w:tr>
        <w:trPr>
          <w:trHeight w:val="227"/>
        </w:trPr>
        <w:tc>
          <w:tcPr>
            <w:tcW w:w="438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67,126</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62,030</w:t>
            </w:r>
          </w:p>
        </w:tc>
      </w:tr>
      <w:tr>
        <w:trPr>
          <w:trHeight w:val="20"/>
        </w:trPr>
        <w:tc>
          <w:tcPr>
            <w:tcW w:w="438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199" w:lineRule="exact"/>
        <w:rPr>
          <w:sz w:val="20"/>
          <w:szCs w:val="20"/>
          <w:color w:val="auto"/>
        </w:rPr>
      </w:pPr>
    </w:p>
    <w:p>
      <w:pPr>
        <w:ind w:left="780" w:right="500"/>
        <w:spacing w:after="0" w:line="270"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71"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40" w:type="dxa"/>
            <w:vAlign w:val="bottom"/>
            <w:gridSpan w:val="4"/>
          </w:tcPr>
          <w:p>
            <w:pPr>
              <w:jc w:val="right"/>
              <w:ind w:right="182"/>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r>
      <w:tr>
        <w:trPr>
          <w:trHeight w:val="230"/>
        </w:trPr>
        <w:tc>
          <w:tcPr>
            <w:tcW w:w="7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r>
      <w:tr>
        <w:trPr>
          <w:trHeight w:val="208"/>
        </w:trPr>
        <w:tc>
          <w:tcPr>
            <w:tcW w:w="7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r>
      <w:tr>
        <w:trPr>
          <w:trHeight w:val="207"/>
        </w:trPr>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3"/>
        </w:trPr>
        <w:tc>
          <w:tcPr>
            <w:tcW w:w="738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gridSpan w:val="2"/>
          </w:tcPr>
          <w:p>
            <w:pPr>
              <w:jc w:val="right"/>
              <w:ind w:right="791"/>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5,747</w:t>
            </w:r>
          </w:p>
        </w:tc>
        <w:tc>
          <w:tcPr>
            <w:tcW w:w="220" w:type="dxa"/>
            <w:vAlign w:val="bottom"/>
          </w:tcPr>
          <w:p>
            <w:pPr>
              <w:spacing w:after="0"/>
              <w:rPr>
                <w:sz w:val="18"/>
                <w:szCs w:val="18"/>
                <w:color w:val="auto"/>
              </w:rPr>
            </w:pPr>
          </w:p>
        </w:tc>
        <w:tc>
          <w:tcPr>
            <w:tcW w:w="960" w:type="dxa"/>
            <w:vAlign w:val="bottom"/>
          </w:tcPr>
          <w:p>
            <w:pPr>
              <w:jc w:val="right"/>
              <w:ind w:right="802"/>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5,719</w:t>
            </w:r>
          </w:p>
        </w:tc>
      </w:tr>
      <w:tr>
        <w:trPr>
          <w:trHeight w:val="213"/>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13,809</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w:t>
            </w:r>
          </w:p>
        </w:tc>
      </w:tr>
      <w:tr>
        <w:trPr>
          <w:trHeight w:val="207"/>
        </w:trPr>
        <w:tc>
          <w:tcPr>
            <w:tcW w:w="7380" w:type="dxa"/>
            <w:vAlign w:val="bottom"/>
          </w:tcPr>
          <w:p>
            <w:pPr>
              <w:spacing w:after="0"/>
              <w:rPr>
                <w:sz w:val="17"/>
                <w:szCs w:val="17"/>
                <w:color w:val="auto"/>
              </w:rPr>
            </w:pPr>
          </w:p>
        </w:tc>
        <w:tc>
          <w:tcPr>
            <w:tcW w:w="960" w:type="dxa"/>
            <w:vAlign w:val="bottom"/>
            <w:tcBorders>
              <w:bottom w:val="single" w:sz="8" w:color="auto"/>
            </w:tcBorders>
            <w:gridSpan w:val="2"/>
          </w:tcPr>
          <w:p>
            <w:pPr>
              <w:jc w:val="right"/>
              <w:ind w:right="791"/>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19,556</w:t>
            </w:r>
          </w:p>
        </w:tc>
        <w:tc>
          <w:tcPr>
            <w:tcW w:w="220" w:type="dxa"/>
            <w:vAlign w:val="bottom"/>
          </w:tcPr>
          <w:p>
            <w:pPr>
              <w:spacing w:after="0"/>
              <w:rPr>
                <w:sz w:val="17"/>
                <w:szCs w:val="17"/>
                <w:color w:val="auto"/>
              </w:rPr>
            </w:pPr>
          </w:p>
        </w:tc>
        <w:tc>
          <w:tcPr>
            <w:tcW w:w="96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11,230</w:t>
            </w:r>
          </w:p>
        </w:tc>
      </w:tr>
      <w:tr>
        <w:trPr>
          <w:trHeight w:val="20"/>
        </w:trPr>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7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r>
      <w:tr>
        <w:trPr>
          <w:trHeight w:val="208"/>
        </w:trPr>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7380" w:type="dxa"/>
            <w:vAlign w:val="bottom"/>
          </w:tcPr>
          <w:p>
            <w:pPr>
              <w:spacing w:after="0"/>
              <w:rPr>
                <w:sz w:val="20"/>
                <w:szCs w:val="20"/>
                <w:color w:val="auto"/>
              </w:rPr>
            </w:pPr>
            <w:r>
              <w:rPr>
                <w:rFonts w:ascii="Arial" w:cs="Arial" w:eastAsia="Arial" w:hAnsi="Arial"/>
                <w:sz w:val="18"/>
                <w:szCs w:val="18"/>
                <w:color w:val="auto"/>
              </w:rPr>
              <w:t>U.S.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2,245</w:t>
            </w:r>
          </w:p>
        </w:tc>
        <w:tc>
          <w:tcPr>
            <w:tcW w:w="2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2,053</w:t>
            </w:r>
          </w:p>
        </w:tc>
      </w:tr>
      <w:tr>
        <w:trPr>
          <w:trHeight w:val="21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07"/>
        </w:trPr>
        <w:tc>
          <w:tcPr>
            <w:tcW w:w="73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2,538</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w:t>
            </w: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0" w:hanging="793"/>
        <w:spacing w:after="0"/>
        <w:tabs>
          <w:tab w:leader="none" w:pos="8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3" w:lineRule="exact"/>
        <w:rPr>
          <w:rFonts w:ascii="Arial" w:cs="Arial" w:eastAsia="Arial" w:hAnsi="Arial"/>
          <w:sz w:val="18"/>
          <w:szCs w:val="18"/>
          <w:b w:val="1"/>
          <w:bCs w:val="1"/>
          <w:color w:val="auto"/>
        </w:rPr>
      </w:pPr>
    </w:p>
    <w:p>
      <w:pPr>
        <w:ind w:left="80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April 10, 2021, we amended our Agreement with M&amp;T, with the execution of the Second Amendment to the Agreement (the “Second Amendment”). Under the terms of the Second Amendment, the maximum amount available under the revolving credit facility was increased from $7,500 to $10,000, and an unused facility fee of fifteen basis points per annum was added. This facility was amended to provide us with additional liquidity to operate our business, if needed. This facility will mature on April 9, 2024.</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40"/>
          </w:cols>
          <w:pgMar w:left="320" w:top="579" w:right="239" w:bottom="1440" w:gutter="0" w:footer="0" w:header="0"/>
        </w:sectPr>
      </w:pPr>
    </w:p>
    <w:bookmarkStart w:id="22" w:name="page23"/>
    <w:bookmarkEnd w:id="22"/>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24" w:lineRule="exact"/>
        <w:rPr>
          <w:sz w:val="20"/>
          <w:szCs w:val="20"/>
          <w:color w:val="auto"/>
        </w:rPr>
      </w:pPr>
    </w:p>
    <w:p>
      <w:pPr>
        <w:ind w:left="780"/>
        <w:spacing w:after="0" w:line="285" w:lineRule="auto"/>
        <w:rPr>
          <w:sz w:val="20"/>
          <w:szCs w:val="20"/>
          <w:color w:val="auto"/>
        </w:rPr>
      </w:pPr>
      <w:r>
        <w:rPr>
          <w:rFonts w:ascii="Arial" w:cs="Arial" w:eastAsia="Arial" w:hAnsi="Arial"/>
          <w:sz w:val="16"/>
          <w:szCs w:val="16"/>
          <w:color w:val="auto"/>
        </w:rPr>
        <w:t>In addition to historical information, this Quarterly Report on Form 10-Q for the period ended March 31, 2021 (this “Report”), including this management’s discussion and analysis (“MD&amp;A”), contains statements that are considered "forward-looking statements" within the meaning of the Private Securities Litigation Reform Act of 1995, as amended. These statements do not convey historical information but relate to predicted or potential future events and financial results, such as statements of our plans, strategies and intentions, or our future performance or goals that are based upon management's current expectations. Our forward-looking statements can often be identified by the use of forward-looking terminology such as "believes," "expects," "intends," "may," “could,” "will," "should," "plans," “projects,” “forecasts,” “seeks,” “anticipates,” “goal,” “objective,” “target,” “future,” “outlook,” “vision,” or variations of such words or similar terminology. Investors and prospective investors are cautioned that such forward-looking statements are only projections based on current estimations. These statements involve risks and uncertainties and are based upon various assumptions. Such risks and uncertainties include, but are not limited to:</w:t>
      </w:r>
    </w:p>
    <w:p>
      <w:pPr>
        <w:spacing w:after="0" w:line="168" w:lineRule="exact"/>
        <w:rPr>
          <w:sz w:val="20"/>
          <w:szCs w:val="20"/>
          <w:color w:val="auto"/>
        </w:rPr>
      </w:pPr>
    </w:p>
    <w:p>
      <w:pPr>
        <w:ind w:left="1440" w:hanging="312"/>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COVID-19 on our business, liquidity, financial condition and results of operations;</w:t>
      </w:r>
    </w:p>
    <w:p>
      <w:pPr>
        <w:spacing w:after="0" w:line="33" w:lineRule="exact"/>
        <w:rPr>
          <w:rFonts w:ascii="Arial" w:cs="Arial" w:eastAsia="Arial" w:hAnsi="Arial"/>
          <w:sz w:val="18"/>
          <w:szCs w:val="18"/>
          <w:color w:val="auto"/>
        </w:rPr>
      </w:pPr>
    </w:p>
    <w:p>
      <w:pPr>
        <w:ind w:left="1440" w:hanging="312"/>
        <w:spacing w:after="0" w:line="255" w:lineRule="auto"/>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consolidate our EMS manufacturing operations without any impact on customer shipments, quality or the level of our warranty claims and to realize the benefits of the consolidation;</w:t>
      </w:r>
    </w:p>
    <w:p>
      <w:pPr>
        <w:ind w:left="1440" w:hanging="312"/>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indications of a change in the market cycles in the Semi Market or other markets we serve;</w:t>
      </w:r>
    </w:p>
    <w:p>
      <w:pPr>
        <w:spacing w:after="0" w:line="20" w:lineRule="exact"/>
        <w:rPr>
          <w:rFonts w:ascii="Arial" w:cs="Arial" w:eastAsia="Arial" w:hAnsi="Arial"/>
          <w:sz w:val="18"/>
          <w:szCs w:val="18"/>
          <w:color w:val="auto"/>
        </w:rPr>
      </w:pPr>
    </w:p>
    <w:p>
      <w:pPr>
        <w:ind w:left="1440" w:hanging="312"/>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and trends in the Semi Market, including changes in the demand for semiconductors;</w:t>
      </w:r>
    </w:p>
    <w:p>
      <w:pPr>
        <w:spacing w:after="0" w:line="33" w:lineRule="exact"/>
        <w:rPr>
          <w:rFonts w:ascii="Arial" w:cs="Arial" w:eastAsia="Arial" w:hAnsi="Arial"/>
          <w:sz w:val="18"/>
          <w:szCs w:val="18"/>
          <w:color w:val="auto"/>
        </w:rPr>
      </w:pPr>
    </w:p>
    <w:p>
      <w:pPr>
        <w:ind w:left="1440" w:hanging="312"/>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loss of any one or more of our largest customers, or a reduction in orders by a major customer;</w:t>
      </w:r>
    </w:p>
    <w:p>
      <w:pPr>
        <w:spacing w:after="0" w:line="33" w:lineRule="exact"/>
        <w:rPr>
          <w:rFonts w:ascii="Arial" w:cs="Arial" w:eastAsia="Arial" w:hAnsi="Arial"/>
          <w:sz w:val="18"/>
          <w:szCs w:val="18"/>
          <w:color w:val="auto"/>
        </w:rPr>
      </w:pPr>
    </w:p>
    <w:p>
      <w:pPr>
        <w:ind w:left="1440" w:hanging="312"/>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rate of, and timing of, capital expenditures by our customers;</w:t>
      </w:r>
    </w:p>
    <w:p>
      <w:pPr>
        <w:spacing w:after="0" w:line="33" w:lineRule="exact"/>
        <w:rPr>
          <w:rFonts w:ascii="Arial" w:cs="Arial" w:eastAsia="Arial" w:hAnsi="Arial"/>
          <w:sz w:val="18"/>
          <w:szCs w:val="18"/>
          <w:color w:val="auto"/>
        </w:rPr>
      </w:pPr>
    </w:p>
    <w:p>
      <w:pPr>
        <w:ind w:left="1440" w:hanging="312"/>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materials used to manufacture our products;</w:t>
      </w:r>
    </w:p>
    <w:p>
      <w:pPr>
        <w:spacing w:after="0" w:line="33" w:lineRule="exact"/>
        <w:rPr>
          <w:rFonts w:ascii="Arial" w:cs="Arial" w:eastAsia="Arial" w:hAnsi="Arial"/>
          <w:sz w:val="18"/>
          <w:szCs w:val="18"/>
          <w:color w:val="auto"/>
        </w:rPr>
      </w:pPr>
    </w:p>
    <w:p>
      <w:pPr>
        <w:ind w:left="1440" w:hanging="312"/>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interruptions in our supply chain caused by external factors;</w:t>
      </w:r>
    </w:p>
    <w:p>
      <w:pPr>
        <w:spacing w:after="0" w:line="33" w:lineRule="exact"/>
        <w:rPr>
          <w:rFonts w:ascii="Arial" w:cs="Arial" w:eastAsia="Arial" w:hAnsi="Arial"/>
          <w:sz w:val="18"/>
          <w:szCs w:val="18"/>
          <w:color w:val="auto"/>
        </w:rPr>
      </w:pPr>
    </w:p>
    <w:p>
      <w:pPr>
        <w:ind w:left="1440" w:hanging="312"/>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sufficiency of cash balances, lines of credit and net cash from operations;</w:t>
      </w:r>
    </w:p>
    <w:p>
      <w:pPr>
        <w:spacing w:after="0" w:line="33" w:lineRule="exact"/>
        <w:rPr>
          <w:rFonts w:ascii="Arial" w:cs="Arial" w:eastAsia="Arial" w:hAnsi="Arial"/>
          <w:sz w:val="18"/>
          <w:szCs w:val="18"/>
          <w:color w:val="auto"/>
        </w:rPr>
      </w:pPr>
    </w:p>
    <w:p>
      <w:pPr>
        <w:ind w:left="1440" w:hanging="312"/>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 price fluctuations;</w:t>
      </w:r>
    </w:p>
    <w:p>
      <w:pPr>
        <w:spacing w:after="0" w:line="33" w:lineRule="exact"/>
        <w:rPr>
          <w:rFonts w:ascii="Arial" w:cs="Arial" w:eastAsia="Arial" w:hAnsi="Arial"/>
          <w:sz w:val="18"/>
          <w:szCs w:val="18"/>
          <w:color w:val="auto"/>
        </w:rPr>
      </w:pPr>
    </w:p>
    <w:p>
      <w:pPr>
        <w:ind w:left="1440" w:hanging="312"/>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possibility of future acquisitions or dispositions and the successful integration of any acquired operations;</w:t>
      </w:r>
    </w:p>
    <w:p>
      <w:pPr>
        <w:spacing w:after="0" w:line="33" w:lineRule="exact"/>
        <w:rPr>
          <w:rFonts w:ascii="Arial" w:cs="Arial" w:eastAsia="Arial" w:hAnsi="Arial"/>
          <w:sz w:val="18"/>
          <w:szCs w:val="18"/>
          <w:color w:val="auto"/>
        </w:rPr>
      </w:pPr>
    </w:p>
    <w:p>
      <w:pPr>
        <w:ind w:left="1440" w:hanging="312"/>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borrow funds or raise capital to finance major potential acquisitions;</w:t>
      </w:r>
    </w:p>
    <w:p>
      <w:pPr>
        <w:spacing w:after="0" w:line="33" w:lineRule="exact"/>
        <w:rPr>
          <w:rFonts w:ascii="Arial" w:cs="Arial" w:eastAsia="Arial" w:hAnsi="Arial"/>
          <w:sz w:val="18"/>
          <w:szCs w:val="18"/>
          <w:color w:val="auto"/>
        </w:rPr>
      </w:pPr>
    </w:p>
    <w:p>
      <w:pPr>
        <w:ind w:left="1440" w:right="960" w:hanging="312"/>
        <w:spacing w:after="0" w:line="286" w:lineRule="auto"/>
        <w:tabs>
          <w:tab w:leader="none" w:pos="1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success of our strategy to diversify our business by entering markets outside the Semi Market, including the automotive, defense/aerospace, industrial, medical, telecommunications and other markets and changes in demand in these markets</w:t>
      </w:r>
    </w:p>
    <w:p>
      <w:pPr>
        <w:spacing w:after="0" w:line="1" w:lineRule="exact"/>
        <w:rPr>
          <w:rFonts w:ascii="Arial" w:cs="Arial" w:eastAsia="Arial" w:hAnsi="Arial"/>
          <w:sz w:val="16"/>
          <w:szCs w:val="16"/>
          <w:color w:val="auto"/>
        </w:rPr>
      </w:pPr>
    </w:p>
    <w:p>
      <w:pPr>
        <w:ind w:left="1440" w:hanging="312"/>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0" w:lineRule="exact"/>
        <w:rPr>
          <w:rFonts w:ascii="Arial" w:cs="Arial" w:eastAsia="Arial" w:hAnsi="Arial"/>
          <w:sz w:val="18"/>
          <w:szCs w:val="18"/>
          <w:color w:val="auto"/>
        </w:rPr>
      </w:pPr>
    </w:p>
    <w:p>
      <w:pPr>
        <w:ind w:left="1440" w:hanging="312"/>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development of new products and technologies by us or our competitors;</w:t>
      </w:r>
    </w:p>
    <w:p>
      <w:pPr>
        <w:spacing w:after="0" w:line="33" w:lineRule="exact"/>
        <w:rPr>
          <w:rFonts w:ascii="Arial" w:cs="Arial" w:eastAsia="Arial" w:hAnsi="Arial"/>
          <w:sz w:val="18"/>
          <w:szCs w:val="18"/>
          <w:color w:val="auto"/>
        </w:rPr>
      </w:pPr>
    </w:p>
    <w:p>
      <w:pPr>
        <w:ind w:left="1440" w:hanging="312"/>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effects of exchange rate fluctuations;</w:t>
      </w:r>
    </w:p>
    <w:p>
      <w:pPr>
        <w:spacing w:after="0" w:line="33" w:lineRule="exact"/>
        <w:rPr>
          <w:rFonts w:ascii="Arial" w:cs="Arial" w:eastAsia="Arial" w:hAnsi="Arial"/>
          <w:sz w:val="18"/>
          <w:szCs w:val="18"/>
          <w:color w:val="auto"/>
        </w:rPr>
      </w:pPr>
    </w:p>
    <w:p>
      <w:pPr>
        <w:ind w:left="1440" w:hanging="312"/>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progress of product development programs;</w:t>
      </w:r>
    </w:p>
    <w:p>
      <w:pPr>
        <w:spacing w:after="0" w:line="33" w:lineRule="exact"/>
        <w:rPr>
          <w:rFonts w:ascii="Arial" w:cs="Arial" w:eastAsia="Arial" w:hAnsi="Arial"/>
          <w:sz w:val="18"/>
          <w:szCs w:val="18"/>
          <w:color w:val="auto"/>
        </w:rPr>
      </w:pPr>
    </w:p>
    <w:p>
      <w:pPr>
        <w:ind w:left="1440" w:hanging="312"/>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anticipated market for our products;</w:t>
      </w:r>
    </w:p>
    <w:p>
      <w:pPr>
        <w:spacing w:after="0" w:line="33" w:lineRule="exact"/>
        <w:rPr>
          <w:rFonts w:ascii="Arial" w:cs="Arial" w:eastAsia="Arial" w:hAnsi="Arial"/>
          <w:sz w:val="18"/>
          <w:szCs w:val="18"/>
          <w:color w:val="auto"/>
        </w:rPr>
      </w:pPr>
    </w:p>
    <w:p>
      <w:pPr>
        <w:ind w:left="1440" w:hanging="312"/>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and retention of key personnel or our ability to hire personnel at anticipated costs;</w:t>
      </w:r>
    </w:p>
    <w:p>
      <w:pPr>
        <w:spacing w:after="0" w:line="33" w:lineRule="exact"/>
        <w:rPr>
          <w:rFonts w:ascii="Arial" w:cs="Arial" w:eastAsia="Arial" w:hAnsi="Arial"/>
          <w:sz w:val="18"/>
          <w:szCs w:val="18"/>
          <w:color w:val="auto"/>
        </w:rPr>
      </w:pPr>
    </w:p>
    <w:p>
      <w:pPr>
        <w:ind w:left="1440" w:hanging="312"/>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globally;</w:t>
      </w:r>
    </w:p>
    <w:p>
      <w:pPr>
        <w:spacing w:after="0" w:line="33" w:lineRule="exact"/>
        <w:rPr>
          <w:rFonts w:ascii="Arial" w:cs="Arial" w:eastAsia="Arial" w:hAnsi="Arial"/>
          <w:sz w:val="18"/>
          <w:szCs w:val="18"/>
          <w:color w:val="auto"/>
        </w:rPr>
      </w:pPr>
    </w:p>
    <w:p>
      <w:pPr>
        <w:ind w:left="1440" w:right="40" w:hanging="312"/>
        <w:spacing w:after="0" w:line="255" w:lineRule="auto"/>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projections of net revenues, taxable earnings (loss), net earnings (loss), net earnings (loss) per share, capital expenditures and other financial items; and</w:t>
      </w:r>
    </w:p>
    <w:p>
      <w:pPr>
        <w:ind w:left="1440" w:hanging="312"/>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risk factors included in Part I, Item 1A - "Risk Factors" in our 2020 Form 10-K.</w:t>
      </w:r>
    </w:p>
    <w:p>
      <w:pPr>
        <w:spacing w:after="0" w:line="234" w:lineRule="exact"/>
        <w:rPr>
          <w:sz w:val="20"/>
          <w:szCs w:val="20"/>
          <w:color w:val="auto"/>
        </w:rPr>
      </w:pPr>
    </w:p>
    <w:p>
      <w:pPr>
        <w:ind w:left="780" w:right="40"/>
        <w:spacing w:after="0" w:line="253" w:lineRule="auto"/>
        <w:rPr>
          <w:sz w:val="20"/>
          <w:szCs w:val="20"/>
          <w:color w:val="auto"/>
        </w:rPr>
      </w:pPr>
      <w:r>
        <w:rPr>
          <w:rFonts w:ascii="Arial" w:cs="Arial" w:eastAsia="Arial" w:hAnsi="Arial"/>
          <w:sz w:val="18"/>
          <w:szCs w:val="18"/>
          <w:color w:val="auto"/>
        </w:rPr>
        <w:t>Material changes to such risk factors may be reported in subsequent Quarterly Reports on Form 10-Q in Part II, Item 1A. 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are not obligated to update these forward-looking statements, even though our situation may change in the future.</w:t>
      </w:r>
    </w:p>
    <w:p>
      <w:pPr>
        <w:spacing w:after="0" w:line="186"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Overview</w:t>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0" w:lineRule="exact"/>
        <w:rPr>
          <w:sz w:val="20"/>
          <w:szCs w:val="20"/>
          <w:color w:val="auto"/>
        </w:rPr>
      </w:pPr>
    </w:p>
    <w:p>
      <w:pPr>
        <w:ind w:left="780" w:right="100"/>
        <w:spacing w:after="0" w:line="255" w:lineRule="auto"/>
        <w:rPr>
          <w:sz w:val="20"/>
          <w:szCs w:val="20"/>
          <w:color w:val="auto"/>
        </w:rPr>
      </w:pPr>
      <w:r>
        <w:rPr>
          <w:rFonts w:ascii="Arial" w:cs="Arial" w:eastAsia="Arial" w:hAnsi="Arial"/>
          <w:sz w:val="18"/>
          <w:szCs w:val="18"/>
          <w:color w:val="auto"/>
        </w:rPr>
        <w:t>We are a global supplier of innovative test and process solutions for use in manufacturing and testing across a wide range of markets including automotive, defense/aerospace, industrial, medical, semiconductor and telecommunications. We manage our business as two operating segments: Thermal and EMS. Our Thermal segment designs, manufactures and sells our thermal test and thermal process products while our EMS segment designs, manufactures and sells our semiconductor test products.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815" w:right="359" w:bottom="1440" w:gutter="0" w:footer="0" w:header="0"/>
        </w:sectPr>
      </w:pPr>
    </w:p>
    <w:bookmarkStart w:id="23" w:name="page24"/>
    <w:bookmarkEnd w:id="23"/>
    <w:p>
      <w:pPr>
        <w:ind w:right="80"/>
        <w:spacing w:after="0" w:line="289" w:lineRule="auto"/>
        <w:rPr>
          <w:sz w:val="20"/>
          <w:szCs w:val="20"/>
          <w:color w:val="auto"/>
        </w:rPr>
      </w:pPr>
      <w:r>
        <w:rPr>
          <w:rFonts w:ascii="Arial" w:cs="Arial" w:eastAsia="Arial" w:hAnsi="Arial"/>
          <w:sz w:val="16"/>
          <w:szCs w:val="16"/>
          <w:color w:val="auto"/>
        </w:rPr>
        <w:t>Our EMS segment sells its products to semiconductor manufacturers and third-party test and assembly houses (end user sales) and to ATE manufacturers (“OEM sales”), who ultimately resell our equipment with theirs to both semiconductor manufacturers and third-party test and assembly houses. These sales all fall within the ATE sector of the broader semiconductor market. Our Thermal segment sells its products to many of these same types of customers; however, it also sells to customers in the wafer processing sector within the broader semiconductor market and to customers in a variety of other markets outside the semiconductor market, including the automotive, defense/aerospace, industrial (including consumer products packaging, fiber optics and other sectors within the broader industrial market), medical and telecommunications markets.</w:t>
      </w:r>
    </w:p>
    <w:p>
      <w:pPr>
        <w:spacing w:after="0" w:line="16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Both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Markets</w:t>
      </w:r>
    </w:p>
    <w:p>
      <w:pPr>
        <w:spacing w:after="0" w:line="22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refer to the semiconductor market, including the more specialized semiconductor ATE and wafer processing sectors within the broader semiconductor market, as the “Semi Market.” All other markets are designated as “Multimarket.” Business within our Thermal segment can fall into either the Semi Market or Multimarket, depending upon how our customers utilize our products or upon their respective applications.</w:t>
      </w:r>
    </w:p>
    <w:p>
      <w:pPr>
        <w:spacing w:after="0" w:line="15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While the Semi Market represents the historical roots of inTEST and remains a very important component of our business, Multimarket is where we have focused our strategic growth efforts in the last several years. Our goal was to grow our business, both organically and through acquisition, in these markets as we believe these markets have historically been less cyclical than the Semi Market. Moving forward, with the launch of our new strategic plan which is discussed in Part 1, Item 1 under “Our Strategies” in our 2020 Form 10-K, we intend to broaden our strategic growth efforts to target both organic and inorganic growth in all of our currently served markets, which includes the Semi Market. Our goal is to further expand our existing product lines, strengthen our positions in served markets and drive expansion into new markets.</w:t>
      </w:r>
    </w:p>
    <w:p>
      <w:pPr>
        <w:spacing w:after="0" w:line="16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Prior to our acquisition of Ambrell in May 2017, we offered only highly specialized engineering solutions used for testing applications in Multimarket, the demand for which is limited and which varies significantly from period to period. Our acquisition of Ambrell not only provided expansion into new markets but also broadened our product offerings to include products sold into process or manufacturing applications. Historically, Ambrell sold its precision induction heating systems almost exclusively to customers in the industrial market but since 2018, has also had significant sales into the Semi Market. Overall, however, the acquisition of Ambrell has helped to diversify our customer base.</w:t>
      </w:r>
    </w:p>
    <w:p>
      <w:pPr>
        <w:spacing w:after="0" w:line="162" w:lineRule="exact"/>
        <w:rPr>
          <w:sz w:val="20"/>
          <w:szCs w:val="20"/>
          <w:color w:val="auto"/>
        </w:rPr>
      </w:pPr>
    </w:p>
    <w:p>
      <w:pPr>
        <w:ind w:right="280"/>
        <w:spacing w:after="0" w:line="334" w:lineRule="auto"/>
        <w:rPr>
          <w:sz w:val="20"/>
          <w:szCs w:val="20"/>
          <w:color w:val="auto"/>
        </w:rPr>
      </w:pPr>
      <w:r>
        <w:rPr>
          <w:rFonts w:ascii="Arial" w:cs="Arial" w:eastAsia="Arial" w:hAnsi="Arial"/>
          <w:sz w:val="14"/>
          <w:szCs w:val="14"/>
          <w:color w:val="auto"/>
        </w:rPr>
        <w:t>The portion of our business that is derived from the Semi Market is substantially dependent upon the demand for ATE by semiconductor manufacturers and companies that specialize in the testing of integrated circuits or, for Ambrell, the demand for wafer processing equipment. Demand for ATE or wafer processing equipment is driven by semiconductor manufacturers that are opening new, or expanding existing, semiconductor fabrication facilities or upgrading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that contribute to our net revenues as our customers adopt these new products.</w:t>
      </w:r>
    </w:p>
    <w:p>
      <w:pPr>
        <w:spacing w:after="0" w:line="14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the past, the Semi Market has been highly cyclical with recurring periods of oversupply, which often severely impact the Semi Market's demand for the products we manufacture and sell into the market. This cyclicality can cause wide fluctuations in both our orders and net revenues and, depending on our ability to react quickly to these shifts in demand, can significantly impact our results of operations. Market cycles are difficult to predict and, because they are generally characterized by sequential periods of growth or declines in orders and net revenues during each cycle, year over 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6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81280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460"/>
          </w:cols>
          <w:pgMar w:left="1100" w:top="579" w:right="339" w:bottom="1440" w:gutter="0" w:footer="0" w:header="0"/>
        </w:sectPr>
      </w:pPr>
    </w:p>
    <w:bookmarkStart w:id="24" w:name="page25"/>
    <w:bookmarkEnd w:id="24"/>
    <w:p>
      <w:pPr>
        <w:ind w:right="40"/>
        <w:spacing w:after="0" w:line="255" w:lineRule="auto"/>
        <w:rPr>
          <w:sz w:val="20"/>
          <w:szCs w:val="20"/>
          <w:color w:val="auto"/>
        </w:rPr>
      </w:pPr>
      <w:r>
        <w:rPr>
          <w:rFonts w:ascii="Arial" w:cs="Arial" w:eastAsia="Arial" w:hAnsi="Arial"/>
          <w:sz w:val="18"/>
          <w:szCs w:val="18"/>
          <w:color w:val="auto"/>
        </w:rPr>
        <w:t>Third party market share statistics are not available for the products we manufacture and sell into the Semi Market; therefore, comparisons of period over period changes in our market share are not easily determined. As a result, it is difficult to ascertain if Semi Market volatility in any period is the result of macro-economic or customer-specific factors impacting Semi Market demand, or if we have gained or lost market share to a competitor during the period.</w:t>
      </w:r>
    </w:p>
    <w:p>
      <w:pPr>
        <w:spacing w:after="0" w:line="18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While approximately half of our orders and net revenues are derived from the Semi Market, and our operating results generally follow the overall trend in the Semi Market, in any given period we may experience anomalies that cause the trend in our net revenues to deviate from the overall trend in the Semi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processing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previously mentioned, as part of our ongoing strategy to grow our business, we continue to diversify our served markets to address the thermal test and thermal process requirements of several markets outside the Semi Market. These include the automotive, defense/aerospace, industrial, medical, telecommunications and other markets, which we refer to as Multimarket.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spacing w:after="0" w:line="190"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 addition, because of our limited market share, our Multimarket orders and net revenues in any given period do not necessarily reflect the overall trends in the markets within Multimarket. Consequently, we are continuing to evaluate buying patterns and opportunities for growth in Multimarket that may affect our performance. The level of our Multimarket orders and net revenues has varied in the past, and we expect will vary significantly in the future, as we work to build our presence in Multimarket and establish new markets for our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and Other Charges</w:t>
      </w:r>
    </w:p>
    <w:p>
      <w:pPr>
        <w:spacing w:after="0" w:line="22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September 21, 2020, we notified employees in our Fremont, California facility of a plan to consolidate all manufacturing for our EMS segment into our manufacturing operations located in Mt. Laurel, New Jersey. The consolidation was substantially completed during the fourth quarter of 2020 and resulted in the termination of certain employees at the Fremont location. Prior to the consolidation, our interface products were manufactured in the Fremont facility, and our manipulator and docking hardware products were manufactured in the Mt. Laurel facility. The consolidation was undertaken to better serve customers through streamlined operations and reduce the fixed annual operating costs for the EMS segment. A small engineering and sales office will be maintained in northern California. The costs related to these actions are included in restructuring and other charges on our consolidated statement of operations and are discussed in more detail in Note 3 to our consolidated financial statements in this Report and in our 2020 Form 10-K.</w:t>
      </w:r>
    </w:p>
    <w:p>
      <w:pPr>
        <w:spacing w:after="0" w:line="18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EMS facility consolidation resulted in the termination of certain employees at the Fremont location, including all of our interface product line assembly staff who were located at that facility. As a result of transitioning our interface manufacturing operations to New Jersey, we have hired new production staff for this product line in our Mt. Laurel facility. These new employees are being trained to assemble our products which may impact customer shipments and quality of our interface products over the next several months. In addition, we have recently experienced difficulty in hiring personnel at the costs projected in our forecasts. This has resulted in the need to increase the labor rates offered for certain positions. If we cannot find savings in other areas or increase the price for which we sell our products in an amount sufficient to cover these additional labor costs, we may experience reduced margins in future periods. See “Risks Related to Our Business Operations” in Item 1A “Risk Factors” of our 2020 Form 10-K.</w:t>
      </w:r>
    </w:p>
    <w:p>
      <w:pPr>
        <w:spacing w:after="0" w:line="19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81280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460"/>
          </w:cols>
          <w:pgMar w:left="1100" w:top="57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for the periods indicated, a breakdown of the orders received by operating segment and market (in thousands).</w:t>
      </w: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vMerge w:val="restart"/>
          </w:tcPr>
          <w:p>
            <w:pPr>
              <w:jc w:val="center"/>
              <w:ind w:left="431"/>
              <w:spacing w:after="0"/>
              <w:rPr>
                <w:sz w:val="20"/>
                <w:szCs w:val="20"/>
                <w:color w:val="auto"/>
              </w:rPr>
            </w:pPr>
            <w:r>
              <w:rPr>
                <w:rFonts w:ascii="Arial" w:cs="Arial" w:eastAsia="Arial" w:hAnsi="Arial"/>
                <w:sz w:val="18"/>
                <w:szCs w:val="18"/>
                <w:b w:val="1"/>
                <w:bCs w:val="1"/>
                <w:color w:val="auto"/>
                <w:w w:val="89"/>
              </w:rPr>
              <w:t>Three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Three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line="201" w:lineRule="exact"/>
              <w:rPr>
                <w:sz w:val="20"/>
                <w:szCs w:val="20"/>
                <w:color w:val="auto"/>
              </w:rPr>
            </w:pPr>
            <w:r>
              <w:rPr>
                <w:rFonts w:ascii="Arial" w:cs="Arial" w:eastAsia="Arial" w:hAnsi="Arial"/>
                <w:sz w:val="18"/>
                <w:szCs w:val="18"/>
                <w:b w:val="1"/>
                <w:bCs w:val="1"/>
                <w:color w:val="auto"/>
                <w:w w:val="90"/>
              </w:rPr>
              <w:t>Months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ind w:left="440"/>
              <w:spacing w:after="0"/>
              <w:rPr>
                <w:sz w:val="20"/>
                <w:szCs w:val="20"/>
                <w:color w:val="auto"/>
              </w:rPr>
            </w:pPr>
            <w:r>
              <w:rPr>
                <w:rFonts w:ascii="Arial" w:cs="Arial" w:eastAsia="Arial" w:hAnsi="Arial"/>
                <w:sz w:val="18"/>
                <w:szCs w:val="18"/>
                <w:b w:val="1"/>
                <w:bCs w:val="1"/>
                <w:color w:val="auto"/>
                <w:w w:val="96"/>
              </w:rPr>
              <w:t>Change</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3"/>
          </w:tcPr>
          <w:p>
            <w:pPr>
              <w:ind w:left="400"/>
              <w:spacing w:after="0"/>
              <w:rPr>
                <w:sz w:val="20"/>
                <w:szCs w:val="20"/>
                <w:color w:val="auto"/>
              </w:rPr>
            </w:pPr>
            <w:r>
              <w:rPr>
                <w:rFonts w:ascii="Arial" w:cs="Arial" w:eastAsia="Arial" w:hAnsi="Arial"/>
                <w:sz w:val="18"/>
                <w:szCs w:val="18"/>
                <w:b w:val="1"/>
                <w:bCs w:val="1"/>
                <w:color w:val="auto"/>
                <w:w w:val="93"/>
              </w:rPr>
              <w:t>Change</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0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1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00" w:type="dxa"/>
            <w:vAlign w:val="bottom"/>
          </w:tcPr>
          <w:p>
            <w:pPr>
              <w:spacing w:after="0"/>
              <w:rPr>
                <w:sz w:val="20"/>
                <w:szCs w:val="20"/>
                <w:color w:val="auto"/>
              </w:rPr>
            </w:pPr>
            <w:r>
              <w:rPr>
                <w:rFonts w:ascii="Arial" w:cs="Arial" w:eastAsia="Arial" w:hAnsi="Arial"/>
                <w:sz w:val="18"/>
                <w:szCs w:val="18"/>
                <w:color w:val="auto"/>
              </w:rPr>
              <w:t>Thermal</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14,746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10,499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4,247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2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11,065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3,681</w:t>
            </w:r>
          </w:p>
        </w:tc>
        <w:tc>
          <w:tcPr>
            <w:tcW w:w="2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3,930</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3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25,230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13,776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11,454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2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17,619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7,611</w:t>
            </w:r>
          </w:p>
        </w:tc>
        <w:tc>
          <w:tcPr>
            <w:tcW w:w="2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00" w:type="dxa"/>
            <w:vAlign w:val="bottom"/>
          </w:tcPr>
          <w:p>
            <w:pPr>
              <w:spacing w:after="0"/>
              <w:rPr>
                <w:sz w:val="20"/>
                <w:szCs w:val="20"/>
                <w:color w:val="auto"/>
              </w:rPr>
            </w:pPr>
            <w:r>
              <w:rPr>
                <w:rFonts w:ascii="Arial" w:cs="Arial" w:eastAsia="Arial" w:hAnsi="Arial"/>
                <w:sz w:val="18"/>
                <w:szCs w:val="18"/>
                <w:color w:val="auto"/>
              </w:rPr>
              <w:t>Semi Market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17,174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6,692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10,482</w:t>
            </w:r>
          </w:p>
        </w:tc>
        <w:tc>
          <w:tcPr>
            <w:tcW w:w="2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2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11,129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6,045</w:t>
            </w:r>
          </w:p>
        </w:tc>
        <w:tc>
          <w:tcPr>
            <w:tcW w:w="2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1,566</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25,230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13,776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11,454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2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17,619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7,611</w:t>
            </w:r>
          </w:p>
        </w:tc>
        <w:tc>
          <w:tcPr>
            <w:tcW w:w="2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Total consolidated orders for the three months ended March 31, 2021 were $25.2 million compared to $13.8 million for the same period in 2020 and $17.6 million for the three months ended December 31, 2020. Orders from customers in Multimarket for the three months ended March 31, 2021 were $8.1 million, or 32% of total consolidated orders, compared to $7.1 million, or 51% of total consolidated orders for the same period in 2020 and $6.5 million or 37% of total consolidated orders for the three months ended December 31, 2020.</w:t>
      </w:r>
    </w:p>
    <w:p>
      <w:pPr>
        <w:spacing w:after="0" w:line="17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believe that the increases in our consolidated orders during the three months ended March 31, 2021 compared to the same period in 2020 and to the three months ended December 31, 2020 primarily reflect the end of the downturn in the Semi Market, where approximately half of our business is derived. This downturn began in the first quarter of 2019. We believe that the significant level of increase in orders from the Semi Market for these same time periods also reflects the impact of the interruption of the normal recovery in the Semi Market cycle that was caused by the onset of COVID-19 in the first half of 2020, as well as increased demand for semiconductors, generally, both of which we believe are driving the current shortage in the global supply of semiconductors (which are also referred to as “integrated circuits” or “ICs”). To a lesser extent, we also experienced an increase in orders from Multimarket, primarily from the industrial market.</w:t>
      </w:r>
    </w:p>
    <w:p>
      <w:pPr>
        <w:spacing w:after="0" w:line="16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At March 31, 2021, our backlog of unfilled orders for all products was approximately $17.1 million compared with approximately $8.1 million at March 31, 2020 and $11.5 million at December 31, 2020. Our backlog includes customer orders which we have accepted, substantially all of which we expect to deliver in 2021.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for the periods indicated, a breakdown of the net revenues by operating segment and market (in thousands).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vMerge w:val="restart"/>
          </w:tcPr>
          <w:p>
            <w:pPr>
              <w:jc w:val="center"/>
              <w:ind w:left="431"/>
              <w:spacing w:after="0"/>
              <w:rPr>
                <w:sz w:val="20"/>
                <w:szCs w:val="20"/>
                <w:color w:val="auto"/>
              </w:rPr>
            </w:pPr>
            <w:r>
              <w:rPr>
                <w:rFonts w:ascii="Arial" w:cs="Arial" w:eastAsia="Arial" w:hAnsi="Arial"/>
                <w:sz w:val="18"/>
                <w:szCs w:val="18"/>
                <w:b w:val="1"/>
                <w:bCs w:val="1"/>
                <w:color w:val="auto"/>
                <w:w w:val="89"/>
              </w:rPr>
              <w:t>Three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Three</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80"/>
              <w:spacing w:after="0" w:line="201" w:lineRule="exact"/>
              <w:rPr>
                <w:sz w:val="20"/>
                <w:szCs w:val="20"/>
                <w:color w:val="auto"/>
              </w:rPr>
            </w:pPr>
            <w:r>
              <w:rPr>
                <w:rFonts w:ascii="Arial" w:cs="Arial" w:eastAsia="Arial" w:hAnsi="Arial"/>
                <w:sz w:val="18"/>
                <w:szCs w:val="18"/>
                <w:b w:val="1"/>
                <w:bCs w:val="1"/>
                <w:color w:val="auto"/>
                <w:w w:val="90"/>
              </w:rPr>
              <w:t>Months</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3"/>
          </w:tcPr>
          <w:p>
            <w:pPr>
              <w:ind w:left="420"/>
              <w:spacing w:after="0"/>
              <w:rPr>
                <w:sz w:val="20"/>
                <w:szCs w:val="20"/>
                <w:color w:val="auto"/>
              </w:rPr>
            </w:pPr>
            <w:r>
              <w:rPr>
                <w:rFonts w:ascii="Arial" w:cs="Arial" w:eastAsia="Arial" w:hAnsi="Arial"/>
                <w:sz w:val="18"/>
                <w:szCs w:val="18"/>
                <w:b w:val="1"/>
                <w:bCs w:val="1"/>
                <w:color w:val="auto"/>
                <w:w w:val="96"/>
              </w:rPr>
              <w:t>Change</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20"/>
                <w:szCs w:val="20"/>
                <w:color w:val="auto"/>
              </w:rPr>
            </w:pPr>
          </w:p>
        </w:tc>
        <w:tc>
          <w:tcPr>
            <w:tcW w:w="1040" w:type="dxa"/>
            <w:vAlign w:val="bottom"/>
            <w:gridSpan w:val="3"/>
          </w:tcPr>
          <w:p>
            <w:pPr>
              <w:ind w:left="400"/>
              <w:spacing w:after="0"/>
              <w:rPr>
                <w:sz w:val="20"/>
                <w:szCs w:val="20"/>
                <w:color w:val="auto"/>
              </w:rPr>
            </w:pPr>
            <w:r>
              <w:rPr>
                <w:rFonts w:ascii="Arial" w:cs="Arial" w:eastAsia="Arial" w:hAnsi="Arial"/>
                <w:sz w:val="18"/>
                <w:szCs w:val="18"/>
                <w:b w:val="1"/>
                <w:bCs w:val="1"/>
                <w:color w:val="auto"/>
                <w:w w:val="93"/>
              </w:rPr>
              <w:t>Change</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0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1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00" w:type="dxa"/>
            <w:vAlign w:val="bottom"/>
          </w:tcPr>
          <w:p>
            <w:pPr>
              <w:spacing w:after="0"/>
              <w:rPr>
                <w:sz w:val="20"/>
                <w:szCs w:val="20"/>
                <w:color w:val="auto"/>
              </w:rPr>
            </w:pPr>
            <w:r>
              <w:rPr>
                <w:rFonts w:ascii="Arial" w:cs="Arial" w:eastAsia="Arial" w:hAnsi="Arial"/>
                <w:sz w:val="18"/>
                <w:szCs w:val="18"/>
                <w:color w:val="auto"/>
              </w:rPr>
              <w:t>Thermal</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11,055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9,334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80" w:type="dxa"/>
            <w:vAlign w:val="bottom"/>
          </w:tcPr>
          <w:p>
            <w:pPr>
              <w:jc w:val="right"/>
              <w:ind w:right="24"/>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10,675</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380</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4,301</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3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19,556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11,230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8,326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180" w:type="dxa"/>
            <w:vAlign w:val="bottom"/>
          </w:tcPr>
          <w:p>
            <w:pPr>
              <w:jc w:val="right"/>
              <w:ind w:right="24"/>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14,875</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4,681</w:t>
            </w:r>
          </w:p>
        </w:tc>
        <w:tc>
          <w:tcPr>
            <w:tcW w:w="2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00" w:type="dxa"/>
            <w:vAlign w:val="bottom"/>
          </w:tcPr>
          <w:p>
            <w:pPr>
              <w:spacing w:after="0"/>
              <w:rPr>
                <w:sz w:val="20"/>
                <w:szCs w:val="20"/>
                <w:color w:val="auto"/>
              </w:rPr>
            </w:pPr>
            <w:r>
              <w:rPr>
                <w:rFonts w:ascii="Arial" w:cs="Arial" w:eastAsia="Arial" w:hAnsi="Arial"/>
                <w:sz w:val="18"/>
                <w:szCs w:val="18"/>
                <w:color w:val="auto"/>
              </w:rPr>
              <w:t>Semi Market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13,320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5,011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180" w:type="dxa"/>
            <w:vAlign w:val="bottom"/>
          </w:tcPr>
          <w:p>
            <w:pPr>
              <w:jc w:val="right"/>
              <w:ind w:right="24"/>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7,614</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5,706</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7,261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19,556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11,230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8,326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180" w:type="dxa"/>
            <w:vAlign w:val="bottom"/>
          </w:tcPr>
          <w:p>
            <w:pPr>
              <w:jc w:val="right"/>
              <w:ind w:right="24"/>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14,875</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4,681</w:t>
            </w:r>
          </w:p>
        </w:tc>
        <w:tc>
          <w:tcPr>
            <w:tcW w:w="2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Total consolidated net revenues for the three months ended March 31, 2021 were $19.6 million compared to $11.2 million for the same period in 2020 and $14.9 million for the three months ended December 31, 2020. We believe the increase in our consolidated net revenues compared to the same period in 2020 and the three months ended December 31, 2020 primarily reflects the aforementioned increase in demand from the Semi Market.</w:t>
      </w:r>
    </w:p>
    <w:p>
      <w:pPr>
        <w:spacing w:after="0" w:line="18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81280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560"/>
          </w:cols>
          <w:pgMar w:left="1100" w:top="579" w:right="239" w:bottom="1440" w:gutter="0" w:footer="0" w:header="0"/>
        </w:sectPr>
      </w:pPr>
    </w:p>
    <w:bookmarkStart w:id="26" w:name="page27"/>
    <w:bookmarkEnd w:id="26"/>
    <w:p>
      <w:pPr>
        <w:ind w:right="60"/>
        <w:spacing w:after="0" w:line="287" w:lineRule="auto"/>
        <w:rPr>
          <w:sz w:val="20"/>
          <w:szCs w:val="20"/>
          <w:color w:val="auto"/>
        </w:rPr>
      </w:pPr>
      <w:r>
        <w:rPr>
          <w:rFonts w:ascii="Arial" w:cs="Arial" w:eastAsia="Arial" w:hAnsi="Arial"/>
          <w:sz w:val="16"/>
          <w:szCs w:val="16"/>
          <w:color w:val="auto"/>
        </w:rPr>
        <w:t>Net revenues from customers in Multimarket for the three months ended March 31, 2021 were $6.2 million, or 32% of total consolidated net revenues, compared to $6.2 million, or 55% of total consolidated net revenues for the same period in 2020 and $7.3 million or 49% of total consolidated net revenues for the three months ended December 31, 2020. The reduced net revenues in Multimarket for the first quarter of 2021 compared to the fourth quarter of 2020 primarily reflect weaker demand from customers in the industrial market and, to a lesser extent, customers in the defense/aerospace and medical markets. These declines were partially offset by an increase in net revenues from customers in the automotive market. Net revenues from Multimarket customers were relatively flat for the first quarter of 2021 compared to the same period in 2020. Increases from the automotive market were offset by decreases in demand from customers in the industrial and defense/aerospace markets.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Pandemic</w:t>
      </w:r>
    </w:p>
    <w:p>
      <w:pPr>
        <w:spacing w:after="0" w:line="22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Demand from all of the markets we serve was significantly affected by COVID-19 during the first half of 2020. The impact of COVID-19 on demand from the Semi Market was intensified during the first half of 2020 because our business operations were also being negatively affected by a global downturn in the Semi Market at that time. The Semi Market, from which approximately half of our orders and net revenues are derived, entered a cyclical downturn in the beginning of 2019. During the first quarter of 2020, before the spread of COVID-19, we had started to see indications that the downturn was coming to an end. These indications included increased quoting activity and order levels for the first quarter of 2020 compared to the fourth quarter of 2019. However, we believe COVID-19 delayed the recovery in the Semi Market as the increase in activity leveled off during late March 2020. Although we saw slightly increased order rates from our customers in the Semi Market during the second and third quarters of 2020, it was not until the fourth quarter of 2020 that we saw a significant increase in our orders from the Semi Market, which we believe indicates that we have now entered the next cyclical upturn. During the fourth quarter of 2020, our orders from the Semi Market increased 53% sequentially and were 141% higher than in the fourth quarter of 2019, the low point of the prior cyclical downturn for the products that we sell. This trend in our orders from the Semi Market continued in the first quarter of 2021 with a further 54% sequential increase from the level in the fourth quarter of 2020. We believe the level of increase in our orders and net revenues from the Semi Market during the fourth quarter of 2020 and the first quarter of 2021 reflects a combination of increased demand in the market resulting from the interruption of the normal recovery in the Semi Market cycle caused by the onset of COVID-19 in the first half of 2020, as well as increased demand for semiconductors, generally. We believe this increase in demand is being driven both by changing technology as well as increased use of technology across all aspects of daily life, such as in devices that facilitate remote work and education, smart technology used in homes and businesses, the increase in the number of ICs used in the automotive industry and changes occurring in the telecommunications and mobility markets.</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of the date of this filing, all of our operations continue to be deemed “critical and essential business operations” under the various governmental COVID-19 mandates, which has allowed us to continue to operate our business with certain modifications. These modifications include a significant number of our employees working remotely. Such employees have been provided with the tools and technology necessary to do so. Additionally, we have implemented workplace safeguards designed to protect the health and well-being of our employees. Employees who remain in our facilities are following WHO and CDC recommended safety practices, as well as state and local directives. We have had occasions where one or more employees have contracted COVID-19 and entered our facilities while infected. To date, we have managed these occurrences with minimal disruption to our business while protecting other employees, but there can be no assurances that we can avoid similar occurrences in the future or, that in such cases, we can avoid significant disruption of our operations.</w:t>
      </w:r>
    </w:p>
    <w:p>
      <w:pPr>
        <w:spacing w:after="0" w:line="16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aftermarket service and support that we provide to our customers has been, and we expect may continue to be, adversely impacted by COVID-19. Specifically, the travel restrictions that remain in place, coupled with limitations on visitors into customer facilities, have resulted in the reduction or suspension of in-person service and support activities. The net revenues associated with these aftermarket service and support activities typically range from 8% to 10% of our consolidated net revenues. Although these net revenues returned to a more typical range during the second half of 2020, they declined again in the first quarter of 2021. If the spread of COVID-19 or variations of the virus worsen, these revenues may continue to be reduced in future periods.</w:t>
      </w:r>
    </w:p>
    <w:p>
      <w:pPr>
        <w:spacing w:after="0" w:line="1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While the negative impact of COVID-19 on our business was reduced significantly in the second half of 2020 and the first quarter of 2021, the spread of the virus or variants of the virus could worsen and one or more of our significant customers or suppliers could be impacted, or significant additional governmental regulations and restrictions could be imposed, thus negatively impacting our business in the future. As a result of our current level of working capital as well as the availability of our revolving credit facility, which is discussed in Note 9 to our consolidated financial statements in this Report, we currently expect to have sufficient liquidity to operate our business throughout 2021. Our revolving credit facility, which had no outstanding balance, was set to mature on April 9, 2021. As discussed in Note 14 to our consolidated financial statements in this Report, we modified this facility on April 10, 2021 and extended it as modified through April 9, 2024.</w:t>
      </w:r>
    </w:p>
    <w:p>
      <w:pPr>
        <w:spacing w:after="0" w:line="16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81280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440"/>
          </w:cols>
          <w:pgMar w:left="1100" w:top="579"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4" w:lineRule="exact"/>
        <w:rPr>
          <w:sz w:val="20"/>
          <w:szCs w:val="20"/>
          <w:color w:val="auto"/>
        </w:rPr>
      </w:pPr>
    </w:p>
    <w:p>
      <w:pPr>
        <w:spacing w:after="0" w:line="367" w:lineRule="auto"/>
        <w:rPr>
          <w:sz w:val="20"/>
          <w:szCs w:val="20"/>
          <w:color w:val="auto"/>
        </w:rPr>
      </w:pPr>
      <w:r>
        <w:rPr>
          <w:rFonts w:ascii="Arial" w:cs="Arial" w:eastAsia="Arial" w:hAnsi="Arial"/>
          <w:sz w:val="14"/>
          <w:szCs w:val="14"/>
          <w:color w:val="auto"/>
        </w:rPr>
        <w:t>The results of operations for our two operating segments are generally affected by the same factors described in the Overview and COVID-19 Pandemic section. Separate discussions and analyses for each segment would be repetitive. The discussion and analysis that follows, therefore, is presented on a consolidated basis and includes discussion of factors unique to each segment where significant to an understanding of that segment.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2021 Compared to Three Months Ended March 31, 2020</w:t>
      </w:r>
    </w:p>
    <w:p>
      <w:pPr>
        <w:spacing w:after="0" w:line="220" w:lineRule="exact"/>
        <w:rPr>
          <w:sz w:val="20"/>
          <w:szCs w:val="20"/>
          <w:color w:val="auto"/>
        </w:rPr>
      </w:pPr>
    </w:p>
    <w:p>
      <w:pPr>
        <w:spacing w:after="0" w:line="281" w:lineRule="auto"/>
        <w:rPr>
          <w:sz w:val="20"/>
          <w:szCs w:val="20"/>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Net revenues were $19.6 million for the three months ended March 31, 2021 compared to $11.2 million for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2020, an increase of $8.3 million, or 74%. We believe the significant increase in our net revenues during the first quarter of 2021 primarily reflects the current cyclical upturn in the Semi Market as previously discussed in the Overview and COVID-19 Pandemic section.</w:t>
      </w:r>
    </w:p>
    <w:p>
      <w:pPr>
        <w:spacing w:after="0" w:line="16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49% of net revenues for the three months ended March 31, 2021 compared to 43% of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for the same period in 2020. The increase in our gross margin as a percentage of net revenues primarily reflects a decrease in our fixed operating costs as a percentage of net revenues. Although our fixed operating costs were relatively unchanged in absolute dollar terms, they declined from 22% of net revenues in the first quarter of 2020 to 13% of net revenues in the first quarter of 2021. This is a result of these costs being more fully absorbed by the higher net revenues levels in the first three months of 2021. Our accruals for excess and obsolete inventory declined in absolute dollar terms by $131,000, or 77%, and as a percentage of net revenues, from 2% in the first quarter of 2020 to less than 1% in the first quarter of 2021. The decreases in our fixed operating costs and excess and obsolete inventory charges were partially offset by an increase in our component material costs as a percentage of net revenues, reflecting changes in the mix of products sold.</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Selling Expense. </w:t>
      </w:r>
      <w:r>
        <w:rPr>
          <w:rFonts w:ascii="Arial" w:cs="Arial" w:eastAsia="Arial" w:hAnsi="Arial"/>
          <w:sz w:val="17"/>
          <w:szCs w:val="17"/>
          <w:color w:val="auto"/>
        </w:rPr>
        <w:t>Selling expense was $2.4 million for the three months ended March 31, 2021 compared to $2.1 million for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2020, an increase of $351,000, or 17%. The increase primarily reflects higher levels of commissions in our EMS segment as a result of the higher net revenue levels achieved for the three months ended March 31, 2021 compared to the same period in 2020. This increase was partially offset by a reduction in travel costs for the three months ended March 31, 2021 compared to the same period in 2020. Our sales personnel have not yet returned to the level of travel that was typical prior to the onset of COVID-19.</w:t>
      </w:r>
    </w:p>
    <w:p>
      <w:pPr>
        <w:spacing w:after="0" w:line="17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relatively unchanged at $1.3 million for both</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2021 and 2020. There were no significant changes in any of the components of engineering and product development expense.</w:t>
      </w:r>
    </w:p>
    <w:p>
      <w:pPr>
        <w:spacing w:after="0" w:line="18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$3.2 million for the three months ended March 31, 2021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$2.9 million for the same period in 2020, an increase of $285,000, or 10%. The increase primarily reflects higher levels of profit-based bonus accruals and an increase in the value of stock-based compensation awards granted to our senior management and Board of Directors. These increases were partially offset by a reduction in salary and benefits expense, reflecting headcount reductions. The reduction in headcount was primarily in our Thermal segment and, to a lesser extent, in our corporate staff. We also recorded a lower level of fees for third party professionals who assist us in compliance related matters during the first quarter of 2021 compared to the same period in 2020.</w:t>
      </w:r>
    </w:p>
    <w:p>
      <w:pPr>
        <w:spacing w:after="0" w:line="165"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i w:val="1"/>
          <w:iCs w:val="1"/>
          <w:color w:val="auto"/>
        </w:rPr>
        <w:t xml:space="preserve">Restructuring and Other Charges. </w:t>
      </w:r>
      <w:r>
        <w:rPr>
          <w:rFonts w:ascii="Arial" w:cs="Arial" w:eastAsia="Arial" w:hAnsi="Arial"/>
          <w:sz w:val="18"/>
          <w:szCs w:val="18"/>
          <w:color w:val="auto"/>
        </w:rPr>
        <w:t>For the three months ended March 31, 2021, we recorded $55,000 in restructuring and other charges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consolidation of our EMS manufacturing operations. During the same period in 2020, we recorded $8,000 in restructuring and other charges related to headcount reductions in our Corporate staff.</w:t>
      </w:r>
    </w:p>
    <w:p>
      <w:pPr>
        <w:spacing w:after="0" w:line="186"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For the three months ended March 31, 2021, we recorded income tax expense of $366,000 compared to an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benefit of $250,000 for the same period in 2020. Our effective tax rate was 14% for the three months ended March 31, 2021 compared to 18% for the same period in 2020. On a quarterly basis, we record income tax expense or benefit based on the expected annualized effective tax rate for the various taxing jurisdictions in which we operate our businesses.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4" w:lineRule="exact"/>
        <w:rPr>
          <w:sz w:val="20"/>
          <w:szCs w:val="20"/>
          <w:color w:val="auto"/>
        </w:rPr>
      </w:pPr>
    </w:p>
    <w:p>
      <w:pPr>
        <w:ind w:right="460"/>
        <w:spacing w:after="0" w:line="258"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8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81280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440"/>
          </w:cols>
          <w:pgMar w:left="1100" w:top="575" w:right="359" w:bottom="1440" w:gutter="0" w:footer="0" w:header="0"/>
        </w:sectPr>
      </w:pPr>
    </w:p>
    <w:bookmarkStart w:id="28" w:name="page29"/>
    <w:bookmarkEnd w:id="28"/>
    <w:p>
      <w:pPr>
        <w:ind w:right="100"/>
        <w:spacing w:after="0" w:line="258"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Liquidity</w:t>
            </w:r>
          </w:p>
        </w:tc>
        <w:tc>
          <w:tcPr>
            <w:tcW w:w="6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46"/>
        </w:trPr>
        <w:tc>
          <w:tcPr>
            <w:tcW w:w="7000" w:type="dxa"/>
            <w:vAlign w:val="bottom"/>
            <w:gridSpan w:val="3"/>
          </w:tcPr>
          <w:p>
            <w:pPr>
              <w:spacing w:after="0"/>
              <w:rPr>
                <w:sz w:val="20"/>
                <w:szCs w:val="20"/>
                <w:color w:val="auto"/>
              </w:rPr>
            </w:pPr>
            <w:r>
              <w:rPr>
                <w:rFonts w:ascii="Arial" w:cs="Arial" w:eastAsia="Arial" w:hAnsi="Arial"/>
                <w:sz w:val="18"/>
                <w:szCs w:val="18"/>
                <w:color w:val="auto"/>
              </w:rPr>
              <w:t>Our cash and cash equivalents and working capital were as follows (in thousands):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1"/>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10,195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10,277</w:t>
            </w:r>
          </w:p>
        </w:tc>
      </w:tr>
      <w:tr>
        <w:trPr>
          <w:trHeight w:val="226"/>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21,285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18,108</w:t>
            </w:r>
          </w:p>
        </w:tc>
      </w:tr>
    </w:tbl>
    <w:p>
      <w:pPr>
        <w:spacing w:after="0" w:line="186" w:lineRule="exact"/>
        <w:rPr>
          <w:sz w:val="20"/>
          <w:szCs w:val="20"/>
          <w:color w:val="auto"/>
        </w:rPr>
      </w:pPr>
    </w:p>
    <w:p>
      <w:pPr>
        <w:jc w:val="both"/>
        <w:ind w:right="140"/>
        <w:spacing w:after="0" w:line="296" w:lineRule="auto"/>
        <w:rPr>
          <w:sz w:val="20"/>
          <w:szCs w:val="20"/>
          <w:color w:val="auto"/>
        </w:rPr>
      </w:pPr>
      <w:r>
        <w:rPr>
          <w:rFonts w:ascii="Arial" w:cs="Arial" w:eastAsia="Arial" w:hAnsi="Arial"/>
          <w:sz w:val="16"/>
          <w:szCs w:val="16"/>
          <w:color w:val="auto"/>
        </w:rPr>
        <w:t>As of March 31, 2021, $3.4 million, or 33%, of our cash and cash equivalents was held by our foreign subsidiaries. We currently expect our cash and cash equivalents, in combination with the borrowing capacity available under our revolving credit facility and the anticipated net cash to be provided by our operations in the next twelve months to be sufficient to support our short-term working capital requirements and other corporate requirements. Our revolving credit facility is discussed in Notes 1, 9 and 14 to our consolidated financial statements in this Report.</w:t>
      </w:r>
    </w:p>
    <w:p>
      <w:pPr>
        <w:spacing w:after="0" w:line="16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Our material short-term cash requirements include payments due under our various lease agreements, recurring payroll and benefits obligations to our employees and purchase commitments for materials that we use in the products we sell. We estimate that our minimum short-term working capital requirements currently range between $5.0 million and $7.0 million. We also anticipate making investments in our business in the next twelve months including hiring of additional staff, updates to our website and other systems and investments related to our geographic and market expansion efforts. We expect our current cash and cash equivalents, in combination with the borrowing capacity available under our revolving credit facility and the anticipated net cash to be provided by our operations to be sufficient to support these additional investments as well as our current short-term cash requirements. However, should the impact of COVID-19 on our operations, including the disruption to our business that would be caused by any unanticipated facility closures or significantly reduced demand from our customers, be more significant than we currently expect, we may need additional financial resources, including additional debt or equity financings in the long-term. There can be no assurance that any such debt or equity financings would be available on favorable terms or rates or at all.</w:t>
      </w:r>
    </w:p>
    <w:p>
      <w:pPr>
        <w:spacing w:after="0" w:line="17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Our current growth strategy includes pursuing acquisition opportunities for complementary businesses, technologies or products. We currently anticipate that any long-term cash requirements related to our acquisition strategy would be funded all or in part through obtaining additional third-party debt or issuing equity. If we were to obtain additional third-party debt, we do not currently know at what rates or on what terms any such debt would be available.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0"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For the three months ended March 31, 2021, we recorded net earnings of $2.2 million. Net cash used in operations during</w:t>
      </w:r>
      <w:r>
        <w:rPr>
          <w:rFonts w:ascii="Arial" w:cs="Arial" w:eastAsia="Arial" w:hAnsi="Arial"/>
          <w:sz w:val="17"/>
          <w:szCs w:val="17"/>
          <w:i w:val="1"/>
          <w:iCs w:val="1"/>
          <w:color w:val="auto"/>
        </w:rPr>
        <w:t xml:space="preserve"> </w:t>
      </w:r>
      <w:r>
        <w:rPr>
          <w:rFonts w:ascii="Arial" w:cs="Arial" w:eastAsia="Arial" w:hAnsi="Arial"/>
          <w:sz w:val="17"/>
          <w:szCs w:val="17"/>
          <w:color w:val="auto"/>
        </w:rPr>
        <w:t>this period was $337,000. During the three months ended March 31, 2021, we had non-cash charges of $740,000 for depreciation and amortization which included $280,000 of amortization related to our ROU assets. During the three months ended March 31, 2021, we also recorded $269,000 for amortization of deferred compensation expense related to stock-based awards. Accounts receivable increased $5.1 million during the three months ended March 31, 2021, reflecting the significant increase in net revenues in the first quarter, while inventories and accounts payable increased $783,000 and $1.2 million, respectively, also reflecting the increase in business levels. Customer deposits increased $799,000 during the three months ended March 31, 2021, primarily in our Thermal segment.</w:t>
      </w:r>
    </w:p>
    <w:p>
      <w:pPr>
        <w:spacing w:after="0" w:line="180"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During the three months ended March 31, 2021, purchases of property and equipment were $388,000, primarily reflecting</w:t>
      </w:r>
      <w:r>
        <w:rPr>
          <w:rFonts w:ascii="Arial" w:cs="Arial" w:eastAsia="Arial" w:hAnsi="Arial"/>
          <w:sz w:val="16"/>
          <w:szCs w:val="16"/>
          <w:i w:val="1"/>
          <w:iCs w:val="1"/>
          <w:color w:val="auto"/>
        </w:rPr>
        <w:t xml:space="preserve"> </w:t>
      </w:r>
      <w:r>
        <w:rPr>
          <w:rFonts w:ascii="Arial" w:cs="Arial" w:eastAsia="Arial" w:hAnsi="Arial"/>
          <w:sz w:val="16"/>
          <w:szCs w:val="16"/>
          <w:color w:val="auto"/>
        </w:rPr>
        <w:t>leasehold improvements to our facility in Mt. Laurel, New Jersey which were funded using our working capital. We have no significant commitments for capital expenditures for the balance of 2021; however, depending upon changes in market demand or manufacturing and sales strategies, we may make such purchases or investments as we deem necessary and appropriate. These additional cash requirements would be funded by our cash and cash equivalents, anticipated net cash to be provided by operations and our revolving credit facility.</w:t>
      </w:r>
    </w:p>
    <w:p>
      <w:pPr>
        <w:spacing w:after="0" w:line="16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During the three months ended March 31, 2021, we received $717,000 as a result of the exercise of options to acquire 99,740</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stock. These options were issued to certain current and former employees under our stock-based compensation plans which are discussed in Note 10 to our consolidated financial statements in this Report.</w:t>
      </w:r>
    </w:p>
    <w:p>
      <w:pPr>
        <w:spacing w:after="0" w:line="18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81280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460"/>
          </w:cols>
          <w:pgMar w:left="1100" w:top="579" w:right="339" w:bottom="1440" w:gutter="0" w:footer="0" w:header="0"/>
        </w:sectPr>
      </w:pPr>
    </w:p>
    <w:bookmarkStart w:id="29" w:name="page30"/>
    <w:bookmarkEnd w:id="29"/>
    <w:p>
      <w:pPr>
        <w:ind w:left="78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24" w:lineRule="exact"/>
        <w:rPr>
          <w:sz w:val="20"/>
          <w:szCs w:val="20"/>
          <w:color w:val="auto"/>
        </w:rPr>
      </w:pPr>
    </w:p>
    <w:p>
      <w:pPr>
        <w:ind w:left="780" w:right="420"/>
        <w:spacing w:after="0" w:line="270" w:lineRule="auto"/>
        <w:rPr>
          <w:sz w:val="20"/>
          <w:szCs w:val="20"/>
          <w:color w:val="auto"/>
        </w:rPr>
      </w:pPr>
      <w:r>
        <w:rPr>
          <w:rFonts w:ascii="Arial" w:cs="Arial" w:eastAsia="Arial" w:hAnsi="Arial"/>
          <w:sz w:val="18"/>
          <w:szCs w:val="18"/>
          <w:color w:val="auto"/>
        </w:rPr>
        <w:t>See the Notes to our consolidated financial statements for information concerning the implementation and impact of new or recently adopted accounting standards.</w:t>
      </w:r>
    </w:p>
    <w:p>
      <w:pPr>
        <w:spacing w:after="0" w:line="171"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4" w:lineRule="exact"/>
        <w:rPr>
          <w:sz w:val="20"/>
          <w:szCs w:val="20"/>
          <w:color w:val="auto"/>
        </w:rPr>
      </w:pPr>
    </w:p>
    <w:p>
      <w:pPr>
        <w:ind w:left="780"/>
        <w:spacing w:after="0" w:line="265" w:lineRule="auto"/>
        <w:rPr>
          <w:sz w:val="20"/>
          <w:szCs w:val="20"/>
          <w:color w:val="auto"/>
        </w:rPr>
      </w:pPr>
      <w:r>
        <w:rPr>
          <w:rFonts w:ascii="Arial" w:cs="Arial" w:eastAsia="Arial" w:hAnsi="Arial"/>
          <w:sz w:val="17"/>
          <w:szCs w:val="17"/>
          <w:color w:val="auto"/>
        </w:rPr>
        <w:t>The preparation of consolidated financial statements in conformity with GAAP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March 31, 2021, there have been no significant changes to the accounting estimates that we have deemed critical other than the change in accounting estimate that is discussed in Note 2 to our consolidated financial statements in this Report. Our critical accounting estimates are more fully described in our 2020 Form 10-K.</w:t>
      </w:r>
    </w:p>
    <w:p>
      <w:pPr>
        <w:spacing w:after="0" w:line="184"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24" w:lineRule="exact"/>
        <w:rPr>
          <w:sz w:val="20"/>
          <w:szCs w:val="20"/>
          <w:color w:val="auto"/>
        </w:rPr>
      </w:pPr>
    </w:p>
    <w:p>
      <w:pPr>
        <w:ind w:left="780" w:right="60"/>
        <w:spacing w:after="0" w:line="258" w:lineRule="auto"/>
        <w:rPr>
          <w:sz w:val="20"/>
          <w:szCs w:val="20"/>
          <w:color w:val="auto"/>
        </w:rPr>
      </w:pPr>
      <w:r>
        <w:rPr>
          <w:rFonts w:ascii="Arial" w:cs="Arial" w:eastAsia="Arial" w:hAnsi="Arial"/>
          <w:sz w:val="18"/>
          <w:szCs w:val="18"/>
          <w:color w:val="auto"/>
        </w:rPr>
        <w:t>There were no off-balance sheet arrangements during the three months ended March 31, 2021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00" w:lineRule="exact"/>
        <w:rPr>
          <w:sz w:val="20"/>
          <w:szCs w:val="20"/>
          <w:color w:val="auto"/>
        </w:rPr>
      </w:pPr>
    </w:p>
    <w:p>
      <w:pPr>
        <w:spacing w:after="0" w:line="22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0" w:lineRule="exact"/>
        <w:rPr>
          <w:sz w:val="20"/>
          <w:szCs w:val="20"/>
          <w:color w:val="auto"/>
        </w:rPr>
      </w:pPr>
    </w:p>
    <w:p>
      <w:pPr>
        <w:ind w:left="80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4" w:lineRule="exact"/>
        <w:rPr>
          <w:sz w:val="20"/>
          <w:szCs w:val="20"/>
          <w:color w:val="auto"/>
        </w:rPr>
      </w:pPr>
    </w:p>
    <w:p>
      <w:pPr>
        <w:ind w:left="800" w:right="220"/>
        <w:spacing w:after="0" w:line="284" w:lineRule="auto"/>
        <w:rPr>
          <w:sz w:val="20"/>
          <w:szCs w:val="20"/>
          <w:color w:val="auto"/>
        </w:rPr>
      </w:pPr>
      <w:r>
        <w:rPr>
          <w:rFonts w:ascii="Arial" w:cs="Arial" w:eastAsia="Arial" w:hAnsi="Arial"/>
          <w:sz w:val="16"/>
          <w:szCs w:val="16"/>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7" w:lineRule="exact"/>
        <w:rPr>
          <w:sz w:val="20"/>
          <w:szCs w:val="20"/>
          <w:color w:val="auto"/>
        </w:rPr>
      </w:pPr>
    </w:p>
    <w:p>
      <w:pPr>
        <w:ind w:left="800" w:right="140"/>
        <w:spacing w:after="0" w:line="254"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of the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Act, inTEST management, including our CEO and CFO, conducted an evaluation as of the end of the period covered by this Report, of the effectiveness of our disclosure controls and procedures, including the impact of COVID-19. Based on that evaluation, our CEO and CFO concluded that, as of the end of the period covered by this Report, our disclosure controls and procedures were effective at the reasonable assurance level.</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4" w:lineRule="exact"/>
        <w:rPr>
          <w:sz w:val="20"/>
          <w:szCs w:val="20"/>
          <w:color w:val="auto"/>
        </w:rPr>
      </w:pPr>
    </w:p>
    <w:p>
      <w:pPr>
        <w:jc w:val="both"/>
        <w:ind w:left="800" w:right="80"/>
        <w:spacing w:after="0" w:line="255" w:lineRule="auto"/>
        <w:rPr>
          <w:sz w:val="20"/>
          <w:szCs w:val="20"/>
          <w:color w:val="auto"/>
        </w:rPr>
      </w:pPr>
      <w:r>
        <w:rPr>
          <w:rFonts w:ascii="Arial" w:cs="Arial" w:eastAsia="Arial" w:hAnsi="Arial"/>
          <w:sz w:val="18"/>
          <w:szCs w:val="18"/>
          <w:color w:val="auto"/>
        </w:rPr>
        <w:t>During the period covered by this Report,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 We will continue monitoring and assessing any impacts from COVID-19 on our internal controls.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700" w:type="dxa"/>
            <w:vAlign w:val="bottom"/>
            <w:gridSpan w:val="10"/>
          </w:tcPr>
          <w:p>
            <w:pPr>
              <w:ind w:left="1720"/>
              <w:spacing w:after="0"/>
              <w:rPr>
                <w:sz w:val="20"/>
                <w:szCs w:val="20"/>
                <w:color w:val="auto"/>
              </w:rPr>
            </w:pPr>
            <w:r>
              <w:rPr>
                <w:rFonts w:ascii="Arial" w:cs="Arial" w:eastAsia="Arial" w:hAnsi="Arial"/>
                <w:sz w:val="18"/>
                <w:szCs w:val="18"/>
                <w:b w:val="1"/>
                <w:bCs w:val="1"/>
                <w:color w:val="auto"/>
              </w:rPr>
              <w:t>PART II. OTHER INFORMATION</w:t>
            </w:r>
          </w:p>
        </w:tc>
      </w:tr>
      <w:tr>
        <w:trPr>
          <w:trHeight w:val="640"/>
        </w:trPr>
        <w:tc>
          <w:tcPr>
            <w:tcW w:w="7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500" w:type="dxa"/>
            <w:vAlign w:val="bottom"/>
            <w:gridSpan w:val="12"/>
          </w:tcPr>
          <w:p>
            <w:pPr>
              <w:ind w:left="80"/>
              <w:spacing w:after="0"/>
              <w:rPr>
                <w:sz w:val="20"/>
                <w:szCs w:val="20"/>
                <w:color w:val="auto"/>
              </w:rPr>
            </w:pPr>
            <w:r>
              <w:rPr>
                <w:rFonts w:ascii="Arial" w:cs="Arial" w:eastAsia="Arial" w:hAnsi="Arial"/>
                <w:sz w:val="18"/>
                <w:szCs w:val="18"/>
                <w:b w:val="1"/>
                <w:bCs w:val="1"/>
                <w:color w:val="auto"/>
              </w:rPr>
              <w:t>Legal Proceedings</w:t>
            </w:r>
          </w:p>
        </w:tc>
      </w:tr>
      <w:tr>
        <w:trPr>
          <w:trHeight w:val="414"/>
        </w:trPr>
        <w:tc>
          <w:tcPr>
            <w:tcW w:w="720" w:type="dxa"/>
            <w:vAlign w:val="bottom"/>
          </w:tcPr>
          <w:p>
            <w:pPr>
              <w:spacing w:after="0"/>
              <w:rPr>
                <w:sz w:val="24"/>
                <w:szCs w:val="24"/>
                <w:color w:val="auto"/>
              </w:rPr>
            </w:pPr>
          </w:p>
        </w:tc>
        <w:tc>
          <w:tcPr>
            <w:tcW w:w="10500" w:type="dxa"/>
            <w:vAlign w:val="bottom"/>
            <w:gridSpan w:val="12"/>
          </w:tcPr>
          <w:p>
            <w:pPr>
              <w:ind w:left="60"/>
              <w:spacing w:after="0"/>
              <w:rPr>
                <w:sz w:val="20"/>
                <w:szCs w:val="20"/>
                <w:color w:val="auto"/>
              </w:rPr>
            </w:pPr>
            <w:r>
              <w:rPr>
                <w:rFonts w:ascii="Arial" w:cs="Arial" w:eastAsia="Arial" w:hAnsi="Arial"/>
                <w:sz w:val="18"/>
                <w:szCs w:val="18"/>
                <w:color w:val="auto"/>
                <w:w w:val="94"/>
              </w:rPr>
              <w:t>From time to time we may be a party to legal proceedings occurring in the ordinary course of business. We are not currently involved in any</w:t>
            </w:r>
          </w:p>
        </w:tc>
      </w:tr>
      <w:tr>
        <w:trPr>
          <w:trHeight w:val="226"/>
        </w:trPr>
        <w:tc>
          <w:tcPr>
            <w:tcW w:w="720" w:type="dxa"/>
            <w:vAlign w:val="bottom"/>
          </w:tcPr>
          <w:p>
            <w:pPr>
              <w:spacing w:after="0"/>
              <w:rPr>
                <w:sz w:val="19"/>
                <w:szCs w:val="19"/>
                <w:color w:val="auto"/>
              </w:rPr>
            </w:pPr>
          </w:p>
        </w:tc>
        <w:tc>
          <w:tcPr>
            <w:tcW w:w="10500" w:type="dxa"/>
            <w:vAlign w:val="bottom"/>
            <w:gridSpan w:val="12"/>
          </w:tcPr>
          <w:p>
            <w:pPr>
              <w:ind w:left="60"/>
              <w:spacing w:after="0"/>
              <w:rPr>
                <w:sz w:val="20"/>
                <w:szCs w:val="20"/>
                <w:color w:val="auto"/>
              </w:rPr>
            </w:pPr>
            <w:r>
              <w:rPr>
                <w:rFonts w:ascii="Arial" w:cs="Arial" w:eastAsia="Arial" w:hAnsi="Arial"/>
                <w:sz w:val="18"/>
                <w:szCs w:val="18"/>
                <w:color w:val="auto"/>
              </w:rPr>
              <w:t>material legal proceedings.</w:t>
            </w:r>
          </w:p>
        </w:tc>
      </w:tr>
      <w:tr>
        <w:trPr>
          <w:trHeight w:val="640"/>
        </w:trPr>
        <w:tc>
          <w:tcPr>
            <w:tcW w:w="720" w:type="dxa"/>
            <w:vAlign w:val="bottom"/>
          </w:tcPr>
          <w:p>
            <w:pPr>
              <w:spacing w:after="0"/>
              <w:rPr>
                <w:sz w:val="20"/>
                <w:szCs w:val="20"/>
                <w:color w:val="auto"/>
              </w:rPr>
            </w:pPr>
            <w:r>
              <w:rPr>
                <w:rFonts w:ascii="Arial" w:cs="Arial" w:eastAsia="Arial" w:hAnsi="Arial"/>
                <w:sz w:val="18"/>
                <w:szCs w:val="18"/>
                <w:b w:val="1"/>
                <w:bCs w:val="1"/>
                <w:color w:val="auto"/>
                <w:w w:val="99"/>
              </w:rPr>
              <w:t>Item 1A.</w:t>
            </w:r>
          </w:p>
        </w:tc>
        <w:tc>
          <w:tcPr>
            <w:tcW w:w="10500" w:type="dxa"/>
            <w:vAlign w:val="bottom"/>
            <w:gridSpan w:val="12"/>
          </w:tcPr>
          <w:p>
            <w:pPr>
              <w:ind w:left="80"/>
              <w:spacing w:after="0"/>
              <w:rPr>
                <w:sz w:val="20"/>
                <w:szCs w:val="20"/>
                <w:color w:val="auto"/>
              </w:rPr>
            </w:pPr>
            <w:r>
              <w:rPr>
                <w:rFonts w:ascii="Arial" w:cs="Arial" w:eastAsia="Arial" w:hAnsi="Arial"/>
                <w:sz w:val="18"/>
                <w:szCs w:val="18"/>
                <w:b w:val="1"/>
                <w:bCs w:val="1"/>
                <w:color w:val="auto"/>
              </w:rPr>
              <w:t>Risk Factors</w:t>
            </w:r>
          </w:p>
        </w:tc>
      </w:tr>
      <w:tr>
        <w:trPr>
          <w:trHeight w:val="414"/>
        </w:trPr>
        <w:tc>
          <w:tcPr>
            <w:tcW w:w="720" w:type="dxa"/>
            <w:vAlign w:val="bottom"/>
          </w:tcPr>
          <w:p>
            <w:pPr>
              <w:spacing w:after="0"/>
              <w:rPr>
                <w:sz w:val="24"/>
                <w:szCs w:val="24"/>
                <w:color w:val="auto"/>
              </w:rPr>
            </w:pPr>
          </w:p>
        </w:tc>
        <w:tc>
          <w:tcPr>
            <w:tcW w:w="10500" w:type="dxa"/>
            <w:vAlign w:val="bottom"/>
            <w:gridSpan w:val="12"/>
          </w:tcPr>
          <w:p>
            <w:pPr>
              <w:ind w:left="60"/>
              <w:spacing w:after="0"/>
              <w:rPr>
                <w:sz w:val="20"/>
                <w:szCs w:val="20"/>
                <w:color w:val="auto"/>
              </w:rPr>
            </w:pPr>
            <w:r>
              <w:rPr>
                <w:rFonts w:ascii="Arial" w:cs="Arial" w:eastAsia="Arial" w:hAnsi="Arial"/>
                <w:sz w:val="18"/>
                <w:szCs w:val="18"/>
                <w:color w:val="auto"/>
                <w:w w:val="91"/>
              </w:rPr>
              <w:t>Information regarding the primary risks and uncertainties that could materially and adversely affect our future performance or could cause actual</w:t>
            </w:r>
          </w:p>
        </w:tc>
      </w:tr>
      <w:tr>
        <w:trPr>
          <w:trHeight w:val="213"/>
        </w:trPr>
        <w:tc>
          <w:tcPr>
            <w:tcW w:w="720" w:type="dxa"/>
            <w:vAlign w:val="bottom"/>
          </w:tcPr>
          <w:p>
            <w:pPr>
              <w:spacing w:after="0"/>
              <w:rPr>
                <w:sz w:val="18"/>
                <w:szCs w:val="18"/>
                <w:color w:val="auto"/>
              </w:rPr>
            </w:pPr>
          </w:p>
        </w:tc>
        <w:tc>
          <w:tcPr>
            <w:tcW w:w="10500" w:type="dxa"/>
            <w:vAlign w:val="bottom"/>
            <w:gridSpan w:val="12"/>
          </w:tcPr>
          <w:p>
            <w:pPr>
              <w:ind w:left="60"/>
              <w:spacing w:after="0"/>
              <w:rPr>
                <w:sz w:val="20"/>
                <w:szCs w:val="20"/>
                <w:color w:val="auto"/>
              </w:rPr>
            </w:pPr>
            <w:r>
              <w:rPr>
                <w:rFonts w:ascii="Arial" w:cs="Arial" w:eastAsia="Arial" w:hAnsi="Arial"/>
                <w:sz w:val="18"/>
                <w:szCs w:val="18"/>
                <w:color w:val="auto"/>
                <w:w w:val="92"/>
              </w:rPr>
              <w:t>results to differ materially from those expressed or implied in our forward-looking statements, appears in Part I, Item 1A - "Risk Factors" of our</w:t>
            </w:r>
          </w:p>
        </w:tc>
      </w:tr>
      <w:tr>
        <w:trPr>
          <w:trHeight w:val="213"/>
        </w:trPr>
        <w:tc>
          <w:tcPr>
            <w:tcW w:w="720" w:type="dxa"/>
            <w:vAlign w:val="bottom"/>
          </w:tcPr>
          <w:p>
            <w:pPr>
              <w:spacing w:after="0"/>
              <w:rPr>
                <w:sz w:val="18"/>
                <w:szCs w:val="18"/>
                <w:color w:val="auto"/>
              </w:rPr>
            </w:pPr>
          </w:p>
        </w:tc>
        <w:tc>
          <w:tcPr>
            <w:tcW w:w="10500" w:type="dxa"/>
            <w:vAlign w:val="bottom"/>
            <w:gridSpan w:val="12"/>
          </w:tcPr>
          <w:p>
            <w:pPr>
              <w:ind w:left="60"/>
              <w:spacing w:after="0"/>
              <w:rPr>
                <w:sz w:val="20"/>
                <w:szCs w:val="20"/>
                <w:color w:val="auto"/>
              </w:rPr>
            </w:pPr>
            <w:r>
              <w:rPr>
                <w:rFonts w:ascii="Arial" w:cs="Arial" w:eastAsia="Arial" w:hAnsi="Arial"/>
                <w:sz w:val="18"/>
                <w:szCs w:val="18"/>
                <w:color w:val="auto"/>
                <w:w w:val="91"/>
              </w:rPr>
              <w:t>2020 Form 10-K filed with the Securities and Exchange Commission on March 23, 2021. There have been no changes from the risk factors set</w:t>
            </w:r>
          </w:p>
        </w:tc>
      </w:tr>
      <w:tr>
        <w:trPr>
          <w:trHeight w:val="226"/>
        </w:trPr>
        <w:tc>
          <w:tcPr>
            <w:tcW w:w="720" w:type="dxa"/>
            <w:vAlign w:val="bottom"/>
          </w:tcPr>
          <w:p>
            <w:pPr>
              <w:spacing w:after="0"/>
              <w:rPr>
                <w:sz w:val="19"/>
                <w:szCs w:val="19"/>
                <w:color w:val="auto"/>
              </w:rPr>
            </w:pPr>
          </w:p>
        </w:tc>
        <w:tc>
          <w:tcPr>
            <w:tcW w:w="10500" w:type="dxa"/>
            <w:vAlign w:val="bottom"/>
            <w:gridSpan w:val="12"/>
          </w:tcPr>
          <w:p>
            <w:pPr>
              <w:ind w:left="60"/>
              <w:spacing w:after="0"/>
              <w:rPr>
                <w:sz w:val="20"/>
                <w:szCs w:val="20"/>
                <w:color w:val="auto"/>
              </w:rPr>
            </w:pPr>
            <w:r>
              <w:rPr>
                <w:rFonts w:ascii="Arial" w:cs="Arial" w:eastAsia="Arial" w:hAnsi="Arial"/>
                <w:sz w:val="18"/>
                <w:szCs w:val="18"/>
                <w:color w:val="auto"/>
              </w:rPr>
              <w:t>forth in our 2020 Form 10-K.</w:t>
            </w:r>
          </w:p>
        </w:tc>
      </w:tr>
      <w:tr>
        <w:trPr>
          <w:trHeight w:val="640"/>
        </w:trPr>
        <w:tc>
          <w:tcPr>
            <w:tcW w:w="7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0500" w:type="dxa"/>
            <w:vAlign w:val="bottom"/>
            <w:gridSpan w:val="12"/>
          </w:tcPr>
          <w:p>
            <w:pPr>
              <w:ind w:left="80"/>
              <w:spacing w:after="0"/>
              <w:rPr>
                <w:sz w:val="20"/>
                <w:szCs w:val="20"/>
                <w:color w:val="auto"/>
              </w:rPr>
            </w:pPr>
            <w:r>
              <w:rPr>
                <w:rFonts w:ascii="Arial" w:cs="Arial" w:eastAsia="Arial" w:hAnsi="Arial"/>
                <w:sz w:val="18"/>
                <w:szCs w:val="18"/>
                <w:b w:val="1"/>
                <w:bCs w:val="1"/>
                <w:color w:val="auto"/>
              </w:rPr>
              <w:t>Unregistered Sales of Equity Securities and Use of Proceeds</w:t>
            </w:r>
          </w:p>
        </w:tc>
      </w:tr>
      <w:tr>
        <w:trPr>
          <w:trHeight w:val="427"/>
        </w:trPr>
        <w:tc>
          <w:tcPr>
            <w:tcW w:w="720" w:type="dxa"/>
            <w:vAlign w:val="bottom"/>
          </w:tcPr>
          <w:p>
            <w:pPr>
              <w:spacing w:after="0"/>
              <w:rPr>
                <w:sz w:val="24"/>
                <w:szCs w:val="24"/>
                <w:color w:val="auto"/>
              </w:rPr>
            </w:pPr>
          </w:p>
        </w:tc>
        <w:tc>
          <w:tcPr>
            <w:tcW w:w="10500" w:type="dxa"/>
            <w:vAlign w:val="bottom"/>
            <w:gridSpan w:val="12"/>
          </w:tcPr>
          <w:p>
            <w:pPr>
              <w:ind w:left="60"/>
              <w:spacing w:after="0"/>
              <w:rPr>
                <w:sz w:val="20"/>
                <w:szCs w:val="20"/>
                <w:color w:val="auto"/>
              </w:rPr>
            </w:pPr>
            <w:r>
              <w:rPr>
                <w:rFonts w:ascii="Arial" w:cs="Arial" w:eastAsia="Arial" w:hAnsi="Arial"/>
                <w:sz w:val="18"/>
                <w:szCs w:val="18"/>
                <w:color w:val="auto"/>
              </w:rPr>
              <w:t>None.</w:t>
            </w:r>
          </w:p>
        </w:tc>
      </w:tr>
      <w:tr>
        <w:trPr>
          <w:trHeight w:val="640"/>
        </w:trPr>
        <w:tc>
          <w:tcPr>
            <w:tcW w:w="7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500" w:type="dxa"/>
            <w:vAlign w:val="bottom"/>
            <w:gridSpan w:val="12"/>
          </w:tcPr>
          <w:p>
            <w:pPr>
              <w:ind w:left="80"/>
              <w:spacing w:after="0"/>
              <w:rPr>
                <w:sz w:val="20"/>
                <w:szCs w:val="20"/>
                <w:color w:val="auto"/>
              </w:rPr>
            </w:pPr>
            <w:r>
              <w:rPr>
                <w:rFonts w:ascii="Arial" w:cs="Arial" w:eastAsia="Arial" w:hAnsi="Arial"/>
                <w:sz w:val="18"/>
                <w:szCs w:val="18"/>
                <w:b w:val="1"/>
                <w:bCs w:val="1"/>
                <w:color w:val="auto"/>
              </w:rPr>
              <w:t>Defaults Upon Senior Securities</w:t>
            </w:r>
          </w:p>
        </w:tc>
      </w:tr>
      <w:tr>
        <w:trPr>
          <w:trHeight w:val="427"/>
        </w:trPr>
        <w:tc>
          <w:tcPr>
            <w:tcW w:w="720" w:type="dxa"/>
            <w:vAlign w:val="bottom"/>
          </w:tcPr>
          <w:p>
            <w:pPr>
              <w:spacing w:after="0"/>
              <w:rPr>
                <w:sz w:val="24"/>
                <w:szCs w:val="24"/>
                <w:color w:val="auto"/>
              </w:rPr>
            </w:pPr>
          </w:p>
        </w:tc>
        <w:tc>
          <w:tcPr>
            <w:tcW w:w="10500" w:type="dxa"/>
            <w:vAlign w:val="bottom"/>
            <w:gridSpan w:val="12"/>
          </w:tcPr>
          <w:p>
            <w:pPr>
              <w:ind w:left="60"/>
              <w:spacing w:after="0"/>
              <w:rPr>
                <w:sz w:val="20"/>
                <w:szCs w:val="20"/>
                <w:color w:val="auto"/>
              </w:rPr>
            </w:pPr>
            <w:r>
              <w:rPr>
                <w:rFonts w:ascii="Arial" w:cs="Arial" w:eastAsia="Arial" w:hAnsi="Arial"/>
                <w:sz w:val="18"/>
                <w:szCs w:val="18"/>
                <w:color w:val="auto"/>
              </w:rPr>
              <w:t>None.</w:t>
            </w:r>
          </w:p>
        </w:tc>
      </w:tr>
      <w:tr>
        <w:trPr>
          <w:trHeight w:val="640"/>
        </w:trPr>
        <w:tc>
          <w:tcPr>
            <w:tcW w:w="7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500" w:type="dxa"/>
            <w:vAlign w:val="bottom"/>
            <w:gridSpan w:val="12"/>
          </w:tcPr>
          <w:p>
            <w:pPr>
              <w:ind w:left="80"/>
              <w:spacing w:after="0"/>
              <w:rPr>
                <w:sz w:val="20"/>
                <w:szCs w:val="20"/>
                <w:color w:val="auto"/>
              </w:rPr>
            </w:pPr>
            <w:r>
              <w:rPr>
                <w:rFonts w:ascii="Arial" w:cs="Arial" w:eastAsia="Arial" w:hAnsi="Arial"/>
                <w:sz w:val="18"/>
                <w:szCs w:val="18"/>
                <w:b w:val="1"/>
                <w:bCs w:val="1"/>
                <w:color w:val="auto"/>
              </w:rPr>
              <w:t>Mine Safety Disclosures</w:t>
            </w:r>
          </w:p>
        </w:tc>
      </w:tr>
      <w:tr>
        <w:trPr>
          <w:trHeight w:val="427"/>
        </w:trPr>
        <w:tc>
          <w:tcPr>
            <w:tcW w:w="720" w:type="dxa"/>
            <w:vAlign w:val="bottom"/>
          </w:tcPr>
          <w:p>
            <w:pPr>
              <w:spacing w:after="0"/>
              <w:rPr>
                <w:sz w:val="24"/>
                <w:szCs w:val="24"/>
                <w:color w:val="auto"/>
              </w:rPr>
            </w:pPr>
          </w:p>
        </w:tc>
        <w:tc>
          <w:tcPr>
            <w:tcW w:w="10500" w:type="dxa"/>
            <w:vAlign w:val="bottom"/>
            <w:gridSpan w:val="12"/>
          </w:tcPr>
          <w:p>
            <w:pPr>
              <w:ind w:left="60"/>
              <w:spacing w:after="0"/>
              <w:rPr>
                <w:sz w:val="20"/>
                <w:szCs w:val="20"/>
                <w:color w:val="auto"/>
              </w:rPr>
            </w:pPr>
            <w:r>
              <w:rPr>
                <w:rFonts w:ascii="Arial" w:cs="Arial" w:eastAsia="Arial" w:hAnsi="Arial"/>
                <w:sz w:val="18"/>
                <w:szCs w:val="18"/>
                <w:color w:val="auto"/>
              </w:rPr>
              <w:t>Not applicable.</w:t>
            </w:r>
          </w:p>
        </w:tc>
      </w:tr>
      <w:tr>
        <w:trPr>
          <w:trHeight w:val="640"/>
        </w:trPr>
        <w:tc>
          <w:tcPr>
            <w:tcW w:w="7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500" w:type="dxa"/>
            <w:vAlign w:val="bottom"/>
            <w:gridSpan w:val="12"/>
          </w:tcPr>
          <w:p>
            <w:pPr>
              <w:ind w:left="80"/>
              <w:spacing w:after="0"/>
              <w:rPr>
                <w:sz w:val="20"/>
                <w:szCs w:val="20"/>
                <w:color w:val="auto"/>
              </w:rPr>
            </w:pPr>
            <w:r>
              <w:rPr>
                <w:rFonts w:ascii="Arial" w:cs="Arial" w:eastAsia="Arial" w:hAnsi="Arial"/>
                <w:sz w:val="18"/>
                <w:szCs w:val="18"/>
                <w:b w:val="1"/>
                <w:bCs w:val="1"/>
                <w:color w:val="auto"/>
              </w:rPr>
              <w:t>Other Information</w:t>
            </w:r>
          </w:p>
        </w:tc>
      </w:tr>
      <w:tr>
        <w:trPr>
          <w:trHeight w:val="427"/>
        </w:trPr>
        <w:tc>
          <w:tcPr>
            <w:tcW w:w="720" w:type="dxa"/>
            <w:vAlign w:val="bottom"/>
          </w:tcPr>
          <w:p>
            <w:pPr>
              <w:spacing w:after="0"/>
              <w:rPr>
                <w:sz w:val="24"/>
                <w:szCs w:val="24"/>
                <w:color w:val="auto"/>
              </w:rPr>
            </w:pPr>
          </w:p>
        </w:tc>
        <w:tc>
          <w:tcPr>
            <w:tcW w:w="10500" w:type="dxa"/>
            <w:vAlign w:val="bottom"/>
            <w:gridSpan w:val="12"/>
          </w:tcPr>
          <w:p>
            <w:pPr>
              <w:ind w:left="60"/>
              <w:spacing w:after="0"/>
              <w:rPr>
                <w:sz w:val="20"/>
                <w:szCs w:val="20"/>
                <w:color w:val="auto"/>
              </w:rPr>
            </w:pPr>
            <w:r>
              <w:rPr>
                <w:rFonts w:ascii="Arial" w:cs="Arial" w:eastAsia="Arial" w:hAnsi="Arial"/>
                <w:sz w:val="18"/>
                <w:szCs w:val="18"/>
                <w:color w:val="auto"/>
              </w:rPr>
              <w:t>None.</w:t>
            </w:r>
          </w:p>
        </w:tc>
      </w:tr>
      <w:tr>
        <w:trPr>
          <w:trHeight w:val="640"/>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12"/>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88"/>
        </w:trPr>
        <w:tc>
          <w:tcPr>
            <w:tcW w:w="720" w:type="dxa"/>
            <w:vAlign w:val="bottom"/>
          </w:tcPr>
          <w:p>
            <w:pPr>
              <w:ind w:left="320"/>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EE"/>
              </w:rPr>
            </w:pPr>
            <w:hyperlink r:id="rId35">
              <w:r>
                <w:rPr>
                  <w:rFonts w:ascii="Arial" w:cs="Arial" w:eastAsia="Arial" w:hAnsi="Arial"/>
                  <w:sz w:val="18"/>
                  <w:szCs w:val="18"/>
                  <w:color w:val="0000EE"/>
                </w:rPr>
                <w:t>2021 Executive Officer Compensation Plan. (1)(*)</w:t>
              </w:r>
            </w:hyperlink>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3"/>
        </w:trPr>
        <w:tc>
          <w:tcPr>
            <w:tcW w:w="720" w:type="dxa"/>
            <w:vAlign w:val="bottom"/>
          </w:tcPr>
          <w:p>
            <w:pPr>
              <w:ind w:left="320"/>
              <w:spacing w:after="0" w:line="194" w:lineRule="exact"/>
              <w:rPr>
                <w:sz w:val="20"/>
                <w:szCs w:val="20"/>
                <w:color w:val="auto"/>
              </w:rPr>
            </w:pPr>
            <w:r>
              <w:rPr>
                <w:rFonts w:ascii="Arial" w:cs="Arial" w:eastAsia="Arial" w:hAnsi="Arial"/>
                <w:sz w:val="18"/>
                <w:szCs w:val="18"/>
                <w:color w:val="auto"/>
              </w:rPr>
              <w:t>10.2</w:t>
            </w:r>
          </w:p>
        </w:tc>
        <w:tc>
          <w:tcPr>
            <w:tcW w:w="420" w:type="dxa"/>
            <w:vAlign w:val="bottom"/>
          </w:tcPr>
          <w:p>
            <w:pPr>
              <w:spacing w:after="0"/>
              <w:rPr>
                <w:sz w:val="16"/>
                <w:szCs w:val="16"/>
                <w:color w:val="auto"/>
              </w:rPr>
            </w:pPr>
          </w:p>
        </w:tc>
        <w:tc>
          <w:tcPr>
            <w:tcW w:w="3620" w:type="dxa"/>
            <w:vAlign w:val="bottom"/>
            <w:tcBorders>
              <w:bottom w:val="single" w:sz="8" w:color="0000EE"/>
            </w:tcBorders>
            <w:gridSpan w:val="3"/>
          </w:tcPr>
          <w:p>
            <w:pPr>
              <w:spacing w:after="0" w:line="194"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Form of Incentive Stock Option Agreement. (1)(*)</w:t>
              </w:r>
            </w:hyperlink>
          </w:p>
        </w:tc>
        <w:tc>
          <w:tcPr>
            <w:tcW w:w="6460" w:type="dxa"/>
            <w:vAlign w:val="bottom"/>
            <w:gridSpan w:val="8"/>
          </w:tcPr>
          <w:p>
            <w:pPr>
              <w:spacing w:after="0"/>
              <w:rPr>
                <w:sz w:val="16"/>
                <w:szCs w:val="16"/>
                <w:color w:val="auto"/>
              </w:rPr>
            </w:pPr>
          </w:p>
        </w:tc>
      </w:tr>
      <w:tr>
        <w:trPr>
          <w:trHeight w:val="193"/>
        </w:trPr>
        <w:tc>
          <w:tcPr>
            <w:tcW w:w="720" w:type="dxa"/>
            <w:vAlign w:val="bottom"/>
          </w:tcPr>
          <w:p>
            <w:pPr>
              <w:ind w:left="320"/>
              <w:spacing w:after="0" w:line="194" w:lineRule="exact"/>
              <w:rPr>
                <w:sz w:val="20"/>
                <w:szCs w:val="20"/>
                <w:color w:val="auto"/>
              </w:rPr>
            </w:pPr>
            <w:r>
              <w:rPr>
                <w:rFonts w:ascii="Arial" w:cs="Arial" w:eastAsia="Arial" w:hAnsi="Arial"/>
                <w:sz w:val="18"/>
                <w:szCs w:val="18"/>
                <w:color w:val="auto"/>
              </w:rPr>
              <w:t>10.3</w:t>
            </w:r>
          </w:p>
        </w:tc>
        <w:tc>
          <w:tcPr>
            <w:tcW w:w="420" w:type="dxa"/>
            <w:vAlign w:val="bottom"/>
          </w:tcPr>
          <w:p>
            <w:pPr>
              <w:spacing w:after="0"/>
              <w:rPr>
                <w:sz w:val="16"/>
                <w:szCs w:val="16"/>
                <w:color w:val="auto"/>
              </w:rPr>
            </w:pPr>
          </w:p>
        </w:tc>
        <w:tc>
          <w:tcPr>
            <w:tcW w:w="10080" w:type="dxa"/>
            <w:vAlign w:val="bottom"/>
            <w:gridSpan w:val="11"/>
          </w:tcPr>
          <w:p>
            <w:pPr>
              <w:spacing w:after="0" w:line="194" w:lineRule="exact"/>
              <w:rPr>
                <w:rFonts w:ascii="Arial" w:cs="Arial" w:eastAsia="Arial" w:hAnsi="Arial"/>
                <w:sz w:val="18"/>
                <w:szCs w:val="18"/>
                <w:color w:val="0000EE"/>
              </w:rPr>
            </w:pPr>
            <w:hyperlink r:id="rId37">
              <w:r>
                <w:rPr>
                  <w:rFonts w:ascii="Arial" w:cs="Arial" w:eastAsia="Arial" w:hAnsi="Arial"/>
                  <w:sz w:val="18"/>
                  <w:szCs w:val="18"/>
                  <w:color w:val="0000EE"/>
                </w:rPr>
                <w:t>Form of Non-Qualified Stock Option Agreement. (1)(*)</w:t>
              </w:r>
            </w:hyperlink>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3"/>
        </w:trPr>
        <w:tc>
          <w:tcPr>
            <w:tcW w:w="720" w:type="dxa"/>
            <w:vAlign w:val="bottom"/>
          </w:tcPr>
          <w:p>
            <w:pPr>
              <w:ind w:left="320"/>
              <w:spacing w:after="0" w:line="194" w:lineRule="exact"/>
              <w:rPr>
                <w:sz w:val="20"/>
                <w:szCs w:val="20"/>
                <w:color w:val="auto"/>
              </w:rPr>
            </w:pPr>
            <w:r>
              <w:rPr>
                <w:rFonts w:ascii="Arial" w:cs="Arial" w:eastAsia="Arial" w:hAnsi="Arial"/>
                <w:sz w:val="18"/>
                <w:szCs w:val="18"/>
                <w:color w:val="auto"/>
              </w:rPr>
              <w:t>10.4</w:t>
            </w:r>
          </w:p>
        </w:tc>
        <w:tc>
          <w:tcPr>
            <w:tcW w:w="420" w:type="dxa"/>
            <w:vAlign w:val="bottom"/>
          </w:tcPr>
          <w:p>
            <w:pPr>
              <w:spacing w:after="0"/>
              <w:rPr>
                <w:sz w:val="16"/>
                <w:szCs w:val="16"/>
                <w:color w:val="auto"/>
              </w:rPr>
            </w:pPr>
          </w:p>
        </w:tc>
        <w:tc>
          <w:tcPr>
            <w:tcW w:w="10080" w:type="dxa"/>
            <w:vAlign w:val="bottom"/>
            <w:tcBorders>
              <w:bottom w:val="single" w:sz="8" w:color="0000EE"/>
            </w:tcBorders>
            <w:gridSpan w:val="11"/>
          </w:tcPr>
          <w:p>
            <w:pPr>
              <w:spacing w:after="0" w:line="194" w:lineRule="exact"/>
              <w:rPr>
                <w:rFonts w:ascii="Arial" w:cs="Arial" w:eastAsia="Arial" w:hAnsi="Arial"/>
                <w:sz w:val="18"/>
                <w:szCs w:val="18"/>
                <w:color w:val="0000EE"/>
                <w:w w:val="89"/>
              </w:rPr>
            </w:pPr>
            <w:hyperlink r:id="rId38">
              <w:r>
                <w:rPr>
                  <w:rFonts w:ascii="Arial" w:cs="Arial" w:eastAsia="Arial" w:hAnsi="Arial"/>
                  <w:sz w:val="18"/>
                  <w:szCs w:val="18"/>
                  <w:color w:val="0000EE"/>
                  <w:w w:val="89"/>
                </w:rPr>
                <w:t>Second Amendment to Lease Agreement, dated April 7, 2021, by and between inTEST Corporation and Exeter 804 East Gate 2018, LLC. (2)</w:t>
              </w:r>
            </w:hyperlink>
          </w:p>
        </w:tc>
      </w:tr>
      <w:tr>
        <w:trPr>
          <w:trHeight w:val="193"/>
        </w:trPr>
        <w:tc>
          <w:tcPr>
            <w:tcW w:w="720" w:type="dxa"/>
            <w:vAlign w:val="bottom"/>
          </w:tcPr>
          <w:p>
            <w:pPr>
              <w:ind w:left="320"/>
              <w:spacing w:after="0" w:line="194" w:lineRule="exact"/>
              <w:rPr>
                <w:sz w:val="20"/>
                <w:szCs w:val="20"/>
                <w:color w:val="auto"/>
              </w:rPr>
            </w:pPr>
            <w:r>
              <w:rPr>
                <w:rFonts w:ascii="Arial" w:cs="Arial" w:eastAsia="Arial" w:hAnsi="Arial"/>
                <w:sz w:val="18"/>
                <w:szCs w:val="18"/>
                <w:color w:val="auto"/>
              </w:rPr>
              <w:t>10.5</w:t>
            </w:r>
          </w:p>
        </w:tc>
        <w:tc>
          <w:tcPr>
            <w:tcW w:w="420" w:type="dxa"/>
            <w:vAlign w:val="bottom"/>
          </w:tcPr>
          <w:p>
            <w:pPr>
              <w:spacing w:after="0"/>
              <w:rPr>
                <w:sz w:val="16"/>
                <w:szCs w:val="16"/>
                <w:color w:val="auto"/>
              </w:rPr>
            </w:pPr>
          </w:p>
        </w:tc>
        <w:tc>
          <w:tcPr>
            <w:tcW w:w="9900" w:type="dxa"/>
            <w:vAlign w:val="bottom"/>
            <w:tcBorders>
              <w:bottom w:val="single" w:sz="8" w:color="0000EE"/>
            </w:tcBorders>
            <w:gridSpan w:val="10"/>
          </w:tcPr>
          <w:p>
            <w:pPr>
              <w:spacing w:after="0" w:line="194"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Second Amendment to Loan and Security Agreement, dated April 10, 2021 by inTEST Corporation, Ambrell Corporation, inTEST Silicon</w:t>
              </w:r>
            </w:hyperlink>
          </w:p>
        </w:tc>
        <w:tc>
          <w:tcPr>
            <w:tcW w:w="180" w:type="dxa"/>
            <w:vAlign w:val="bottom"/>
          </w:tcPr>
          <w:p>
            <w:pPr>
              <w:spacing w:after="0"/>
              <w:rPr>
                <w:sz w:val="16"/>
                <w:szCs w:val="16"/>
                <w:color w:val="auto"/>
              </w:rPr>
            </w:pPr>
          </w:p>
        </w:tc>
      </w:tr>
      <w:tr>
        <w:trPr>
          <w:trHeight w:val="193"/>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80" w:type="dxa"/>
            <w:vAlign w:val="bottom"/>
            <w:gridSpan w:val="11"/>
          </w:tcPr>
          <w:p>
            <w:pPr>
              <w:spacing w:after="0" w:line="194" w:lineRule="exact"/>
              <w:rPr>
                <w:rFonts w:ascii="Arial" w:cs="Arial" w:eastAsia="Arial" w:hAnsi="Arial"/>
                <w:sz w:val="18"/>
                <w:szCs w:val="18"/>
                <w:color w:val="0000EE"/>
              </w:rPr>
            </w:pPr>
            <w:hyperlink r:id="rId39">
              <w:r>
                <w:rPr>
                  <w:rFonts w:ascii="Arial" w:cs="Arial" w:eastAsia="Arial" w:hAnsi="Arial"/>
                  <w:sz w:val="18"/>
                  <w:szCs w:val="18"/>
                  <w:color w:val="0000EE"/>
                </w:rPr>
                <w:t>Valley Corporation, inTEST EMS, LLC, Temptronic Corporation and M&amp;T Bank. (3)</w:t>
              </w:r>
            </w:hyperlink>
          </w:p>
        </w:tc>
      </w:tr>
      <w:tr>
        <w:trPr>
          <w:trHeight w:val="193"/>
        </w:trPr>
        <w:tc>
          <w:tcPr>
            <w:tcW w:w="720" w:type="dxa"/>
            <w:vAlign w:val="bottom"/>
          </w:tcPr>
          <w:p>
            <w:pPr>
              <w:ind w:left="320"/>
              <w:spacing w:after="0" w:line="194" w:lineRule="exact"/>
              <w:rPr>
                <w:sz w:val="20"/>
                <w:szCs w:val="20"/>
                <w:color w:val="auto"/>
              </w:rPr>
            </w:pPr>
            <w:r>
              <w:rPr>
                <w:rFonts w:ascii="Arial" w:cs="Arial" w:eastAsia="Arial" w:hAnsi="Arial"/>
                <w:sz w:val="18"/>
                <w:szCs w:val="18"/>
                <w:color w:val="auto"/>
              </w:rPr>
              <w:t>10.6</w:t>
            </w:r>
          </w:p>
        </w:tc>
        <w:tc>
          <w:tcPr>
            <w:tcW w:w="420" w:type="dxa"/>
            <w:vAlign w:val="bottom"/>
          </w:tcPr>
          <w:p>
            <w:pPr>
              <w:spacing w:after="0"/>
              <w:rPr>
                <w:sz w:val="16"/>
                <w:szCs w:val="16"/>
                <w:color w:val="auto"/>
              </w:rPr>
            </w:pPr>
          </w:p>
        </w:tc>
        <w:tc>
          <w:tcPr>
            <w:tcW w:w="4600" w:type="dxa"/>
            <w:vAlign w:val="bottom"/>
            <w:tcBorders>
              <w:top w:val="single" w:sz="8" w:color="0000EE"/>
              <w:bottom w:val="single" w:sz="8" w:color="0000EE"/>
            </w:tcBorders>
            <w:gridSpan w:val="5"/>
          </w:tcPr>
          <w:p>
            <w:pPr>
              <w:spacing w:after="0" w:line="194" w:lineRule="exact"/>
              <w:rPr>
                <w:rFonts w:ascii="Arial" w:cs="Arial" w:eastAsia="Arial" w:hAnsi="Arial"/>
                <w:sz w:val="18"/>
                <w:szCs w:val="18"/>
                <w:color w:val="0000EE"/>
                <w:w w:val="89"/>
              </w:rPr>
            </w:pPr>
            <w:hyperlink r:id="rId40">
              <w:r>
                <w:rPr>
                  <w:rFonts w:ascii="Arial" w:cs="Arial" w:eastAsia="Arial" w:hAnsi="Arial"/>
                  <w:sz w:val="18"/>
                  <w:szCs w:val="18"/>
                  <w:color w:val="0000EE"/>
                  <w:w w:val="89"/>
                </w:rPr>
                <w:t>Amended and Restated Revolver Note, dated April 10, 2021. (3)</w:t>
              </w:r>
            </w:hyperlink>
          </w:p>
        </w:tc>
        <w:tc>
          <w:tcPr>
            <w:tcW w:w="1520" w:type="dxa"/>
            <w:vAlign w:val="bottom"/>
            <w:tcBorders>
              <w:top w:val="single" w:sz="8" w:color="0000EE"/>
            </w:tcBorders>
            <w:gridSpan w:val="3"/>
          </w:tcPr>
          <w:p>
            <w:pPr>
              <w:spacing w:after="0"/>
              <w:rPr>
                <w:sz w:val="16"/>
                <w:szCs w:val="16"/>
                <w:color w:val="auto"/>
              </w:rPr>
            </w:pPr>
          </w:p>
        </w:tc>
        <w:tc>
          <w:tcPr>
            <w:tcW w:w="3960" w:type="dxa"/>
            <w:vAlign w:val="bottom"/>
            <w:gridSpan w:val="3"/>
          </w:tcPr>
          <w:p>
            <w:pPr>
              <w:spacing w:after="0"/>
              <w:rPr>
                <w:sz w:val="16"/>
                <w:szCs w:val="16"/>
                <w:color w:val="auto"/>
              </w:rPr>
            </w:pPr>
          </w:p>
        </w:tc>
      </w:tr>
      <w:tr>
        <w:trPr>
          <w:trHeight w:val="193"/>
        </w:trPr>
        <w:tc>
          <w:tcPr>
            <w:tcW w:w="720" w:type="dxa"/>
            <w:vAlign w:val="bottom"/>
          </w:tcPr>
          <w:p>
            <w:pPr>
              <w:ind w:left="320"/>
              <w:spacing w:after="0" w:line="194" w:lineRule="exact"/>
              <w:rPr>
                <w:sz w:val="20"/>
                <w:szCs w:val="20"/>
                <w:color w:val="auto"/>
              </w:rPr>
            </w:pPr>
            <w:r>
              <w:rPr>
                <w:rFonts w:ascii="Arial" w:cs="Arial" w:eastAsia="Arial" w:hAnsi="Arial"/>
                <w:sz w:val="18"/>
                <w:szCs w:val="18"/>
                <w:color w:val="auto"/>
              </w:rPr>
              <w:t>31.1</w:t>
            </w:r>
          </w:p>
        </w:tc>
        <w:tc>
          <w:tcPr>
            <w:tcW w:w="420" w:type="dxa"/>
            <w:vAlign w:val="bottom"/>
          </w:tcPr>
          <w:p>
            <w:pPr>
              <w:spacing w:after="0"/>
              <w:rPr>
                <w:sz w:val="16"/>
                <w:szCs w:val="16"/>
                <w:color w:val="auto"/>
              </w:rPr>
            </w:pPr>
          </w:p>
        </w:tc>
        <w:tc>
          <w:tcPr>
            <w:tcW w:w="10080" w:type="dxa"/>
            <w:vAlign w:val="bottom"/>
            <w:gridSpan w:val="11"/>
          </w:tcPr>
          <w:p>
            <w:pPr>
              <w:spacing w:after="0" w:line="194" w:lineRule="exact"/>
              <w:rPr>
                <w:rFonts w:ascii="Arial" w:cs="Arial" w:eastAsia="Arial" w:hAnsi="Arial"/>
                <w:sz w:val="18"/>
                <w:szCs w:val="18"/>
                <w:color w:val="0000EE"/>
              </w:rPr>
            </w:pPr>
            <w:hyperlink w:anchor="page33">
              <w:r>
                <w:rPr>
                  <w:rFonts w:ascii="Arial" w:cs="Arial" w:eastAsia="Arial" w:hAnsi="Arial"/>
                  <w:sz w:val="18"/>
                  <w:szCs w:val="18"/>
                  <w:color w:val="0000EE"/>
                </w:rPr>
                <w:t>Certification of Chief Executive Officer pursuant to Rule 13a-14(a).</w:t>
              </w:r>
            </w:hyperlink>
          </w:p>
        </w:tc>
      </w:tr>
      <w:tr>
        <w:trPr>
          <w:trHeight w:val="193"/>
        </w:trPr>
        <w:tc>
          <w:tcPr>
            <w:tcW w:w="720" w:type="dxa"/>
            <w:vAlign w:val="bottom"/>
          </w:tcPr>
          <w:p>
            <w:pPr>
              <w:ind w:left="320"/>
              <w:spacing w:after="0" w:line="194" w:lineRule="exact"/>
              <w:rPr>
                <w:sz w:val="20"/>
                <w:szCs w:val="20"/>
                <w:color w:val="auto"/>
              </w:rPr>
            </w:pPr>
            <w:r>
              <w:rPr>
                <w:rFonts w:ascii="Arial" w:cs="Arial" w:eastAsia="Arial" w:hAnsi="Arial"/>
                <w:sz w:val="18"/>
                <w:szCs w:val="18"/>
                <w:color w:val="auto"/>
              </w:rPr>
              <w:t>31.2</w:t>
            </w:r>
          </w:p>
        </w:tc>
        <w:tc>
          <w:tcPr>
            <w:tcW w:w="420" w:type="dxa"/>
            <w:vAlign w:val="bottom"/>
          </w:tcPr>
          <w:p>
            <w:pPr>
              <w:spacing w:after="0"/>
              <w:rPr>
                <w:sz w:val="16"/>
                <w:szCs w:val="16"/>
                <w:color w:val="auto"/>
              </w:rPr>
            </w:pPr>
          </w:p>
        </w:tc>
        <w:tc>
          <w:tcPr>
            <w:tcW w:w="4800" w:type="dxa"/>
            <w:vAlign w:val="bottom"/>
            <w:tcBorders>
              <w:top w:val="single" w:sz="8" w:color="0000EE"/>
              <w:bottom w:val="single" w:sz="8" w:color="0000EE"/>
            </w:tcBorders>
            <w:gridSpan w:val="6"/>
          </w:tcPr>
          <w:p>
            <w:pPr>
              <w:spacing w:after="0" w:line="194"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of Chief Financial Officer pursuant to Rule 13a-14(a).</w:t>
              </w:r>
            </w:hyperlink>
          </w:p>
        </w:tc>
        <w:tc>
          <w:tcPr>
            <w:tcW w:w="40" w:type="dxa"/>
            <w:vAlign w:val="bottom"/>
            <w:tcBorders>
              <w:top w:val="single" w:sz="8" w:color="0000EE"/>
            </w:tcBorders>
          </w:tcPr>
          <w:p>
            <w:pPr>
              <w:spacing w:after="0"/>
              <w:rPr>
                <w:sz w:val="16"/>
                <w:szCs w:val="16"/>
                <w:color w:val="auto"/>
              </w:rPr>
            </w:pPr>
          </w:p>
        </w:tc>
        <w:tc>
          <w:tcPr>
            <w:tcW w:w="5240" w:type="dxa"/>
            <w:vAlign w:val="bottom"/>
            <w:gridSpan w:val="4"/>
          </w:tcPr>
          <w:p>
            <w:pPr>
              <w:spacing w:after="0"/>
              <w:rPr>
                <w:sz w:val="16"/>
                <w:szCs w:val="16"/>
                <w:color w:val="auto"/>
              </w:rPr>
            </w:pPr>
          </w:p>
        </w:tc>
      </w:tr>
      <w:tr>
        <w:trPr>
          <w:trHeight w:val="193"/>
        </w:trPr>
        <w:tc>
          <w:tcPr>
            <w:tcW w:w="720" w:type="dxa"/>
            <w:vAlign w:val="bottom"/>
          </w:tcPr>
          <w:p>
            <w:pPr>
              <w:ind w:left="320"/>
              <w:spacing w:after="0" w:line="194" w:lineRule="exact"/>
              <w:rPr>
                <w:sz w:val="20"/>
                <w:szCs w:val="20"/>
                <w:color w:val="auto"/>
              </w:rPr>
            </w:pPr>
            <w:r>
              <w:rPr>
                <w:rFonts w:ascii="Arial" w:cs="Arial" w:eastAsia="Arial" w:hAnsi="Arial"/>
                <w:sz w:val="18"/>
                <w:szCs w:val="18"/>
                <w:color w:val="auto"/>
              </w:rPr>
              <w:t>32.1</w:t>
            </w:r>
          </w:p>
        </w:tc>
        <w:tc>
          <w:tcPr>
            <w:tcW w:w="420" w:type="dxa"/>
            <w:vAlign w:val="bottom"/>
          </w:tcPr>
          <w:p>
            <w:pPr>
              <w:spacing w:after="0"/>
              <w:rPr>
                <w:sz w:val="16"/>
                <w:szCs w:val="16"/>
                <w:color w:val="auto"/>
              </w:rPr>
            </w:pPr>
          </w:p>
        </w:tc>
        <w:tc>
          <w:tcPr>
            <w:tcW w:w="9900" w:type="dxa"/>
            <w:vAlign w:val="bottom"/>
            <w:tcBorders>
              <w:bottom w:val="single" w:sz="8" w:color="0000EE"/>
            </w:tcBorders>
            <w:gridSpan w:val="10"/>
          </w:tcPr>
          <w:p>
            <w:pPr>
              <w:spacing w:after="0" w:line="194"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Certification of Chief Executive Officer furnished pursuant to 18 U.S.C. Section 1350, as adopted pursuant to Section 906 of the Sarbanes-</w:t>
              </w:r>
            </w:hyperlink>
          </w:p>
        </w:tc>
        <w:tc>
          <w:tcPr>
            <w:tcW w:w="180" w:type="dxa"/>
            <w:vAlign w:val="bottom"/>
          </w:tcPr>
          <w:p>
            <w:pPr>
              <w:spacing w:after="0"/>
              <w:rPr>
                <w:sz w:val="16"/>
                <w:szCs w:val="16"/>
                <w:color w:val="auto"/>
              </w:rPr>
            </w:pPr>
          </w:p>
        </w:tc>
      </w:tr>
      <w:tr>
        <w:trPr>
          <w:trHeight w:val="193"/>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Borders>
              <w:bottom w:val="single" w:sz="8" w:color="0000EE"/>
            </w:tcBorders>
          </w:tcPr>
          <w:p>
            <w:pPr>
              <w:spacing w:after="0" w:line="194"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Oxley Act of 2002.</w:t>
              </w:r>
            </w:hyperlink>
          </w:p>
        </w:tc>
        <w:tc>
          <w:tcPr>
            <w:tcW w:w="8700" w:type="dxa"/>
            <w:vAlign w:val="bottom"/>
            <w:gridSpan w:val="10"/>
          </w:tcPr>
          <w:p>
            <w:pPr>
              <w:spacing w:after="0"/>
              <w:rPr>
                <w:sz w:val="16"/>
                <w:szCs w:val="16"/>
                <w:color w:val="auto"/>
              </w:rPr>
            </w:pPr>
          </w:p>
        </w:tc>
      </w:tr>
      <w:tr>
        <w:trPr>
          <w:trHeight w:val="193"/>
        </w:trPr>
        <w:tc>
          <w:tcPr>
            <w:tcW w:w="720" w:type="dxa"/>
            <w:vAlign w:val="bottom"/>
          </w:tcPr>
          <w:p>
            <w:pPr>
              <w:ind w:left="320"/>
              <w:spacing w:after="0" w:line="194" w:lineRule="exact"/>
              <w:rPr>
                <w:sz w:val="20"/>
                <w:szCs w:val="20"/>
                <w:color w:val="auto"/>
              </w:rPr>
            </w:pPr>
            <w:r>
              <w:rPr>
                <w:rFonts w:ascii="Arial" w:cs="Arial" w:eastAsia="Arial" w:hAnsi="Arial"/>
                <w:sz w:val="18"/>
                <w:szCs w:val="18"/>
                <w:color w:val="auto"/>
              </w:rPr>
              <w:t>32.2</w:t>
            </w:r>
          </w:p>
        </w:tc>
        <w:tc>
          <w:tcPr>
            <w:tcW w:w="420" w:type="dxa"/>
            <w:vAlign w:val="bottom"/>
          </w:tcPr>
          <w:p>
            <w:pPr>
              <w:spacing w:after="0"/>
              <w:rPr>
                <w:sz w:val="16"/>
                <w:szCs w:val="16"/>
                <w:color w:val="auto"/>
              </w:rPr>
            </w:pPr>
          </w:p>
        </w:tc>
        <w:tc>
          <w:tcPr>
            <w:tcW w:w="10080" w:type="dxa"/>
            <w:vAlign w:val="bottom"/>
            <w:gridSpan w:val="11"/>
          </w:tcPr>
          <w:p>
            <w:pPr>
              <w:spacing w:after="0" w:line="194"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Certification of Chief Financial Officer furnished pursuant to 18 U.S.C. Section 1350, as adopted pursuant to Section 906 of the Sarbanes-</w:t>
              </w:r>
            </w:hyperlink>
          </w:p>
        </w:tc>
      </w:tr>
      <w:tr>
        <w:trPr>
          <w:trHeight w:val="193"/>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Oxley Act of 2002.</w:t>
              </w:r>
            </w:hyperlink>
          </w:p>
        </w:tc>
        <w:tc>
          <w:tcPr>
            <w:tcW w:w="8460" w:type="dxa"/>
            <w:vAlign w:val="bottom"/>
            <w:tcBorders>
              <w:top w:val="single" w:sz="8" w:color="0000EE"/>
            </w:tcBorders>
            <w:gridSpan w:val="8"/>
          </w:tcPr>
          <w:p>
            <w:pPr>
              <w:spacing w:after="0"/>
              <w:rPr>
                <w:sz w:val="16"/>
                <w:szCs w:val="16"/>
                <w:color w:val="auto"/>
              </w:rPr>
            </w:pPr>
          </w:p>
        </w:tc>
        <w:tc>
          <w:tcPr>
            <w:tcW w:w="240" w:type="dxa"/>
            <w:vAlign w:val="bottom"/>
            <w:gridSpan w:val="2"/>
          </w:tcPr>
          <w:p>
            <w:pPr>
              <w:spacing w:after="0"/>
              <w:rPr>
                <w:sz w:val="16"/>
                <w:szCs w:val="16"/>
                <w:color w:val="auto"/>
              </w:rPr>
            </w:pPr>
          </w:p>
        </w:tc>
      </w:tr>
      <w:tr>
        <w:trPr>
          <w:trHeight w:val="219"/>
        </w:trPr>
        <w:tc>
          <w:tcPr>
            <w:tcW w:w="1140" w:type="dxa"/>
            <w:vAlign w:val="bottom"/>
            <w:gridSpan w:val="2"/>
          </w:tcPr>
          <w:p>
            <w:pPr>
              <w:ind w:left="320"/>
              <w:spacing w:after="0"/>
              <w:rPr>
                <w:sz w:val="20"/>
                <w:szCs w:val="20"/>
                <w:color w:val="auto"/>
              </w:rPr>
            </w:pPr>
            <w:r>
              <w:rPr>
                <w:rFonts w:ascii="Arial" w:cs="Arial" w:eastAsia="Arial" w:hAnsi="Arial"/>
                <w:sz w:val="18"/>
                <w:szCs w:val="18"/>
                <w:color w:val="auto"/>
              </w:rPr>
              <w:t>101.INS</w:t>
            </w:r>
          </w:p>
        </w:tc>
        <w:tc>
          <w:tcPr>
            <w:tcW w:w="10080" w:type="dxa"/>
            <w:vAlign w:val="bottom"/>
            <w:gridSpan w:val="11"/>
          </w:tcPr>
          <w:p>
            <w:pPr>
              <w:spacing w:after="0"/>
              <w:rPr>
                <w:sz w:val="20"/>
                <w:szCs w:val="20"/>
                <w:color w:val="auto"/>
              </w:rPr>
            </w:pPr>
            <w:r>
              <w:rPr>
                <w:rFonts w:ascii="Arial" w:cs="Arial" w:eastAsia="Arial" w:hAnsi="Arial"/>
                <w:sz w:val="18"/>
                <w:szCs w:val="18"/>
                <w:color w:val="auto"/>
              </w:rPr>
              <w:t>XBRL Taxonomy Instance Document</w:t>
            </w:r>
          </w:p>
        </w:tc>
      </w:tr>
      <w:tr>
        <w:trPr>
          <w:trHeight w:val="213"/>
        </w:trPr>
        <w:tc>
          <w:tcPr>
            <w:tcW w:w="1140" w:type="dxa"/>
            <w:vAlign w:val="bottom"/>
            <w:gridSpan w:val="2"/>
          </w:tcPr>
          <w:p>
            <w:pPr>
              <w:ind w:left="320"/>
              <w:spacing w:after="0"/>
              <w:rPr>
                <w:sz w:val="20"/>
                <w:szCs w:val="20"/>
                <w:color w:val="auto"/>
              </w:rPr>
            </w:pPr>
            <w:r>
              <w:rPr>
                <w:rFonts w:ascii="Arial" w:cs="Arial" w:eastAsia="Arial" w:hAnsi="Arial"/>
                <w:sz w:val="18"/>
                <w:szCs w:val="18"/>
                <w:color w:val="auto"/>
              </w:rPr>
              <w:t>101.SCH</w:t>
            </w:r>
          </w:p>
        </w:tc>
        <w:tc>
          <w:tcPr>
            <w:tcW w:w="1008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3"/>
        </w:trPr>
        <w:tc>
          <w:tcPr>
            <w:tcW w:w="1140" w:type="dxa"/>
            <w:vAlign w:val="bottom"/>
            <w:gridSpan w:val="2"/>
          </w:tcPr>
          <w:p>
            <w:pPr>
              <w:ind w:left="320"/>
              <w:spacing w:after="0"/>
              <w:rPr>
                <w:sz w:val="20"/>
                <w:szCs w:val="20"/>
                <w:color w:val="auto"/>
              </w:rPr>
            </w:pPr>
            <w:r>
              <w:rPr>
                <w:rFonts w:ascii="Arial" w:cs="Arial" w:eastAsia="Arial" w:hAnsi="Arial"/>
                <w:sz w:val="18"/>
                <w:szCs w:val="18"/>
                <w:color w:val="auto"/>
              </w:rPr>
              <w:t>101.CAL</w:t>
            </w:r>
          </w:p>
        </w:tc>
        <w:tc>
          <w:tcPr>
            <w:tcW w:w="1008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3"/>
        </w:trPr>
        <w:tc>
          <w:tcPr>
            <w:tcW w:w="1140" w:type="dxa"/>
            <w:vAlign w:val="bottom"/>
            <w:gridSpan w:val="2"/>
          </w:tcPr>
          <w:p>
            <w:pPr>
              <w:ind w:left="320"/>
              <w:spacing w:after="0"/>
              <w:rPr>
                <w:sz w:val="20"/>
                <w:szCs w:val="20"/>
                <w:color w:val="auto"/>
              </w:rPr>
            </w:pPr>
            <w:r>
              <w:rPr>
                <w:rFonts w:ascii="Arial" w:cs="Arial" w:eastAsia="Arial" w:hAnsi="Arial"/>
                <w:sz w:val="18"/>
                <w:szCs w:val="18"/>
                <w:color w:val="auto"/>
              </w:rPr>
              <w:t>101.DEF</w:t>
            </w:r>
          </w:p>
        </w:tc>
        <w:tc>
          <w:tcPr>
            <w:tcW w:w="1008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3"/>
        </w:trPr>
        <w:tc>
          <w:tcPr>
            <w:tcW w:w="1140" w:type="dxa"/>
            <w:vAlign w:val="bottom"/>
            <w:gridSpan w:val="2"/>
          </w:tcPr>
          <w:p>
            <w:pPr>
              <w:ind w:left="320"/>
              <w:spacing w:after="0"/>
              <w:rPr>
                <w:sz w:val="20"/>
                <w:szCs w:val="20"/>
                <w:color w:val="auto"/>
              </w:rPr>
            </w:pPr>
            <w:r>
              <w:rPr>
                <w:rFonts w:ascii="Arial" w:cs="Arial" w:eastAsia="Arial" w:hAnsi="Arial"/>
                <w:sz w:val="18"/>
                <w:szCs w:val="18"/>
                <w:color w:val="auto"/>
              </w:rPr>
              <w:t>101.LAB</w:t>
            </w:r>
          </w:p>
        </w:tc>
        <w:tc>
          <w:tcPr>
            <w:tcW w:w="1008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26"/>
        </w:trPr>
        <w:tc>
          <w:tcPr>
            <w:tcW w:w="1140" w:type="dxa"/>
            <w:vAlign w:val="bottom"/>
            <w:gridSpan w:val="2"/>
          </w:tcPr>
          <w:p>
            <w:pPr>
              <w:ind w:left="320"/>
              <w:spacing w:after="0"/>
              <w:rPr>
                <w:sz w:val="20"/>
                <w:szCs w:val="20"/>
                <w:color w:val="auto"/>
              </w:rPr>
            </w:pPr>
            <w:r>
              <w:rPr>
                <w:rFonts w:ascii="Arial" w:cs="Arial" w:eastAsia="Arial" w:hAnsi="Arial"/>
                <w:sz w:val="18"/>
                <w:szCs w:val="18"/>
                <w:color w:val="auto"/>
              </w:rPr>
              <w:t>101.PRE</w:t>
            </w:r>
          </w:p>
        </w:tc>
        <w:tc>
          <w:tcPr>
            <w:tcW w:w="1008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ind w:left="640" w:right="380" w:hanging="313"/>
        <w:spacing w:after="0" w:line="25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March 10, 2021, File No. 001-36117, filed March 16, 2021, and incorporated herein by reference.</w:t>
      </w:r>
    </w:p>
    <w:p>
      <w:pPr>
        <w:ind w:left="640" w:right="140" w:hanging="313"/>
        <w:spacing w:after="0" w:line="24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April 7, 2021, File No. 001-36117, filed April 13, 2021, and incorporated herein by reference.</w:t>
      </w:r>
    </w:p>
    <w:p>
      <w:pPr>
        <w:ind w:left="640" w:right="60" w:hanging="313"/>
        <w:spacing w:after="0" w:line="24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April 10, 2021, File No. 001-36117, filed April 14, 2021, and incorporated herein by reference.</w:t>
      </w:r>
    </w:p>
    <w:p>
      <w:pPr>
        <w:spacing w:after="0" w:line="1" w:lineRule="exact"/>
        <w:rPr>
          <w:sz w:val="20"/>
          <w:szCs w:val="20"/>
          <w:color w:val="auto"/>
        </w:rPr>
      </w:pPr>
    </w:p>
    <w:p>
      <w:pPr>
        <w:ind w:left="5480" w:right="1200" w:hanging="5153"/>
        <w:spacing w:after="0" w:line="533" w:lineRule="auto"/>
        <w:tabs>
          <w:tab w:leader="none" w:pos="6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directors or executive officers participate.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886" w:gutter="0" w:footer="0" w:header="0"/>
        </w:sectPr>
      </w:pPr>
    </w:p>
    <w:bookmarkStart w:id="31" w:name="page32"/>
    <w:bookmarkEnd w:id="31"/>
    <w:p>
      <w:pPr>
        <w:jc w:val="center"/>
        <w:ind w:right="-55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4" w:lineRule="exact"/>
        <w:rPr>
          <w:sz w:val="20"/>
          <w:szCs w:val="20"/>
          <w:color w:val="auto"/>
        </w:rPr>
      </w:pPr>
    </w:p>
    <w:p>
      <w:pPr>
        <w:ind w:left="54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940" w:type="dxa"/>
            <w:vAlign w:val="bottom"/>
            <w:gridSpan w:val="4"/>
          </w:tcPr>
          <w:p>
            <w:pPr>
              <w:ind w:left="1480"/>
              <w:spacing w:after="0"/>
              <w:rPr>
                <w:sz w:val="20"/>
                <w:szCs w:val="20"/>
                <w:color w:val="auto"/>
              </w:rPr>
            </w:pPr>
            <w:r>
              <w:rPr>
                <w:rFonts w:ascii="Arial" w:cs="Arial" w:eastAsia="Arial" w:hAnsi="Arial"/>
                <w:sz w:val="18"/>
                <w:szCs w:val="18"/>
                <w:b w:val="1"/>
                <w:bCs w:val="1"/>
                <w:color w:val="auto"/>
              </w:rPr>
              <w:t>inTEST Corporation</w:t>
            </w:r>
          </w:p>
        </w:tc>
      </w:tr>
      <w:tr>
        <w:trPr>
          <w:trHeight w:val="815"/>
        </w:trPr>
        <w:tc>
          <w:tcPr>
            <w:tcW w:w="2920" w:type="dxa"/>
            <w:vAlign w:val="bottom"/>
            <w:gridSpan w:val="3"/>
          </w:tcPr>
          <w:p>
            <w:pPr>
              <w:spacing w:after="0"/>
              <w:rPr>
                <w:sz w:val="20"/>
                <w:szCs w:val="20"/>
                <w:color w:val="auto"/>
              </w:rPr>
            </w:pPr>
            <w:r>
              <w:rPr>
                <w:rFonts w:ascii="Arial" w:cs="Arial" w:eastAsia="Arial" w:hAnsi="Arial"/>
                <w:sz w:val="18"/>
                <w:szCs w:val="18"/>
                <w:color w:val="auto"/>
              </w:rPr>
              <w:t>Date: May 13, 2021</w:t>
            </w:r>
          </w:p>
        </w:tc>
        <w:tc>
          <w:tcPr>
            <w:tcW w:w="4940" w:type="dxa"/>
            <w:vAlign w:val="bottom"/>
            <w:gridSpan w:val="4"/>
          </w:tcPr>
          <w:p>
            <w:pPr>
              <w:ind w:left="1480"/>
              <w:spacing w:after="0"/>
              <w:rPr>
                <w:sz w:val="20"/>
                <w:szCs w:val="20"/>
                <w:color w:val="auto"/>
              </w:rPr>
            </w:pPr>
            <w:r>
              <w:rPr>
                <w:rFonts w:ascii="Arial" w:cs="Arial" w:eastAsia="Arial" w:hAnsi="Arial"/>
                <w:sz w:val="18"/>
                <w:szCs w:val="18"/>
                <w:color w:val="auto"/>
              </w:rPr>
              <w:t>/s/ Richard N. Grant, Jr.</w:t>
            </w:r>
          </w:p>
        </w:tc>
      </w:tr>
      <w:tr>
        <w:trPr>
          <w:trHeight w:val="20"/>
        </w:trPr>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9"/>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940" w:type="dxa"/>
            <w:vAlign w:val="bottom"/>
            <w:gridSpan w:val="4"/>
          </w:tcPr>
          <w:p>
            <w:pPr>
              <w:ind w:left="1480"/>
              <w:spacing w:after="0"/>
              <w:rPr>
                <w:sz w:val="20"/>
                <w:szCs w:val="20"/>
                <w:color w:val="auto"/>
              </w:rPr>
            </w:pPr>
            <w:r>
              <w:rPr>
                <w:rFonts w:ascii="Arial" w:cs="Arial" w:eastAsia="Arial" w:hAnsi="Arial"/>
                <w:sz w:val="18"/>
                <w:szCs w:val="18"/>
                <w:color w:val="auto"/>
              </w:rPr>
              <w:t>Richard N. Grant, Jr.</w:t>
            </w:r>
          </w:p>
        </w:tc>
      </w:tr>
      <w:tr>
        <w:trPr>
          <w:trHeight w:val="226"/>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940" w:type="dxa"/>
            <w:vAlign w:val="bottom"/>
            <w:gridSpan w:val="4"/>
          </w:tcPr>
          <w:p>
            <w:pPr>
              <w:ind w:left="148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815"/>
        </w:trPr>
        <w:tc>
          <w:tcPr>
            <w:tcW w:w="2920" w:type="dxa"/>
            <w:vAlign w:val="bottom"/>
            <w:gridSpan w:val="3"/>
          </w:tcPr>
          <w:p>
            <w:pPr>
              <w:spacing w:after="0"/>
              <w:rPr>
                <w:sz w:val="20"/>
                <w:szCs w:val="20"/>
                <w:color w:val="auto"/>
              </w:rPr>
            </w:pPr>
            <w:r>
              <w:rPr>
                <w:rFonts w:ascii="Arial" w:cs="Arial" w:eastAsia="Arial" w:hAnsi="Arial"/>
                <w:sz w:val="18"/>
                <w:szCs w:val="18"/>
                <w:color w:val="auto"/>
              </w:rPr>
              <w:t>Date: May 13, 2021</w:t>
            </w:r>
          </w:p>
        </w:tc>
        <w:tc>
          <w:tcPr>
            <w:tcW w:w="4940" w:type="dxa"/>
            <w:vAlign w:val="bottom"/>
            <w:gridSpan w:val="4"/>
          </w:tcPr>
          <w:p>
            <w:pPr>
              <w:ind w:left="1480"/>
              <w:spacing w:after="0"/>
              <w:rPr>
                <w:sz w:val="20"/>
                <w:szCs w:val="20"/>
                <w:color w:val="auto"/>
              </w:rPr>
            </w:pPr>
            <w:r>
              <w:rPr>
                <w:rFonts w:ascii="Arial" w:cs="Arial" w:eastAsia="Arial" w:hAnsi="Arial"/>
                <w:sz w:val="18"/>
                <w:szCs w:val="18"/>
                <w:color w:val="auto"/>
              </w:rPr>
              <w:t>/s/ Hugh T. Regan, Jr.</w:t>
            </w:r>
          </w:p>
        </w:tc>
      </w:tr>
      <w:tr>
        <w:trPr>
          <w:trHeight w:val="20"/>
        </w:trPr>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r>
      <w:tr>
        <w:trPr>
          <w:trHeight w:val="219"/>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940" w:type="dxa"/>
            <w:vAlign w:val="bottom"/>
            <w:gridSpan w:val="4"/>
          </w:tcPr>
          <w:p>
            <w:pPr>
              <w:ind w:left="1480"/>
              <w:spacing w:after="0"/>
              <w:rPr>
                <w:sz w:val="20"/>
                <w:szCs w:val="20"/>
                <w:color w:val="auto"/>
              </w:rPr>
            </w:pPr>
            <w:r>
              <w:rPr>
                <w:rFonts w:ascii="Arial" w:cs="Arial" w:eastAsia="Arial" w:hAnsi="Arial"/>
                <w:sz w:val="18"/>
                <w:szCs w:val="18"/>
                <w:color w:val="auto"/>
              </w:rPr>
              <w:t>Hugh T. Regan, Jr.</w:t>
            </w:r>
          </w:p>
        </w:tc>
      </w:tr>
      <w:tr>
        <w:trPr>
          <w:trHeight w:val="226"/>
        </w:trPr>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940" w:type="dxa"/>
            <w:vAlign w:val="bottom"/>
            <w:gridSpan w:val="4"/>
          </w:tcPr>
          <w:p>
            <w:pPr>
              <w:ind w:left="1480"/>
              <w:spacing w:after="0"/>
              <w:rPr>
                <w:sz w:val="20"/>
                <w:szCs w:val="20"/>
                <w:color w:val="auto"/>
              </w:rPr>
            </w:pPr>
            <w:r>
              <w:rPr>
                <w:rFonts w:ascii="Arial" w:cs="Arial" w:eastAsia="Arial" w:hAnsi="Arial"/>
                <w:sz w:val="18"/>
                <w:szCs w:val="18"/>
                <w:i w:val="1"/>
                <w:iCs w:val="1"/>
                <w:color w:val="auto"/>
                <w:w w:val="90"/>
              </w:rPr>
              <w:t>Secretary, Treasurer and Chief Financial Officer</w:t>
            </w:r>
          </w:p>
        </w:tc>
      </w:tr>
      <w:tr>
        <w:trPr>
          <w:trHeight w:val="427"/>
        </w:trPr>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20" w:type="dxa"/>
            <w:vAlign w:val="bottom"/>
            <w:gridSpan w:val="2"/>
          </w:tcPr>
          <w:p>
            <w:pPr>
              <w:ind w:left="256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0700"/>
          </w:cols>
          <w:pgMar w:left="320" w:top="575" w:right="8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Richard N. Grant, Jr., certify that:</w:t>
      </w:r>
    </w:p>
    <w:p>
      <w:pPr>
        <w:spacing w:after="0" w:line="220" w:lineRule="exact"/>
        <w:rPr>
          <w:sz w:val="20"/>
          <w:szCs w:val="20"/>
          <w:color w:val="auto"/>
        </w:rPr>
      </w:pPr>
    </w:p>
    <w:p>
      <w:pPr>
        <w:ind w:left="640" w:hanging="31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19" w:lineRule="exact"/>
        <w:rPr>
          <w:rFonts w:ascii="Arial" w:cs="Arial" w:eastAsia="Arial" w:hAnsi="Arial"/>
          <w:sz w:val="18"/>
          <w:szCs w:val="18"/>
          <w:color w:val="auto"/>
        </w:rPr>
      </w:pPr>
    </w:p>
    <w:p>
      <w:pPr>
        <w:ind w:right="260" w:firstLine="327"/>
        <w:spacing w:after="0" w:line="333" w:lineRule="auto"/>
        <w:tabs>
          <w:tab w:leader="none" w:pos="631"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right="220" w:firstLine="327"/>
        <w:spacing w:after="0" w:line="300" w:lineRule="auto"/>
        <w:tabs>
          <w:tab w:leader="none" w:pos="631"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right="220" w:firstLine="327"/>
        <w:spacing w:after="0" w:line="258" w:lineRule="auto"/>
        <w:tabs>
          <w:tab w:leader="none" w:pos="6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8"/>
          <w:szCs w:val="18"/>
          <w:color w:val="auto"/>
        </w:rPr>
      </w:pPr>
    </w:p>
    <w:p>
      <w:pPr>
        <w:ind w:left="320" w:right="220" w:firstLine="327"/>
        <w:spacing w:after="0" w:line="258" w:lineRule="auto"/>
        <w:tabs>
          <w:tab w:leader="none" w:pos="926"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320" w:right="520" w:firstLine="327"/>
        <w:spacing w:after="0" w:line="258" w:lineRule="auto"/>
        <w:tabs>
          <w:tab w:leader="none" w:pos="936"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320" w:right="740" w:firstLine="327"/>
        <w:spacing w:after="0" w:line="333" w:lineRule="auto"/>
        <w:tabs>
          <w:tab w:leader="none" w:pos="926"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ind w:left="320" w:right="60" w:firstLine="327"/>
        <w:spacing w:after="0" w:line="258" w:lineRule="auto"/>
        <w:tabs>
          <w:tab w:leader="none" w:pos="936"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right="160" w:firstLine="327"/>
        <w:spacing w:after="0" w:line="300" w:lineRule="auto"/>
        <w:tabs>
          <w:tab w:leader="none" w:pos="6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320" w:right="120" w:firstLine="327"/>
        <w:spacing w:after="0" w:line="270" w:lineRule="auto"/>
        <w:tabs>
          <w:tab w:leader="none" w:pos="91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320" w:right="100" w:firstLine="327"/>
        <w:spacing w:after="0" w:line="270" w:lineRule="auto"/>
        <w:tabs>
          <w:tab w:leader="none" w:pos="92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13, 2021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auto"/>
        </w:rPr>
        <w:t>/s/ Richard N. Grant, Jr.</w:t>
      </w:r>
    </w:p>
    <w:p>
      <w:pPr>
        <w:spacing w:after="0" w:line="1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Richard N. Grant, Jr.</w:t>
      </w:r>
    </w:p>
    <w:p>
      <w:pPr>
        <w:spacing w:after="0" w:line="6"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Hugh T. Regan, Jr., certify that:</w:t>
      </w:r>
    </w:p>
    <w:p>
      <w:pPr>
        <w:spacing w:after="0" w:line="220" w:lineRule="exact"/>
        <w:rPr>
          <w:sz w:val="20"/>
          <w:szCs w:val="20"/>
          <w:color w:val="auto"/>
        </w:rPr>
      </w:pPr>
    </w:p>
    <w:p>
      <w:pPr>
        <w:ind w:left="640" w:hanging="313"/>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19" w:lineRule="exact"/>
        <w:rPr>
          <w:rFonts w:ascii="Arial" w:cs="Arial" w:eastAsia="Arial" w:hAnsi="Arial"/>
          <w:sz w:val="18"/>
          <w:szCs w:val="18"/>
          <w:color w:val="auto"/>
        </w:rPr>
      </w:pPr>
    </w:p>
    <w:p>
      <w:pPr>
        <w:ind w:right="260" w:firstLine="327"/>
        <w:spacing w:after="0" w:line="333" w:lineRule="auto"/>
        <w:tabs>
          <w:tab w:leader="none" w:pos="6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right="220" w:firstLine="327"/>
        <w:spacing w:after="0" w:line="300" w:lineRule="auto"/>
        <w:tabs>
          <w:tab w:leader="none" w:pos="631"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right="220" w:firstLine="327"/>
        <w:spacing w:after="0" w:line="258"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8"/>
          <w:szCs w:val="18"/>
          <w:color w:val="auto"/>
        </w:rPr>
      </w:pPr>
    </w:p>
    <w:p>
      <w:pPr>
        <w:ind w:left="320" w:right="220" w:firstLine="327"/>
        <w:spacing w:after="0" w:line="258" w:lineRule="auto"/>
        <w:tabs>
          <w:tab w:leader="none" w:pos="92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320" w:right="520" w:firstLine="327"/>
        <w:spacing w:after="0" w:line="258" w:lineRule="auto"/>
        <w:tabs>
          <w:tab w:leader="none" w:pos="93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320" w:right="740" w:firstLine="327"/>
        <w:spacing w:after="0" w:line="333" w:lineRule="auto"/>
        <w:tabs>
          <w:tab w:leader="none" w:pos="926"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ind w:left="320" w:right="60" w:firstLine="327"/>
        <w:spacing w:after="0" w:line="258" w:lineRule="auto"/>
        <w:tabs>
          <w:tab w:leader="none" w:pos="93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right="160" w:firstLine="327"/>
        <w:spacing w:after="0" w:line="300" w:lineRule="auto"/>
        <w:tabs>
          <w:tab w:leader="none" w:pos="6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320" w:right="120" w:firstLine="327"/>
        <w:spacing w:after="0" w:line="270" w:lineRule="auto"/>
        <w:tabs>
          <w:tab w:leader="none" w:pos="91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320" w:right="100" w:firstLine="327"/>
        <w:spacing w:after="0" w:line="270" w:lineRule="auto"/>
        <w:tabs>
          <w:tab w:leader="none" w:pos="92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13, 2021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auto"/>
        </w:rPr>
        <w:t>/s/ Hugh T. Regan, Jr.</w:t>
      </w:r>
    </w:p>
    <w:p>
      <w:pPr>
        <w:spacing w:after="0" w:line="1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Hugh T. Regan, Jr.</w:t>
      </w:r>
    </w:p>
    <w:p>
      <w:pPr>
        <w:spacing w:after="0" w:line="6"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20"/>
        <w:spacing w:after="0" w:line="281" w:lineRule="auto"/>
        <w:rPr>
          <w:sz w:val="20"/>
          <w:szCs w:val="20"/>
          <w:color w:val="auto"/>
        </w:rPr>
      </w:pPr>
      <w:r>
        <w:rPr>
          <w:rFonts w:ascii="Arial" w:cs="Arial" w:eastAsia="Arial" w:hAnsi="Arial"/>
          <w:sz w:val="17"/>
          <w:szCs w:val="17"/>
          <w:color w:val="auto"/>
        </w:rPr>
        <w:t>In connection with the Quarterly Report of inTEST Corporation (the "Company") on Form 10-Q for the period ended March 31, 2021 as filed with the Securities and Exchange Commission on the date hereof (the "Report"), I, Richard N. Grant, Jr., President and Chief Executive Officer of the Company, certify, pursuant to 18 U.S.C. Section 1350, as adopted pursuant to Section 906 of the Sarbanes-Oxley Act of 2002, that:</w:t>
      </w:r>
    </w:p>
    <w:p>
      <w:pPr>
        <w:spacing w:after="0" w:line="167" w:lineRule="exact"/>
        <w:rPr>
          <w:sz w:val="20"/>
          <w:szCs w:val="20"/>
          <w:color w:val="auto"/>
        </w:rPr>
      </w:pPr>
    </w:p>
    <w:p>
      <w:pPr>
        <w:ind w:left="620" w:hanging="6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9" w:lineRule="exact"/>
        <w:rPr>
          <w:rFonts w:ascii="Arial" w:cs="Arial" w:eastAsia="Arial" w:hAnsi="Arial"/>
          <w:sz w:val="18"/>
          <w:szCs w:val="18"/>
          <w:color w:val="auto"/>
        </w:rPr>
      </w:pPr>
    </w:p>
    <w:p>
      <w:pPr>
        <w:ind w:left="620" w:hanging="613"/>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May 13, 2021</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40"/>
        <w:spacing w:after="0"/>
        <w:rPr>
          <w:sz w:val="20"/>
          <w:szCs w:val="20"/>
          <w:color w:val="auto"/>
        </w:rPr>
      </w:pPr>
      <w:r>
        <w:rPr>
          <w:rFonts w:ascii="Arial" w:cs="Arial" w:eastAsia="Arial" w:hAnsi="Arial"/>
          <w:sz w:val="18"/>
          <w:szCs w:val="18"/>
          <w:u w:val="single" w:color="auto"/>
          <w:color w:val="auto"/>
        </w:rPr>
        <w:t>/s/ Richard N. Grant, Jr.</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Richard N. Grant, Jr.</w:t>
      </w:r>
    </w:p>
    <w:p>
      <w:pPr>
        <w:spacing w:after="0" w:line="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In connection with the Quarterly Report of inTEST Corporation (the "Company") on Form 10-Q for the period ended March 31, 2021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150" w:lineRule="exact"/>
        <w:rPr>
          <w:sz w:val="20"/>
          <w:szCs w:val="20"/>
          <w:color w:val="auto"/>
        </w:rPr>
      </w:pPr>
    </w:p>
    <w:p>
      <w:pPr>
        <w:ind w:left="260" w:hanging="253"/>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9" w:lineRule="exact"/>
        <w:rPr>
          <w:rFonts w:ascii="Arial" w:cs="Arial" w:eastAsia="Arial" w:hAnsi="Arial"/>
          <w:sz w:val="18"/>
          <w:szCs w:val="18"/>
          <w:color w:val="auto"/>
        </w:rPr>
      </w:pPr>
    </w:p>
    <w:p>
      <w:pPr>
        <w:ind w:left="260" w:hanging="253"/>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May 13, 2021</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40"/>
        <w:spacing w:after="0"/>
        <w:rPr>
          <w:sz w:val="20"/>
          <w:szCs w:val="20"/>
          <w:color w:val="auto"/>
        </w:rPr>
      </w:pPr>
      <w:r>
        <w:rPr>
          <w:rFonts w:ascii="Arial" w:cs="Arial" w:eastAsia="Arial" w:hAnsi="Arial"/>
          <w:sz w:val="18"/>
          <w:szCs w:val="18"/>
          <w:u w:val="single" w:color="auto"/>
          <w:color w:val="auto"/>
        </w:rPr>
        <w:t>/s/ Hugh T. Regan, Jr.</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Hugh T. Regan, Jr.</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Secretary, Treasurer and 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4"/>
    </w:lvl>
  </w:abstractNum>
  <w:abstractNum w:abstractNumId="5">
    <w:nsid w:val="3352255A"/>
    <w:multiLevelType w:val="hybridMultilevel"/>
    <w:lvl w:ilvl="0">
      <w:lvlJc w:val="left"/>
      <w:lvlText w:val="(%1)"/>
      <w:numFmt w:val="decimal"/>
      <w:start w:val="5"/>
    </w:lvl>
  </w:abstractNum>
  <w:abstractNum w:abstractNumId="6">
    <w:nsid w:val="109CF92E"/>
    <w:multiLevelType w:val="hybridMultilevel"/>
    <w:lvl w:ilvl="0">
      <w:lvlJc w:val="left"/>
      <w:lvlText w:val="(%1)"/>
      <w:numFmt w:val="decimal"/>
      <w:start w:val="6"/>
    </w:lvl>
  </w:abstractNum>
  <w:abstractNum w:abstractNumId="7">
    <w:nsid w:val="DED7263"/>
    <w:multiLevelType w:val="hybridMultilevel"/>
    <w:lvl w:ilvl="0">
      <w:lvlJc w:val="left"/>
      <w:lvlText w:val="(%1)"/>
      <w:numFmt w:val="decimal"/>
      <w:start w:val="8"/>
    </w:lvl>
  </w:abstractNum>
  <w:abstractNum w:abstractNumId="8">
    <w:nsid w:val="7FDCC233"/>
    <w:multiLevelType w:val="hybridMultilevel"/>
    <w:lvl w:ilvl="0">
      <w:lvlJc w:val="left"/>
      <w:lvlText w:val="(%1)"/>
      <w:numFmt w:val="decimal"/>
      <w:start w:val="9"/>
    </w:lvl>
  </w:abstractNum>
  <w:abstractNum w:abstractNumId="9">
    <w:nsid w:val="1BEFD79F"/>
    <w:multiLevelType w:val="hybridMultilevel"/>
    <w:lvl w:ilvl="0">
      <w:lvlJc w:val="left"/>
      <w:lvlText w:val="(%1)"/>
      <w:numFmt w:val="decimal"/>
      <w:start w:val="10"/>
    </w:lvl>
  </w:abstractNum>
  <w:abstractNum w:abstractNumId="10">
    <w:nsid w:val="41A7C4C9"/>
    <w:multiLevelType w:val="hybridMultilevel"/>
    <w:lvl w:ilvl="0">
      <w:lvlJc w:val="left"/>
      <w:lvlText w:val="(%1)"/>
      <w:numFmt w:val="decimal"/>
      <w:start w:val="11"/>
    </w:lvl>
  </w:abstractNum>
  <w:abstractNum w:abstractNumId="11">
    <w:nsid w:val="6B68079A"/>
    <w:multiLevelType w:val="hybridMultilevel"/>
    <w:lvl w:ilvl="0">
      <w:lvlJc w:val="left"/>
      <w:lvlText w:val="(%1)"/>
      <w:numFmt w:val="decimal"/>
      <w:start w:val="12"/>
    </w:lvl>
  </w:abstractNum>
  <w:abstractNum w:abstractNumId="12">
    <w:nsid w:val="4E6AFB66"/>
    <w:multiLevelType w:val="hybridMultilevel"/>
    <w:lvl w:ilvl="0">
      <w:lvlJc w:val="left"/>
      <w:lvlText w:val="(%1)"/>
      <w:numFmt w:val="decimal"/>
      <w:start w:val="14"/>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1" Type="http://schemas.openxmlformats.org/officeDocument/2006/relationships/image" Target="media/image28.png"/><Relationship Id="rId35" Type="http://schemas.openxmlformats.org/officeDocument/2006/relationships/hyperlink" Target="http://www.sec.gov/Archives/edgar/data/1036262/000143774921006160/ex_234025.htm" TargetMode="External"/><Relationship Id="rId36" Type="http://schemas.openxmlformats.org/officeDocument/2006/relationships/hyperlink" Target="http://www.sec.gov/Archives/edgar/data/1036262/000143774921006160/ex_234026.htm" TargetMode="External"/><Relationship Id="rId37" Type="http://schemas.openxmlformats.org/officeDocument/2006/relationships/hyperlink" Target="http://www.sec.gov/Archives/edgar/data/1036262/000143774921006160/ex_234027.htm" TargetMode="External"/><Relationship Id="rId38" Type="http://schemas.openxmlformats.org/officeDocument/2006/relationships/hyperlink" Target="http://www.sec.gov/Archives/edgar/data/1036262/000143774921008828/ex_240270.htm" TargetMode="External"/><Relationship Id="rId39" Type="http://schemas.openxmlformats.org/officeDocument/2006/relationships/hyperlink" Target="http://www.sec.gov/Archives/edgar/data/1036262/000143774921008910/ex_240871.htm" TargetMode="External"/><Relationship Id="rId40" Type="http://schemas.openxmlformats.org/officeDocument/2006/relationships/hyperlink" Target="http://www.sec.gov/Archives/edgar/data/1036262/000143774921008910/ex_24087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2021-05-13T15:44:57Z</dcterms:created>
  <dcterms:modified xsi:type="dcterms:W3CDTF">2021-05-13T15:44:57Z</dcterms:modified>
</cp:coreProperties>
</file>