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FORM 10-K</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8" w:lineRule="exact"/>
        <w:rPr>
          <w:sz w:val="24"/>
          <w:szCs w:val="24"/>
          <w:color w:val="auto"/>
        </w:rPr>
      </w:pPr>
    </w:p>
    <w:p>
      <w:pPr>
        <w:ind w:left="720" w:right="2420" w:hanging="712"/>
        <w:spacing w:after="0" w:line="252" w:lineRule="auto"/>
        <w:tabs>
          <w:tab w:leader="none" w:pos="4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 xml:space="preserve">For the fiscal year ended </w:t>
      </w:r>
      <w:r>
        <w:rPr>
          <w:rFonts w:ascii="Times New Roman" w:cs="Times New Roman" w:eastAsia="Times New Roman" w:hAnsi="Times New Roman"/>
          <w:sz w:val="18"/>
          <w:szCs w:val="18"/>
          <w:u w:val="single" w:color="auto"/>
          <w:color w:val="FF0000"/>
        </w:rPr>
        <w:t>December 31, 2014</w:t>
      </w:r>
      <w:r>
        <w:rPr>
          <w:rFonts w:ascii="Times New Roman" w:cs="Times New Roman" w:eastAsia="Times New Roman" w:hAnsi="Times New Roman"/>
          <w:sz w:val="18"/>
          <w:szCs w:val="18"/>
          <w:color w:val="auto"/>
        </w:rPr>
        <w:t xml:space="preserve"> or</w:t>
      </w:r>
    </w:p>
    <w:p>
      <w:pPr>
        <w:spacing w:after="0" w:line="192" w:lineRule="exact"/>
        <w:rPr>
          <w:sz w:val="24"/>
          <w:szCs w:val="24"/>
          <w:color w:val="auto"/>
        </w:rPr>
      </w:pPr>
    </w:p>
    <w:p>
      <w:pPr>
        <w:ind w:left="720" w:right="2060" w:hanging="712"/>
        <w:spacing w:after="0" w:line="277" w:lineRule="auto"/>
        <w:tabs>
          <w:tab w:leader="none" w:pos="208"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 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__________________ to ___________________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1-36117</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000FF"/>
        </w:rPr>
        <w:t>inTEST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3" w:lineRule="exact"/>
        <w:rPr>
          <w:sz w:val="24"/>
          <w:szCs w:val="24"/>
          <w:color w:val="auto"/>
        </w:rPr>
      </w:pPr>
    </w:p>
    <w:tbl>
      <w:tblPr>
        <w:tblLayout w:type="fixed"/>
        <w:tblInd w:w="1920" w:type="dxa"/>
        <w:tblCellMar>
          <w:top w:w="0" w:type="dxa"/>
          <w:left w:w="0" w:type="dxa"/>
          <w:bottom w:w="0" w:type="dxa"/>
          <w:right w:w="0" w:type="dxa"/>
        </w:tblCellMar>
      </w:tblPr>
      <w:tr>
        <w:trPr>
          <w:trHeight w:val="220"/>
        </w:trPr>
        <w:tc>
          <w:tcPr>
            <w:tcW w:w="4160" w:type="dxa"/>
            <w:vAlign w:val="bottom"/>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4"/>
              </w:rPr>
              <w:t>DELAWARE</w:t>
            </w:r>
          </w:p>
        </w:tc>
        <w:tc>
          <w:tcPr>
            <w:tcW w:w="3060" w:type="dxa"/>
            <w:vAlign w:val="bottom"/>
          </w:tcPr>
          <w:p>
            <w:pPr>
              <w:jc w:val="right"/>
              <w:ind w:right="602"/>
              <w:spacing w:after="0"/>
              <w:rPr>
                <w:sz w:val="20"/>
                <w:szCs w:val="20"/>
                <w:color w:val="auto"/>
              </w:rPr>
            </w:pPr>
            <w:r>
              <w:rPr>
                <w:rFonts w:ascii="Times New Roman" w:cs="Times New Roman" w:eastAsia="Times New Roman" w:hAnsi="Times New Roman"/>
                <w:sz w:val="18"/>
                <w:szCs w:val="18"/>
                <w:b w:val="1"/>
                <w:bCs w:val="1"/>
                <w:color w:val="auto"/>
              </w:rPr>
              <w:t>22-2370659</w:t>
            </w:r>
          </w:p>
        </w:tc>
      </w:tr>
      <w:tr>
        <w:trPr>
          <w:trHeight w:val="174"/>
        </w:trPr>
        <w:tc>
          <w:tcPr>
            <w:tcW w:w="4160" w:type="dxa"/>
            <w:vAlign w:val="bottom"/>
          </w:tcPr>
          <w:p>
            <w:pPr>
              <w:jc w:val="center"/>
              <w:ind w:right="760"/>
              <w:spacing w:after="0"/>
              <w:rPr>
                <w:sz w:val="20"/>
                <w:szCs w:val="20"/>
                <w:color w:val="auto"/>
              </w:rPr>
            </w:pPr>
            <w:r>
              <w:rPr>
                <w:rFonts w:ascii="Times New Roman" w:cs="Times New Roman" w:eastAsia="Times New Roman" w:hAnsi="Times New Roman"/>
                <w:sz w:val="14"/>
                <w:szCs w:val="14"/>
                <w:color w:val="auto"/>
                <w:w w:val="96"/>
              </w:rPr>
              <w:t>(State or Other Jurisdiction of Incorporation or Organization)</w:t>
            </w:r>
          </w:p>
        </w:tc>
        <w:tc>
          <w:tcPr>
            <w:tcW w:w="3060" w:type="dxa"/>
            <w:vAlign w:val="bottom"/>
          </w:tcPr>
          <w:p>
            <w:pPr>
              <w:jc w:val="center"/>
              <w:ind w:left="782"/>
              <w:spacing w:after="0"/>
              <w:rPr>
                <w:sz w:val="20"/>
                <w:szCs w:val="20"/>
                <w:color w:val="auto"/>
              </w:rPr>
            </w:pPr>
            <w:r>
              <w:rPr>
                <w:rFonts w:ascii="Times New Roman" w:cs="Times New Roman" w:eastAsia="Times New Roman" w:hAnsi="Times New Roman"/>
                <w:sz w:val="14"/>
                <w:szCs w:val="14"/>
                <w:color w:val="auto"/>
                <w:w w:val="96"/>
              </w:rPr>
              <w:t>(I.R.S. Employer Identification Number)</w:t>
            </w:r>
          </w:p>
        </w:tc>
      </w:tr>
      <w:tr>
        <w:trPr>
          <w:trHeight w:val="430"/>
        </w:trPr>
        <w:tc>
          <w:tcPr>
            <w:tcW w:w="4160" w:type="dxa"/>
            <w:vAlign w:val="bottom"/>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804 EAST GATE DRIVE, SUITE 200</w:t>
            </w:r>
          </w:p>
        </w:tc>
        <w:tc>
          <w:tcPr>
            <w:tcW w:w="3060" w:type="dxa"/>
            <w:vAlign w:val="bottom"/>
          </w:tcPr>
          <w:p>
            <w:pPr>
              <w:jc w:val="right"/>
              <w:ind w:right="802"/>
              <w:spacing w:after="0"/>
              <w:rPr>
                <w:sz w:val="20"/>
                <w:szCs w:val="20"/>
                <w:color w:val="auto"/>
              </w:rPr>
            </w:pPr>
            <w:r>
              <w:rPr>
                <w:rFonts w:ascii="Times New Roman" w:cs="Times New Roman" w:eastAsia="Times New Roman" w:hAnsi="Times New Roman"/>
                <w:sz w:val="18"/>
                <w:szCs w:val="18"/>
                <w:b w:val="1"/>
                <w:bCs w:val="1"/>
                <w:color w:val="auto"/>
              </w:rPr>
              <w:t>08054</w:t>
            </w:r>
          </w:p>
        </w:tc>
      </w:tr>
      <w:tr>
        <w:trPr>
          <w:trHeight w:val="220"/>
        </w:trPr>
        <w:tc>
          <w:tcPr>
            <w:tcW w:w="4160" w:type="dxa"/>
            <w:vAlign w:val="bottom"/>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MT. LAUREL, NEW JERSEY</w:t>
            </w:r>
          </w:p>
        </w:tc>
        <w:tc>
          <w:tcPr>
            <w:tcW w:w="3060" w:type="dxa"/>
            <w:vAlign w:val="bottom"/>
          </w:tcPr>
          <w:p>
            <w:pPr>
              <w:jc w:val="center"/>
              <w:ind w:left="782"/>
              <w:spacing w:after="0"/>
              <w:rPr>
                <w:sz w:val="20"/>
                <w:szCs w:val="20"/>
                <w:color w:val="auto"/>
              </w:rPr>
            </w:pPr>
            <w:r>
              <w:rPr>
                <w:rFonts w:ascii="Times New Roman" w:cs="Times New Roman" w:eastAsia="Times New Roman" w:hAnsi="Times New Roman"/>
                <w:sz w:val="14"/>
                <w:szCs w:val="14"/>
                <w:color w:val="auto"/>
                <w:w w:val="96"/>
              </w:rPr>
              <w:t>(Zip Code)</w:t>
            </w:r>
          </w:p>
        </w:tc>
      </w:tr>
      <w:tr>
        <w:trPr>
          <w:trHeight w:val="174"/>
        </w:trPr>
        <w:tc>
          <w:tcPr>
            <w:tcW w:w="4160" w:type="dxa"/>
            <w:vAlign w:val="bottom"/>
          </w:tcPr>
          <w:p>
            <w:pPr>
              <w:jc w:val="center"/>
              <w:ind w:right="760"/>
              <w:spacing w:after="0"/>
              <w:rPr>
                <w:sz w:val="20"/>
                <w:szCs w:val="20"/>
                <w:color w:val="auto"/>
              </w:rPr>
            </w:pPr>
            <w:r>
              <w:rPr>
                <w:rFonts w:ascii="Times New Roman" w:cs="Times New Roman" w:eastAsia="Times New Roman" w:hAnsi="Times New Roman"/>
                <w:sz w:val="14"/>
                <w:szCs w:val="14"/>
                <w:color w:val="auto"/>
                <w:w w:val="96"/>
              </w:rPr>
              <w:t>(Address of Principal Executive Offices)</w:t>
            </w:r>
          </w:p>
        </w:tc>
        <w:tc>
          <w:tcPr>
            <w:tcW w:w="3060" w:type="dxa"/>
            <w:vAlign w:val="bottom"/>
          </w:tcPr>
          <w:p>
            <w:pPr>
              <w:spacing w:after="0"/>
              <w:rPr>
                <w:sz w:val="15"/>
                <w:szCs w:val="15"/>
                <w:color w:val="auto"/>
              </w:rPr>
            </w:pP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(856) 505-8800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5" w:lineRule="exact"/>
        <w:rPr>
          <w:sz w:val="24"/>
          <w:szCs w:val="24"/>
          <w:color w:val="auto"/>
        </w:rPr>
      </w:pPr>
    </w:p>
    <w:tbl>
      <w:tblPr>
        <w:tblLayout w:type="fixed"/>
        <w:tblInd w:w="210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20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60" w:type="dxa"/>
            <w:vAlign w:val="bottom"/>
          </w:tcPr>
          <w:p>
            <w:pPr>
              <w:spacing w:after="0"/>
              <w:rPr>
                <w:sz w:val="13"/>
                <w:szCs w:val="13"/>
                <w:color w:val="auto"/>
              </w:rPr>
            </w:pPr>
          </w:p>
        </w:tc>
        <w:tc>
          <w:tcPr>
            <w:tcW w:w="3480" w:type="dxa"/>
            <w:vAlign w:val="bottom"/>
            <w:gridSpan w:val="2"/>
          </w:tcPr>
          <w:p>
            <w:pPr>
              <w:jc w:val="center"/>
              <w:ind w:left="772"/>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84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Common Stock, par value $0.01 per</w:t>
            </w:r>
          </w:p>
        </w:tc>
        <w:tc>
          <w:tcPr>
            <w:tcW w:w="12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NYSE MKT</w:t>
            </w:r>
          </w:p>
        </w:tc>
        <w:tc>
          <w:tcPr>
            <w:tcW w:w="0" w:type="dxa"/>
            <w:vAlign w:val="bottom"/>
          </w:tcPr>
          <w:p>
            <w:pPr>
              <w:spacing w:after="0"/>
              <w:rPr>
                <w:sz w:val="1"/>
                <w:szCs w:val="1"/>
                <w:color w:val="auto"/>
              </w:rPr>
            </w:pPr>
          </w:p>
        </w:tc>
      </w:tr>
    </w:tbl>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58" w:lineRule="exact"/>
        <w:rPr>
          <w:sz w:val="24"/>
          <w:szCs w:val="24"/>
          <w:color w:val="auto"/>
        </w:rPr>
      </w:pPr>
    </w:p>
    <w:p>
      <w:pPr>
        <w:ind w:right="1960"/>
        <w:spacing w:after="0" w:line="339" w:lineRule="auto"/>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 Yes / / No /X/ Indicate by check mark if the registrant is not required to file reports pursuant to Section 13 or Section 15(d) of the Act. Yes / / No /X/</w:t>
      </w:r>
    </w:p>
    <w:p>
      <w:pPr>
        <w:spacing w:after="0" w:line="61" w:lineRule="exact"/>
        <w:rPr>
          <w:sz w:val="24"/>
          <w:szCs w:val="24"/>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19"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 /</w:t>
      </w:r>
    </w:p>
    <w:p>
      <w:pPr>
        <w:spacing w:after="0" w:line="11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19" w:lineRule="exact"/>
        <w:rPr>
          <w:sz w:val="24"/>
          <w:szCs w:val="24"/>
          <w:color w:val="auto"/>
        </w:rPr>
      </w:pPr>
    </w:p>
    <w:p>
      <w:pPr>
        <w:ind w:right="68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ind w:right="3360"/>
        <w:spacing w:after="0" w:line="261" w:lineRule="auto"/>
        <w:rPr>
          <w:sz w:val="20"/>
          <w:szCs w:val="20"/>
          <w:color w:val="auto"/>
        </w:rPr>
      </w:pPr>
      <w:r>
        <w:rPr>
          <w:rFonts w:ascii="Times New Roman" w:cs="Times New Roman" w:eastAsia="Times New Roman" w:hAnsi="Times New Roman"/>
          <w:sz w:val="18"/>
          <w:szCs w:val="18"/>
          <w:color w:val="auto"/>
        </w:rPr>
        <w:t>Large accelerated filer / / Accelerated filer / / Non-accelerated filer (Do not check if a smaller reporting company)/ / Smaller reporting company /X/</w:t>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 Yes / / No /X/</w:t>
      </w:r>
    </w:p>
    <w:p>
      <w:pPr>
        <w:spacing w:after="0" w:line="158" w:lineRule="exact"/>
        <w:rPr>
          <w:sz w:val="24"/>
          <w:szCs w:val="24"/>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computed by reference to the price at which the common equity was last sold on June 30, 2014 (the last business day of the registrant's most recently completed second fiscal quarter), was: $31,037,908.</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March 20, 2015, was 10,562,678.</w:t>
      </w:r>
    </w:p>
    <w:p>
      <w:pPr>
        <w:spacing w:after="0" w:line="225"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5" w:lineRule="exact"/>
        <w:rPr>
          <w:sz w:val="24"/>
          <w:szCs w:val="24"/>
          <w:color w:val="auto"/>
        </w:rPr>
      </w:pPr>
    </w:p>
    <w:p>
      <w:pPr>
        <w:jc w:val="both"/>
        <w:ind w:right="720"/>
        <w:spacing w:after="0" w:line="339" w:lineRule="auto"/>
        <w:rPr>
          <w:sz w:val="20"/>
          <w:szCs w:val="20"/>
          <w:color w:val="auto"/>
        </w:rPr>
      </w:pPr>
      <w:r>
        <w:rPr>
          <w:rFonts w:ascii="Times New Roman" w:cs="Times New Roman" w:eastAsia="Times New Roman" w:hAnsi="Times New Roman"/>
          <w:sz w:val="16"/>
          <w:szCs w:val="16"/>
          <w:color w:val="auto"/>
        </w:rPr>
        <w:t>Portions of the definitive proxy statement of the Registrant for the Registrant's 2015 Annual Meeting of Stockholders, to be filed with the Securities and Exchange Commission within 120 days after the end of the fiscal year covered by this Report, are incorporated by reference into Part III of this Report.</w:t>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828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1"/>
              </w:rPr>
              <w:t>Page</w:t>
            </w:r>
          </w:p>
        </w:tc>
      </w:tr>
      <w:tr>
        <w:trPr>
          <w:trHeight w:val="26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8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bl>
    <w:p>
      <w:pPr>
        <w:sectPr>
          <w:pgSz w:w="11900" w:h="16909" w:orient="portrait"/>
          <w:cols w:equalWidth="0" w:num="1">
            <w:col w:w="11420"/>
          </w:cols>
          <w:pgMar w:left="240" w:top="231" w:right="239" w:bottom="0" w:gutter="0" w:footer="0" w:header="0"/>
        </w:sectPr>
      </w:pPr>
    </w:p>
    <w:bookmarkStart w:id="1" w:name="page2"/>
    <w:bookmarkEnd w:id="1"/>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86"/>
        </w:trPr>
        <w:tc>
          <w:tcPr>
            <w:tcW w:w="700" w:type="dxa"/>
            <w:vAlign w:val="bottom"/>
          </w:tcPr>
          <w:p>
            <w:pPr>
              <w:spacing w:after="0"/>
              <w:rPr>
                <w:sz w:val="24"/>
                <w:szCs w:val="24"/>
                <w:color w:val="auto"/>
              </w:rPr>
            </w:pPr>
          </w:p>
        </w:tc>
        <w:tc>
          <w:tcPr>
            <w:tcW w:w="816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Selected Financial Data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86"/>
        </w:trPr>
        <w:tc>
          <w:tcPr>
            <w:tcW w:w="700" w:type="dxa"/>
            <w:vAlign w:val="bottom"/>
          </w:tcPr>
          <w:p>
            <w:pPr>
              <w:spacing w:after="0"/>
              <w:rPr>
                <w:sz w:val="24"/>
                <w:szCs w:val="24"/>
                <w:color w:val="auto"/>
              </w:rPr>
            </w:pPr>
          </w:p>
        </w:tc>
        <w:tc>
          <w:tcPr>
            <w:tcW w:w="816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00" w:type="dxa"/>
            <w:vAlign w:val="bottom"/>
          </w:tcPr>
          <w:p>
            <w:pPr>
              <w:spacing w:after="0"/>
              <w:rPr>
                <w:sz w:val="24"/>
                <w:szCs w:val="24"/>
                <w:color w:val="auto"/>
              </w:rPr>
            </w:pPr>
          </w:p>
        </w:tc>
      </w:tr>
      <w:tr>
        <w:trPr>
          <w:trHeight w:val="48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Signatures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Index to Exhibits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3"/>
        </w:trPr>
        <w:tc>
          <w:tcPr>
            <w:tcW w:w="700" w:type="dxa"/>
            <w:vAlign w:val="bottom"/>
          </w:tcPr>
          <w:p>
            <w:pPr>
              <w:spacing w:after="0"/>
              <w:rPr>
                <w:sz w:val="21"/>
                <w:szCs w:val="21"/>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Index to Consolidated Financial Statements and Financial Statement Schedule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From time to time, we make written or oral "forward-looking statements" within the meaning of the Private Securities Litigation Reform Act of 1995, including statements contained in our filings with the Securities and Exchange Commission, or SEC, (including this Report on Form 10-K), our annual report to stockholders and in other communications. These statements do not convey historical information, but relate to predicted or potential future events, such as statements of our plans, strategies and intentions, or our future performance or goals. Our forward-looking statements can often be identified by the use of forward-looking terminology such as "believes," "expects," "intends," "may," "will," "should" or "anticipates" or similar terminology, and include, but are not limited to, statements made in this Report regarding:</w:t>
      </w:r>
    </w:p>
    <w:p>
      <w:pPr>
        <w:spacing w:after="0" w:line="153" w:lineRule="exact"/>
        <w:rPr>
          <w:sz w:val="20"/>
          <w:szCs w:val="20"/>
          <w:color w:val="auto"/>
        </w:rPr>
      </w:pPr>
    </w:p>
    <w:p>
      <w:pPr>
        <w:ind w:left="1080" w:right="100"/>
        <w:spacing w:after="0" w:line="255" w:lineRule="auto"/>
        <w:rPr>
          <w:sz w:val="20"/>
          <w:szCs w:val="20"/>
          <w:color w:val="auto"/>
        </w:rPr>
      </w:pPr>
      <w:r>
        <w:rPr>
          <w:rFonts w:ascii="Times New Roman" w:cs="Times New Roman" w:eastAsia="Times New Roman" w:hAnsi="Times New Roman"/>
          <w:sz w:val="18"/>
          <w:szCs w:val="18"/>
          <w:color w:val="auto"/>
        </w:rPr>
        <w:t>the success of our strategy to diversify our business by entering markets outside the IC and ATE markets, including the automotive, consumer electronics, defense/aerospace, energy, industrial and telecommunications markets; the possibility of future acquisitions or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0"/>
        <w:spacing w:after="0" w:line="250" w:lineRule="auto"/>
        <w:rPr>
          <w:sz w:val="20"/>
          <w:szCs w:val="20"/>
          <w:color w:val="auto"/>
        </w:rPr>
      </w:pPr>
      <w:r>
        <w:rPr>
          <w:rFonts w:ascii="Times New Roman" w:cs="Times New Roman" w:eastAsia="Times New Roman" w:hAnsi="Times New Roman"/>
          <w:sz w:val="18"/>
          <w:szCs w:val="18"/>
          <w:color w:val="auto"/>
        </w:rPr>
        <w:t>indications of a change in the market cycles in the integrated circuit, or IC, and automatic test equipment, or ATE, markets or other markets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developments and trends in the IC and ATE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development of new products and technologies by us or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availability of materials used to manufacture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availability of and retention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general economic conditions both domestically and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net revenues generated by foreign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effects of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sufficiency of cash balances, lines of credit and net cash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stock price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ectPr>
          <w:pgSz w:w="11900" w:h="16838" w:orient="portrait"/>
          <w:cols w:equalWidth="0" w:num="1">
            <w:col w:w="11160"/>
          </w:cols>
          <w:pgMar w:left="240" w:top="152" w:right="499" w:bottom="0" w:gutter="0" w:footer="0" w:header="0"/>
        </w:sectPr>
      </w:pPr>
    </w:p>
    <w:bookmarkStart w:id="2" w:name="page3"/>
    <w:bookmarkEnd w:id="2"/>
    <w:p>
      <w:pPr>
        <w:ind w:left="1080"/>
        <w:spacing w:after="0"/>
        <w:rPr>
          <w:sz w:val="20"/>
          <w:szCs w:val="20"/>
          <w:color w:val="auto"/>
        </w:rPr>
      </w:pPr>
      <w:r>
        <w:rPr>
          <w:rFonts w:ascii="Times New Roman" w:cs="Times New Roman" w:eastAsia="Times New Roman" w:hAnsi="Times New Roman"/>
          <w:sz w:val="18"/>
          <w:szCs w:val="18"/>
          <w:color w:val="auto"/>
        </w:rPr>
        <w:t>the anticipated market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costs associated with the implementation of new SEC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40"/>
        <w:spacing w:after="0" w:line="261" w:lineRule="auto"/>
        <w:rPr>
          <w:sz w:val="20"/>
          <w:szCs w:val="20"/>
          <w:color w:val="auto"/>
        </w:rPr>
      </w:pPr>
      <w:r>
        <w:rPr>
          <w:rFonts w:ascii="Times New Roman" w:cs="Times New Roman" w:eastAsia="Times New Roman" w:hAnsi="Times New Roman"/>
          <w:sz w:val="18"/>
          <w:szCs w:val="18"/>
          <w:color w:val="auto"/>
        </w:rPr>
        <w:t>other projections of net revenues, taxable earnings (loss), net earnings (loss), net earnings (loss) per share, capital expenditures and other financial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5"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Investors and prospective investors are cautioned that such forward-looking statements are only projections based on current estimations. These statements involve risks and uncertainties and are based upon various assumptions. We discuss many of these risks and uncertainties under Item 1A "Risk Factors," below, and elsewhere in this Report. These risks and uncertainties, among others, could cause our actual future results to differ materially from those described in our forward-looking statements or from our prior results. We are not obligated to update these forward-looking statements, even though our situation may change in the future.</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INTRODUCTION</w:t>
      </w:r>
    </w:p>
    <w:p>
      <w:pPr>
        <w:spacing w:after="0" w:line="225"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We are an independent designer, manufacturer and marketer of thermal, mechanical and electrical products that are used by semiconductor manufacturers in conjunction with ATE, in the testing of ICs. In addition, in recent years we have marketed our thermal products in markets outside the ATE market, such as the automotive, consumer electronics, defense/aerospace, energy, industrial and telecommunications markets. Our high performance products are designed to enable our customers to improve the efficiency of their test processes and, consequently, their profitability.</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7" w:lineRule="exact"/>
        <w:rPr>
          <w:sz w:val="20"/>
          <w:szCs w:val="20"/>
          <w:color w:val="auto"/>
        </w:rPr>
      </w:pPr>
    </w:p>
    <w:p>
      <w:pPr>
        <w:jc w:val="both"/>
        <w:ind w:left="540"/>
        <w:spacing w:after="0" w:line="301" w:lineRule="auto"/>
        <w:rPr>
          <w:sz w:val="20"/>
          <w:szCs w:val="20"/>
          <w:color w:val="auto"/>
        </w:rPr>
      </w:pPr>
      <w:r>
        <w:rPr>
          <w:rFonts w:ascii="Times New Roman" w:cs="Times New Roman" w:eastAsia="Times New Roman" w:hAnsi="Times New Roman"/>
          <w:sz w:val="16"/>
          <w:szCs w:val="16"/>
          <w:color w:val="auto"/>
        </w:rPr>
        <w:t>We sell our products worldwide. Within the ATE market, we sell our products both directly to major semiconductor manufacturers and semiconductor test subcontractors and indirectly through leading ATE manufacturers. In markets outside the ATE market, we sell our products directly to the end user of the product. Our largest customers include Advanced Semiconductor Engineering, Inc., Analog Devices, Inc., Avago Technologies Limited, Emerson Electric Co., Hakuto Co. Ltd., Linear Technology Corp., NXP Semiconductors N.V., PDF Solutions, Inc., Teradyne, Inc. and Texas Instruments Incorporated.</w:t>
      </w:r>
    </w:p>
    <w:p>
      <w:pPr>
        <w:spacing w:after="0" w:line="157" w:lineRule="exact"/>
        <w:rPr>
          <w:sz w:val="20"/>
          <w:szCs w:val="20"/>
          <w:color w:val="auto"/>
        </w:rPr>
      </w:pPr>
    </w:p>
    <w:p>
      <w:pPr>
        <w:ind w:left="540" w:right="120"/>
        <w:spacing w:after="0" w:line="262" w:lineRule="auto"/>
        <w:rPr>
          <w:sz w:val="20"/>
          <w:szCs w:val="20"/>
          <w:color w:val="auto"/>
        </w:rPr>
      </w:pPr>
      <w:r>
        <w:rPr>
          <w:rFonts w:ascii="Times New Roman" w:cs="Times New Roman" w:eastAsia="Times New Roman" w:hAnsi="Times New Roman"/>
          <w:sz w:val="18"/>
          <w:szCs w:val="18"/>
          <w:color w:val="auto"/>
        </w:rPr>
        <w:t>The consolidated entity is comprised of inTEST Corporation (parent) and our wholly-owned subsidiaries. inTEST Corporation was incorporated in New Jersey in 1981 and reincorporated in Delaware in April 1997. We manage our business as three product segments, as more fully discussed under "Our Segments" below, which consist of our Thermal Products, Mechanical Products and Electrical Products segments.</w:t>
      </w:r>
    </w:p>
    <w:p>
      <w:pPr>
        <w:spacing w:after="0" w:line="18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MARKETS</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7"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Our business has historically focused exclusively on the ATE market, which provides automated test equipment to the semiconductor market; however, since 2009, we have begun to diversify our served markets to address the thermal test requirements of several other markets outside the ATE market. These include the automotive, consumer electronics, defense/aerospace, energy, industrial and telecommunications markets. In the last five years, our net revenues from sales in markets outside the ATE market have ranged from 17% to 30%. As we are a relatively new market entrant in these markets outside the ATE market, our sales into these markets have varied significantly from period to period and we expect they will continue to do so in future periods. One of our goals is to further expand our sales in these markets outside the ATE market. During both 2014 and 2013, our net revenues in markets outside the ATE market were $11.1 million and represented 27% and 28%, respectively, of our total net revenues.</w:t>
      </w:r>
    </w:p>
    <w:p>
      <w:pPr>
        <w:spacing w:after="0" w:line="195" w:lineRule="exact"/>
        <w:rPr>
          <w:sz w:val="20"/>
          <w:szCs w:val="20"/>
          <w:color w:val="auto"/>
        </w:rPr>
      </w:pPr>
    </w:p>
    <w:p>
      <w:pPr>
        <w:ind w:left="540" w:right="40"/>
        <w:spacing w:after="0" w:line="290" w:lineRule="auto"/>
        <w:rPr>
          <w:sz w:val="20"/>
          <w:szCs w:val="20"/>
          <w:color w:val="auto"/>
        </w:rPr>
      </w:pPr>
      <w:r>
        <w:rPr>
          <w:rFonts w:ascii="Times New Roman" w:cs="Times New Roman" w:eastAsia="Times New Roman" w:hAnsi="Times New Roman"/>
          <w:sz w:val="16"/>
          <w:szCs w:val="16"/>
          <w:color w:val="auto"/>
        </w:rPr>
        <w:t>The level of our net revenues in the various markets we serve outside the ATE market varies significantly from market to market. During 2014 and 2013, our net revenues into the telecommunications market represented 11% and 10%, respectively, of our total net revenues, while our net revenues into the defense/aerospace market represented 8% and 7%, respectively, of our total net revenues and our net revenues into the industrial market represented 4% and 9%, respectively, of our total net revenues. The level of our net revenues in these non-ATE markets has varied significantly in the past and we expect will vary significantly in the future as we build our presence in these markets and establish new markets for our products. Because we are a recent market entrant in these markets, we have not yet developed meaningful market shares in these non-ATE markets. Consequently, we are continuing to evaluate buying patterns and opportunities for growth in these markets that may affect our performance. The following discussion of our markets, therefore, is limited to only the ATE and semiconductor markets, which currently represent the majority of our net revenues.</w:t>
      </w:r>
    </w:p>
    <w:p>
      <w:pPr>
        <w:spacing w:after="0" w:line="1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Semiconductor and ATE Markets</w:t>
      </w:r>
    </w:p>
    <w:p>
      <w:pPr>
        <w:spacing w:after="0" w:line="227" w:lineRule="exact"/>
        <w:rPr>
          <w:sz w:val="20"/>
          <w:szCs w:val="20"/>
          <w:color w:val="auto"/>
        </w:rPr>
      </w:pPr>
    </w:p>
    <w:p>
      <w:pPr>
        <w:ind w:left="540" w:right="60"/>
        <w:spacing w:after="0" w:line="291" w:lineRule="auto"/>
        <w:rPr>
          <w:sz w:val="20"/>
          <w:szCs w:val="20"/>
          <w:color w:val="auto"/>
        </w:rPr>
      </w:pPr>
      <w:r>
        <w:rPr>
          <w:rFonts w:ascii="Times New Roman" w:cs="Times New Roman" w:eastAsia="Times New Roman" w:hAnsi="Times New Roman"/>
          <w:sz w:val="16"/>
          <w:szCs w:val="16"/>
          <w:color w:val="auto"/>
        </w:rPr>
        <w:t>Historically, the semiconductor market has been characterized by rapid technological change, wide fluctuations in demand and shortening product life cycles. Designers and manufacturers of a variety of electronic and industrial products, such as cell phones, telecom and datacom systems, Internet access devices, computers, transportation and consumer electronics, require increasingly complex ICs to provide improved end-product performance demanded by their customers. Semiconductor manufacturers generally compete based on product performance and price. We believe that testing costs represent a significant portion of the total cost of manufacturing ICs. Semiconductor manufacturers remain under pressure to maximize production yields and reduce testing costs. At the same time, the growing complexity of ICs has increased the difficulty of maximizing test yields. In order to address these market trends, semiconductor manufacturers strive for more effective utilization of ATE, smaller test areas and increased wafer level testing.</w:t>
      </w:r>
    </w:p>
    <w:p>
      <w:pPr>
        <w:spacing w:after="0" w:line="167"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Demand for new ATE and related equipment depends upon several factors, including the demand for products that incorporate ICs, the increasing complexity of ICs and the emergence of new IC design, production and packaging technologies. Some of the evolutionary changes in IC technologies included the shift to 300 mm wafers in production, system-on-a-chip, or SOC, where digital, analog and memory functions are combined on a single IC, and chip scale packaging. As a result of these and other advances, semiconductor manufacturers may require additional ATE not only to handle increases in production but also to handle the more sophisticated testing requirements of ICs.</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380"/>
          </w:cols>
          <w:pgMar w:left="240" w:top="125" w:right="279" w:bottom="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IC Test Process</w:t>
      </w:r>
    </w:p>
    <w:p>
      <w:pPr>
        <w:spacing w:after="0" w:line="227" w:lineRule="exact"/>
        <w:rPr>
          <w:sz w:val="20"/>
          <w:szCs w:val="20"/>
          <w:color w:val="auto"/>
        </w:rPr>
      </w:pPr>
    </w:p>
    <w:p>
      <w:pPr>
        <w:ind w:left="540" w:right="120"/>
        <w:spacing w:after="0" w:line="262" w:lineRule="auto"/>
        <w:rPr>
          <w:sz w:val="20"/>
          <w:szCs w:val="20"/>
          <w:color w:val="auto"/>
        </w:rPr>
      </w:pPr>
      <w:r>
        <w:rPr>
          <w:rFonts w:ascii="Times New Roman" w:cs="Times New Roman" w:eastAsia="Times New Roman" w:hAnsi="Times New Roman"/>
          <w:sz w:val="18"/>
          <w:szCs w:val="18"/>
          <w:color w:val="auto"/>
        </w:rPr>
        <w:t>Semiconductor manufacturers typically produce ICs in multiples of several hundred on a silicon wafer which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86"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which is electronically connected to a "test head," which connects electrically to a test system. During front-end testing there is a growing trend of thermally conditioning the wafer during test, especially in the memory and automotive markets. Once the good ICs have been identified, they are packaged.</w:t>
      </w:r>
    </w:p>
    <w:p>
      <w:pPr>
        <w:spacing w:after="0" w:line="193"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which is attached to the test head. These handlers may be temperature controlled for testing. "Wafer probers" and "handlers" are sometimes referred to in this Report collectively as "electronic device handlers."</w:t>
      </w:r>
    </w:p>
    <w:p>
      <w:pPr>
        <w:spacing w:after="0" w:line="190" w:lineRule="exact"/>
        <w:rPr>
          <w:sz w:val="20"/>
          <w:szCs w:val="20"/>
          <w:color w:val="auto"/>
        </w:rPr>
      </w:pPr>
    </w:p>
    <w:p>
      <w:pPr>
        <w:ind w:left="540" w:right="420"/>
        <w:spacing w:after="0" w:line="258" w:lineRule="auto"/>
        <w:rPr>
          <w:sz w:val="20"/>
          <w:szCs w:val="20"/>
          <w:color w:val="auto"/>
        </w:rPr>
      </w:pPr>
      <w:r>
        <w:rPr>
          <w:rFonts w:ascii="Times New Roman" w:cs="Times New Roman" w:eastAsia="Times New Roman" w:hAnsi="Times New Roman"/>
          <w:sz w:val="18"/>
          <w:szCs w:val="18"/>
          <w:color w:val="auto"/>
        </w:rPr>
        <w:t>Testers range in price from approximately $100,000 to over $2.0 million each, depending primarily on the complexity of the IC to be tested and the number of test heads (typically one or two) with which each tester is configured. Probers and handlers range in price from approximately $50,000 to $500,000. A typical test floor of a large semiconductor manufacturer may have 100 test heads and 100 probers or 250 handlers supplied by various vendors for use at any one time.</w:t>
      </w:r>
    </w:p>
    <w:p>
      <w:pPr>
        <w:spacing w:after="0" w:line="190" w:lineRule="exact"/>
        <w:rPr>
          <w:sz w:val="20"/>
          <w:szCs w:val="20"/>
          <w:color w:val="auto"/>
        </w:rPr>
      </w:pPr>
    </w:p>
    <w:p>
      <w:pPr>
        <w:ind w:left="540" w:right="160"/>
        <w:spacing w:after="0" w:line="256" w:lineRule="auto"/>
        <w:rPr>
          <w:sz w:val="20"/>
          <w:szCs w:val="20"/>
          <w:color w:val="auto"/>
        </w:rPr>
      </w:pPr>
      <w:r>
        <w:rPr>
          <w:rFonts w:ascii="Times New Roman" w:cs="Times New Roman" w:eastAsia="Times New Roman" w:hAnsi="Times New Roman"/>
          <w:sz w:val="18"/>
          <w:szCs w:val="18"/>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 Traditionally, temperature management products are used in back-end test to allow a manufacturer to test packaged ICs under the extreme temperature conditions in which the IC may be required to operate. However, we believe that temperature-controlled testing will be an increasingly important part of front-end wafer testing as more parameters traditionally tested in back end-test are moved to front-end test.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Trends in IC Testing</w:t>
      </w:r>
    </w:p>
    <w:p>
      <w:pPr>
        <w:spacing w:after="0" w:line="227"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ATE is used to identify unacceptable packaged ICs and bad die on wafers. ATE assists IC manufacturers in controlling test costs by performing IC testing in an efficient and cost-effective manner. In order to provide testing equipment that can help IC manufacturers meet these goals, we believe the ATE market must address the following issues:</w:t>
      </w:r>
    </w:p>
    <w:p>
      <w:pPr>
        <w:spacing w:after="0" w:line="184" w:lineRule="exact"/>
        <w:rPr>
          <w:sz w:val="20"/>
          <w:szCs w:val="20"/>
          <w:color w:val="auto"/>
        </w:rPr>
      </w:pPr>
    </w:p>
    <w:p>
      <w:pPr>
        <w:ind w:left="540" w:right="200"/>
        <w:spacing w:after="0" w:line="264" w:lineRule="auto"/>
        <w:rPr>
          <w:sz w:val="20"/>
          <w:szCs w:val="20"/>
          <w:color w:val="auto"/>
        </w:rPr>
      </w:pPr>
      <w:r>
        <w:rPr>
          <w:rFonts w:ascii="Times New Roman" w:cs="Times New Roman" w:eastAsia="Times New Roman" w:hAnsi="Times New Roman"/>
          <w:sz w:val="18"/>
          <w:szCs w:val="18"/>
          <w:i w:val="1"/>
          <w:iCs w:val="1"/>
          <w:color w:val="auto"/>
        </w:rPr>
        <w:t>Change in Technology</w:t>
      </w:r>
      <w:r>
        <w:rPr>
          <w:rFonts w:ascii="Times New Roman" w:cs="Times New Roman" w:eastAsia="Times New Roman" w:hAnsi="Times New Roman"/>
          <w:sz w:val="18"/>
          <w:szCs w:val="18"/>
          <w:color w:val="auto"/>
        </w:rPr>
        <w:t>. End-user applications are demanding ICs with increasingly higher performance, greater speeds, and smaller sizes. ICs that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higher standards, including SOC designs, are more complex and dense. These technology trends have significant implications for the IC testing process, including:</w:t>
      </w:r>
    </w:p>
    <w:p>
      <w:pPr>
        <w:spacing w:after="0" w:line="1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need for test heads of higher complexity;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higher signal densities;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increasing test speeds;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a new generation of testers for SOC and other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40" w:right="160"/>
        <w:spacing w:after="0" w:line="259" w:lineRule="auto"/>
        <w:rPr>
          <w:sz w:val="20"/>
          <w:szCs w:val="20"/>
          <w:color w:val="auto"/>
        </w:rPr>
      </w:pPr>
      <w:r>
        <w:rPr>
          <w:rFonts w:ascii="Times New Roman" w:cs="Times New Roman" w:eastAsia="Times New Roman" w:hAnsi="Times New Roman"/>
          <w:sz w:val="18"/>
          <w:szCs w:val="18"/>
          <w:i w:val="1"/>
          <w:iCs w:val="1"/>
          <w:color w:val="auto"/>
        </w:rPr>
        <w:t>Need for Plug-Compatibility and Integration</w:t>
      </w:r>
      <w:r>
        <w:rPr>
          <w:rFonts w:ascii="Times New Roman" w:cs="Times New Roman" w:eastAsia="Times New Roman" w:hAnsi="Times New Roman"/>
          <w:sz w:val="18"/>
          <w:szCs w:val="18"/>
          <w:color w:val="auto"/>
        </w:rPr>
        <w:t>. Semiconductor manufacturers need test methodologies that will perform increasingly complex tests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lowering the overall cost of testing. This can require combining ATE manufactured by various companies into optimally performing systems. Semiconductor manufacturers have to work closely with various test hardware, software, interface and component vendors to resolve design and compatibility issues in order to make these vendors' products plug-compatible with test equipment manufactured by other vendors.</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- 5 -</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5" w:lineRule="exact"/>
        <w:rPr>
          <w:sz w:val="20"/>
          <w:szCs w:val="20"/>
          <w:color w:val="auto"/>
        </w:rPr>
      </w:pPr>
    </w:p>
    <w:p>
      <w:pPr>
        <w:ind w:left="540" w:right="80"/>
        <w:spacing w:after="0" w:line="259" w:lineRule="auto"/>
        <w:rPr>
          <w:sz w:val="20"/>
          <w:szCs w:val="20"/>
          <w:color w:val="auto"/>
        </w:rPr>
      </w:pPr>
      <w:r>
        <w:rPr>
          <w:rFonts w:ascii="Times New Roman" w:cs="Times New Roman" w:eastAsia="Times New Roman" w:hAnsi="Times New Roman"/>
          <w:sz w:val="18"/>
          <w:szCs w:val="18"/>
          <w:i w:val="1"/>
          <w:iCs w:val="1"/>
          <w:color w:val="auto"/>
        </w:rPr>
        <w:t>Testing Under Extreme Conditions</w:t>
      </w:r>
      <w:r>
        <w:rPr>
          <w:rFonts w:ascii="Times New Roman" w:cs="Times New Roman" w:eastAsia="Times New Roman" w:hAnsi="Times New Roman"/>
          <w:sz w:val="18"/>
          <w:szCs w:val="18"/>
          <w:color w:val="auto"/>
        </w:rPr>
        <w:t>. ICs will have to perform across a wider spectrum of temperature and environmental conditions than ever before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of the growing complexity of products in which they are deployed. In recent years, temperature testing has found an increasing role in front-end, wafer level testing. Creating a uniform thermal profile over much larger wafer areas represents a significant engineering and design challenge for ATE manufacturers.</w:t>
      </w:r>
    </w:p>
    <w:p>
      <w:pPr>
        <w:spacing w:after="0" w:line="187" w:lineRule="exact"/>
        <w:rPr>
          <w:sz w:val="20"/>
          <w:szCs w:val="20"/>
          <w:color w:val="auto"/>
        </w:rPr>
      </w:pPr>
    </w:p>
    <w:p>
      <w:pPr>
        <w:ind w:left="540" w:right="140"/>
        <w:spacing w:after="0" w:line="264" w:lineRule="auto"/>
        <w:rPr>
          <w:sz w:val="20"/>
          <w:szCs w:val="20"/>
          <w:color w:val="auto"/>
        </w:rPr>
      </w:pPr>
      <w:r>
        <w:rPr>
          <w:rFonts w:ascii="Times New Roman" w:cs="Times New Roman" w:eastAsia="Times New Roman" w:hAnsi="Times New Roman"/>
          <w:sz w:val="18"/>
          <w:szCs w:val="18"/>
          <w:i w:val="1"/>
          <w:iCs w:val="1"/>
          <w:color w:val="auto"/>
        </w:rPr>
        <w:t>Demand for Higher Levels of Technical Support</w:t>
      </w:r>
      <w:r>
        <w:rPr>
          <w:rFonts w:ascii="Times New Roman" w:cs="Times New Roman" w:eastAsia="Times New Roman" w:hAnsi="Times New Roman"/>
          <w:sz w:val="18"/>
          <w:szCs w:val="18"/>
          <w:color w:val="auto"/>
        </w:rPr>
        <w:t>. As IC testing becomes more complex, semiconductor manufacturers demand higher levels of technical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on a routine basis. ATE manufacturers must commit appropriate resources to technical support in order to develop close working relationships with their customers. This level of support also requires close proximity of service and support personnel to customers' facilities.</w:t>
      </w:r>
    </w:p>
    <w:p>
      <w:pPr>
        <w:spacing w:after="0" w:line="181"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8"/>
          <w:szCs w:val="18"/>
          <w:i w:val="1"/>
          <w:iCs w:val="1"/>
          <w:color w:val="auto"/>
        </w:rPr>
        <w:t>Cost Reduction Through Increased Front-End Testing</w:t>
      </w:r>
      <w:r>
        <w:rPr>
          <w:rFonts w:ascii="Times New Roman" w:cs="Times New Roman" w:eastAsia="Times New Roman" w:hAnsi="Times New Roman"/>
          <w:sz w:val="18"/>
          <w:szCs w:val="18"/>
          <w:color w:val="auto"/>
        </w:rPr>
        <w:t>. As the cost of testing ICs increases, semiconductor manufacturers will continue to look for ways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streamline the testing process to make it more cost-effective, such as the trend to use massive parallel test, in which semiconductor manufacturers test multiple ICs on the wafer simultaneously. We believe that this factor will lead to more front-end, wafer-level testing.</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OUR SOLUTIONS</w:t>
      </w:r>
    </w:p>
    <w:p>
      <w:pPr>
        <w:sectPr>
          <w:pgSz w:w="11900" w:h="16838" w:orient="portrait"/>
          <w:cols w:equalWidth="0" w:num="1">
            <w:col w:w="11380"/>
          </w:cols>
          <w:pgMar w:left="240" w:top="123" w:right="279" w:bottom="0" w:gutter="0" w:footer="0" w:header="0"/>
        </w:sectPr>
      </w:pPr>
    </w:p>
    <w:bookmarkStart w:id="4" w:name="page5"/>
    <w:bookmarkEnd w:id="4"/>
    <w:p>
      <w:pPr>
        <w:ind w:left="540" w:right="100"/>
        <w:spacing w:after="0" w:line="258" w:lineRule="auto"/>
        <w:rPr>
          <w:sz w:val="20"/>
          <w:szCs w:val="20"/>
          <w:color w:val="auto"/>
        </w:rPr>
      </w:pPr>
      <w:r>
        <w:rPr>
          <w:rFonts w:ascii="Times New Roman" w:cs="Times New Roman" w:eastAsia="Times New Roman" w:hAnsi="Times New Roman"/>
          <w:sz w:val="18"/>
          <w:szCs w:val="18"/>
          <w:color w:val="auto"/>
        </w:rPr>
        <w:t>Historically, we have focused our development efforts on designing and producing high quality products that provide superior performance and cost-effectiveness. We have sought to address each manufacturer's individual needs through innovative and customized designs, use of the best materials available, quality manufacturing practices and personalized service. We have designed solutions to overcome the evolving challenges facing the ATE and other markets that we serve, which we believe provide the following advantages:</w:t>
      </w:r>
    </w:p>
    <w:p>
      <w:pPr>
        <w:spacing w:after="0" w:line="188" w:lineRule="exact"/>
        <w:rPr>
          <w:sz w:val="20"/>
          <w:szCs w:val="20"/>
          <w:color w:val="auto"/>
        </w:rPr>
      </w:pPr>
    </w:p>
    <w:p>
      <w:pPr>
        <w:ind w:left="540" w:right="160"/>
        <w:spacing w:after="0" w:line="290" w:lineRule="auto"/>
        <w:rPr>
          <w:sz w:val="20"/>
          <w:szCs w:val="20"/>
          <w:color w:val="auto"/>
        </w:rPr>
      </w:pPr>
      <w:r>
        <w:rPr>
          <w:rFonts w:ascii="Times New Roman" w:cs="Times New Roman" w:eastAsia="Times New Roman" w:hAnsi="Times New Roman"/>
          <w:sz w:val="16"/>
          <w:szCs w:val="16"/>
          <w:i w:val="1"/>
          <w:iCs w:val="1"/>
          <w:color w:val="auto"/>
        </w:rPr>
        <w:t>Temperature-Controlled Testing</w:t>
      </w:r>
      <w:r>
        <w:rPr>
          <w:rFonts w:ascii="Times New Roman" w:cs="Times New Roman" w:eastAsia="Times New Roman" w:hAnsi="Times New Roman"/>
          <w:sz w:val="16"/>
          <w:szCs w:val="16"/>
          <w:color w:val="auto"/>
        </w:rPr>
        <w:t>. Our Thermostream (R) products are used by manufacturers in a number of markets to stress test a variety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semiconductor and electronic components, PC boards and sub-assemblies. Our Thermochuck (R) products are used by semiconductor manufacturers for front-end temperature stress screening at the wafer level. Factors motivating manufacturers to use temperature testing include design characterization, failure analysis and quality control as well as determining performance under extreme operating temperatures, all of which contribute to manufacturing cost savings. Our acquisitions of Sigma Systems Corporation ("Sigma"), in October 2008, and Thermonics, Inc. ("Thermonics"), in January 2012, have significantly increased our product offerings in the area of temperature-controlled testing. Sigma's thermal platforms and temperature chambers can accommodate large thermal masses and are found in both laboratory and production environments. Thermonics products provide a range of precision temperature forcing systems used throughout various markets to verify the performance of products at a range of temperatures.</w:t>
      </w:r>
    </w:p>
    <w:p>
      <w:pPr>
        <w:spacing w:after="0" w:line="166" w:lineRule="exact"/>
        <w:rPr>
          <w:sz w:val="20"/>
          <w:szCs w:val="20"/>
          <w:color w:val="auto"/>
        </w:rPr>
      </w:pPr>
    </w:p>
    <w:p>
      <w:pPr>
        <w:ind w:left="540" w:right="20"/>
        <w:spacing w:after="0" w:line="293" w:lineRule="auto"/>
        <w:rPr>
          <w:sz w:val="20"/>
          <w:szCs w:val="20"/>
          <w:color w:val="auto"/>
        </w:rPr>
      </w:pPr>
      <w:r>
        <w:rPr>
          <w:rFonts w:ascii="Times New Roman" w:cs="Times New Roman" w:eastAsia="Times New Roman" w:hAnsi="Times New Roman"/>
          <w:sz w:val="16"/>
          <w:szCs w:val="16"/>
          <w:i w:val="1"/>
          <w:iCs w:val="1"/>
          <w:color w:val="auto"/>
        </w:rPr>
        <w:t>Scalable, Universal, High Performance Interface Technology</w:t>
      </w:r>
      <w:r>
        <w:rPr>
          <w:rFonts w:ascii="Times New Roman" w:cs="Times New Roman" w:eastAsia="Times New Roman" w:hAnsi="Times New Roman"/>
          <w:sz w:val="16"/>
          <w:szCs w:val="16"/>
          <w:color w:val="auto"/>
        </w:rPr>
        <w:t>. Our universal test head manipulators provide a high degree of positioning flexibility with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minimum amount of effort. As a result, our products can be used in virtually any test setting. Our manipulator products are designed to accommodate the increased size of test heads. Our docking hardware offers precise control over the connection to test sockets, probing assemblies and interface boards, reducing downtime and minimizing costly damage to fragile components. Our tester interface products optimize the integrity of the signals transmitted between the test head and the device under test by being virtually transparent to the test signals. This results in increased accuracy of the test data and may thus enable improved test yields. We believe that these characteristics will gain even more significance as testing becomes even more demanding.</w:t>
      </w:r>
    </w:p>
    <w:p>
      <w:pPr>
        <w:spacing w:after="0" w:line="165" w:lineRule="exact"/>
        <w:rPr>
          <w:sz w:val="20"/>
          <w:szCs w:val="20"/>
          <w:color w:val="auto"/>
        </w:rPr>
      </w:pPr>
    </w:p>
    <w:p>
      <w:pPr>
        <w:ind w:left="540" w:right="280"/>
        <w:spacing w:after="0" w:line="312" w:lineRule="auto"/>
        <w:rPr>
          <w:sz w:val="20"/>
          <w:szCs w:val="20"/>
          <w:color w:val="auto"/>
        </w:rPr>
      </w:pPr>
      <w:r>
        <w:rPr>
          <w:rFonts w:ascii="Times New Roman" w:cs="Times New Roman" w:eastAsia="Times New Roman" w:hAnsi="Times New Roman"/>
          <w:sz w:val="16"/>
          <w:szCs w:val="16"/>
          <w:i w:val="1"/>
          <w:iCs w:val="1"/>
          <w:color w:val="auto"/>
        </w:rPr>
        <w:t>Compatibility and Integration</w:t>
      </w:r>
      <w:r>
        <w:rPr>
          <w:rFonts w:ascii="Times New Roman" w:cs="Times New Roman" w:eastAsia="Times New Roman" w:hAnsi="Times New Roman"/>
          <w:sz w:val="16"/>
          <w:szCs w:val="16"/>
          <w:color w:val="auto"/>
        </w:rPr>
        <w:t>. A hallmark of our products has been, and continues to be, compatibility with a wide variety of ATE. Our mechanical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47" w:lineRule="exact"/>
        <w:rPr>
          <w:sz w:val="20"/>
          <w:szCs w:val="20"/>
          <w:color w:val="auto"/>
        </w:rPr>
      </w:pPr>
    </w:p>
    <w:p>
      <w:pPr>
        <w:ind w:left="540" w:right="120"/>
        <w:spacing w:after="0" w:line="257" w:lineRule="auto"/>
        <w:rPr>
          <w:sz w:val="20"/>
          <w:szCs w:val="20"/>
          <w:color w:val="auto"/>
        </w:rPr>
      </w:pPr>
      <w:r>
        <w:rPr>
          <w:rFonts w:ascii="Times New Roman" w:cs="Times New Roman" w:eastAsia="Times New Roman" w:hAnsi="Times New Roman"/>
          <w:sz w:val="18"/>
          <w:szCs w:val="18"/>
          <w:i w:val="1"/>
          <w:iCs w:val="1"/>
          <w:color w:val="auto"/>
        </w:rPr>
        <w:t>Worldwide Customer Service and Support</w:t>
      </w:r>
      <w:r>
        <w:rPr>
          <w:rFonts w:ascii="Times New Roman" w:cs="Times New Roman" w:eastAsia="Times New Roman" w:hAnsi="Times New Roman"/>
          <w:sz w:val="18"/>
          <w:szCs w:val="18"/>
          <w:color w:val="auto"/>
        </w:rPr>
        <w:t>. We have long recognized the need to maintain a physical presence near our customers' facilities.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2014, we had domestic manufacturing facilities in New Jersey, Massachusetts and California and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OUR STRATEGIES</w:t>
      </w:r>
    </w:p>
    <w:p>
      <w:pPr>
        <w:spacing w:after="0" w:line="225" w:lineRule="exact"/>
        <w:rPr>
          <w:sz w:val="20"/>
          <w:szCs w:val="20"/>
          <w:color w:val="auto"/>
        </w:rPr>
      </w:pPr>
    </w:p>
    <w:p>
      <w:pPr>
        <w:ind w:left="540" w:right="200"/>
        <w:spacing w:after="0" w:line="262" w:lineRule="auto"/>
        <w:rPr>
          <w:sz w:val="20"/>
          <w:szCs w:val="20"/>
          <w:color w:val="auto"/>
        </w:rPr>
      </w:pPr>
      <w:r>
        <w:rPr>
          <w:rFonts w:ascii="Times New Roman" w:cs="Times New Roman" w:eastAsia="Times New Roman" w:hAnsi="Times New Roman"/>
          <w:sz w:val="18"/>
          <w:szCs w:val="18"/>
          <w:color w:val="auto"/>
        </w:rPr>
        <w:t>We remain committed to our goals of being recognized in our markets as the designer and manufacturer of the highest quality and most cost effective products and becoming the key supplier of all of our customers' product testing needs, other than probers, handlers and testers. Our strategies to achieve these goals include the following:</w:t>
      </w:r>
    </w:p>
    <w:p>
      <w:pPr>
        <w:spacing w:after="0" w:line="184" w:lineRule="exact"/>
        <w:rPr>
          <w:sz w:val="20"/>
          <w:szCs w:val="20"/>
          <w:color w:val="auto"/>
        </w:rPr>
      </w:pPr>
    </w:p>
    <w:p>
      <w:pPr>
        <w:ind w:left="540"/>
        <w:spacing w:after="0" w:line="297" w:lineRule="auto"/>
        <w:rPr>
          <w:sz w:val="20"/>
          <w:szCs w:val="20"/>
          <w:color w:val="auto"/>
        </w:rPr>
      </w:pPr>
      <w:r>
        <w:rPr>
          <w:rFonts w:ascii="Times New Roman" w:cs="Times New Roman" w:eastAsia="Times New Roman" w:hAnsi="Times New Roman"/>
          <w:sz w:val="16"/>
          <w:szCs w:val="16"/>
          <w:i w:val="1"/>
          <w:iCs w:val="1"/>
          <w:color w:val="auto"/>
        </w:rPr>
        <w:t>Pursuing Synergistic Acquisitions</w:t>
      </w:r>
      <w:r>
        <w:rPr>
          <w:rFonts w:ascii="Times New Roman" w:cs="Times New Roman" w:eastAsia="Times New Roman" w:hAnsi="Times New Roman"/>
          <w:sz w:val="16"/>
          <w:szCs w:val="16"/>
          <w:color w:val="auto"/>
        </w:rPr>
        <w:t>. A key element of our growth strategy has been to acquire businesses, technologies or products that are complementary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to our current product offerings. Since our initial public offering in 1997, we have acquired several businesses which have enabled us to expand our line of product offerings and have given us the opportunity to market a broader range of products to our customer base. In particular, the acquisitions of Temptronic in 2000, Sigma in 2008, and Thermonics in 2012, provided access to markets that are less sensitive to cyclicality than the ATE market. We seek to make acquisitions that will further expand our product lines as well as increase our exposure to markets outside of the ATE market.</w:t>
      </w:r>
    </w:p>
    <w:p>
      <w:pPr>
        <w:spacing w:after="0" w:line="158"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Pursuing Revenue Growth Opportunities Outside the Semiconductor ATE Market. </w:t>
      </w:r>
      <w:r>
        <w:rPr>
          <w:rFonts w:ascii="Times New Roman" w:cs="Times New Roman" w:eastAsia="Times New Roman" w:hAnsi="Times New Roman"/>
          <w:sz w:val="18"/>
          <w:szCs w:val="18"/>
          <w:color w:val="auto"/>
        </w:rPr>
        <w:t>Another element of our growth strategy is to pursue revenue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in markets we have not traditionally served, such as the automotive, consumer electronics, defense/aerospace, energy, industrial and telecommunications markets. We believe that we may be able to reduce some of the cyclicality that we have historically experienced by further diversifying our revenue streams outside the semiconductor ATE market. We see the most potential for this within our Thermal Products segment. During both 2014 and 2013, approximately $11.1 million, or 27% and 28%, respectively, of our total net revenues were derived from markets outside semiconductor test. These revenues were all generated by our Thermal Products segment. We cannot determine at this time whether we will be successful in building our sales in these non-traditional markets or what the growth rate of our sales in these markets will be in future periods.</w:t>
      </w:r>
    </w:p>
    <w:p>
      <w:pPr>
        <w:spacing w:after="0" w:line="189" w:lineRule="exact"/>
        <w:rPr>
          <w:sz w:val="20"/>
          <w:szCs w:val="20"/>
          <w:color w:val="auto"/>
        </w:rPr>
      </w:pPr>
    </w:p>
    <w:p>
      <w:pPr>
        <w:ind w:left="540" w:right="360"/>
        <w:spacing w:after="0" w:line="264" w:lineRule="auto"/>
        <w:rPr>
          <w:sz w:val="20"/>
          <w:szCs w:val="20"/>
          <w:color w:val="auto"/>
        </w:rPr>
      </w:pPr>
      <w:r>
        <w:rPr>
          <w:rFonts w:ascii="Times New Roman" w:cs="Times New Roman" w:eastAsia="Times New Roman" w:hAnsi="Times New Roman"/>
          <w:sz w:val="18"/>
          <w:szCs w:val="18"/>
          <w:i w:val="1"/>
          <w:iCs w:val="1"/>
          <w:color w:val="auto"/>
        </w:rPr>
        <w:t>Providing Technologically Advanced Solutions</w:t>
      </w:r>
      <w:r>
        <w:rPr>
          <w:rFonts w:ascii="Times New Roman" w:cs="Times New Roman" w:eastAsia="Times New Roman" w:hAnsi="Times New Roman"/>
          <w:sz w:val="18"/>
          <w:szCs w:val="18"/>
          <w:color w:val="auto"/>
        </w:rPr>
        <w:t>. We are committed to designing and producing only the highest quality products which incorporate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designs to achieve optimal cost-effectiveness and functionality for each customer's particular situation. Our engineering and design staff is continually engaged in developing new and improved products and manufacturing processes.</w:t>
      </w:r>
    </w:p>
    <w:p>
      <w:pPr>
        <w:spacing w:after="0" w:line="181" w:lineRule="exact"/>
        <w:rPr>
          <w:sz w:val="20"/>
          <w:szCs w:val="20"/>
          <w:color w:val="auto"/>
        </w:rPr>
      </w:pPr>
    </w:p>
    <w:p>
      <w:pPr>
        <w:ind w:left="540" w:right="260"/>
        <w:spacing w:after="0" w:line="302" w:lineRule="auto"/>
        <w:rPr>
          <w:sz w:val="20"/>
          <w:szCs w:val="20"/>
          <w:color w:val="auto"/>
        </w:rPr>
      </w:pPr>
      <w:r>
        <w:rPr>
          <w:rFonts w:ascii="Times New Roman" w:cs="Times New Roman" w:eastAsia="Times New Roman" w:hAnsi="Times New Roman"/>
          <w:sz w:val="16"/>
          <w:szCs w:val="16"/>
          <w:i w:val="1"/>
          <w:iCs w:val="1"/>
          <w:color w:val="auto"/>
        </w:rPr>
        <w:t>Leveraging Our Strong Customer Relationships</w:t>
      </w:r>
      <w:r>
        <w:rPr>
          <w:rFonts w:ascii="Times New Roman" w:cs="Times New Roman" w:eastAsia="Times New Roman" w:hAnsi="Times New Roman"/>
          <w:sz w:val="16"/>
          <w:szCs w:val="16"/>
          <w:color w:val="auto"/>
        </w:rPr>
        <w:t>. Our technical personnel work closely with ATE manufacturers to design tester interface and docking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hardware that are compatible with their ATE. As a result, we are often privy to proprietary technical data and information about these manufacturers' products. We believe that because we do not compete with ATE manufacturers in the prober, handler and tester markets, we have been able to establish strong collaborative relationships with these manufacturers that enable us to develop ancillary ATE products on an accelerated basis.</w:t>
      </w:r>
    </w:p>
    <w:p>
      <w:pPr>
        <w:spacing w:after="0" w:line="154" w:lineRule="exact"/>
        <w:rPr>
          <w:sz w:val="20"/>
          <w:szCs w:val="20"/>
          <w:color w:val="auto"/>
        </w:rPr>
      </w:pPr>
    </w:p>
    <w:p>
      <w:pPr>
        <w:ind w:left="540" w:right="200"/>
        <w:spacing w:after="0" w:line="277" w:lineRule="auto"/>
        <w:rPr>
          <w:sz w:val="20"/>
          <w:szCs w:val="20"/>
          <w:color w:val="auto"/>
        </w:rPr>
      </w:pPr>
      <w:r>
        <w:rPr>
          <w:rFonts w:ascii="Times New Roman" w:cs="Times New Roman" w:eastAsia="Times New Roman" w:hAnsi="Times New Roman"/>
          <w:sz w:val="18"/>
          <w:szCs w:val="18"/>
          <w:i w:val="1"/>
          <w:iCs w:val="1"/>
          <w:color w:val="auto"/>
        </w:rPr>
        <w:t>Maintaining Our International Presence</w:t>
      </w:r>
      <w:r>
        <w:rPr>
          <w:rFonts w:ascii="Times New Roman" w:cs="Times New Roman" w:eastAsia="Times New Roman" w:hAnsi="Times New Roman"/>
          <w:sz w:val="18"/>
          <w:szCs w:val="18"/>
          <w:color w:val="auto"/>
        </w:rPr>
        <w:t>. Our existing and potential customers are concentrated in certain regions throughout the world. We believe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must maintain a presence in the markets in which our customers operate. We currently have offices in the U.S., Germany and Singapore.</w:t>
      </w:r>
    </w:p>
    <w:p>
      <w:pPr>
        <w:spacing w:after="0" w:line="170" w:lineRule="exact"/>
        <w:rPr>
          <w:sz w:val="20"/>
          <w:szCs w:val="20"/>
          <w:color w:val="auto"/>
        </w:rPr>
      </w:pPr>
    </w:p>
    <w:p>
      <w:pPr>
        <w:ind w:left="540"/>
        <w:spacing w:after="0" w:line="342" w:lineRule="auto"/>
        <w:rPr>
          <w:sz w:val="20"/>
          <w:szCs w:val="20"/>
          <w:color w:val="auto"/>
        </w:rPr>
      </w:pPr>
      <w:r>
        <w:rPr>
          <w:rFonts w:ascii="Times New Roman" w:cs="Times New Roman" w:eastAsia="Times New Roman" w:hAnsi="Times New Roman"/>
          <w:sz w:val="16"/>
          <w:szCs w:val="16"/>
          <w:i w:val="1"/>
          <w:iCs w:val="1"/>
          <w:color w:val="auto"/>
        </w:rPr>
        <w:t xml:space="preserve">Controlling Costs. </w:t>
      </w:r>
      <w:r>
        <w:rPr>
          <w:rFonts w:ascii="Times New Roman" w:cs="Times New Roman" w:eastAsia="Times New Roman" w:hAnsi="Times New Roman"/>
          <w:sz w:val="16"/>
          <w:szCs w:val="16"/>
          <w:color w:val="auto"/>
        </w:rPr>
        <w:t>At the same time as we are pursuing growth opportunities, we will seek ways to more aggressively streamline our cost structure, so that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are positioned to offer products at prices that provide the margin for a reasonable profit as well as the resources for continual product development.</w:t>
      </w:r>
    </w:p>
    <w:p>
      <w:pPr>
        <w:spacing w:after="0" w:line="12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OUR SEGMENTS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business is managed as three segments, which are also our reporting units: Thermal Products, Mechanical Products and Electrical Products. Our</w:t>
      </w:r>
    </w:p>
    <w:p>
      <w:pPr>
        <w:sectPr>
          <w:pgSz w:w="11900" w:h="16838" w:orient="portrait"/>
          <w:cols w:equalWidth="0" w:num="1">
            <w:col w:w="11420"/>
          </w:cols>
          <w:pgMar w:left="240" w:top="125" w:right="239" w:bottom="0" w:gutter="0" w:footer="0" w:header="0"/>
        </w:sectPr>
      </w:pPr>
    </w:p>
    <w:bookmarkStart w:id="5" w:name="page6"/>
    <w:bookmarkEnd w:id="5"/>
    <w:p>
      <w:pPr>
        <w:ind w:left="540" w:right="320"/>
        <w:spacing w:after="0" w:line="258" w:lineRule="auto"/>
        <w:rPr>
          <w:sz w:val="20"/>
          <w:szCs w:val="20"/>
          <w:color w:val="auto"/>
        </w:rPr>
      </w:pPr>
      <w:r>
        <w:rPr>
          <w:rFonts w:ascii="Times New Roman" w:cs="Times New Roman" w:eastAsia="Times New Roman" w:hAnsi="Times New Roman"/>
          <w:sz w:val="18"/>
          <w:szCs w:val="18"/>
          <w:color w:val="auto"/>
        </w:rPr>
        <w:t>Thermal Products segment consists of our subsidiaries in Mansfield, Massachusetts (Temptronic Corporation, which manufactures products under the Temptronic, Sigma and Thermonics brand names), Germany (inTEST Thermal Solutions GmbH), and Singapore (inTEST Pte Ltd.). Our Mechanical Products segment consists of our manufacturing operation in Mt. Laurel, New Jersey. Our Electrical Products segment consists of our subsidiary in Fremont, California (inTEST Silicon Valley Corporation).</w:t>
      </w:r>
    </w:p>
    <w:p>
      <w:pPr>
        <w:spacing w:after="0" w:line="190" w:lineRule="exact"/>
        <w:rPr>
          <w:sz w:val="20"/>
          <w:szCs w:val="20"/>
          <w:color w:val="auto"/>
        </w:rPr>
      </w:pPr>
    </w:p>
    <w:p>
      <w:pPr>
        <w:ind w:left="540" w:right="60"/>
        <w:spacing w:after="0" w:line="256" w:lineRule="auto"/>
        <w:rPr>
          <w:sz w:val="20"/>
          <w:szCs w:val="20"/>
          <w:color w:val="auto"/>
        </w:rPr>
      </w:pPr>
      <w:r>
        <w:rPr>
          <w:rFonts w:ascii="Times New Roman" w:cs="Times New Roman" w:eastAsia="Times New Roman" w:hAnsi="Times New Roman"/>
          <w:sz w:val="18"/>
          <w:szCs w:val="18"/>
          <w:color w:val="auto"/>
        </w:rPr>
        <w:t>Semiconductor manufacturers use our mechanical products during testing of wafers and specialized packaged ICs. They use our thermal and electrical products in both front-end and back-end testing of ICs. These ICs include microprocessors, digital signal processing chips, mixed signal devices, MEMS (Micro-Electro-Mechanical Systems), application specific ICs and specialized memory ICs, and are used primarily in the automotive, consumer electronics, defense/aerospace, energy, industrial and telecommunications markets. We custom design most of our products for each customer's particular combination of ATE.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- 7 -</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Thermal Products</w:t>
      </w:r>
    </w:p>
    <w:p>
      <w:pPr>
        <w:spacing w:after="0" w:line="227" w:lineRule="exact"/>
        <w:rPr>
          <w:sz w:val="20"/>
          <w:szCs w:val="20"/>
          <w:color w:val="auto"/>
        </w:rPr>
      </w:pPr>
    </w:p>
    <w:p>
      <w:pPr>
        <w:ind w:left="540" w:right="220"/>
        <w:spacing w:after="0" w:line="301" w:lineRule="auto"/>
        <w:rPr>
          <w:sz w:val="20"/>
          <w:szCs w:val="20"/>
          <w:color w:val="auto"/>
        </w:rPr>
      </w:pPr>
      <w:r>
        <w:rPr>
          <w:rFonts w:ascii="Times New Roman" w:cs="Times New Roman" w:eastAsia="Times New Roman" w:hAnsi="Times New Roman"/>
          <w:sz w:val="16"/>
          <w:szCs w:val="16"/>
          <w:color w:val="auto"/>
        </w:rPr>
        <w:t>Our thermal products are sold into the environmental test market encompassing a wide variety of markets including the ATE, automotive, consumer electronics, defense/aerospace, energy, industrial and telecommunications markets. Our thermal products enable a manufacturer to test semiconductor wafers and ICs, electronic components and assemblies, mechanical assemblies and electromechanical assemblies. These products provide the ability to characterize and stress test a variety of materials over extreme and variable temperature conditions that can occur in actual use.</w:t>
      </w:r>
    </w:p>
    <w:p>
      <w:pPr>
        <w:spacing w:after="0" w:line="155"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8"/>
          <w:szCs w:val="18"/>
          <w:i w:val="1"/>
          <w:iCs w:val="1"/>
          <w:color w:val="auto"/>
        </w:rPr>
        <w:t>ThermoStream(R) Products</w:t>
      </w:r>
      <w:r>
        <w:rPr>
          <w:rFonts w:ascii="Times New Roman" w:cs="Times New Roman" w:eastAsia="Times New Roman" w:hAnsi="Times New Roman"/>
          <w:sz w:val="18"/>
          <w:szCs w:val="18"/>
          <w:color w:val="auto"/>
        </w:rPr>
        <w:t>: Our ThermoStream(R) products are used in the semiconductor market as a stand-alone temperature management tool, or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variety of electronic test applications as part of our MobileTemp systems. ThermoStream(R) products provide a source of heated and cooled air which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90"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semiconductor market and have found application in the automotive, electronic, fiber optic and oil field service markets testing such things as electronic sub-assemblies, sensor assemblies, and printed circuit boards.</w:t>
      </w:r>
    </w:p>
    <w:p>
      <w:pPr>
        <w:spacing w:after="0" w:line="190" w:lineRule="exact"/>
        <w:rPr>
          <w:sz w:val="20"/>
          <w:szCs w:val="20"/>
          <w:color w:val="auto"/>
        </w:rPr>
      </w:pPr>
    </w:p>
    <w:p>
      <w:pPr>
        <w:ind w:left="540" w:right="200"/>
        <w:spacing w:after="0" w:line="258" w:lineRule="auto"/>
        <w:rPr>
          <w:sz w:val="20"/>
          <w:szCs w:val="20"/>
          <w:color w:val="auto"/>
        </w:rPr>
      </w:pPr>
      <w:r>
        <w:rPr>
          <w:rFonts w:ascii="Times New Roman" w:cs="Times New Roman" w:eastAsia="Times New Roman" w:hAnsi="Times New Roman"/>
          <w:sz w:val="18"/>
          <w:szCs w:val="18"/>
          <w:color w:val="auto"/>
        </w:rPr>
        <w:t>Traditionally, our customers used ThermoStream(R) products primarily in engineering, quality assurance and small-run manufacturing environments. However, increasingly, our customers use ThermoStream(R) products in longer-run production applications. Sigma has significantly broadened our product line by providing the ability to thermally test devices and assemblies requiring a far larger scale, both physically and thermally, than previously achievable. ThermoStream(R) and MobileTemp products range in price from approximately $15,000 to $50,000.</w:t>
      </w:r>
    </w:p>
    <w:p>
      <w:pPr>
        <w:spacing w:after="0" w:line="188" w:lineRule="exact"/>
        <w:rPr>
          <w:sz w:val="20"/>
          <w:szCs w:val="20"/>
          <w:color w:val="auto"/>
        </w:rPr>
      </w:pPr>
    </w:p>
    <w:p>
      <w:pPr>
        <w:ind w:left="540"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ThermoChambers: </w:t>
      </w:r>
      <w:r>
        <w:rPr>
          <w:rFonts w:ascii="Times New Roman" w:cs="Times New Roman" w:eastAsia="Times New Roman" w:hAnsi="Times New Roman"/>
          <w:sz w:val="18"/>
          <w:szCs w:val="18"/>
          <w:color w:val="auto"/>
        </w:rPr>
        <w:t>Our chamber products are available in a variety of sizes, from small bench-top units to chambers with internal volumes of 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priced from $15,000 to $150,000.</w:t>
      </w:r>
    </w:p>
    <w:p>
      <w:pPr>
        <w:spacing w:after="0" w:line="187" w:lineRule="exact"/>
        <w:rPr>
          <w:sz w:val="20"/>
          <w:szCs w:val="20"/>
          <w:color w:val="auto"/>
        </w:rPr>
      </w:pPr>
    </w:p>
    <w:p>
      <w:pPr>
        <w:ind w:left="54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Thermal Platforms: </w:t>
      </w:r>
      <w:r>
        <w:rPr>
          <w:rFonts w:ascii="Times New Roman" w:cs="Times New Roman" w:eastAsia="Times New Roman" w:hAnsi="Times New Roman"/>
          <w:sz w:val="18"/>
          <w:szCs w:val="18"/>
          <w:color w:val="auto"/>
        </w:rPr>
        <w:t>Our platforms are available in surface sizes ranging from 7.2 square inches to 616 square inches. They provide a flat, thermally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priced from $6,500 to $65,000.</w:t>
      </w:r>
    </w:p>
    <w:p>
      <w:pPr>
        <w:spacing w:after="0" w:line="188" w:lineRule="exact"/>
        <w:rPr>
          <w:sz w:val="20"/>
          <w:szCs w:val="20"/>
          <w:color w:val="auto"/>
        </w:rPr>
      </w:pPr>
    </w:p>
    <w:p>
      <w:pPr>
        <w:ind w:left="540"/>
        <w:spacing w:after="0" w:line="257" w:lineRule="auto"/>
        <w:rPr>
          <w:sz w:val="20"/>
          <w:szCs w:val="20"/>
          <w:color w:val="auto"/>
        </w:rPr>
      </w:pPr>
      <w:r>
        <w:rPr>
          <w:rFonts w:ascii="Times New Roman" w:cs="Times New Roman" w:eastAsia="Times New Roman" w:hAnsi="Times New Roman"/>
          <w:sz w:val="18"/>
          <w:szCs w:val="18"/>
          <w:i w:val="1"/>
          <w:iCs w:val="1"/>
          <w:color w:val="auto"/>
        </w:rPr>
        <w:t>ThermoChuck(R) Products</w:t>
      </w:r>
      <w:r>
        <w:rPr>
          <w:rFonts w:ascii="Times New Roman" w:cs="Times New Roman" w:eastAsia="Times New Roman" w:hAnsi="Times New Roman"/>
          <w:sz w:val="18"/>
          <w:szCs w:val="18"/>
          <w:color w:val="auto"/>
        </w:rPr>
        <w:t>: Our ThermoChuck(R) precision vacuum platform assemblies, used primarily in the semiconductor market, quickly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stabilize the temperature of semiconductor wafers accurately and uniformly during testing without removing the wafer from its testing environment. Such temperatures can range from as low as -65 degrees Celsius to as high as +300 degrees Celsius. ThermoChucks(R) are incorporated into wafer prober equipment for laboratory analysis and for in-line production testing of semiconductor wafers. ThermoChuck(R) products range in price from approximately $16,000 to $120,000.</w:t>
      </w:r>
    </w:p>
    <w:p>
      <w:pPr>
        <w:spacing w:after="0" w:line="188" w:lineRule="exact"/>
        <w:rPr>
          <w:sz w:val="20"/>
          <w:szCs w:val="20"/>
          <w:color w:val="auto"/>
        </w:rPr>
      </w:pPr>
    </w:p>
    <w:p>
      <w:pPr>
        <w:jc w:val="both"/>
        <w:ind w:left="540" w:right="4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Thermonics(R) Products: </w:t>
      </w:r>
      <w:r>
        <w:rPr>
          <w:rFonts w:ascii="Times New Roman" w:cs="Times New Roman" w:eastAsia="Times New Roman" w:hAnsi="Times New Roman"/>
          <w:sz w:val="18"/>
          <w:szCs w:val="18"/>
          <w:color w:val="auto"/>
        </w:rPr>
        <w:t>Our Thermonics temperature conditioning products provide tempered gas or fluid to enable customers to maintain desired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thermal conditions within their tool or process. Applications include general industrial, chemical processing, energy, electronics and semiconductor industries. Prices range from $20,000 to greater than $100,000.</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- 8 -</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ectPr>
          <w:pgSz w:w="11900" w:h="16838" w:orient="portrait"/>
          <w:cols w:equalWidth="0" w:num="1">
            <w:col w:w="11380"/>
          </w:cols>
          <w:pgMar w:left="240" w:top="125" w:right="279" w:bottom="0" w:gutter="0" w:footer="0" w:header="0"/>
        </w:sectPr>
      </w:pP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i w:val="1"/>
          <w:iCs w:val="1"/>
          <w:u w:val="single" w:color="auto"/>
          <w:color w:val="auto"/>
        </w:rPr>
        <w:t>Mechanical Products</w:t>
      </w:r>
    </w:p>
    <w:p>
      <w:pPr>
        <w:sectPr>
          <w:pgSz w:w="11900" w:h="16838" w:orient="portrait"/>
          <w:cols w:equalWidth="0" w:num="1">
            <w:col w:w="11380"/>
          </w:cols>
          <w:pgMar w:left="240" w:top="125" w:right="279" w:bottom="0" w:gutter="0" w:footer="0" w:header="0"/>
          <w:type w:val="continuous"/>
        </w:sectPr>
      </w:pPr>
    </w:p>
    <w:bookmarkStart w:id="6" w:name="page7"/>
    <w:bookmarkEnd w:id="6"/>
    <w:p>
      <w:pPr>
        <w:ind w:left="540"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Manipulator Products. </w:t>
      </w:r>
      <w:r>
        <w:rPr>
          <w:rFonts w:ascii="Times New Roman" w:cs="Times New Roman" w:eastAsia="Times New Roman" w:hAnsi="Times New Roman"/>
          <w:sz w:val="18"/>
          <w:szCs w:val="18"/>
          <w:color w:val="auto"/>
        </w:rPr>
        <w:t>We offer three lines of manipulator products: the in2(R), the Aero Series and the Cobal Series. These free-standing universal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manipulators can hold a variety of test heads and enable an operator to reposition a test head for alternate use with any one of several probers or handlers on a test floor. Certain members of the Aero family are also available as a lower-cost solution for dedicated prober-only or handler-only test cell applications.</w:t>
      </w:r>
    </w:p>
    <w:p>
      <w:pPr>
        <w:spacing w:after="0" w:line="189"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The in2(R) and Cobal Series of manipulator products incorporate our balanced floating-head design. This design permits a test head weighing up to 1,600 pounds to be held in an effectively weightless state, so it can be moved manually or with optional powered assistance, up or down, right or left, forward or backward and rotated around each axis (known as six degrees of motion freedom) by an operator using a modest amount of force.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manipulator and equipped with our docking hardware and dock it to another electronic device handler for testing either a subsequent lot of the same packaged ICs or to test different ICs. The in2(R) and Cobal Series manipulators range in price from approximately $12,000 to $60,000.</w:t>
      </w:r>
    </w:p>
    <w:p>
      <w:pPr>
        <w:spacing w:after="0" w:line="195" w:lineRule="exact"/>
        <w:rPr>
          <w:sz w:val="20"/>
          <w:szCs w:val="20"/>
          <w:color w:val="auto"/>
        </w:rPr>
      </w:pPr>
    </w:p>
    <w:p>
      <w:pPr>
        <w:ind w:left="540" w:right="240"/>
        <w:spacing w:after="0" w:line="262" w:lineRule="auto"/>
        <w:rPr>
          <w:sz w:val="20"/>
          <w:szCs w:val="20"/>
          <w:color w:val="auto"/>
        </w:rPr>
      </w:pPr>
      <w:r>
        <w:rPr>
          <w:rFonts w:ascii="Times New Roman" w:cs="Times New Roman" w:eastAsia="Times New Roman" w:hAnsi="Times New Roman"/>
          <w:sz w:val="18"/>
          <w:szCs w:val="18"/>
          <w:color w:val="auto"/>
        </w:rPr>
        <w:t>The Aero Series of manipulator products consists of the Aero 450H and Aero 150P manipulators. These manipulators are designed to handle test heads weighing less than 1,500 pounds. The up and down movement is supported by an air-pressure-based floating state technology. The Aero Series manipulators range in price from $10,000 to $30,000.</w:t>
      </w:r>
    </w:p>
    <w:p>
      <w:pPr>
        <w:spacing w:after="0" w:line="184" w:lineRule="exact"/>
        <w:rPr>
          <w:sz w:val="20"/>
          <w:szCs w:val="20"/>
          <w:color w:val="auto"/>
        </w:rPr>
      </w:pPr>
    </w:p>
    <w:p>
      <w:pPr>
        <w:ind w:left="540" w:right="20"/>
        <w:spacing w:after="0" w:line="291" w:lineRule="auto"/>
        <w:rPr>
          <w:sz w:val="20"/>
          <w:szCs w:val="20"/>
          <w:color w:val="auto"/>
        </w:rPr>
      </w:pPr>
      <w:r>
        <w:rPr>
          <w:rFonts w:ascii="Times New Roman" w:cs="Times New Roman" w:eastAsia="Times New Roman" w:hAnsi="Times New Roman"/>
          <w:sz w:val="16"/>
          <w:szCs w:val="16"/>
          <w:i w:val="1"/>
          <w:iCs w:val="1"/>
          <w:color w:val="auto"/>
        </w:rPr>
        <w:t>Docking Hardware Products</w:t>
      </w:r>
      <w:r>
        <w:rPr>
          <w:rFonts w:ascii="Times New Roman" w:cs="Times New Roman" w:eastAsia="Times New Roman" w:hAnsi="Times New Roman"/>
          <w:sz w:val="16"/>
          <w:szCs w:val="16"/>
          <w:color w:val="auto"/>
        </w:rPr>
        <w:t>. Our docking hardware products protect the delicate interface contacts and ensure proper repeatable and precise alignment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between the test head's interface board and the prober's probing assembly or the handler's test socket as they are brought together, or "docked." A simple cam action docks and locks the test head to the prober or handler, thus eliminating motion of the test head relative to the prober or handler. This minimizes deterioration of the interface boards, test sockets and probing assemblies which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and reduced repairs and replacements of expensive ATE interface products.</w:t>
      </w:r>
    </w:p>
    <w:p>
      <w:pPr>
        <w:spacing w:after="0" w:line="169" w:lineRule="exact"/>
        <w:rPr>
          <w:sz w:val="20"/>
          <w:szCs w:val="20"/>
          <w:color w:val="auto"/>
        </w:rPr>
      </w:pPr>
    </w:p>
    <w:p>
      <w:pPr>
        <w:ind w:left="540" w:right="20"/>
        <w:spacing w:after="0" w:line="256" w:lineRule="auto"/>
        <w:rPr>
          <w:sz w:val="20"/>
          <w:szCs w:val="20"/>
          <w:color w:val="auto"/>
        </w:rPr>
      </w:pPr>
      <w:r>
        <w:rPr>
          <w:rFonts w:ascii="Times New Roman" w:cs="Times New Roman" w:eastAsia="Times New Roman" w:hAnsi="Times New Roman"/>
          <w:sz w:val="18"/>
          <w:szCs w:val="18"/>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manufacturers. We believe that because we do not compete with ATE manufacturers in the sale of probers, handlers or testers, ATE manufacturers are willing to provide us with the information that is integral to the design of plug-compatible products. Our docking hardware products range in price from approximately $2,000 to $25,000.</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Electrical Products</w:t>
      </w:r>
    </w:p>
    <w:p>
      <w:pPr>
        <w:spacing w:after="0" w:line="227" w:lineRule="exact"/>
        <w:rPr>
          <w:sz w:val="20"/>
          <w:szCs w:val="20"/>
          <w:color w:val="auto"/>
        </w:rPr>
      </w:pPr>
    </w:p>
    <w:p>
      <w:pPr>
        <w:ind w:left="540" w:right="20"/>
        <w:spacing w:after="0" w:line="253" w:lineRule="auto"/>
        <w:rPr>
          <w:sz w:val="20"/>
          <w:szCs w:val="20"/>
          <w:color w:val="auto"/>
        </w:rPr>
      </w:pPr>
      <w:r>
        <w:rPr>
          <w:rFonts w:ascii="Times New Roman" w:cs="Times New Roman" w:eastAsia="Times New Roman" w:hAnsi="Times New Roman"/>
          <w:sz w:val="18"/>
          <w:szCs w:val="18"/>
          <w:color w:val="auto"/>
        </w:rPr>
        <w:t>Our electrical products, which include various types of tester interfaces, provide the electrical connections between the tester and the wafer prober or IC handler to carry the 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products range in price from approximately $7,000 to $40,000.</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Information About Product Segments and Geographic Areas</w:t>
      </w:r>
    </w:p>
    <w:p>
      <w:pPr>
        <w:spacing w:after="0" w:line="227" w:lineRule="exact"/>
        <w:rPr>
          <w:sz w:val="20"/>
          <w:szCs w:val="20"/>
          <w:color w:val="auto"/>
        </w:rPr>
      </w:pPr>
    </w:p>
    <w:p>
      <w:pPr>
        <w:ind w:left="540" w:right="300"/>
        <w:spacing w:after="0" w:line="275" w:lineRule="auto"/>
        <w:rPr>
          <w:sz w:val="20"/>
          <w:szCs w:val="20"/>
          <w:color w:val="auto"/>
        </w:rPr>
      </w:pPr>
      <w:r>
        <w:rPr>
          <w:rFonts w:ascii="Times New Roman" w:cs="Times New Roman" w:eastAsia="Times New Roman" w:hAnsi="Times New Roman"/>
          <w:sz w:val="18"/>
          <w:szCs w:val="18"/>
          <w:color w:val="auto"/>
        </w:rPr>
        <w:t>Please see Note 14 of our consolidated financial statements included in Item 8 of this Report on Form 10-K for additional data regarding net revenues, profit or loss and total assets of each of our segments and revenues attributable to foreign countries.</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MARKETING, SALES AND CUSTOMER SUPPORT</w:t>
      </w:r>
    </w:p>
    <w:p>
      <w:pPr>
        <w:spacing w:after="0" w:line="225" w:lineRule="exact"/>
        <w:rPr>
          <w:sz w:val="20"/>
          <w:szCs w:val="20"/>
          <w:color w:val="auto"/>
        </w:rPr>
      </w:pPr>
    </w:p>
    <w:p>
      <w:pPr>
        <w:ind w:left="540" w:right="80"/>
        <w:spacing w:after="0" w:line="258" w:lineRule="auto"/>
        <w:rPr>
          <w:sz w:val="20"/>
          <w:szCs w:val="20"/>
          <w:color w:val="auto"/>
        </w:rPr>
      </w:pPr>
      <w:r>
        <w:rPr>
          <w:rFonts w:ascii="Times New Roman" w:cs="Times New Roman" w:eastAsia="Times New Roman" w:hAnsi="Times New Roman"/>
          <w:sz w:val="18"/>
          <w:szCs w:val="18"/>
          <w:color w:val="auto"/>
        </w:rPr>
        <w:t>We market and sell our products primarily in markets where semiconductors are manufactured. North American and European semiconductor manufacturers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88" w:lineRule="exact"/>
        <w:rPr>
          <w:sz w:val="20"/>
          <w:szCs w:val="20"/>
          <w:color w:val="auto"/>
        </w:rPr>
      </w:pPr>
    </w:p>
    <w:p>
      <w:pPr>
        <w:ind w:left="540" w:right="120"/>
        <w:spacing w:after="0" w:line="255" w:lineRule="auto"/>
        <w:rPr>
          <w:sz w:val="20"/>
          <w:szCs w:val="20"/>
          <w:color w:val="auto"/>
        </w:rPr>
      </w:pPr>
      <w:r>
        <w:rPr>
          <w:rFonts w:ascii="Times New Roman" w:cs="Times New Roman" w:eastAsia="Times New Roman" w:hAnsi="Times New Roman"/>
          <w:sz w:val="18"/>
          <w:szCs w:val="18"/>
          <w:i w:val="1"/>
          <w:iCs w:val="1"/>
          <w:color w:val="auto"/>
        </w:rPr>
        <w:t>Thermal Products</w:t>
      </w:r>
      <w:r>
        <w:rPr>
          <w:rFonts w:ascii="Times New Roman" w:cs="Times New Roman" w:eastAsia="Times New Roman" w:hAnsi="Times New Roman"/>
          <w:sz w:val="18"/>
          <w:szCs w:val="18"/>
          <w:color w:val="auto"/>
        </w:rPr>
        <w:t>: We market our thermal products brands, Temptronic, Sigma and Thermonics, under the umbrella name of inTEST Thermal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sales to ATE manufacturers are handled directly by our own sales force.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visit our distributors regularly and have trained them to sell and service all of our thermal products.</w:t>
      </w:r>
    </w:p>
    <w:p>
      <w:pPr>
        <w:spacing w:after="0" w:line="193" w:lineRule="exact"/>
        <w:rPr>
          <w:sz w:val="20"/>
          <w:szCs w:val="20"/>
          <w:color w:val="auto"/>
        </w:rPr>
      </w:pPr>
    </w:p>
    <w:p>
      <w:pPr>
        <w:ind w:left="540" w:right="320"/>
        <w:spacing w:after="0" w:line="264" w:lineRule="auto"/>
        <w:rPr>
          <w:sz w:val="20"/>
          <w:szCs w:val="20"/>
          <w:color w:val="auto"/>
        </w:rPr>
      </w:pPr>
      <w:r>
        <w:rPr>
          <w:rFonts w:ascii="Times New Roman" w:cs="Times New Roman" w:eastAsia="Times New Roman" w:hAnsi="Times New Roman"/>
          <w:sz w:val="18"/>
          <w:szCs w:val="18"/>
          <w:i w:val="1"/>
          <w:iCs w:val="1"/>
          <w:color w:val="auto"/>
        </w:rPr>
        <w:t>Mechanical and Electrical Products</w:t>
      </w:r>
      <w:r>
        <w:rPr>
          <w:rFonts w:ascii="Times New Roman" w:cs="Times New Roman" w:eastAsia="Times New Roman" w:hAnsi="Times New Roman"/>
          <w:sz w:val="18"/>
          <w:szCs w:val="18"/>
          <w:color w:val="auto"/>
        </w:rPr>
        <w:t>: In North America, we sell to semiconductor manufacturers principally through the use of independent,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commissioned sales representatives. North American sales representatives also coordinate product installation and support with our technical staff and participate in trade shows.</w:t>
      </w:r>
    </w:p>
    <w:p>
      <w:pPr>
        <w:sectPr>
          <w:pgSz w:w="11900" w:h="16838" w:orient="portrait"/>
          <w:cols w:equalWidth="0" w:num="1">
            <w:col w:w="11420"/>
          </w:cols>
          <w:pgMar w:left="240" w:top="123" w:right="239" w:bottom="0" w:gutter="0" w:footer="0" w:header="0"/>
        </w:sectPr>
      </w:pPr>
    </w:p>
    <w:bookmarkStart w:id="7" w:name="page8"/>
    <w:bookmarkEnd w:id="7"/>
    <w:p>
      <w:pPr>
        <w:ind w:left="540" w:right="120"/>
        <w:spacing w:after="0" w:line="258" w:lineRule="auto"/>
        <w:rPr>
          <w:sz w:val="20"/>
          <w:szCs w:val="20"/>
          <w:color w:val="auto"/>
        </w:rPr>
      </w:pPr>
      <w:r>
        <w:rPr>
          <w:rFonts w:ascii="Times New Roman" w:cs="Times New Roman" w:eastAsia="Times New Roman" w:hAnsi="Times New Roman"/>
          <w:sz w:val="18"/>
          <w:szCs w:val="18"/>
          <w:color w:val="auto"/>
        </w:rPr>
        <w:t>Our internal sales staff handles sales to ATE manufacturers and is responsible for a portfolio of customer accounts and for managing certain independent sales representatives. In addition, our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90" w:lineRule="exact"/>
        <w:rPr>
          <w:sz w:val="20"/>
          <w:szCs w:val="20"/>
          <w:color w:val="auto"/>
        </w:rPr>
      </w:pPr>
    </w:p>
    <w:p>
      <w:pPr>
        <w:ind w:left="540" w:right="20"/>
        <w:spacing w:after="0" w:line="296" w:lineRule="auto"/>
        <w:rPr>
          <w:sz w:val="20"/>
          <w:szCs w:val="20"/>
          <w:color w:val="auto"/>
        </w:rPr>
      </w:pPr>
      <w:r>
        <w:rPr>
          <w:rFonts w:ascii="Times New Roman" w:cs="Times New Roman" w:eastAsia="Times New Roman" w:hAnsi="Times New Roman"/>
          <w:sz w:val="16"/>
          <w:szCs w:val="16"/>
          <w:color w:val="auto"/>
        </w:rPr>
        <w:t>In Europe we sell to semiconductor and ATE manufacturers through our internal sales staff and through the use of independent sales representatives. Technical support is provided to European customers by an employee based in the UK or by independent sales representatives who we have trained. In China, Malaysia, the Philippines, Singapore, South Korea, Taiwan and Thailand, we sell through the use of independent sales representatives who are supervised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CUSTOMERS</w:t>
      </w:r>
    </w:p>
    <w:p>
      <w:pPr>
        <w:spacing w:after="0" w:line="225"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We market all of our products to end users, which include semiconductor manufacturers and third-party foundries, test and assembly houses, as well as to original equipment manufacturers ("OEMs"), which include ATE manufacturers and their third-party outsource manufacturing partners. In the case of thermal products, we also market our products to independent testers of semiconductors, manufacturers of automotive, consumer electronics, defense/aerospace, energy, industrial and telecommunications products, and semiconductor research facilities. Our customers use our products principally in production testing, although our ThermoStream(R) products traditionally have been used largely in engineering development and quality assurance. We believe that we sell to most of the major semiconductor manufacturers in the world.</w:t>
      </w:r>
    </w:p>
    <w:p>
      <w:pPr>
        <w:spacing w:after="0" w:line="193" w:lineRule="exact"/>
        <w:rPr>
          <w:sz w:val="20"/>
          <w:szCs w:val="20"/>
          <w:color w:val="auto"/>
        </w:rPr>
      </w:pPr>
    </w:p>
    <w:p>
      <w:pPr>
        <w:ind w:left="540" w:right="20"/>
        <w:spacing w:after="0" w:line="255" w:lineRule="auto"/>
        <w:rPr>
          <w:sz w:val="20"/>
          <w:szCs w:val="20"/>
          <w:color w:val="auto"/>
        </w:rPr>
      </w:pPr>
      <w:r>
        <w:rPr>
          <w:rFonts w:ascii="Times New Roman" w:cs="Times New Roman" w:eastAsia="Times New Roman" w:hAnsi="Times New Roman"/>
          <w:sz w:val="18"/>
          <w:szCs w:val="18"/>
          <w:color w:val="auto"/>
        </w:rPr>
        <w:t>Texas Instruments Incorporated accounted for 13% of our consolidated net revenues in both 2014 and 2013. While all three of our operating segments sold to this customer, these revenues were primarily generated by our Mechanical Products and Electrical Products segments. Hakuto Co. Ltd. accounted for 11% of our consolidated net revenues in 2014. These revenues were generated by our Thermal Products segment. Our ten largest customers accounted for approximately 48% and 47% of our consolidated net revenues in 2014 and 2013,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largest customers in 2014 include:</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w w:val="95"/>
              </w:rPr>
              <w:t>Semiconductor Manufacturers</w:t>
            </w:r>
          </w:p>
        </w:tc>
        <w:tc>
          <w:tcPr>
            <w:tcW w:w="2140" w:type="dxa"/>
            <w:vAlign w:val="bottom"/>
          </w:tcPr>
          <w:p>
            <w:pPr>
              <w:spacing w:after="0"/>
              <w:rPr>
                <w:sz w:val="13"/>
                <w:szCs w:val="13"/>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ATE Manufacturers</w:t>
            </w: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tc>
      </w:tr>
      <w:tr>
        <w:trPr>
          <w:trHeight w:val="20"/>
        </w:trPr>
        <w:tc>
          <w:tcPr>
            <w:tcW w:w="17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1"/>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Semiconductor Engineering, Inc.</w:t>
            </w: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Teradyne, Inc.</w:t>
            </w: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Avago Technologies</w:t>
            </w:r>
          </w:p>
        </w:tc>
      </w:tr>
      <w:tr>
        <w:trPr>
          <w:trHeight w:val="45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Analog Devices, Inc.</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Emerson Electric Co.</w:t>
            </w:r>
          </w:p>
        </w:tc>
      </w:tr>
      <w:tr>
        <w:trPr>
          <w:trHeight w:val="45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Linear Technology Corporation</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Hakuto Co. Ltd.</w:t>
            </w:r>
          </w:p>
        </w:tc>
      </w:tr>
      <w:tr>
        <w:trPr>
          <w:trHeight w:val="45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NXP Semiconductors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PDF Solutions, Inc.</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9"/>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MANUFACTURING AND SUPPLY</w:t>
      </w:r>
    </w:p>
    <w:p>
      <w:pPr>
        <w:spacing w:after="0" w:line="225"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As of December 31, 2014, our principal manufacturing operations consisted of assembly and testing at our facilities in Massachusetts, New Jersey and California. We assemble most of our products from a combination of standard components and custom parts that have been fabricated to our specifications by either third-party manufacturers or our own fabrication operation in New Jersey. Our practice is to use the highest quality raw materials and components in our products. The primary raw materials used in fabricated parts are all widely available. We purchase substantially all of our components from multiple suppliers. We purchase certain raw materials and components from single suppliers, however we believe that all materials and components are available in adequate amounts from other sources, although from time to time, certain components may be in short supply because of high demand or the inability of some vendors to consistently meet our quality or delivery requirements.</w:t>
      </w:r>
    </w:p>
    <w:p>
      <w:pPr>
        <w:spacing w:after="0" w:line="195"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86"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In 2001, we obtained ISO 9001:1994 certification at our New Jersey facility. During 2003, we made the determination to upgrade to ISO 9001:2000 at our New Jersey facility, which was completed in 2007. In May 2003, our California facility obtained ISO 9001:2000 certification. In 2009, we made the decision to discontinue ISO certification in our New Jersey and California operations because our customers at that time operated solely in the semiconductor market where ISO certification has little impact. We continue to employ all the practices embodied in the ISO 9001:2000 standard. We believe that the loss of ISO 9001 certification for our New Jersey and California facilities has not negatively impacted our working relationships with our customers or prevented us from obtaining orders from our customers. Our Massachusetts facility completed ISO 9001:2000 certification in November 2004 and upgraded to ISO 9001:2008 in November 2009 and has maintained certification with the ISO 9001:2008 standard since that time.</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ENGINEERING AND PRODUCT DEVELOPMENT</w:t>
      </w:r>
    </w:p>
    <w:p>
      <w:pPr>
        <w:sectPr>
          <w:pgSz w:w="11900" w:h="16838" w:orient="portrait"/>
          <w:cols w:equalWidth="0" w:num="1">
            <w:col w:w="11400"/>
          </w:cols>
          <w:pgMar w:left="240" w:top="125" w:right="259" w:bottom="0" w:gutter="0" w:footer="0" w:header="0"/>
        </w:sectPr>
      </w:pPr>
    </w:p>
    <w:bookmarkStart w:id="8" w:name="page9"/>
    <w:bookmarkEnd w:id="8"/>
    <w:p>
      <w:pPr>
        <w:ind w:left="540" w:right="40"/>
        <w:spacing w:after="0" w:line="254" w:lineRule="auto"/>
        <w:rPr>
          <w:sz w:val="20"/>
          <w:szCs w:val="20"/>
          <w:color w:val="auto"/>
        </w:rPr>
      </w:pPr>
      <w:r>
        <w:rPr>
          <w:rFonts w:ascii="Times New Roman" w:cs="Times New Roman" w:eastAsia="Times New Roman" w:hAnsi="Times New Roman"/>
          <w:sz w:val="18"/>
          <w:szCs w:val="18"/>
          <w:color w:val="auto"/>
        </w:rPr>
        <w:t>Our success depends on our ability to provide our customers with products and solutions that are well engineered, and to design those products and solutions before, or at least no later than, our competitors. As of December 31, 2014, we employed a total of 27 engineers, who were engaged full time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 performance interfaces.</w:t>
      </w:r>
    </w:p>
    <w:p>
      <w:pPr>
        <w:spacing w:after="0" w:line="192" w:lineRule="exact"/>
        <w:rPr>
          <w:sz w:val="20"/>
          <w:szCs w:val="20"/>
          <w:color w:val="auto"/>
        </w:rPr>
      </w:pPr>
    </w:p>
    <w:p>
      <w:pPr>
        <w:ind w:left="540" w:right="340"/>
        <w:spacing w:after="0" w:line="275" w:lineRule="auto"/>
        <w:rPr>
          <w:sz w:val="20"/>
          <w:szCs w:val="20"/>
          <w:color w:val="auto"/>
        </w:rPr>
      </w:pPr>
      <w:r>
        <w:rPr>
          <w:rFonts w:ascii="Times New Roman" w:cs="Times New Roman" w:eastAsia="Times New Roman" w:hAnsi="Times New Roman"/>
          <w:sz w:val="18"/>
          <w:szCs w:val="18"/>
          <w:color w:val="auto"/>
        </w:rPr>
        <w:t>Since most of our products are customized, we consider substantially all of our engineering activities to be engineering and product development. We spent approximately $3.6 million in 2014 and $3.7 million in 2013 on engineering and product development, respectively.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- 11 -</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PATENTS AND OTHER PROPRIETARY RIGHTS</w:t>
      </w:r>
    </w:p>
    <w:p>
      <w:pPr>
        <w:spacing w:after="0" w:line="225" w:lineRule="exact"/>
        <w:rPr>
          <w:sz w:val="20"/>
          <w:szCs w:val="20"/>
          <w:color w:val="auto"/>
        </w:rPr>
      </w:pPr>
    </w:p>
    <w:p>
      <w:pPr>
        <w:ind w:left="540" w:right="200"/>
        <w:spacing w:after="0" w:line="256" w:lineRule="auto"/>
        <w:rPr>
          <w:sz w:val="20"/>
          <w:szCs w:val="20"/>
          <w:color w:val="auto"/>
        </w:rPr>
      </w:pPr>
      <w:r>
        <w:rPr>
          <w:rFonts w:ascii="Times New Roman" w:cs="Times New Roman" w:eastAsia="Times New Roman" w:hAnsi="Times New Roman"/>
          <w:sz w:val="18"/>
          <w:szCs w:val="18"/>
          <w:color w:val="auto"/>
        </w:rPr>
        <w:t>Our policy is to protect our technology by filing patent applications for the technologies that we consider important to our business. We also rely on trademarks, trade secrets, copyrights and unpatentable know-how to protect our proprietary rights. 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93" w:lineRule="exact"/>
        <w:rPr>
          <w:sz w:val="20"/>
          <w:szCs w:val="20"/>
          <w:color w:val="auto"/>
        </w:rPr>
      </w:pPr>
    </w:p>
    <w:p>
      <w:pPr>
        <w:ind w:left="540" w:right="240"/>
        <w:spacing w:after="0" w:line="256" w:lineRule="auto"/>
        <w:rPr>
          <w:sz w:val="20"/>
          <w:szCs w:val="20"/>
          <w:color w:val="auto"/>
        </w:rPr>
      </w:pPr>
      <w:r>
        <w:rPr>
          <w:rFonts w:ascii="Times New Roman" w:cs="Times New Roman" w:eastAsia="Times New Roman" w:hAnsi="Times New Roman"/>
          <w:sz w:val="18"/>
          <w:szCs w:val="18"/>
          <w:color w:val="auto"/>
        </w:rPr>
        <w:t>As of December 31, 2014, we held 47 active U.S. patents and had 11 pending U.S. patent applications covering various aspects of our technology. Our U.S. patents expire at various times beginning in 2015 and extending through 2033. During 2014, three U.S. patents were issued and we had three U.S. patents expire. We do not believe that the expiration of these patents or the upcoming expiration of certain of our patents in 2015 will have a material impact on our business. We also hold foreign patents and file foreign patent applications, in selected cases corresponding to our U.S. patents and patent applications, to the extent management deems appropriate.</w:t>
      </w:r>
    </w:p>
    <w:p>
      <w:pPr>
        <w:spacing w:after="0" w:line="193"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While we believe that our patents and other proprietary rights are important to our business, we also believe that, due to the rapid pace of technological change in the semiconductor equipment market, the successful manufacture and sale of our products also depends upon our engineering, manufacturing, marketing and servicing skills. In the absence of patent protection, we would be vulnerable to competitors who attempt to copy or imitate our products or processes. 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For additional information regarding risks related to our intellectual property, see "Risk Factors."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COMPETITION</w:t>
      </w:r>
    </w:p>
    <w:p>
      <w:pPr>
        <w:spacing w:after="0" w:line="225"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We operate in an increasingly competitive environment within each of our product segments. Some of our competitors have greater financial resources and more extensive design and production capabilities than we do. Certain markets in which we operate have become more fragmented, with smaller companies entering the market. These new smaller entrants typically have much lower levels of fixed operating overhead than we do, which enables them to be profitable with lower priced products. In order to remain competitive with these and other companies, we must be able to continue to commit a significant portion of our personnel, financial resources, research and development and customer support to developing new products and maintaining customer relationships worldwide.</w:t>
      </w:r>
    </w:p>
    <w:p>
      <w:pPr>
        <w:spacing w:after="0" w:line="153" w:lineRule="exact"/>
        <w:rPr>
          <w:sz w:val="20"/>
          <w:szCs w:val="20"/>
          <w:color w:val="auto"/>
        </w:rPr>
      </w:pPr>
    </w:p>
    <w:p>
      <w:pPr>
        <w:ind w:left="540"/>
        <w:spacing w:after="0" w:line="301" w:lineRule="auto"/>
        <w:rPr>
          <w:sz w:val="20"/>
          <w:szCs w:val="20"/>
          <w:color w:val="auto"/>
        </w:rPr>
      </w:pPr>
      <w:r>
        <w:rPr>
          <w:rFonts w:ascii="Times New Roman" w:cs="Times New Roman" w:eastAsia="Times New Roman" w:hAnsi="Times New Roman"/>
          <w:sz w:val="16"/>
          <w:szCs w:val="16"/>
          <w:color w:val="auto"/>
        </w:rPr>
        <w:t>Our competitors include independent manufacturers, ATE manufacturers and, to a lesser extent, semiconductor manufacturers' in-house ATE interface groups. Competitive factors in our market include price, functionality, timely product delivery, customer service, applications support, product performance and reliability. We believe that our long-term relationships with the industry's leading semiconductor manufacturers and other customers, and our commitment to, and reputation for, providing high quality products, are important elements in our ability to compete effectively in all of our markets.</w:t>
      </w:r>
    </w:p>
    <w:p>
      <w:pPr>
        <w:spacing w:after="0" w:line="157" w:lineRule="exact"/>
        <w:rPr>
          <w:sz w:val="20"/>
          <w:szCs w:val="20"/>
          <w:color w:val="auto"/>
        </w:rPr>
      </w:pPr>
    </w:p>
    <w:p>
      <w:pPr>
        <w:ind w:left="540" w:right="100"/>
        <w:spacing w:after="0" w:line="262" w:lineRule="auto"/>
        <w:rPr>
          <w:sz w:val="20"/>
          <w:szCs w:val="20"/>
          <w:color w:val="auto"/>
        </w:rPr>
      </w:pPr>
      <w:r>
        <w:rPr>
          <w:rFonts w:ascii="Times New Roman" w:cs="Times New Roman" w:eastAsia="Times New Roman" w:hAnsi="Times New Roman"/>
          <w:sz w:val="18"/>
          <w:szCs w:val="18"/>
          <w:color w:val="auto"/>
        </w:rPr>
        <w:t>Our principal competitor for Thermostream products is FTS Systems. Our principal competitors for Thermochuck products include ERS Electronik GmbH, Cascade Microtech, Inc. and Espec Corp. Our principal competitors for environmental chambers are Thermotron Industries, Cincinnati Sub-Zero Products, Inc. and Espec Corp. Our principal competitor for thermal platforms is Environmental Stress Systems Inc.</w:t>
      </w:r>
    </w:p>
    <w:p>
      <w:pPr>
        <w:spacing w:after="0" w:line="186" w:lineRule="exact"/>
        <w:rPr>
          <w:sz w:val="20"/>
          <w:szCs w:val="20"/>
          <w:color w:val="auto"/>
        </w:rPr>
      </w:pPr>
    </w:p>
    <w:p>
      <w:pPr>
        <w:ind w:left="540" w:right="120"/>
        <w:spacing w:after="0" w:line="262" w:lineRule="auto"/>
        <w:rPr>
          <w:sz w:val="20"/>
          <w:szCs w:val="20"/>
          <w:color w:val="auto"/>
        </w:rPr>
      </w:pPr>
      <w:r>
        <w:rPr>
          <w:rFonts w:ascii="Times New Roman" w:cs="Times New Roman" w:eastAsia="Times New Roman" w:hAnsi="Times New Roman"/>
          <w:sz w:val="18"/>
          <w:szCs w:val="18"/>
          <w:color w:val="auto"/>
        </w:rPr>
        <w:t>Our principal competitors for manipulator products are Esmo AG and Reid-Ashman Manufacturing. Our principal competitors for docking hardware products include Esmo AG, Knight Automation and Reid-Ashman Manufacturing. We also compete with the ATE manufacturers Advantest Corporation and Teradyne, Inc. (who are also our customers) on the sale of docking hardware and manipulators.</w:t>
      </w:r>
    </w:p>
    <w:p>
      <w:pPr>
        <w:spacing w:after="0" w:line="18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Our principal competitors for tester interface products are Reid-Ashman Manufacturing, Esmo AG, Teradyne, Inc., and Advantest Corporation.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- 12 -</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ectPr>
          <w:pgSz w:w="11900" w:h="16838" w:orient="portrait"/>
          <w:cols w:equalWidth="0" w:num="1">
            <w:col w:w="11400"/>
          </w:cols>
          <w:pgMar w:left="240" w:top="125" w:right="259" w:bottom="0" w:gutter="0" w:footer="0" w:header="0"/>
        </w:sectPr>
      </w:pPr>
    </w:p>
    <w:p>
      <w:pPr>
        <w:spacing w:after="0" w:line="38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 xml:space="preserve">BUSINESS </w:t>
      </w:r>
      <w:r>
        <w:rPr>
          <w:rFonts w:ascii="Times New Roman" w:cs="Times New Roman" w:eastAsia="Times New Roman" w:hAnsi="Times New Roman"/>
          <w:sz w:val="16"/>
          <w:szCs w:val="16"/>
          <w:color w:val="auto"/>
        </w:rPr>
        <w:t>(Continued)</w:t>
      </w:r>
    </w:p>
    <w:p>
      <w:pPr>
        <w:sectPr>
          <w:pgSz w:w="11900" w:h="16838" w:orient="portrait"/>
          <w:cols w:equalWidth="0" w:num="1">
            <w:col w:w="11400"/>
          </w:cols>
          <w:pgMar w:left="240" w:top="125" w:right="259" w:bottom="0" w:gutter="0" w:footer="0" w:header="0"/>
          <w:type w:val="continuous"/>
        </w:sectPr>
      </w:pPr>
    </w:p>
    <w:bookmarkStart w:id="9" w:name="page10"/>
    <w:bookmarkEnd w:id="9"/>
    <w:p>
      <w:pPr>
        <w:ind w:left="540"/>
        <w:spacing w:after="0"/>
        <w:rPr>
          <w:sz w:val="20"/>
          <w:szCs w:val="20"/>
          <w:color w:val="auto"/>
        </w:rPr>
      </w:pPr>
      <w:r>
        <w:rPr>
          <w:rFonts w:ascii="Times New Roman" w:cs="Times New Roman" w:eastAsia="Times New Roman" w:hAnsi="Times New Roman"/>
          <w:sz w:val="18"/>
          <w:szCs w:val="18"/>
          <w:u w:val="single" w:color="auto"/>
          <w:color w:val="auto"/>
        </w:rPr>
        <w:t>BACKLOG</w:t>
      </w:r>
    </w:p>
    <w:p>
      <w:pPr>
        <w:spacing w:after="0" w:line="225"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color w:val="auto"/>
        </w:rPr>
        <w:t>At December 31, 2014, our backlog of unfilled orders for all products was approximately $3.8 million compared with approximately $3.1 million at December 31, 2013. Our backlog includes customer orders which we have accepted, substantially all of which we expect to deliver in 2015.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that has the effect of increasing backlog. As a result of these factors, our backlog at a particular date is not necessarily indicative of sales for any future period.</w:t>
      </w:r>
    </w:p>
    <w:p>
      <w:pPr>
        <w:spacing w:after="0" w:line="15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ind w:left="540" w:right="60"/>
        <w:spacing w:after="0" w:line="258" w:lineRule="auto"/>
        <w:rPr>
          <w:sz w:val="20"/>
          <w:szCs w:val="20"/>
          <w:color w:val="auto"/>
        </w:rPr>
      </w:pPr>
      <w:r>
        <w:rPr>
          <w:rFonts w:ascii="Times New Roman" w:cs="Times New Roman" w:eastAsia="Times New Roman" w:hAnsi="Times New Roman"/>
          <w:sz w:val="18"/>
          <w:szCs w:val="18"/>
          <w:color w:val="auto"/>
        </w:rPr>
        <w:t>At December 31, 2014, we had 125 full time employees, including 57 in manufacturing operations, 48 in customer support/operations and 20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ADDITIONAL INFORMATION</w:t>
      </w:r>
    </w:p>
    <w:p>
      <w:pPr>
        <w:spacing w:after="0" w:line="225" w:lineRule="exact"/>
        <w:rPr>
          <w:sz w:val="20"/>
          <w:szCs w:val="20"/>
          <w:color w:val="auto"/>
        </w:rPr>
      </w:pPr>
    </w:p>
    <w:p>
      <w:pPr>
        <w:ind w:left="540" w:right="300"/>
        <w:spacing w:after="0" w:line="262" w:lineRule="auto"/>
        <w:rPr>
          <w:sz w:val="20"/>
          <w:szCs w:val="20"/>
          <w:color w:val="auto"/>
        </w:rPr>
      </w:pPr>
      <w:r>
        <w:rPr>
          <w:rFonts w:ascii="Times New Roman" w:cs="Times New Roman" w:eastAsia="Times New Roman" w:hAnsi="Times New Roman"/>
          <w:sz w:val="18"/>
          <w:szCs w:val="18"/>
          <w:color w:val="auto"/>
        </w:rPr>
        <w:t>Our Annual Report on Form 10-K, Quarterly Reports on Form 10-Q and Current Reports on Form 8-K, and amendments to these reports that are filed with the SEC pursuant to Section 13(a) or 15(d) of the Exchange Act, are available free of charge through our website (www.intest.com) as soon as reasonably practicable after we electronically file them with, or furnish them to, the SEC.</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ones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would likely suffer, and the price of our stock could be negatively affected.</w:t>
      </w:r>
    </w:p>
    <w:p>
      <w:pPr>
        <w:spacing w:after="0" w:line="191" w:lineRule="exact"/>
        <w:rPr>
          <w:sz w:val="20"/>
          <w:szCs w:val="20"/>
          <w:color w:val="auto"/>
        </w:rPr>
      </w:pPr>
    </w:p>
    <w:p>
      <w:pPr>
        <w:ind w:left="540" w:right="180"/>
        <w:spacing w:after="0" w:line="277" w:lineRule="auto"/>
        <w:rPr>
          <w:sz w:val="20"/>
          <w:szCs w:val="20"/>
          <w:color w:val="auto"/>
        </w:rPr>
      </w:pPr>
      <w:r>
        <w:rPr>
          <w:rFonts w:ascii="Times New Roman" w:cs="Times New Roman" w:eastAsia="Times New Roman" w:hAnsi="Times New Roman"/>
          <w:sz w:val="18"/>
          <w:szCs w:val="18"/>
          <w:b w:val="1"/>
          <w:bCs w:val="1"/>
          <w:color w:val="auto"/>
        </w:rPr>
        <w:t>Our sales are affected by the cyclicality and seasonality of the semiconductor and ATE markets, which causes our operating results to fluctuate significantly.</w:t>
      </w:r>
    </w:p>
    <w:p>
      <w:pPr>
        <w:spacing w:after="0" w:line="172"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Our business depends in significant part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 These market changes and seasonal sales pattern have contributed in the past, and will likely continue to contribute in the future, to fluctuations in our operating results.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- 13 -</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business is subject to intense competition.</w:t>
      </w:r>
    </w:p>
    <w:p>
      <w:pPr>
        <w:spacing w:after="0" w:line="227" w:lineRule="exact"/>
        <w:rPr>
          <w:sz w:val="20"/>
          <w:szCs w:val="20"/>
          <w:color w:val="auto"/>
        </w:rPr>
      </w:pPr>
    </w:p>
    <w:p>
      <w:pPr>
        <w:ind w:left="540" w:right="20"/>
        <w:spacing w:after="0" w:line="293" w:lineRule="auto"/>
        <w:rPr>
          <w:sz w:val="20"/>
          <w:szCs w:val="20"/>
          <w:color w:val="auto"/>
        </w:rPr>
      </w:pPr>
      <w:r>
        <w:rPr>
          <w:rFonts w:ascii="Times New Roman" w:cs="Times New Roman" w:eastAsia="Times New Roman" w:hAnsi="Times New Roman"/>
          <w:sz w:val="16"/>
          <w:szCs w:val="16"/>
          <w:color w:val="auto"/>
        </w:rPr>
        <w:t>We face significant competition throughout the world in each of our product segments. Some of our competitors have substantial financial resources and more extensive design and production capabilities than we do. In order to remain competitive, we must be able to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Over the last several years, in response to significant declines in global demand for our products, some competitors have reduced their product pricing significantly, which has led to intensified price based competition, which has and could continue to materially adversely affect our business, financial condition and results of operations.</w:t>
      </w:r>
    </w:p>
    <w:p>
      <w:pPr>
        <w:spacing w:after="0" w:line="163" w:lineRule="exact"/>
        <w:rPr>
          <w:sz w:val="20"/>
          <w:szCs w:val="20"/>
          <w:color w:val="auto"/>
        </w:rPr>
      </w:pPr>
    </w:p>
    <w:p>
      <w:pPr>
        <w:ind w:left="540" w:right="100"/>
        <w:spacing w:after="0" w:line="264" w:lineRule="auto"/>
        <w:rPr>
          <w:sz w:val="20"/>
          <w:szCs w:val="20"/>
          <w:color w:val="auto"/>
        </w:rPr>
      </w:pPr>
      <w:r>
        <w:rPr>
          <w:rFonts w:ascii="Times New Roman" w:cs="Times New Roman" w:eastAsia="Times New Roman" w:hAnsi="Times New Roman"/>
          <w:sz w:val="18"/>
          <w:szCs w:val="18"/>
          <w:b w:val="1"/>
          <w:bCs w:val="1"/>
          <w:color w:val="auto"/>
        </w:rPr>
        <w:t>We seek to further diversify the markets for our thermal products in order to increase the proportion of our sales attributable to markets which are less subject to cyclicality than the semiconductor and ATE markets. If we are unable to do so, our future performance will remain substantially exposed to the fluctuations of the cyclicality of the semiconductor and ATE markets.</w:t>
      </w:r>
    </w:p>
    <w:p>
      <w:pPr>
        <w:spacing w:after="0" w:line="183"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Since 2009, we have sold our thermal products in markets outside of the ATE market, including the automotive, consumer electronics, defense/aerospace, energy, industrial and telecommunications markets. Our sales to these non-ATE markets were $11.1 million in both 2014 and 2013 and represented 27% and 28%, respectively, of our consolidated net revenues. Our goal is to increase our sales into these and other non-ATE markets; however, in most cases, the expansion of our thermal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If we are unable to expand our sales in non-ATE markets, our net revenues and results of operations will remain substantially dependent upon the cycles of the semiconductor and ATE markets.</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We seek to acquire additional businesses. If we are unable to do so, our future rate of growth may be reduced or limited.</w:t>
      </w:r>
    </w:p>
    <w:p>
      <w:pPr>
        <w:sectPr>
          <w:pgSz w:w="11900" w:h="16838" w:orient="portrait"/>
          <w:cols w:equalWidth="0" w:num="1">
            <w:col w:w="11400"/>
          </w:cols>
          <w:pgMar w:left="240" w:top="125" w:right="259" w:bottom="0" w:gutter="0" w:footer="0" w:header="0"/>
        </w:sectPr>
      </w:pPr>
    </w:p>
    <w:bookmarkStart w:id="10" w:name="page11"/>
    <w:bookmarkEnd w:id="10"/>
    <w:p>
      <w:pPr>
        <w:jc w:val="both"/>
        <w:ind w:left="540" w:right="40"/>
        <w:spacing w:after="0" w:line="262" w:lineRule="auto"/>
        <w:rPr>
          <w:sz w:val="20"/>
          <w:szCs w:val="20"/>
          <w:color w:val="auto"/>
        </w:rPr>
      </w:pPr>
      <w:r>
        <w:rPr>
          <w:rFonts w:ascii="Times New Roman" w:cs="Times New Roman" w:eastAsia="Times New Roman" w:hAnsi="Times New Roman"/>
          <w:sz w:val="18"/>
          <w:szCs w:val="18"/>
          <w:color w:val="auto"/>
        </w:rPr>
        <w:t>A key element of our growth strategy is to acquire businesses, technologies or products that are complementary to our current product offerings. We seek to make acquisitions that will further expand our product lines as well as increase our exposure to markets outside the ATE market. We may not be able to execute our acquisition strategy if:</w:t>
      </w:r>
    </w:p>
    <w:p>
      <w:pPr>
        <w:spacing w:after="0" w:line="146" w:lineRule="exact"/>
        <w:rPr>
          <w:sz w:val="20"/>
          <w:szCs w:val="20"/>
          <w:color w:val="auto"/>
        </w:rPr>
      </w:pPr>
    </w:p>
    <w:p>
      <w:pPr>
        <w:ind w:left="1080" w:right="4420"/>
        <w:spacing w:after="0" w:line="262" w:lineRule="auto"/>
        <w:rPr>
          <w:sz w:val="20"/>
          <w:szCs w:val="20"/>
          <w:color w:val="auto"/>
        </w:rPr>
      </w:pPr>
      <w:r>
        <w:rPr>
          <w:rFonts w:ascii="Times New Roman" w:cs="Times New Roman" w:eastAsia="Times New Roman" w:hAnsi="Times New Roman"/>
          <w:sz w:val="18"/>
          <w:szCs w:val="18"/>
          <w:color w:val="auto"/>
        </w:rPr>
        <w:t>we are unable to identify suitable businesses, technologies or products to acquire; we do not have sufficient cash or access to required capital at the necessary time; or we are unwilling or unable to outbid larger, more resourceful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-381635</wp:posOffset>
            </wp:positionV>
            <wp:extent cx="596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-244475</wp:posOffset>
            </wp:positionV>
            <wp:extent cx="596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-107315</wp:posOffset>
            </wp:positionV>
            <wp:extent cx="596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acquisition strategy involves financial and management risks which may adversely affect our results in the future.</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we acquire additional businesses, technologies or products, we will face the following additional risks:</w:t>
      </w:r>
    </w:p>
    <w:p>
      <w:pPr>
        <w:spacing w:after="0" w:line="185" w:lineRule="exact"/>
        <w:rPr>
          <w:sz w:val="20"/>
          <w:szCs w:val="20"/>
          <w:color w:val="auto"/>
        </w:rPr>
      </w:pPr>
    </w:p>
    <w:p>
      <w:pPr>
        <w:ind w:left="1080" w:right="540"/>
        <w:spacing w:after="0" w:line="257" w:lineRule="auto"/>
        <w:rPr>
          <w:sz w:val="20"/>
          <w:szCs w:val="20"/>
          <w:color w:val="auto"/>
        </w:rPr>
      </w:pPr>
      <w:r>
        <w:rPr>
          <w:rFonts w:ascii="Times New Roman" w:cs="Times New Roman" w:eastAsia="Times New Roman" w:hAnsi="Times New Roman"/>
          <w:sz w:val="18"/>
          <w:szCs w:val="18"/>
          <w:color w:val="auto"/>
        </w:rPr>
        <w:t>future acquisitions could divert management's attention from daily operations or otherwise require additional management, operational and financial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1540"/>
        <w:spacing w:after="0" w:line="281" w:lineRule="auto"/>
        <w:rPr>
          <w:sz w:val="20"/>
          <w:szCs w:val="20"/>
          <w:color w:val="auto"/>
        </w:rPr>
      </w:pPr>
      <w:r>
        <w:rPr>
          <w:rFonts w:ascii="Times New Roman" w:cs="Times New Roman" w:eastAsia="Times New Roman" w:hAnsi="Times New Roman"/>
          <w:sz w:val="16"/>
          <w:szCs w:val="16"/>
          <w:color w:val="auto"/>
        </w:rPr>
        <w:t>we might not be able to integrate future acquisitions into our business successfully or operate acquired businesses profitably; we may realize substantial acquisition related expenses which would reduce our net earnings in future years;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our investigation of potential acquisition candidates may not reveal problems and liabilities of the companies that we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right="120"/>
        <w:spacing w:after="0" w:line="258" w:lineRule="auto"/>
        <w:rPr>
          <w:sz w:val="20"/>
          <w:szCs w:val="20"/>
          <w:color w:val="auto"/>
        </w:rPr>
      </w:pPr>
      <w:r>
        <w:rPr>
          <w:rFonts w:ascii="Times New Roman" w:cs="Times New Roman" w:eastAsia="Times New Roman" w:hAnsi="Times New Roman"/>
          <w:sz w:val="18"/>
          <w:szCs w:val="18"/>
          <w:color w:val="auto"/>
        </w:rPr>
        <w:t>If any of the events described above occur, our earnings could be reduced. If we issue shares of our stock or other rights to purchase our stock in connection with any future acquisitions, we would dilute our existing stockholders' interests and our earnings per share may decrease. If we issue debt in connection with any future acquisitions, lenders may impose covenants on us which could, among other things, restrict our ability to increase capital expenditures or to acquire additional businesses.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operating results often change significantly from quarter to quarter and may cause fluctuations in our stock price.</w:t>
      </w:r>
    </w:p>
    <w:p>
      <w:pPr>
        <w:spacing w:after="0" w:line="227" w:lineRule="exact"/>
        <w:rPr>
          <w:sz w:val="20"/>
          <w:szCs w:val="20"/>
          <w:color w:val="auto"/>
        </w:rPr>
      </w:pPr>
    </w:p>
    <w:p>
      <w:pPr>
        <w:jc w:val="both"/>
        <w:ind w:left="540" w:right="20"/>
        <w:spacing w:after="0" w:line="310" w:lineRule="auto"/>
        <w:rPr>
          <w:sz w:val="20"/>
          <w:szCs w:val="20"/>
          <w:color w:val="auto"/>
        </w:rPr>
      </w:pPr>
      <w:r>
        <w:rPr>
          <w:rFonts w:ascii="Times New Roman" w:cs="Times New Roman" w:eastAsia="Times New Roman" w:hAnsi="Times New Roman"/>
          <w:sz w:val="16"/>
          <w:szCs w:val="16"/>
          <w:color w:val="auto"/>
        </w:rPr>
        <w:t>Historically, our operating results have fluctuated significantly from quarter to quarter. We believe that these fluctuations occur primarily due to the cycles of demand in the semiconductor manufacturing industry. In addition to the changing cycles of demand in the semiconductor manufacturing industry, other factors that have caused our quarterly operating results to fluctuate in the past, and that may cause fluctuations and losses in the future, include:</w:t>
      </w:r>
    </w:p>
    <w:p>
      <w:pPr>
        <w:spacing w:after="0" w:line="11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state of the U.S. and global economies;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changes in the buying patterns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changes in our market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technological obsolescence of our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840"/>
        <w:spacing w:after="0" w:line="250" w:lineRule="auto"/>
        <w:rPr>
          <w:sz w:val="20"/>
          <w:szCs w:val="20"/>
          <w:color w:val="auto"/>
        </w:rPr>
      </w:pPr>
      <w:r>
        <w:rPr>
          <w:rFonts w:ascii="Times New Roman" w:cs="Times New Roman" w:eastAsia="Times New Roman" w:hAnsi="Times New Roman"/>
          <w:sz w:val="18"/>
          <w:szCs w:val="18"/>
          <w:color w:val="auto"/>
        </w:rPr>
        <w:t>quantities of our inventories greater than is reasonably likely to be utilized in future periods; fluctuations in the level of product warranty charges; competitive pricing pressures;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-370205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impairment of our assets due to reduced future demand for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3900"/>
        <w:spacing w:after="0" w:line="250" w:lineRule="auto"/>
        <w:rPr>
          <w:sz w:val="20"/>
          <w:szCs w:val="20"/>
          <w:color w:val="auto"/>
        </w:rPr>
      </w:pPr>
      <w:r>
        <w:rPr>
          <w:rFonts w:ascii="Times New Roman" w:cs="Times New Roman" w:eastAsia="Times New Roman" w:hAnsi="Times New Roman"/>
          <w:sz w:val="18"/>
          <w:szCs w:val="18"/>
          <w:color w:val="auto"/>
        </w:rPr>
        <w:t>costs and timing of integration of our acquisitions and plant consolidations and relocations; excess manufacturing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our ability to control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costs associated with implementing restructuring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delays in shipments of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mix of our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mix of customers and geographic regions where we sell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changes in the level of our fixed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costs associated with the development of our proprietary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our ability to obtain raw materials or fabricated parts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increases in costs of component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cancellation or rescheduling of orders by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changes in government regulations;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political or economic instability.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2"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72" w:lineRule="exact"/>
        <w:rPr>
          <w:sz w:val="20"/>
          <w:szCs w:val="20"/>
          <w:color w:val="auto"/>
        </w:rPr>
      </w:pPr>
    </w:p>
    <w:p>
      <w:pPr>
        <w:ind w:left="540" w:right="460"/>
        <w:spacing w:after="0" w:line="277" w:lineRule="auto"/>
        <w:rPr>
          <w:sz w:val="20"/>
          <w:szCs w:val="20"/>
          <w:color w:val="auto"/>
        </w:rPr>
      </w:pPr>
      <w:r>
        <w:rPr>
          <w:rFonts w:ascii="Times New Roman" w:cs="Times New Roman" w:eastAsia="Times New Roman" w:hAnsi="Times New Roman"/>
          <w:sz w:val="18"/>
          <w:szCs w:val="18"/>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72"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In addition to the cyclicality and seasonality of the semiconductor and ATE markets, demand for our products and our gross and net operating margins have also been affected by changes in the buying patterns of our customers. We believe that in recent years there have been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increasing practice of OEM manufacturers to specify other suppliers as primary vendors, with less frequent opportunities to compete for such designations, (iii) customers requiring products with a greater range of use at the lowest cost, and (iv) customer supply chain management groups demanding lower prices and spreading purchases across multiple vendors.</w:t>
      </w:r>
    </w:p>
    <w:p>
      <w:pPr>
        <w:sectPr>
          <w:pgSz w:w="11900" w:h="16838" w:orient="portrait"/>
          <w:cols w:equalWidth="0" w:num="1">
            <w:col w:w="11400"/>
          </w:cols>
          <w:pgMar w:left="240" w:top="125" w:right="259" w:bottom="0" w:gutter="0" w:footer="0" w:header="0"/>
        </w:sectPr>
      </w:pPr>
    </w:p>
    <w:bookmarkStart w:id="11" w:name="page12"/>
    <w:bookmarkEnd w:id="11"/>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- 15 -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160"/>
        <w:spacing w:after="0" w:line="262" w:lineRule="auto"/>
        <w:rPr>
          <w:sz w:val="20"/>
          <w:szCs w:val="20"/>
          <w:color w:val="auto"/>
        </w:rPr>
      </w:pPr>
      <w:r>
        <w:rPr>
          <w:rFonts w:ascii="Times New Roman" w:cs="Times New Roman" w:eastAsia="Times New Roman" w:hAnsi="Times New Roman"/>
          <w:sz w:val="18"/>
          <w:szCs w:val="18"/>
          <w:color w:val="auto"/>
        </w:rPr>
        <w:t>These shifts in market practices have had, and may continue to have, varying degrees of impact on our net revenues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84" w:lineRule="exact"/>
        <w:rPr>
          <w:sz w:val="20"/>
          <w:szCs w:val="20"/>
          <w:color w:val="auto"/>
        </w:rPr>
      </w:pPr>
    </w:p>
    <w:p>
      <w:pPr>
        <w:ind w:left="540" w:right="400"/>
        <w:spacing w:after="0" w:line="277" w:lineRule="auto"/>
        <w:rPr>
          <w:sz w:val="20"/>
          <w:szCs w:val="20"/>
          <w:color w:val="auto"/>
        </w:rPr>
      </w:pPr>
      <w:r>
        <w:rPr>
          <w:rFonts w:ascii="Times New Roman" w:cs="Times New Roman" w:eastAsia="Times New Roman" w:hAnsi="Times New Roman"/>
          <w:sz w:val="18"/>
          <w:szCs w:val="18"/>
          <w:b w:val="1"/>
          <w:bCs w:val="1"/>
          <w:color w:val="auto"/>
        </w:rPr>
        <w:t>We generate a large portion of our sales from a small number of customers. If we were to lose one or more of our large customers, operating results could suffer dramatically.</w:t>
      </w:r>
    </w:p>
    <w:p>
      <w:pPr>
        <w:spacing w:after="0" w:line="172"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Texas Instruments Incorporated accounted for 13% of our consolidated net revenues in both 2014 and 2013, respectively. While all three of our operating segments sold to this customer, these revenues were primarily generated by our Mechanical Products and Electrical Products segments. Hakuto Co. Ltd. accounted for 11% of our consolidated net revenues in 2014. These revenues were generated by our Thermal Products segment. Our ten largest customers accounted for approximately 48% and 47% of our net revenues in 2014 and 2013,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91" w:lineRule="exact"/>
        <w:rPr>
          <w:sz w:val="20"/>
          <w:szCs w:val="20"/>
          <w:color w:val="auto"/>
        </w:rPr>
      </w:pPr>
    </w:p>
    <w:p>
      <w:pPr>
        <w:ind w:left="540" w:right="300"/>
        <w:spacing w:after="0" w:line="277" w:lineRule="auto"/>
        <w:rPr>
          <w:sz w:val="20"/>
          <w:szCs w:val="20"/>
          <w:color w:val="auto"/>
        </w:rPr>
      </w:pPr>
      <w:r>
        <w:rPr>
          <w:rFonts w:ascii="Times New Roman" w:cs="Times New Roman" w:eastAsia="Times New Roman" w:hAnsi="Times New Roman"/>
          <w:sz w:val="18"/>
          <w:szCs w:val="18"/>
          <w:b w:val="1"/>
          <w:bCs w:val="1"/>
          <w:color w:val="auto"/>
        </w:rPr>
        <w:t>We have experienced and may continue to experience significant variability in our effective tax rates and may have exposure to additional tax liabilities and costs.</w:t>
      </w:r>
    </w:p>
    <w:p>
      <w:pPr>
        <w:spacing w:after="0" w:line="172"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We are subject to paying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8" w:lineRule="exact"/>
        <w:rPr>
          <w:sz w:val="20"/>
          <w:szCs w:val="20"/>
          <w:color w:val="auto"/>
        </w:rPr>
      </w:pPr>
    </w:p>
    <w:p>
      <w:pPr>
        <w:ind w:left="540" w:right="280"/>
        <w:spacing w:after="0" w:line="277" w:lineRule="auto"/>
        <w:rPr>
          <w:sz w:val="20"/>
          <w:szCs w:val="20"/>
          <w:color w:val="auto"/>
        </w:rPr>
      </w:pPr>
      <w:r>
        <w:rPr>
          <w:rFonts w:ascii="Times New Roman" w:cs="Times New Roman" w:eastAsia="Times New Roman" w:hAnsi="Times New Roman"/>
          <w:sz w:val="18"/>
          <w:szCs w:val="18"/>
          <w:b w:val="1"/>
          <w:bCs w:val="1"/>
          <w:color w:val="auto"/>
        </w:rPr>
        <w:t>Our industry is subject to rapid technological change, and our business prospects would be negatively affected if we are unable to quickly and effectively respond to innovation in the semiconductor and ATE markets.</w:t>
      </w:r>
    </w:p>
    <w:p>
      <w:pPr>
        <w:spacing w:after="0" w:line="172" w:lineRule="exact"/>
        <w:rPr>
          <w:sz w:val="20"/>
          <w:szCs w:val="20"/>
          <w:color w:val="auto"/>
        </w:rPr>
      </w:pPr>
    </w:p>
    <w:p>
      <w:pPr>
        <w:ind w:left="540"/>
        <w:spacing w:after="0" w:line="301" w:lineRule="auto"/>
        <w:rPr>
          <w:sz w:val="20"/>
          <w:szCs w:val="20"/>
          <w:color w:val="auto"/>
        </w:rPr>
      </w:pPr>
      <w:r>
        <w:rPr>
          <w:rFonts w:ascii="Times New Roman" w:cs="Times New Roman" w:eastAsia="Times New Roman" w:hAnsi="Times New Roman"/>
          <w:sz w:val="16"/>
          <w:szCs w:val="16"/>
          <w:color w:val="auto"/>
        </w:rPr>
        <w:t>Semiconductor technology continues to become more complex as manufacturers incorporate ICs into an increasing variety of products. This trend, and the changes needed in automatic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New regulations related to conflict minerals may adversely affect us.</w:t>
      </w:r>
    </w:p>
    <w:p>
      <w:pPr>
        <w:spacing w:after="0" w:line="227" w:lineRule="exact"/>
        <w:rPr>
          <w:sz w:val="20"/>
          <w:szCs w:val="20"/>
          <w:color w:val="auto"/>
        </w:rPr>
      </w:pPr>
    </w:p>
    <w:p>
      <w:pPr>
        <w:ind w:left="540"/>
        <w:spacing w:after="0" w:line="296" w:lineRule="auto"/>
        <w:rPr>
          <w:sz w:val="20"/>
          <w:szCs w:val="20"/>
          <w:color w:val="auto"/>
        </w:rPr>
      </w:pPr>
      <w:r>
        <w:rPr>
          <w:rFonts w:ascii="Times New Roman" w:cs="Times New Roman" w:eastAsia="Times New Roman" w:hAnsi="Times New Roman"/>
          <w:sz w:val="16"/>
          <w:szCs w:val="16"/>
          <w:color w:val="auto"/>
        </w:rPr>
        <w:t>The Dodd-Frank Wall Street Reform and Consumer Protection Act imposes new disclosure requirements regarding the use of "conflict" minerals mined from the Democratic Republic of Congo and adjoining countries in our products. This new requirement could affect the pricing, sourcing and availability of minerals used in the manufacture of components we use in our products. In addition, there will be additional costs associated with complying with the disclosure requirements, such as costs related to determining the source of any conflict minerals used in our products. Our supply chain is complex and we may be unable to verify the origins for all metals used in our products. As a result, we may be unable to certify that our products are conflict mineral free.</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 breach of our operational or security systems could negatively affect our business and results of operations.</w:t>
      </w:r>
    </w:p>
    <w:p>
      <w:pPr>
        <w:spacing w:after="0" w:line="187" w:lineRule="exact"/>
        <w:rPr>
          <w:sz w:val="20"/>
          <w:szCs w:val="20"/>
          <w:color w:val="auto"/>
        </w:rPr>
      </w:pPr>
    </w:p>
    <w:p>
      <w:pPr>
        <w:ind w:left="540" w:right="60"/>
        <w:spacing w:after="0" w:line="256" w:lineRule="auto"/>
        <w:rPr>
          <w:sz w:val="20"/>
          <w:szCs w:val="20"/>
          <w:color w:val="auto"/>
        </w:rPr>
      </w:pPr>
      <w:r>
        <w:rPr>
          <w:rFonts w:ascii="Times New Roman" w:cs="Times New Roman" w:eastAsia="Times New Roman" w:hAnsi="Times New Roman"/>
          <w:sz w:val="18"/>
          <w:szCs w:val="18"/>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 attacks, could disrupt our business, result in the disclosure or misuse of proprietary or confidential information, damage our reputation, cause losses and increase our costs.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If our suppliers do not meet product or delivery requirements, we could have reduced revenues and earnings.</w:t>
      </w:r>
    </w:p>
    <w:p>
      <w:pPr>
        <w:spacing w:after="0" w:line="227" w:lineRule="exact"/>
        <w:rPr>
          <w:sz w:val="20"/>
          <w:szCs w:val="20"/>
          <w:color w:val="auto"/>
        </w:rPr>
      </w:pPr>
    </w:p>
    <w:p>
      <w:pPr>
        <w:ind w:left="540" w:right="60"/>
        <w:spacing w:after="0" w:line="296" w:lineRule="auto"/>
        <w:rPr>
          <w:sz w:val="20"/>
          <w:szCs w:val="20"/>
          <w:color w:val="auto"/>
        </w:rPr>
      </w:pPr>
      <w:r>
        <w:rPr>
          <w:rFonts w:ascii="Times New Roman" w:cs="Times New Roman" w:eastAsia="Times New Roman" w:hAnsi="Times New Roman"/>
          <w:sz w:val="16"/>
          <w:szCs w:val="16"/>
          <w:color w:val="auto"/>
        </w:rPr>
        <w:t>Certain components may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 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New statutory and regulatory requirements, tax increases and changes in government spending could adversely affect our operating results.</w:t>
      </w:r>
    </w:p>
    <w:p>
      <w:pPr>
        <w:spacing w:after="0" w:line="227" w:lineRule="exact"/>
        <w:rPr>
          <w:sz w:val="20"/>
          <w:szCs w:val="20"/>
          <w:color w:val="auto"/>
        </w:rPr>
      </w:pPr>
    </w:p>
    <w:p>
      <w:pPr>
        <w:ind w:left="540" w:right="360"/>
        <w:spacing w:after="0" w:line="301" w:lineRule="auto"/>
        <w:rPr>
          <w:sz w:val="20"/>
          <w:szCs w:val="20"/>
          <w:color w:val="auto"/>
        </w:rPr>
      </w:pPr>
      <w:r>
        <w:rPr>
          <w:rFonts w:ascii="Times New Roman" w:cs="Times New Roman" w:eastAsia="Times New Roman" w:hAnsi="Times New Roman"/>
          <w:sz w:val="16"/>
          <w:szCs w:val="16"/>
          <w:color w:val="auto"/>
        </w:rPr>
        <w:t>In recent years, the Federal government launched an aggressive statutory and regulatory agenda with the goal of enacting social and economic reforms. This agenda includes health care reform legislation and financial system regulatory reform, as well as proposed climate change and other environmental legislation and regulations. In addition, the Federal and many state and local governments are faced with budget crises that are causing these bodies to consider enacting significant tax increases, reducing or eliminating the use of net operating loss carryforwards and making significant</w:t>
      </w:r>
    </w:p>
    <w:p>
      <w:pPr>
        <w:sectPr>
          <w:pgSz w:w="11900" w:h="16874" w:orient="portrait"/>
          <w:cols w:equalWidth="0" w:num="1">
            <w:col w:w="11420"/>
          </w:cols>
          <w:pgMar w:left="240" w:top="125" w:right="239" w:bottom="0" w:gutter="0" w:footer="0" w:header="0"/>
        </w:sectPr>
      </w:pPr>
    </w:p>
    <w:bookmarkStart w:id="12" w:name="page13"/>
    <w:bookmarkEnd w:id="12"/>
    <w:p>
      <w:pPr>
        <w:spacing w:after="0" w:line="65" w:lineRule="exact"/>
        <w:rPr>
          <w:sz w:val="20"/>
          <w:szCs w:val="20"/>
          <w:color w:val="auto"/>
        </w:rPr>
      </w:pPr>
    </w:p>
    <w:p>
      <w:pPr>
        <w:ind w:left="540" w:right="40"/>
        <w:spacing w:after="0" w:line="253" w:lineRule="auto"/>
        <w:rPr>
          <w:sz w:val="20"/>
          <w:szCs w:val="20"/>
          <w:color w:val="auto"/>
        </w:rPr>
      </w:pPr>
      <w:r>
        <w:rPr>
          <w:rFonts w:ascii="Times New Roman" w:cs="Times New Roman" w:eastAsia="Times New Roman" w:hAnsi="Times New Roman"/>
          <w:sz w:val="18"/>
          <w:szCs w:val="18"/>
          <w:color w:val="auto"/>
        </w:rPr>
        <w:t>budget cuts. It is uncertain how the applicable government agencies will enact the regulations necessary to carry out the statutory requirements. Accordingly, we cannot determine the costs and other effects of new legal requirements with certainty. For example, new legislation or regulations may cause us to experience increased costs as a direct result of our compliance efforts. At this point, we are unable to determine the impact that newly enacted federal healthcare legislation could have on our employer-sponsored medical plans. We may also indirectly experience increased costs to the extent such legal requirements increase the prices of goods and services that we purchase as a result of increased compliance costs to the vendors who provide these goods and services to us or the reduced availability of raw materials that we need to purchase. In addition, we cannot determine the impact that new legal requirements, tax increases or state and local government spending cuts will have on the business operations of our customers, where significant increases in operating costs due to the costs to comply with new legal requirements or tax increases may reduce their future product development and capital spending budgets. Our revenues and results of operations may be adversely affected by these new legal requirements and government actions.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Our business may suffer if we are unable to attract and retain key employees.</w:t>
      </w:r>
    </w:p>
    <w:p>
      <w:pPr>
        <w:spacing w:after="0" w:line="227"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The loss of key personnel could adversely affect our ability to manage our business effectively. Our future success will depend largely upon the continued services of our senior management and other key employees or the development of successors with commensurate skills and talents. In the past, during periods of weakened demand which has caused us to experience operating losses, we have implemented temporary salary and benefit reductions and eliminations that have remained in place until our operations returned to profitability. As global economic conditions improve and employment opportunities increase, if we are unable to increase employee salaries and maintain employee benefits commensurate with competitive opportunities, we may not be able to retain our senior management and other key employees. Our business could suffer if we were to lose one of more of our senior officers or other key employees.</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If we are not able to obtain patents on or otherwise preserve and protect our proprietary technologies, our business may suffer.</w:t>
      </w:r>
    </w:p>
    <w:p>
      <w:pPr>
        <w:spacing w:after="0" w:line="227" w:lineRule="exact"/>
        <w:rPr>
          <w:sz w:val="20"/>
          <w:szCs w:val="20"/>
          <w:color w:val="auto"/>
        </w:rPr>
      </w:pPr>
    </w:p>
    <w:p>
      <w:pPr>
        <w:ind w:left="540" w:right="100"/>
        <w:spacing w:after="0" w:line="262" w:lineRule="auto"/>
        <w:rPr>
          <w:sz w:val="20"/>
          <w:szCs w:val="20"/>
          <w:color w:val="auto"/>
        </w:rPr>
      </w:pPr>
      <w:r>
        <w:rPr>
          <w:rFonts w:ascii="Times New Roman" w:cs="Times New Roman" w:eastAsia="Times New Roman" w:hAnsi="Times New Roman"/>
          <w:sz w:val="18"/>
          <w:szCs w:val="18"/>
          <w:color w:val="auto"/>
        </w:rPr>
        <w:t>We have obtained domestic and foreign patents covering some of our products which expire between the years 2015 and 2033, and we have applications pending for additional patents. Some of our products utilize proprietary technology that is not covered by a patent or similar protection, and, in many cases, cannot be protected. We cannot be certain that:</w:t>
      </w:r>
    </w:p>
    <w:p>
      <w:pPr>
        <w:spacing w:after="0" w:line="1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any additional patents will be issued on our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right="1120"/>
        <w:spacing w:after="0" w:line="255" w:lineRule="auto"/>
        <w:rPr>
          <w:sz w:val="20"/>
          <w:szCs w:val="20"/>
          <w:color w:val="auto"/>
        </w:rPr>
      </w:pPr>
      <w:r>
        <w:rPr>
          <w:rFonts w:ascii="Times New Roman" w:cs="Times New Roman" w:eastAsia="Times New Roman" w:hAnsi="Times New Roman"/>
          <w:sz w:val="18"/>
          <w:szCs w:val="18"/>
          <w:color w:val="auto"/>
        </w:rPr>
        <w:t>any patents we own now or in the future will protect our business against competitors that develop similar technology or products; our patents will be held valid if they are challenged or subjected to reexamination or reissue; others will not claim rights to our patented or other proprietary technologies;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-378460</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-241300</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-104140</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- 17 -</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RISK FACTORS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others will not develop technologies which are similar to, or can compete with, our unpatented proprietary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we cannot obtain patent or other protection for our proprietary technologies, our ability to compete in our markets could be impaired.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Claims of intellectual property infringement by or against us could seriously harm our businesses.</w:t>
      </w:r>
    </w:p>
    <w:p>
      <w:pPr>
        <w:spacing w:after="0" w:line="227" w:lineRule="exact"/>
        <w:rPr>
          <w:sz w:val="20"/>
          <w:szCs w:val="20"/>
          <w:color w:val="auto"/>
        </w:rPr>
      </w:pPr>
    </w:p>
    <w:p>
      <w:pPr>
        <w:ind w:left="540" w:right="20"/>
        <w:spacing w:after="0" w:line="291" w:lineRule="auto"/>
        <w:rPr>
          <w:sz w:val="20"/>
          <w:szCs w:val="20"/>
          <w:color w:val="auto"/>
        </w:rPr>
      </w:pPr>
      <w:r>
        <w:rPr>
          <w:rFonts w:ascii="Times New Roman" w:cs="Times New Roman" w:eastAsia="Times New Roman" w:hAnsi="Times New Roman"/>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 substantial portion of our customers are located outside the U.S., which exposes us to foreign political and economic risks.</w:t>
      </w:r>
    </w:p>
    <w:p>
      <w:pPr>
        <w:spacing w:after="0" w:line="227" w:lineRule="exact"/>
        <w:rPr>
          <w:sz w:val="20"/>
          <w:szCs w:val="20"/>
          <w:color w:val="auto"/>
        </w:rPr>
      </w:pPr>
    </w:p>
    <w:p>
      <w:pPr>
        <w:ind w:left="540" w:right="60"/>
        <w:spacing w:after="0" w:line="255" w:lineRule="auto"/>
        <w:rPr>
          <w:sz w:val="20"/>
          <w:szCs w:val="20"/>
          <w:color w:val="auto"/>
        </w:rPr>
      </w:pPr>
      <w:r>
        <w:rPr>
          <w:rFonts w:ascii="Times New Roman" w:cs="Times New Roman" w:eastAsia="Times New Roman" w:hAnsi="Times New Roman"/>
          <w:sz w:val="18"/>
          <w:szCs w:val="18"/>
          <w:color w:val="auto"/>
        </w:rPr>
        <w:t>We have operated internationally for many years and expect to expand our international operations as necessary to continue expansion of our sales and service to our non-U.S. customers. Our foreign subsidiaries generated 15% and 16% of consolidated net revenues in 2014 and 2013, respectively. Net revenues from foreign customers totaled $27.4 million, or 66% of consolidated net revenues in 2014 and $26.1 million, or 66% of consolidated net revenues in 2013. We expect our net revenues from foreign customers will continue to represent a significant portion of total net revenues. However,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political and economic instability in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-83185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 w:lineRule="exact"/>
        <w:rPr>
          <w:sz w:val="20"/>
          <w:szCs w:val="20"/>
          <w:color w:val="auto"/>
        </w:rPr>
      </w:pPr>
    </w:p>
    <w:p>
      <w:pPr>
        <w:ind w:left="1080" w:right="3020"/>
        <w:spacing w:after="0" w:line="250" w:lineRule="auto"/>
        <w:rPr>
          <w:sz w:val="20"/>
          <w:szCs w:val="20"/>
          <w:color w:val="auto"/>
        </w:rPr>
      </w:pPr>
      <w:r>
        <w:rPr>
          <w:rFonts w:ascii="Times New Roman" w:cs="Times New Roman" w:eastAsia="Times New Roman" w:hAnsi="Times New Roman"/>
          <w:sz w:val="18"/>
          <w:szCs w:val="18"/>
          <w:color w:val="auto"/>
        </w:rPr>
        <w:t>the imposition of financial and operational controls and regulatory restrictions by foreign governments; the need to comply with a wide variety of U.S. and foreign import and export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-233045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-95885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right="260"/>
        <w:spacing w:after="0" w:line="261" w:lineRule="auto"/>
        <w:rPr>
          <w:sz w:val="20"/>
          <w:szCs w:val="20"/>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 trade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-245110</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drawing>
          <wp:anchor simplePos="0" relativeHeight="251657728" behindDoc="1" locked="0" layoutInCell="0" allowOverlap="1">
            <wp:simplePos x="0" y="0"/>
            <wp:positionH relativeFrom="column">
              <wp:posOffset>549910</wp:posOffset>
            </wp:positionH>
            <wp:positionV relativeFrom="paragraph">
              <wp:posOffset>28575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7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changes in tariffs 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longer payment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fluctuations in currency exchange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8"/>
          <w:szCs w:val="18"/>
          <w:color w:val="auto"/>
        </w:rPr>
        <w:t>the greater difficulty of administering business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-90805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 significant portion of our cash position is maintained overseas.</w:t>
      </w:r>
    </w:p>
    <w:p>
      <w:pPr>
        <w:spacing w:after="0" w:line="227" w:lineRule="exact"/>
        <w:rPr>
          <w:sz w:val="20"/>
          <w:szCs w:val="20"/>
          <w:color w:val="auto"/>
        </w:rPr>
      </w:pPr>
    </w:p>
    <w:p>
      <w:pPr>
        <w:ind w:left="540" w:right="160"/>
        <w:spacing w:after="0" w:line="339" w:lineRule="auto"/>
        <w:rPr>
          <w:sz w:val="20"/>
          <w:szCs w:val="20"/>
          <w:color w:val="auto"/>
        </w:rPr>
      </w:pPr>
      <w:r>
        <w:rPr>
          <w:rFonts w:ascii="Times New Roman" w:cs="Times New Roman" w:eastAsia="Times New Roman" w:hAnsi="Times New Roman"/>
          <w:sz w:val="16"/>
          <w:szCs w:val="16"/>
          <w:color w:val="auto"/>
        </w:rPr>
        <w:t>While much of our cash is in the U.S., a significant portion is generated from and maintained by our foreign operations. As of December 31, 2014, $3.1 million of our cash and cash equivalents was held by our foreign subsidiaries. Our financial condition and results of operations could be adversely</w:t>
      </w:r>
    </w:p>
    <w:p>
      <w:pPr>
        <w:sectPr>
          <w:pgSz w:w="11900" w:h="16903" w:orient="portrait"/>
          <w:cols w:equalWidth="0" w:num="1">
            <w:col w:w="11360"/>
          </w:cols>
          <w:pgMar w:left="240" w:top="125" w:right="299" w:bottom="0" w:gutter="0" w:footer="0" w:header="0"/>
        </w:sectPr>
      </w:pPr>
    </w:p>
    <w:bookmarkStart w:id="13" w:name="page14"/>
    <w:bookmarkEnd w:id="13"/>
    <w:p>
      <w:pPr>
        <w:ind w:left="540"/>
        <w:spacing w:after="0" w:line="256" w:lineRule="auto"/>
        <w:rPr>
          <w:sz w:val="20"/>
          <w:szCs w:val="20"/>
          <w:color w:val="auto"/>
        </w:rPr>
      </w:pPr>
      <w:r>
        <w:rPr>
          <w:rFonts w:ascii="Times New Roman" w:cs="Times New Roman" w:eastAsia="Times New Roman" w:hAnsi="Times New Roman"/>
          <w:sz w:val="18"/>
          <w:szCs w:val="18"/>
          <w:color w:val="auto"/>
        </w:rPr>
        <w:t>impacted if we are unable to maintain a sufficient level of cash flow in the U.S. to address our cash requirements or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7" w:lineRule="exact"/>
        <w:rPr>
          <w:sz w:val="20"/>
          <w:szCs w:val="20"/>
          <w:color w:val="auto"/>
        </w:rPr>
      </w:pPr>
    </w:p>
    <w:p>
      <w:pPr>
        <w:ind w:left="540" w:right="480"/>
        <w:spacing w:after="0" w:line="275" w:lineRule="auto"/>
        <w:rPr>
          <w:sz w:val="20"/>
          <w:szCs w:val="20"/>
          <w:color w:val="auto"/>
        </w:rPr>
      </w:pPr>
      <w:r>
        <w:rPr>
          <w:rFonts w:ascii="Times New Roman" w:cs="Times New Roman" w:eastAsia="Times New Roman" w:hAnsi="Times New Roman"/>
          <w:sz w:val="18"/>
          <w:szCs w:val="18"/>
          <w:color w:val="auto"/>
        </w:rPr>
        <w:t>At December 31, 2014, we leased 5 facilities worldwide. The following chart provides information regarding each of our principal facilities that we occupied at December 31, 2014:</w:t>
      </w:r>
    </w:p>
    <w:p>
      <w:pPr>
        <w:spacing w:after="0" w:line="13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i w:val="1"/>
                <w:iCs w:val="1"/>
                <w:color w:val="auto"/>
                <w:w w:val="94"/>
              </w:rPr>
              <w:t>Approx.</w:t>
            </w:r>
          </w:p>
        </w:tc>
        <w:tc>
          <w:tcPr>
            <w:tcW w:w="82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49"/>
        </w:trPr>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Lease</w:t>
            </w:r>
          </w:p>
        </w:tc>
        <w:tc>
          <w:tcPr>
            <w:tcW w:w="3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Square</w:t>
            </w: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r>
      <w:tr>
        <w:trPr>
          <w:trHeight w:val="152"/>
        </w:trPr>
        <w:tc>
          <w:tcPr>
            <w:tcW w:w="500" w:type="dxa"/>
            <w:vAlign w:val="bottom"/>
          </w:tcPr>
          <w:p>
            <w:pPr>
              <w:spacing w:after="0"/>
              <w:rPr>
                <w:sz w:val="13"/>
                <w:szCs w:val="13"/>
                <w:color w:val="auto"/>
              </w:rPr>
            </w:pPr>
          </w:p>
        </w:tc>
        <w:tc>
          <w:tcPr>
            <w:tcW w:w="500" w:type="dxa"/>
            <w:vAlign w:val="bottom"/>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3"/>
              </w:rPr>
              <w:t>Location</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center"/>
              <w:ind w:right="2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Expiration</w:t>
            </w:r>
          </w:p>
        </w:tc>
        <w:tc>
          <w:tcPr>
            <w:tcW w:w="300" w:type="dxa"/>
            <w:vAlign w:val="bottom"/>
          </w:tcPr>
          <w:p>
            <w:pPr>
              <w:spacing w:after="0"/>
              <w:rPr>
                <w:sz w:val="13"/>
                <w:szCs w:val="13"/>
                <w:color w:val="auto"/>
              </w:rPr>
            </w:pPr>
          </w:p>
        </w:tc>
        <w:tc>
          <w:tcPr>
            <w:tcW w:w="80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Footage</w:t>
            </w:r>
          </w:p>
        </w:tc>
        <w:tc>
          <w:tcPr>
            <w:tcW w:w="280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Principal Uses</w:t>
            </w:r>
          </w:p>
        </w:tc>
      </w:tr>
      <w:tr>
        <w:trPr>
          <w:trHeight w:val="20"/>
        </w:trPr>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8"/>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9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3"/>
              </w:rPr>
              <w:t>4/21</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54,897</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Corporate headquarters and Mechanical</w:t>
            </w:r>
          </w:p>
        </w:tc>
      </w:tr>
      <w:tr>
        <w:trPr>
          <w:trHeight w:val="228"/>
        </w:trPr>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Products segment operations.</w:t>
            </w:r>
          </w:p>
        </w:tc>
      </w:tr>
      <w:tr>
        <w:trPr>
          <w:trHeight w:val="243"/>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9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3"/>
              </w:rPr>
              <w:t>8/21</w:t>
            </w:r>
          </w:p>
        </w:tc>
        <w:tc>
          <w:tcPr>
            <w:tcW w:w="280" w:type="dxa"/>
            <w:vAlign w:val="bottom"/>
          </w:tcPr>
          <w:p>
            <w:pPr>
              <w:spacing w:after="0"/>
              <w:rPr>
                <w:sz w:val="21"/>
                <w:szCs w:val="21"/>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52,700</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Thermal Products segment operations.</w:t>
            </w:r>
          </w:p>
        </w:tc>
      </w:tr>
      <w:tr>
        <w:trPr>
          <w:trHeight w:val="459"/>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Fremont, CA</w:t>
            </w:r>
          </w:p>
        </w:tc>
        <w:tc>
          <w:tcPr>
            <w:tcW w:w="920" w:type="dxa"/>
            <w:vAlign w:val="bottom"/>
            <w:gridSpan w:val="2"/>
          </w:tcPr>
          <w:p>
            <w:pPr>
              <w:jc w:val="center"/>
              <w:ind w:left="252"/>
              <w:spacing w:after="0"/>
              <w:rPr>
                <w:sz w:val="20"/>
                <w:szCs w:val="20"/>
                <w:color w:val="auto"/>
              </w:rPr>
            </w:pPr>
            <w:r>
              <w:rPr>
                <w:rFonts w:ascii="Times New Roman" w:cs="Times New Roman" w:eastAsia="Times New Roman" w:hAnsi="Times New Roman"/>
                <w:sz w:val="18"/>
                <w:szCs w:val="18"/>
                <w:color w:val="auto"/>
                <w:w w:val="93"/>
              </w:rPr>
              <w:t>9/17</w:t>
            </w:r>
          </w:p>
        </w:tc>
        <w:tc>
          <w:tcPr>
            <w:tcW w:w="280" w:type="dxa"/>
            <w:vAlign w:val="bottom"/>
          </w:tcPr>
          <w:p>
            <w:pPr>
              <w:spacing w:after="0"/>
              <w:rPr>
                <w:sz w:val="24"/>
                <w:szCs w:val="24"/>
                <w:color w:val="auto"/>
              </w:rPr>
            </w:pP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15,746</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Electrical Products segment operations.</w:t>
            </w:r>
          </w:p>
        </w:tc>
      </w:tr>
    </w:tbl>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of our facilities have space to accommodate our needs for the foreseeable future.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7"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From time to time we may be a party to legal proceedings occurring in the ordinary course of business. We are not currently involved in any material legal proceedings.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139700</wp:posOffset>
            </wp:positionV>
            <wp:extent cx="2928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w:t>
      </w:r>
    </w:p>
    <w:p>
      <w:pPr>
        <w:spacing w:after="0" w:line="200" w:lineRule="exact"/>
        <w:rPr>
          <w:sz w:val="20"/>
          <w:szCs w:val="20"/>
          <w:color w:val="auto"/>
        </w:rPr>
      </w:pPr>
    </w:p>
    <w:p>
      <w:pPr>
        <w:spacing w:after="0" w:line="201"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32" w:lineRule="exact"/>
        <w:rPr>
          <w:sz w:val="20"/>
          <w:szCs w:val="20"/>
          <w:color w:val="auto"/>
        </w:rPr>
      </w:pPr>
    </w:p>
    <w:p>
      <w:pPr>
        <w:ind w:left="540" w:right="80"/>
        <w:spacing w:after="0" w:line="310" w:lineRule="auto"/>
        <w:rPr>
          <w:sz w:val="20"/>
          <w:szCs w:val="20"/>
          <w:color w:val="auto"/>
        </w:rPr>
      </w:pPr>
      <w:r>
        <w:rPr>
          <w:rFonts w:ascii="Times New Roman" w:cs="Times New Roman" w:eastAsia="Times New Roman" w:hAnsi="Times New Roman"/>
          <w:sz w:val="16"/>
          <w:szCs w:val="16"/>
          <w:color w:val="auto"/>
        </w:rPr>
        <w:t>Since October 15, 2013, our common stock has been traded on NYSE MKT under the symbol "INTT." Prior to that, our common stock was traded on the NASDAQ under the symbol "INTT". The following table sets forth the high and low sale prices of our common stock, as reported on the NYSE MKT LLC or the NASDAQ Capital Market, as the case may be, for the periods indicated. Sale prices have been rounded to the nearest full cent.</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w w:val="93"/>
              </w:rPr>
              <w:t>Sales Price</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4"/>
              </w:rPr>
              <w:t>2014</w:t>
            </w:r>
          </w:p>
        </w:tc>
        <w:tc>
          <w:tcPr>
            <w:tcW w:w="1820" w:type="dxa"/>
            <w:vAlign w:val="bottom"/>
            <w:vMerge w:val="restart"/>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87"/>
              </w:rPr>
              <w:t>High</w:t>
            </w:r>
          </w:p>
        </w:tc>
        <w:tc>
          <w:tcPr>
            <w:tcW w:w="10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88"/>
              </w:rPr>
              <w:t>Low</w:t>
            </w: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60" w:type="dxa"/>
            <w:vAlign w:val="bottom"/>
            <w:tcBorders>
              <w:bottom w:val="single" w:sz="8" w:color="auto"/>
            </w:tcBorders>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ectPr>
          <w:pgSz w:w="11900" w:h="16838" w:orient="portrait"/>
          <w:cols w:equalWidth="0" w:num="1">
            <w:col w:w="11400"/>
          </w:cols>
          <w:pgMar w:left="240" w:top="125" w:right="259" w:bottom="0" w:gutter="0" w:footer="0" w:header="0"/>
        </w:sectPr>
      </w:pPr>
    </w:p>
    <w:bookmarkStart w:id="14" w:name="page15"/>
    <w:bookmarkEnd w:id="14"/>
    <w:p>
      <w:pPr>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color w:val="auto"/>
        </w:rPr>
        <w:t>(Continued)</w:t>
      </w:r>
    </w:p>
    <w:p>
      <w:pPr>
        <w:spacing w:after="0" w:line="13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i w:val="1"/>
                <w:iCs w:val="1"/>
                <w:color w:val="auto"/>
                <w:w w:val="93"/>
              </w:rPr>
              <w:t>Sales Price</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4"/>
              </w:rPr>
              <w:t>2013</w:t>
            </w:r>
          </w:p>
        </w:tc>
        <w:tc>
          <w:tcPr>
            <w:tcW w:w="1820" w:type="dxa"/>
            <w:vAlign w:val="bottom"/>
            <w:vMerge w:val="restart"/>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w w:val="87"/>
              </w:rPr>
              <w:t>High</w:t>
            </w:r>
          </w:p>
        </w:tc>
        <w:tc>
          <w:tcPr>
            <w:tcW w:w="1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88"/>
              </w:rPr>
              <w:t>Low</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60" w:type="dxa"/>
            <w:vAlign w:val="bottom"/>
            <w:tcBorders>
              <w:bottom w:val="single" w:sz="8" w:color="auto"/>
            </w:tcBorders>
            <w:vMerge w:val="continue"/>
          </w:tcPr>
          <w:p>
            <w:pPr>
              <w:spacing w:after="0" w:line="20" w:lineRule="exact"/>
              <w:rPr>
                <w:sz w:val="1"/>
                <w:szCs w:val="1"/>
                <w:color w:val="auto"/>
              </w:rPr>
            </w:pPr>
          </w:p>
        </w:tc>
        <w:tc>
          <w:tcPr>
            <w:tcW w:w="182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459"/>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540" w:right="120"/>
        <w:spacing w:after="0" w:line="275" w:lineRule="auto"/>
        <w:rPr>
          <w:sz w:val="20"/>
          <w:szCs w:val="20"/>
          <w:color w:val="auto"/>
        </w:rPr>
      </w:pPr>
      <w:r>
        <w:rPr>
          <w:rFonts w:ascii="Times New Roman" w:cs="Times New Roman" w:eastAsia="Times New Roman" w:hAnsi="Times New Roman"/>
          <w:sz w:val="18"/>
          <w:szCs w:val="18"/>
          <w:color w:val="auto"/>
        </w:rPr>
        <w:t>On March 20, 2015, the closing price for our common stock as reported on the NYSE MKT LLC was $4.15. As of March 20, 2015, we had 10,562,678 shares outstanding that were held of record by approximately 1,000 beneficial and record holders.</w:t>
      </w:r>
    </w:p>
    <w:p>
      <w:pPr>
        <w:spacing w:after="0" w:line="174" w:lineRule="exact"/>
        <w:rPr>
          <w:sz w:val="20"/>
          <w:szCs w:val="20"/>
          <w:color w:val="auto"/>
        </w:rPr>
      </w:pPr>
    </w:p>
    <w:p>
      <w:pPr>
        <w:ind w:left="540" w:right="60"/>
        <w:spacing w:after="0" w:line="310" w:lineRule="auto"/>
        <w:rPr>
          <w:sz w:val="20"/>
          <w:szCs w:val="20"/>
          <w:color w:val="auto"/>
        </w:rPr>
      </w:pPr>
      <w:r>
        <w:rPr>
          <w:rFonts w:ascii="Times New Roman" w:cs="Times New Roman" w:eastAsia="Times New Roman" w:hAnsi="Times New Roman"/>
          <w:sz w:val="16"/>
          <w:szCs w:val="16"/>
          <w:color w:val="auto"/>
        </w:rPr>
        <w:t>No dividends were paid on our common stock in the years ended December 31, 2014 or 2013. We do not currently plan to pay cash dividends in the foreseeable future. Our current policy is to retain any future earnings for reinvestment in the operation and expansion of our business, including possible acquisitions of other businesses, technologies or products. Payment of any future dividends will be at the discretion of our Board of Directors.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87" w:lineRule="exact"/>
        <w:rPr>
          <w:sz w:val="20"/>
          <w:szCs w:val="20"/>
          <w:color w:val="auto"/>
        </w:rPr>
      </w:pPr>
    </w:p>
    <w:p>
      <w:pPr>
        <w:ind w:left="540"/>
        <w:spacing w:after="0" w:line="310" w:lineRule="auto"/>
        <w:rPr>
          <w:sz w:val="20"/>
          <w:szCs w:val="20"/>
          <w:color w:val="auto"/>
        </w:rPr>
      </w:pPr>
      <w:r>
        <w:rPr>
          <w:rFonts w:ascii="Times New Roman" w:cs="Times New Roman" w:eastAsia="Times New Roman" w:hAnsi="Times New Roman"/>
          <w:sz w:val="16"/>
          <w:szCs w:val="16"/>
          <w:color w:val="auto"/>
        </w:rPr>
        <w:t>The following table contains certain selected consolidated financial data of inTEST and is qualified by the more detailed Consolidated Financial Statements and Notes thereto included elsewhere in this Annual Report on Form 10-K and should be read in conjunction with "Management's Discussion and Analysis of Financial Condition and Results of Operations" and the other financial information included in this Annual Report on Form 10-K.</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4"/>
                <w:szCs w:val="14"/>
                <w:b w:val="1"/>
                <w:bCs w:val="1"/>
                <w:i w:val="1"/>
                <w:iCs w:val="1"/>
                <w:color w:val="auto"/>
                <w:w w:val="95"/>
              </w:rPr>
              <w:t>Years Ended December 31,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 Data:</w:t>
            </w:r>
          </w:p>
        </w:tc>
        <w:tc>
          <w:tcPr>
            <w:tcW w:w="280" w:type="dxa"/>
            <w:vAlign w:val="bottom"/>
          </w:tcPr>
          <w:p>
            <w:pPr>
              <w:spacing w:after="0"/>
              <w:rPr>
                <w:sz w:val="13"/>
                <w:szCs w:val="13"/>
                <w:color w:val="auto"/>
              </w:rPr>
            </w:pPr>
          </w:p>
        </w:tc>
        <w:tc>
          <w:tcPr>
            <w:tcW w:w="2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180" w:type="dxa"/>
            <w:vAlign w:val="bottom"/>
          </w:tcPr>
          <w:p>
            <w:pPr>
              <w:spacing w:after="0"/>
              <w:rPr>
                <w:sz w:val="13"/>
                <w:szCs w:val="13"/>
                <w:color w:val="auto"/>
              </w:rPr>
            </w:pPr>
          </w:p>
        </w:tc>
        <w:tc>
          <w:tcPr>
            <w:tcW w:w="500" w:type="dxa"/>
            <w:vAlign w:val="bottom"/>
            <w:gridSpan w:val="4"/>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2013</w:t>
            </w:r>
          </w:p>
        </w:tc>
        <w:tc>
          <w:tcPr>
            <w:tcW w:w="140" w:type="dxa"/>
            <w:vAlign w:val="bottom"/>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2012</w:t>
            </w:r>
          </w:p>
        </w:tc>
        <w:tc>
          <w:tcPr>
            <w:tcW w:w="340" w:type="dxa"/>
            <w:vAlign w:val="bottom"/>
          </w:tcPr>
          <w:p>
            <w:pPr>
              <w:spacing w:after="0"/>
              <w:rPr>
                <w:sz w:val="13"/>
                <w:szCs w:val="13"/>
                <w:color w:val="auto"/>
              </w:rPr>
            </w:pPr>
          </w:p>
        </w:tc>
        <w:tc>
          <w:tcPr>
            <w:tcW w:w="640" w:type="dxa"/>
            <w:vAlign w:val="bottom"/>
            <w:gridSpan w:val="3"/>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2011</w:t>
            </w:r>
          </w:p>
        </w:tc>
        <w:tc>
          <w:tcPr>
            <w:tcW w:w="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2010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16"/>
          </w:tcPr>
          <w:p>
            <w:pPr>
              <w:jc w:val="center"/>
              <w:ind w:right="140"/>
              <w:spacing w:after="0"/>
              <w:rPr>
                <w:sz w:val="20"/>
                <w:szCs w:val="20"/>
                <w:color w:val="auto"/>
              </w:rPr>
            </w:pPr>
            <w:r>
              <w:rPr>
                <w:rFonts w:ascii="Times New Roman" w:cs="Times New Roman" w:eastAsia="Times New Roman" w:hAnsi="Times New Roman"/>
                <w:sz w:val="18"/>
                <w:szCs w:val="18"/>
                <w:color w:val="auto"/>
                <w:w w:val="98"/>
              </w:rPr>
              <w:t>(in thousands, except per share data)</w:t>
            </w: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$41,796</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$39,426</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$43,376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$47,266</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$46,204</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19,059</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22,893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4,916</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2,996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7,578</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3,439</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9,863</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10,432</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10,364</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10,273</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10,148</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0" w:type="dxa"/>
            <w:vAlign w:val="bottom"/>
          </w:tcPr>
          <w:p>
            <w:pPr>
              <w:spacing w:after="0"/>
              <w:rPr>
                <w:sz w:val="1"/>
                <w:szCs w:val="1"/>
                <w:color w:val="auto"/>
              </w:rPr>
            </w:pPr>
          </w:p>
        </w:tc>
      </w:tr>
      <w:tr>
        <w:trPr>
          <w:trHeight w:val="459"/>
        </w:trPr>
        <w:tc>
          <w:tcPr>
            <w:tcW w:w="4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10,466</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10,419</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10,347</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10,286</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0" w:type="dxa"/>
            <w:vAlign w:val="bottom"/>
          </w:tcPr>
          <w:p>
            <w:pPr>
              <w:spacing w:after="0"/>
              <w:rPr>
                <w:sz w:val="1"/>
                <w:szCs w:val="1"/>
                <w:color w:val="auto"/>
              </w:rPr>
            </w:pPr>
          </w:p>
        </w:tc>
      </w:tr>
      <w:tr>
        <w:trPr>
          <w:trHeight w:val="623"/>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As of December 31,</w:t>
            </w:r>
          </w:p>
        </w:tc>
        <w:tc>
          <w:tcPr>
            <w:tcW w:w="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180" w:type="dxa"/>
            <w:vAlign w:val="bottom"/>
          </w:tcPr>
          <w:p>
            <w:pPr>
              <w:spacing w:after="0"/>
              <w:rPr>
                <w:sz w:val="21"/>
                <w:szCs w:val="21"/>
                <w:color w:val="auto"/>
              </w:rPr>
            </w:pPr>
          </w:p>
        </w:tc>
        <w:tc>
          <w:tcPr>
            <w:tcW w:w="50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i w:val="1"/>
                <w:iCs w:val="1"/>
                <w:color w:val="auto"/>
              </w:rPr>
              <w:t>2013</w:t>
            </w:r>
          </w:p>
        </w:tc>
        <w:tc>
          <w:tcPr>
            <w:tcW w:w="14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2012</w:t>
            </w:r>
          </w:p>
        </w:tc>
        <w:tc>
          <w:tcPr>
            <w:tcW w:w="340" w:type="dxa"/>
            <w:vAlign w:val="bottom"/>
          </w:tcPr>
          <w:p>
            <w:pPr>
              <w:spacing w:after="0"/>
              <w:rPr>
                <w:sz w:val="21"/>
                <w:szCs w:val="21"/>
                <w:color w:val="auto"/>
              </w:rPr>
            </w:pPr>
          </w:p>
        </w:tc>
        <w:tc>
          <w:tcPr>
            <w:tcW w:w="6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2011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2010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Data:</w:t>
            </w: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w w:val="97"/>
              </w:rPr>
              <w:t>(in thousands)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$23,126</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9"/>
              </w:rPr>
              <w:t>$19,018</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$15,576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$13,957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$ 6,895</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28,561</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24,749</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21,000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19,759</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11,793</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38,738</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35,481</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32,399</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31,237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34,368</w:t>
            </w:r>
          </w:p>
        </w:tc>
        <w:tc>
          <w:tcPr>
            <w:tcW w:w="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31,149</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27,820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26,199</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339" w:right="3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- 20 -</w:t>
      </w:r>
    </w:p>
    <w:p>
      <w:pPr>
        <w:sectPr>
          <w:pgSz w:w="11900" w:h="16838" w:orient="portrait"/>
          <w:cols w:equalWidth="0" w:num="1">
            <w:col w:w="11320"/>
          </w:cols>
          <w:pgMar w:left="240" w:top="339" w:right="339" w:bottom="0" w:gutter="0" w:footer="0" w:header="0"/>
          <w:type w:val="continuous"/>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and Forward-Looking Statements</w:t>
      </w:r>
    </w:p>
    <w:p>
      <w:pPr>
        <w:spacing w:after="0" w:line="227" w:lineRule="exact"/>
        <w:rPr>
          <w:sz w:val="20"/>
          <w:szCs w:val="20"/>
          <w:color w:val="auto"/>
        </w:rPr>
      </w:pPr>
    </w:p>
    <w:p>
      <w:pPr>
        <w:ind w:left="540" w:right="60"/>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discussion and analysis contains statements relating to possible future events and results that are considered "forward-looking statements" within the meaning of the Private Securities Litigation Reform Act of 1995. These statements can often be identified by the use of forward-looking terminology such as "believes," "expects," "intends," "may," "will," "should" or "anticipates" or similar terminology. See Part I, Item 1 - "Business - Cautionary Statement Regarding Forward-Looking Statements" for examples of statements made in this report which may be "forward-looking statements." These statements involve risks and uncertainties and are based on various assumptions. Although we believe that our expectations are based on reasonable assumptions, investors and prospective investors are cautioned that such statements are only projections, and there cannot be any assurance that these events or results will occur. Information about the primary risks and uncertainties that could cause our actual future results to differ materially from our historic results or the results described in the forward-looking statements made in this report or presented elsewhere by Management from time to time are included in Part I, Item 1A - "Risk Factors."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MD&amp;A should be read in conjunction with the accompanying consolidated financial statements.</w:t>
      </w:r>
    </w:p>
    <w:p>
      <w:pPr>
        <w:spacing w:after="0" w:line="225"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Our business and results of operations are substantially dependent upon the demand for ATE by semiconductor manufacturers and companies that specialize in the testing of ICs. Demand for ATE is driven by semiconductor manufacturers that are opening new, or expanding existing, semiconductor fabrication facilities or upgrading existing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In addition, we continue to focus on design improvements and new approaches for our own products which contribute to our net revenues as our customers adopt these new products.</w:t>
      </w:r>
    </w:p>
    <w:p>
      <w:pPr>
        <w:spacing w:after="0" w:line="193" w:lineRule="exact"/>
        <w:rPr>
          <w:sz w:val="20"/>
          <w:szCs w:val="20"/>
          <w:color w:val="auto"/>
        </w:rPr>
      </w:pPr>
    </w:p>
    <w:p>
      <w:pPr>
        <w:ind w:left="540"/>
        <w:spacing w:after="0" w:line="288" w:lineRule="auto"/>
        <w:rPr>
          <w:sz w:val="20"/>
          <w:szCs w:val="20"/>
          <w:color w:val="auto"/>
        </w:rPr>
      </w:pPr>
      <w:r>
        <w:rPr>
          <w:rFonts w:ascii="Times New Roman" w:cs="Times New Roman" w:eastAsia="Times New Roman" w:hAnsi="Times New Roman"/>
          <w:sz w:val="16"/>
          <w:szCs w:val="16"/>
          <w:color w:val="auto"/>
        </w:rPr>
        <w:t>In the past, the semiconductor industry has been highly cyclical with recurring periods of oversupply, which often have a severe impact on the semiconductor industry's demand for ATE, including the products we manufacture. This can cause wide fluctuations in both our orders and net revenues and, depending on our ability to react quickly to these shifts in demand, can significantly impact our results of operations. ATE market cycles are difficult to predict and in recent years have become more volatile and, in certain cases, shorter in duration. Because the market cycles are generally characterized by sequential periods of growth or declines in orders and net revenues during each cycle, year over year comparisons of operating results may not always be as meaningful as comparisons of periods at similar points in either up or down cycles. In addition, during both downward and upward cycles in our industry,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 In addition to being cyclical, the ATE market has also developed a seasonal pattern in the last several years, with the second and third quarters being the periods of strong demand and the first and fourth quarters being periods of weakened demand. We believe this change has been driven by the strong demand for consumer products containing semiconductor content sold during the year-end holiday shopping season.</w:t>
      </w:r>
    </w:p>
    <w:p>
      <w:pPr>
        <w:spacing w:after="0" w:line="385" w:lineRule="exact"/>
        <w:rPr>
          <w:sz w:val="20"/>
          <w:szCs w:val="20"/>
          <w:color w:val="auto"/>
        </w:rPr>
      </w:pPr>
    </w:p>
    <w:p>
      <w:pPr>
        <w:ind w:left="540" w:right="20"/>
        <w:spacing w:after="0" w:line="254" w:lineRule="auto"/>
        <w:rPr>
          <w:sz w:val="20"/>
          <w:szCs w:val="20"/>
          <w:color w:val="auto"/>
        </w:rPr>
      </w:pPr>
      <w:r>
        <w:rPr>
          <w:rFonts w:ascii="Times New Roman" w:cs="Times New Roman" w:eastAsia="Times New Roman" w:hAnsi="Times New Roman"/>
          <w:sz w:val="18"/>
          <w:szCs w:val="18"/>
          <w:color w:val="auto"/>
        </w:rPr>
        <w:t>As part of our diversification strategy to reduce the impact of ATE market volatility on our business operations, we market our Thermostream temperature management systems in markets outside the ATE market, such as the automotive, consumer electronics, defense/aerospace, energy, industrial and telecommunications markets. We believe that these markets usually are less cyclical than the ATE market. However, because we are a recent market entrant in these markets, we have not yet developed meaningful market shares in these non-ATE markets. Consequently, we are continuing to evaluate customer buying patterns and market trends in these non-ATE markets. In addition, our orders and net revenues in any given period in these markets do not necessarily reflect the overall trends in these non-ATE markets due to our limited market shares. The level of our orders and net revenues from these non-ATE markets has varied in the past, and we expect will vary significantly in the future, as we work to build our presence in these markets and establish new markets for our products.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- 21 -</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20"/>
        <w:spacing w:after="0" w:line="288" w:lineRule="auto"/>
        <w:rPr>
          <w:sz w:val="20"/>
          <w:szCs w:val="20"/>
          <w:color w:val="auto"/>
        </w:rPr>
      </w:pPr>
      <w:r>
        <w:rPr>
          <w:rFonts w:ascii="Times New Roman" w:cs="Times New Roman" w:eastAsia="Times New Roman" w:hAnsi="Times New Roman"/>
          <w:sz w:val="16"/>
          <w:szCs w:val="16"/>
          <w:color w:val="auto"/>
        </w:rPr>
        <w:t>While the majority of our orders and net revenues are derived from the ATE market, our operating results do not always follow the overall trend in the ATE market in any given period. We believe that these anomalies may be driven by a variety of changes within the ATE market, including, for example, changing product requirements, longer time periods between new product offerings by OEMs and changes in customer buying patterns. In particular, demand for our mechanical and electrical products, which are sold exclusively within the ATE market, and our operating margins in these product segments have been affected by shifts in the competitive landscape, including (i) customers placing heightened emphasis on shorter lead times (which places increased demands on our available engineering and production capacity increasing unit costs) and ordering in smaller quantities (which prevents us from acquiring component materials in larger volumes at lower cost and increasing unit costs), (ii) the practice of OEM manufacturers to specify other suppliers as primary vendors, with less frequent opportunities to compete for such designations, (iii) the role of third-party test and assembly houses in the ATE market and their requirement of products with a greater range of use at the lowest cost, (iv) customer supply chain management groups demanding lower prices and spreading purchases across multiple vendors, and (v) certain competitors aggressively reducing their products' sales prices (causing us to either reduce our products' sales price to be successful in obtaining the sale or causing loss of the sale).</w:t>
      </w:r>
    </w:p>
    <w:p>
      <w:pPr>
        <w:spacing w:after="0" w:line="385" w:lineRule="exact"/>
        <w:rPr>
          <w:sz w:val="20"/>
          <w:szCs w:val="20"/>
          <w:color w:val="auto"/>
        </w:rPr>
      </w:pPr>
    </w:p>
    <w:p>
      <w:pPr>
        <w:ind w:left="540" w:right="60"/>
        <w:spacing w:after="0" w:line="310" w:lineRule="auto"/>
        <w:rPr>
          <w:sz w:val="20"/>
          <w:szCs w:val="20"/>
          <w:color w:val="auto"/>
        </w:rPr>
      </w:pPr>
      <w:r>
        <w:rPr>
          <w:rFonts w:ascii="Times New Roman" w:cs="Times New Roman" w:eastAsia="Times New Roman" w:hAnsi="Times New Roman"/>
          <w:sz w:val="16"/>
          <w:szCs w:val="16"/>
          <w:color w:val="auto"/>
        </w:rPr>
        <w:t>In addition, in recent periods we have seen instances where demand for ATE is not consistent for each of our product segments or for any given product within a particular product segment. This inconsistency in demand for ATE can be driven by a number of factors, but in most cases we have found the primary reason is unique customer-specific changes in demand for certain products driven by the needs of their customers or markets served. These shifts</w:t>
      </w:r>
    </w:p>
    <w:p>
      <w:pPr>
        <w:sectPr>
          <w:pgSz w:w="11900" w:h="16838" w:orient="portrait"/>
          <w:cols w:equalWidth="0" w:num="1">
            <w:col w:w="11400"/>
          </w:cols>
          <w:pgMar w:left="240" w:top="123" w:right="259" w:bottom="0" w:gutter="0" w:footer="0" w:header="0"/>
        </w:sectPr>
      </w:pPr>
    </w:p>
    <w:bookmarkStart w:id="16" w:name="page17"/>
    <w:bookmarkEnd w:id="16"/>
    <w:p>
      <w:pPr>
        <w:ind w:left="540" w:right="100"/>
        <w:spacing w:after="0" w:line="262" w:lineRule="auto"/>
        <w:rPr>
          <w:sz w:val="20"/>
          <w:szCs w:val="20"/>
          <w:color w:val="auto"/>
        </w:rPr>
      </w:pPr>
      <w:r>
        <w:rPr>
          <w:rFonts w:ascii="Times New Roman" w:cs="Times New Roman" w:eastAsia="Times New Roman" w:hAnsi="Times New Roman"/>
          <w:sz w:val="18"/>
          <w:szCs w:val="18"/>
          <w:color w:val="auto"/>
        </w:rPr>
        <w:t>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Orders and Backlog</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orders received both by product segment and market.</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i w:val="1"/>
                <w:iCs w:val="1"/>
                <w:color w:val="auto"/>
                <w:w w:val="95"/>
              </w:rPr>
              <w:t>Years Ended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Orders:</w:t>
            </w:r>
          </w:p>
        </w:tc>
        <w:tc>
          <w:tcPr>
            <w:tcW w:w="140" w:type="dxa"/>
            <w:vAlign w:val="bottom"/>
          </w:tcPr>
          <w:p>
            <w:pPr>
              <w:spacing w:after="0"/>
              <w:rPr>
                <w:sz w:val="13"/>
                <w:szCs w:val="13"/>
                <w:color w:val="auto"/>
              </w:rPr>
            </w:pPr>
          </w:p>
        </w:tc>
        <w:tc>
          <w:tcPr>
            <w:tcW w:w="1420" w:type="dxa"/>
            <w:vAlign w:val="bottom"/>
            <w:gridSpan w:val="7"/>
          </w:tcPr>
          <w:p>
            <w:pPr>
              <w:jc w:val="right"/>
              <w:ind w:right="66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3"/>
              </w:rPr>
              <w:t>December 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tcPr>
          <w:p>
            <w:pPr>
              <w:ind w:left="6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Change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40" w:type="dxa"/>
            <w:vAlign w:val="bottom"/>
            <w:vMerge w:val="continue"/>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2014</w:t>
            </w:r>
          </w:p>
        </w:tc>
        <w:tc>
          <w:tcPr>
            <w:tcW w:w="200" w:type="dxa"/>
            <w:vAlign w:val="bottom"/>
          </w:tcPr>
          <w:p>
            <w:pPr>
              <w:spacing w:after="0"/>
              <w:rPr>
                <w:sz w:val="13"/>
                <w:szCs w:val="13"/>
                <w:color w:val="auto"/>
              </w:rPr>
            </w:pPr>
          </w:p>
        </w:tc>
        <w:tc>
          <w:tcPr>
            <w:tcW w:w="320" w:type="dxa"/>
            <w:vAlign w:val="bottom"/>
            <w:vMerge w:val="restart"/>
          </w:tcPr>
          <w:p>
            <w:pPr>
              <w:spacing w:after="0"/>
              <w:rPr>
                <w:sz w:val="13"/>
                <w:szCs w:val="13"/>
                <w:color w:val="auto"/>
              </w:rPr>
            </w:pPr>
          </w:p>
        </w:tc>
        <w:tc>
          <w:tcPr>
            <w:tcW w:w="2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w w:val="85"/>
              </w:rPr>
              <w:t>2013</w:t>
            </w:r>
          </w:p>
        </w:tc>
        <w:tc>
          <w:tcPr>
            <w:tcW w:w="200" w:type="dxa"/>
            <w:vAlign w:val="bottom"/>
            <w:vMerge w:val="restart"/>
          </w:tcPr>
          <w:p>
            <w:pPr>
              <w:spacing w:after="0"/>
              <w:rPr>
                <w:sz w:val="13"/>
                <w:szCs w:val="13"/>
                <w:color w:val="auto"/>
              </w:rPr>
            </w:pPr>
          </w:p>
        </w:tc>
        <w:tc>
          <w:tcPr>
            <w:tcW w:w="320" w:type="dxa"/>
            <w:vAlign w:val="bottom"/>
            <w:vMerge w:val="restart"/>
          </w:tcPr>
          <w:p>
            <w:pPr>
              <w:spacing w:after="0"/>
              <w:rPr>
                <w:sz w:val="13"/>
                <w:szCs w:val="13"/>
                <w:color w:val="auto"/>
              </w:rPr>
            </w:pPr>
          </w:p>
        </w:tc>
        <w:tc>
          <w:tcPr>
            <w:tcW w:w="260" w:type="dxa"/>
            <w:vAlign w:val="bottom"/>
            <w:tcBorders>
              <w:bottom w:val="single" w:sz="8" w:color="auto"/>
            </w:tcBorders>
            <w:gridSpan w:val="3"/>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vMerge w:val="restart"/>
          </w:tcPr>
          <w:p>
            <w:pPr>
              <w:spacing w:after="0"/>
              <w:rPr>
                <w:sz w:val="13"/>
                <w:szCs w:val="13"/>
                <w:color w:val="auto"/>
              </w:rPr>
            </w:pPr>
          </w:p>
        </w:tc>
        <w:tc>
          <w:tcPr>
            <w:tcW w:w="20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i w:val="1"/>
                <w:iCs w:val="1"/>
                <w:color w:val="auto"/>
                <w:w w:val="71"/>
              </w:rPr>
              <w:t>%</w:t>
            </w:r>
          </w:p>
        </w:tc>
        <w:tc>
          <w:tcPr>
            <w:tcW w:w="20" w:type="dxa"/>
            <w:vAlign w:val="bottom"/>
            <w:tcBorders>
              <w:bottom w:val="single" w:sz="8" w:color="auto"/>
            </w:tcBorders>
          </w:tcPr>
          <w:p>
            <w:pPr>
              <w:spacing w:after="0"/>
              <w:rPr>
                <w:sz w:val="13"/>
                <w:szCs w:val="13"/>
                <w:color w:val="auto"/>
              </w:rPr>
            </w:pPr>
          </w:p>
        </w:tc>
        <w:tc>
          <w:tcPr>
            <w:tcW w:w="40" w:type="dxa"/>
            <w:vAlign w:val="bottom"/>
            <w:vMerge w:val="restart"/>
          </w:tcPr>
          <w:p>
            <w:pPr>
              <w:spacing w:after="0"/>
              <w:rPr>
                <w:sz w:val="13"/>
                <w:szCs w:val="13"/>
                <w:color w:val="auto"/>
              </w:rPr>
            </w:pP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344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26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200" w:type="dxa"/>
            <w:vAlign w:val="bottom"/>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5"/>
              </w:rPr>
              <w:t>$23,866</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$21,953</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$1,913</w:t>
            </w:r>
          </w:p>
        </w:tc>
        <w:tc>
          <w:tcPr>
            <w:tcW w:w="2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5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11,363</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10,115</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00" w:type="dxa"/>
            <w:vAlign w:val="bottom"/>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4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320" w:type="dxa"/>
            <w:vAlign w:val="bottom"/>
          </w:tcPr>
          <w:p>
            <w:pPr>
              <w:spacing w:after="0"/>
              <w:rPr>
                <w:sz w:val="24"/>
                <w:szCs w:val="24"/>
                <w:color w:val="auto"/>
              </w:rPr>
            </w:pPr>
          </w:p>
        </w:tc>
        <w:tc>
          <w:tcPr>
            <w:tcW w:w="7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6,291</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75"/>
              </w:rPr>
              <w:t>$</w:t>
            </w:r>
            <w:r>
              <w:rPr>
                <w:rFonts w:ascii="Times New Roman" w:cs="Times New Roman" w:eastAsia="Times New Roman" w:hAnsi="Times New Roman"/>
                <w:sz w:val="18"/>
                <w:szCs w:val="18"/>
                <w:color w:val="auto"/>
                <w:w w:val="75"/>
              </w:rPr>
              <w:t>42,441</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38,359</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4,082</w:t>
            </w:r>
          </w:p>
        </w:tc>
        <w:tc>
          <w:tcPr>
            <w:tcW w:w="2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ATE market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5"/>
              </w:rPr>
              <w:t>$30,214</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$27,875</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88"/>
              </w:rPr>
              <w:t>$2,339</w:t>
            </w:r>
          </w:p>
        </w:tc>
        <w:tc>
          <w:tcPr>
            <w:tcW w:w="2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Non-ATE market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12,227</w:t>
            </w:r>
          </w:p>
        </w:tc>
        <w:tc>
          <w:tcPr>
            <w:tcW w:w="320" w:type="dxa"/>
            <w:vAlign w:val="bottom"/>
          </w:tcPr>
          <w:p>
            <w:pPr>
              <w:spacing w:after="0"/>
              <w:rPr>
                <w:sz w:val="24"/>
                <w:szCs w:val="24"/>
                <w:color w:val="auto"/>
              </w:rPr>
            </w:pPr>
          </w:p>
        </w:tc>
        <w:tc>
          <w:tcPr>
            <w:tcW w:w="7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w w:val="88"/>
              </w:rPr>
              <w:t>10,484</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00" w:type="dxa"/>
            <w:vAlign w:val="bottom"/>
          </w:tcPr>
          <w:p>
            <w:pPr>
              <w:spacing w:after="0"/>
              <w:rPr>
                <w:sz w:val="24"/>
                <w:szCs w:val="24"/>
                <w:color w:val="auto"/>
              </w:rPr>
            </w:pPr>
          </w:p>
        </w:tc>
        <w:tc>
          <w:tcPr>
            <w:tcW w:w="3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4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75"/>
              </w:rPr>
              <w:t>$</w:t>
            </w:r>
            <w:r>
              <w:rPr>
                <w:rFonts w:ascii="Times New Roman" w:cs="Times New Roman" w:eastAsia="Times New Roman" w:hAnsi="Times New Roman"/>
                <w:sz w:val="18"/>
                <w:szCs w:val="18"/>
                <w:color w:val="auto"/>
                <w:w w:val="75"/>
              </w:rPr>
              <w:t>42,441</w:t>
            </w:r>
          </w:p>
        </w:tc>
        <w:tc>
          <w:tcPr>
            <w:tcW w:w="11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38,359</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4,082</w:t>
            </w:r>
          </w:p>
        </w:tc>
        <w:tc>
          <w:tcPr>
            <w:tcW w:w="200" w:type="dxa"/>
            <w:vAlign w:val="bottom"/>
          </w:tcPr>
          <w:p>
            <w:pPr>
              <w:spacing w:after="0"/>
              <w:rPr>
                <w:sz w:val="24"/>
                <w:szCs w:val="24"/>
                <w:color w:val="auto"/>
              </w:rPr>
            </w:pP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w w:val="96"/>
              </w:rPr>
              <w:t>11%</w:t>
            </w:r>
          </w:p>
        </w:tc>
        <w:tc>
          <w:tcPr>
            <w:tcW w:w="0" w:type="dxa"/>
            <w:vAlign w:val="bottom"/>
          </w:tcPr>
          <w:p>
            <w:pPr>
              <w:spacing w:after="0"/>
              <w:rPr>
                <w:sz w:val="1"/>
                <w:szCs w:val="1"/>
                <w:color w:val="auto"/>
              </w:rPr>
            </w:pPr>
          </w:p>
        </w:tc>
      </w:tr>
      <w:tr>
        <w:trPr>
          <w:trHeight w:val="20"/>
        </w:trPr>
        <w:tc>
          <w:tcPr>
            <w:tcW w:w="34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right="340"/>
        <w:spacing w:after="0" w:line="262" w:lineRule="auto"/>
        <w:rPr>
          <w:sz w:val="20"/>
          <w:szCs w:val="20"/>
          <w:color w:val="auto"/>
        </w:rPr>
      </w:pPr>
      <w:r>
        <w:rPr>
          <w:rFonts w:ascii="Times New Roman" w:cs="Times New Roman" w:eastAsia="Times New Roman" w:hAnsi="Times New Roman"/>
          <w:sz w:val="18"/>
          <w:szCs w:val="18"/>
          <w:color w:val="auto"/>
        </w:rPr>
        <w:t>Total consolidated orders for the year ended December 31, 2014 were $42.4 million compared to $38.4 million for 2013. The increase in consolidated orders reflects higher levels of demand from the ATE market, as well as the success of new product introductions in our Mechanical and Electrical Products segment and continued penetration into non-ATE markets by our Thermal Products segment.</w:t>
      </w:r>
    </w:p>
    <w:p>
      <w:pPr>
        <w:spacing w:after="0" w:line="186"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color w:val="auto"/>
        </w:rPr>
        <w:t>Orders from customers in various markets outside of the ATE market for the year ended December 31, 2014, grew by 17% during 2014 as compared to 2013 and increased from 27% of our consolidated orders in 2013 to 29% in 2014. We believe the increases in both our orders from customers in various markets outside the ATE market and those orders as a percentage of our consolidated orders reflect improved demand from the customers we serve in several of the markets outside the ATE market, including the defense/aerospace and telecommunications markets. The level of our orders in these non-ATE markets has varied in the past, and we expect it will vary significantly in the future as we build our presence in these markets and establish new markets for our products.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- 22 -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At December 31, 2014, our backlog of unfilled orders for all products was approximately $3.8 million compared with approximately $3.1 million at December 31, 2013. Our backlog includes customer orders which we have accepted, substantially all of which we expect to deliver in 2015.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Net Revenues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a breakdown of the net revenues both by product segment and market.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140"/>
        <w:spacing w:after="0"/>
        <w:tabs>
          <w:tab w:leader="none" w:pos="164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r>
        <w:rPr>
          <w:sz w:val="20"/>
          <w:szCs w:val="20"/>
          <w:color w:val="auto"/>
        </w:rPr>
        <w:tab/>
      </w:r>
      <w:r>
        <w:rPr>
          <w:rFonts w:ascii="Times New Roman" w:cs="Times New Roman" w:eastAsia="Times New Roman" w:hAnsi="Times New Roman"/>
          <w:sz w:val="12"/>
          <w:szCs w:val="12"/>
          <w:b w:val="1"/>
          <w:bCs w:val="1"/>
          <w:i w:val="1"/>
          <w:iCs w:val="1"/>
          <w:u w:val="single" w:color="auto"/>
          <w:color w:val="auto"/>
        </w:rPr>
        <w:t>Change</w:t>
      </w:r>
    </w:p>
    <w:p>
      <w:pPr>
        <w:spacing w:after="0"/>
        <w:tabs>
          <w:tab w:leader="none" w:pos="760" w:val="left"/>
          <w:tab w:leader="none" w:pos="1580" w:val="left"/>
          <w:tab w:leader="none" w:pos="216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r>
        <w:rPr>
          <w:sz w:val="20"/>
          <w:szCs w:val="20"/>
          <w:color w:val="auto"/>
        </w:rPr>
        <w:tab/>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2"/>
          <w:szCs w:val="12"/>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-6985</wp:posOffset>
            </wp:positionV>
            <wp:extent cx="171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-6985</wp:posOffset>
            </wp:positionV>
            <wp:extent cx="114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800" w:space="720"/>
            <w:col w:w="6900"/>
          </w:cols>
          <w:pgMar w:left="240" w:top="125" w:right="239" w:bottom="0" w:gutter="0" w:footer="0" w:header="0"/>
          <w:type w:val="continuous"/>
        </w:sectPr>
      </w:pPr>
    </w:p>
    <w:p>
      <w:pPr>
        <w:spacing w:after="0" w:line="79"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$23,446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1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$ 484</w:t>
            </w:r>
          </w:p>
        </w:tc>
        <w:tc>
          <w:tcPr>
            <w:tcW w:w="260" w:type="dxa"/>
            <w:vAlign w:val="bottom"/>
          </w:tcPr>
          <w:p>
            <w:pPr>
              <w:spacing w:after="0"/>
              <w:rPr>
                <w:sz w:val="19"/>
                <w:szCs w:val="19"/>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45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9,962</w:t>
            </w:r>
          </w:p>
        </w:tc>
        <w:tc>
          <w:tcPr>
            <w:tcW w:w="100" w:type="dxa"/>
            <w:vAlign w:val="bottom"/>
          </w:tcPr>
          <w:p>
            <w:pPr>
              <w:spacing w:after="0"/>
              <w:rPr>
                <w:sz w:val="24"/>
                <w:szCs w:val="2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24"/>
                <w:szCs w:val="24"/>
                <w:color w:val="auto"/>
              </w:rPr>
            </w:pP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w w:val="88"/>
              </w:rPr>
              <w:t>13</w:t>
            </w:r>
          </w:p>
        </w:tc>
      </w:tr>
      <w:tr>
        <w:trPr>
          <w:trHeight w:val="42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jc w:val="right"/>
              <w:ind w:right="73"/>
              <w:spacing w:after="0"/>
              <w:rPr>
                <w:sz w:val="20"/>
                <w:szCs w:val="20"/>
                <w:color w:val="auto"/>
              </w:rPr>
            </w:pPr>
            <w:r>
              <w:rPr>
                <w:rFonts w:ascii="Times New Roman" w:cs="Times New Roman" w:eastAsia="Times New Roman" w:hAnsi="Times New Roman"/>
                <w:sz w:val="5"/>
                <w:szCs w:val="5"/>
                <w:color w:val="auto"/>
                <w:w w:val="78"/>
              </w:rPr>
              <w:t>9</w:t>
            </w:r>
          </w:p>
        </w:tc>
      </w:tr>
      <w:tr>
        <w:trPr>
          <w:trHeight w:val="20"/>
        </w:trPr>
        <w:tc>
          <w:tcPr>
            <w:tcW w:w="3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r>
        <w:trPr>
          <w:trHeight w:val="439"/>
        </w:trPr>
        <w:tc>
          <w:tcPr>
            <w:tcW w:w="3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5"/>
              </w:rPr>
              <w:t>$</w:t>
            </w:r>
            <w:r>
              <w:rPr>
                <w:rFonts w:ascii="Times New Roman" w:cs="Times New Roman" w:eastAsia="Times New Roman" w:hAnsi="Times New Roman"/>
                <w:sz w:val="18"/>
                <w:szCs w:val="18"/>
                <w:color w:val="auto"/>
                <w:w w:val="85"/>
              </w:rPr>
              <w:t>41,796</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5"/>
              </w:rPr>
              <w:t>$</w:t>
            </w:r>
            <w:r>
              <w:rPr>
                <w:rFonts w:ascii="Times New Roman" w:cs="Times New Roman" w:eastAsia="Times New Roman" w:hAnsi="Times New Roman"/>
                <w:sz w:val="18"/>
                <w:szCs w:val="18"/>
                <w:color w:val="auto"/>
                <w:w w:val="85"/>
              </w:rPr>
              <w:t>39,426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2,370</w:t>
            </w:r>
          </w:p>
        </w:tc>
        <w:tc>
          <w:tcPr>
            <w:tcW w:w="2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w:t>
            </w:r>
          </w:p>
        </w:tc>
      </w:tr>
      <w:tr>
        <w:trPr>
          <w:trHeight w:val="20"/>
        </w:trPr>
        <w:tc>
          <w:tcPr>
            <w:tcW w:w="3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48"/>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ATE market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$30,737</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$28,346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$2,391</w:t>
            </w:r>
          </w:p>
        </w:tc>
        <w:tc>
          <w:tcPr>
            <w:tcW w:w="26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421"/>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Non-ATE market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w:t>
            </w:r>
          </w:p>
        </w:tc>
        <w:tc>
          <w:tcPr>
            <w:tcW w:w="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type w:val="continuous"/>
        </w:sectPr>
      </w:pPr>
    </w:p>
    <w:bookmarkStart w:id="17" w:name="page18"/>
    <w:bookmarkEnd w:id="17"/>
    <w:p>
      <w:pPr>
        <w:jc w:val="center"/>
        <w:spacing w:after="0"/>
        <w:tabs>
          <w:tab w:leader="none" w:pos="180" w:val="left"/>
          <w:tab w:leader="none" w:pos="180" w:val="left"/>
          <w:tab w:leader="none" w:pos="280" w:val="left"/>
        </w:tabs>
        <w:rPr>
          <w:sz w:val="20"/>
          <w:szCs w:val="20"/>
          <w:color w:val="auto"/>
        </w:rPr>
      </w:pPr>
      <w:r>
        <w:rPr>
          <w:rFonts w:ascii="Times New Roman" w:cs="Times New Roman" w:eastAsia="Times New Roman" w:hAnsi="Times New Roman"/>
          <w:sz w:val="18"/>
          <w:szCs w:val="18"/>
          <w:u w:val="single" w:color="auto"/>
          <w:color w:val="auto"/>
        </w:rPr>
        <w:t>$41,796</w:t>
      </w:r>
      <w:r>
        <w:rPr>
          <w:sz w:val="20"/>
          <w:szCs w:val="20"/>
          <w:color w:val="auto"/>
        </w:rPr>
        <w:tab/>
      </w:r>
      <w:r>
        <w:rPr>
          <w:rFonts w:ascii="Times New Roman" w:cs="Times New Roman" w:eastAsia="Times New Roman" w:hAnsi="Times New Roman"/>
          <w:sz w:val="18"/>
          <w:szCs w:val="18"/>
          <w:u w:val="single" w:color="auto"/>
          <w:color w:val="auto"/>
        </w:rPr>
        <w:t>$39,426</w:t>
        <w:tab/>
        <w:t>$2,370</w:t>
      </w:r>
      <w:r>
        <w:rPr>
          <w:sz w:val="20"/>
          <w:szCs w:val="20"/>
          <w:color w:val="auto"/>
        </w:rPr>
        <w:tab/>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-10795</wp:posOffset>
            </wp:positionV>
            <wp:extent cx="83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38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20"/>
        <w:spacing w:after="0" w:line="293" w:lineRule="auto"/>
        <w:rPr>
          <w:sz w:val="20"/>
          <w:szCs w:val="20"/>
          <w:color w:val="auto"/>
        </w:rPr>
      </w:pPr>
      <w:r>
        <w:rPr>
          <w:rFonts w:ascii="Times New Roman" w:cs="Times New Roman" w:eastAsia="Times New Roman" w:hAnsi="Times New Roman"/>
          <w:sz w:val="16"/>
          <w:szCs w:val="16"/>
          <w:color w:val="auto"/>
        </w:rPr>
        <w:t>Total consolidated net revenues for the year ended December 31, 2014 were $41.8 million compared to $39.4 million for 2013. The increase in consolidated net revenues primarily reflects the aforementioned higher levels of demand from the ATE market, as well as the success of new product introductions in our Mechanical and Electrical Products segment. In addition, the higher percentage increase for our Mechanical Products segment also reflects that one particular customer of this segment was building a new facility in Southeast Asia during 2014 and, as a result, had a higher level of demand for certain of our products during 2014. Net revenues from customers in markets outside the ATE market were relatively unchanged at $11.1 million in both 2014 and 2013. As a percentage of our total consolidated net revenues, they represented 27% and 28% in 2014 and 2013, respectively.</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Product/Customer Mix</w:t>
      </w:r>
    </w:p>
    <w:p>
      <w:pPr>
        <w:spacing w:after="0" w:line="227" w:lineRule="exact"/>
        <w:rPr>
          <w:sz w:val="20"/>
          <w:szCs w:val="20"/>
          <w:color w:val="auto"/>
        </w:rPr>
      </w:pPr>
    </w:p>
    <w:p>
      <w:pPr>
        <w:ind w:left="540" w:right="120"/>
        <w:spacing w:after="0" w:line="258" w:lineRule="auto"/>
        <w:rPr>
          <w:sz w:val="20"/>
          <w:szCs w:val="20"/>
          <w:color w:val="auto"/>
        </w:rPr>
      </w:pPr>
      <w:r>
        <w:rPr>
          <w:rFonts w:ascii="Times New Roman" w:cs="Times New Roman" w:eastAsia="Times New Roman" w:hAnsi="Times New Roman"/>
          <w:sz w:val="18"/>
          <w:szCs w:val="18"/>
          <w:color w:val="auto"/>
        </w:rPr>
        <w:t>Our three product segments each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90"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We sell most of our products to semiconductor manufacturers and third-party test and assembly houses (end user sales) and to ATE manufacturers (OEM sales) who ultimately resell our equipment with theirs to semiconductor manufacturers. Our Thermal Products segment also sells into a variety of other markets including the automotive, consumer electronics, defense/aerospace, energy, industrial and telecommunications markets. The mix of customers during any given period will affect our gross margin due to differing sales discounts and commissions. For the years ended December 31, 2014 and 2013, our OEM sales as a percentage of net revenues were 9% and 12%, respectively.</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- 23 -</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OEM sales generally have a lower gross margin than end user sales, as OEM sales historically have had a more significant discount. Our current net operating margins on most OEM sales, however, are only slightly less than margins on end user sales because of the payment of third party sales commissions on most end user sales. We have also continued to experience demands from our OEM customers' supply chain managers to reduce our sales prices to them. If we cannot further reduce our manufacturing and operating costs, these pricing pressures will negatively affect our gross and operating margins.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7" w:lineRule="exact"/>
        <w:rPr>
          <w:sz w:val="20"/>
          <w:szCs w:val="20"/>
          <w:color w:val="auto"/>
        </w:rPr>
      </w:pPr>
    </w:p>
    <w:p>
      <w:pPr>
        <w:ind w:left="540" w:right="140"/>
        <w:spacing w:after="0" w:line="258" w:lineRule="auto"/>
        <w:rPr>
          <w:sz w:val="20"/>
          <w:szCs w:val="20"/>
          <w:color w:val="auto"/>
        </w:rPr>
      </w:pPr>
      <w:r>
        <w:rPr>
          <w:rFonts w:ascii="Times New Roman" w:cs="Times New Roman" w:eastAsia="Times New Roman" w:hAnsi="Times New Roman"/>
          <w:sz w:val="18"/>
          <w:szCs w:val="18"/>
          <w:color w:val="auto"/>
        </w:rPr>
        <w:t>The results of operations for our three product segments are generally affected by the same factors. Separate discussions and analyses for each product segment would be repetitive and obscure any unique factors that affected the results of operations of our different product segments. The discussion and analysis that follows, therefore, is presented on a consolidated basis and includes discussion of factors unique to each product segment where significant to an understanding of that segment.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Year Ended December 31, 2014 Compared to Year Ended December 31, 2013</w:t>
      </w:r>
    </w:p>
    <w:p>
      <w:pPr>
        <w:spacing w:after="0" w:line="225" w:lineRule="exact"/>
        <w:rPr>
          <w:sz w:val="20"/>
          <w:szCs w:val="20"/>
          <w:color w:val="auto"/>
        </w:rPr>
      </w:pPr>
    </w:p>
    <w:p>
      <w:pPr>
        <w:ind w:left="540"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were $41.8 million for the year ended December 31, 2014 compared to $39.4 million for the same period in 2013,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$2.4 million or 6%. For the year ended December 31, 2014, the net revenues of our Thermal, Mechanical and Electrical Products segments increased $484,000 or 2%, $1.3 million or 13% and $603,000 or 9%, respectively. We believe the increase in our net revenues during 2014 primarily reflects the factors previously discussed in the Overview.</w:t>
      </w:r>
    </w:p>
    <w:p>
      <w:pPr>
        <w:spacing w:after="0" w:line="187" w:lineRule="exact"/>
        <w:rPr>
          <w:sz w:val="20"/>
          <w:szCs w:val="20"/>
          <w:color w:val="auto"/>
        </w:rPr>
      </w:pPr>
    </w:p>
    <w:p>
      <w:pPr>
        <w:ind w:left="540"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was 49% for the year ended December 31, 2014 compared to 48% for the same period in 2013. The improvement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margin was primarily the result of our fixed operating costs being more fully absorbed by the higher net revenue levels in 2014 as compared to 2013. In absolute dollar terms, these costs increased $78,000 from 2013 to 2014 but as a percentage of net revenues, these costs declined from 15% in 2013 to 14% in 2014. Higher levels of depreciation and facility related costs, primarily in our Thermal Products segment, were partially offset by better utilization rates for our machine shop operation in our Mechanical Products segment and reductions in salary and benefits expense in our Thermal Products segment.</w:t>
      </w:r>
    </w:p>
    <w:p>
      <w:pPr>
        <w:spacing w:after="0" w:line="193" w:lineRule="exact"/>
        <w:rPr>
          <w:sz w:val="20"/>
          <w:szCs w:val="20"/>
          <w:color w:val="auto"/>
        </w:rPr>
      </w:pPr>
    </w:p>
    <w:p>
      <w:pPr>
        <w:ind w:left="5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Selling Expense. </w:t>
      </w:r>
      <w:r>
        <w:rPr>
          <w:rFonts w:ascii="Times New Roman" w:cs="Times New Roman" w:eastAsia="Times New Roman" w:hAnsi="Times New Roman"/>
          <w:sz w:val="18"/>
          <w:szCs w:val="18"/>
          <w:color w:val="auto"/>
        </w:rPr>
        <w:t>Selling expense was $5.7 million for the year ended December 31, 2014 compared to $5.4 million for the same period in 2013,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of $340,000 or 6%. The increase primarily reflects higher salaries and benefits expense as a result of an increase in headcount in our Thermal and Electrical Products segments and higher levels of commissions as a result of the increase in our consolidated net revenues.</w:t>
      </w:r>
    </w:p>
    <w:p>
      <w:pPr>
        <w:spacing w:after="0" w:line="181"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Engineering and Product Development Expense. </w:t>
      </w:r>
      <w:r>
        <w:rPr>
          <w:rFonts w:ascii="Times New Roman" w:cs="Times New Roman" w:eastAsia="Times New Roman" w:hAnsi="Times New Roman"/>
          <w:sz w:val="18"/>
          <w:szCs w:val="18"/>
          <w:color w:val="auto"/>
        </w:rPr>
        <w:t>Engineering and product development expense was $3.6 million for the year ended December 31, 2014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$3.7 million for the same period in 2013, a decrease of $103,000 or 3%. The decrease in engineering and product development expense primarily reflects a reduction in the use of third party consultants in our Thermal Products segment and decreased spending on matters related to our intellectual property. These decreases were partially offset by an increase in salaries and benefits expense, primarily reflecting annual salary increases for existing employees and an increase in headcount in our Electrical Products segment.</w:t>
      </w:r>
    </w:p>
    <w:p>
      <w:pPr>
        <w:spacing w:after="0" w:line="188" w:lineRule="exact"/>
        <w:rPr>
          <w:sz w:val="20"/>
          <w:szCs w:val="20"/>
          <w:color w:val="auto"/>
        </w:rPr>
      </w:pPr>
    </w:p>
    <w:p>
      <w:pPr>
        <w:ind w:left="540"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 was $6.2 million for the year ended December 31, 2014 compared to $6.0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2013, an increase of $256,000 or 4%. The increase primarily reflects an increase in the use of third-party professionals who assist us with certain of our strategic initiatives and, to a lesser extent, higher levels of travel related costs in implementing these initiatives. This increase was partially offset by a reduction in amortization expense related to our intangible assets in our Thermal Products segment.</w:t>
      </w:r>
    </w:p>
    <w:p>
      <w:pPr>
        <w:sectPr>
          <w:pgSz w:w="11900" w:h="16838" w:orient="portrait"/>
          <w:cols w:equalWidth="0" w:num="1">
            <w:col w:w="11400"/>
          </w:cols>
          <w:pgMar w:left="240" w:top="86" w:right="259" w:bottom="0" w:gutter="0" w:footer="0" w:header="0"/>
        </w:sectPr>
      </w:pPr>
    </w:p>
    <w:bookmarkStart w:id="18" w:name="page19"/>
    <w:bookmarkEnd w:id="18"/>
    <w:p>
      <w:pPr>
        <w:ind w:left="540"/>
        <w:spacing w:after="0" w:line="297" w:lineRule="auto"/>
        <w:rPr>
          <w:sz w:val="20"/>
          <w:szCs w:val="20"/>
          <w:color w:val="auto"/>
        </w:rPr>
      </w:pPr>
      <w:r>
        <w:rPr>
          <w:rFonts w:ascii="Times New Roman" w:cs="Times New Roman" w:eastAsia="Times New Roman" w:hAnsi="Times New Roman"/>
          <w:sz w:val="16"/>
          <w:szCs w:val="16"/>
          <w:i w:val="1"/>
          <w:iCs w:val="1"/>
          <w:color w:val="auto"/>
        </w:rPr>
        <w:t xml:space="preserve">Income Tax Expense. </w:t>
      </w:r>
      <w:r>
        <w:rPr>
          <w:rFonts w:ascii="Times New Roman" w:cs="Times New Roman" w:eastAsia="Times New Roman" w:hAnsi="Times New Roman"/>
          <w:sz w:val="16"/>
          <w:szCs w:val="16"/>
          <w:color w:val="auto"/>
        </w:rPr>
        <w:t>For the year ended December 31, 2014, we recorded income tax expense of $1.5 million compared to $931,000 for the same period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2013. Our effective tax rate was 30% for 2014 compared to 23% for 2013. On a quarterly basis, we record income tax expense or benefit based on the expected annualized effective tax rate for the various taxing jurisdictions in which we operate our businesses. The increase in our effective tax rate in 2014 as compared to 2013 primarily reflects the lower level of tax credits available to offset current tax expense in 2014, as well as the impact of the recording of additional benefits during 2013 as a result of the finalization of an audit of our German operation in September of that year.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7"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6" w:lineRule="exact"/>
        <w:rPr>
          <w:sz w:val="20"/>
          <w:szCs w:val="20"/>
          <w:color w:val="auto"/>
        </w:rPr>
      </w:pPr>
    </w:p>
    <w:p>
      <w:pPr>
        <w:ind w:left="540" w:right="500"/>
        <w:spacing w:after="0" w:line="262" w:lineRule="auto"/>
        <w:rPr>
          <w:sz w:val="20"/>
          <w:szCs w:val="20"/>
          <w:color w:val="auto"/>
        </w:rPr>
      </w:pPr>
      <w:r>
        <w:rPr>
          <w:rFonts w:ascii="Times New Roman" w:cs="Times New Roman" w:eastAsia="Times New Roman" w:hAnsi="Times New Roman"/>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Liquidity</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cash and cash equivalents and working capital were as follows:</w:t>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w w:val="93"/>
              </w:rPr>
              <w:t>December 31,</w:t>
            </w:r>
          </w:p>
        </w:tc>
      </w:tr>
      <w:tr>
        <w:trPr>
          <w:trHeight w:val="20"/>
        </w:trPr>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80" w:type="dxa"/>
            <w:vAlign w:val="bottom"/>
          </w:tcPr>
          <w:p>
            <w:pPr>
              <w:spacing w:after="0"/>
              <w:rPr>
                <w:sz w:val="18"/>
                <w:szCs w:val="18"/>
                <w:color w:val="auto"/>
              </w:rPr>
            </w:pPr>
          </w:p>
        </w:tc>
        <w:tc>
          <w:tcPr>
            <w:tcW w:w="1440" w:type="dxa"/>
            <w:vAlign w:val="bottom"/>
            <w:gridSpan w:val="3"/>
          </w:tcPr>
          <w:p>
            <w:pPr>
              <w:jc w:val="center"/>
              <w:ind w:left="1099"/>
              <w:spacing w:after="0"/>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24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2013</w:t>
            </w:r>
          </w:p>
        </w:tc>
      </w:tr>
      <w:tr>
        <w:trPr>
          <w:trHeight w:val="20"/>
        </w:trPr>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80" w:type="dxa"/>
            <w:vAlign w:val="bottom"/>
            <w:gridSpan w:val="4"/>
          </w:tcPr>
          <w:p>
            <w:pPr>
              <w:jc w:val="center"/>
              <w:ind w:left="839"/>
              <w:spacing w:after="0"/>
              <w:rPr>
                <w:sz w:val="20"/>
                <w:szCs w:val="20"/>
                <w:color w:val="auto"/>
              </w:rPr>
            </w:pPr>
            <w:r>
              <w:rPr>
                <w:rFonts w:ascii="Times New Roman" w:cs="Times New Roman" w:eastAsia="Times New Roman" w:hAnsi="Times New Roman"/>
                <w:sz w:val="18"/>
                <w:szCs w:val="18"/>
                <w:color w:val="auto"/>
                <w:w w:val="95"/>
              </w:rPr>
              <w:t>$23,126</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$19,018</w:t>
            </w:r>
          </w:p>
        </w:tc>
      </w:tr>
      <w:tr>
        <w:trPr>
          <w:trHeight w:val="45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680" w:type="dxa"/>
            <w:vAlign w:val="bottom"/>
            <w:gridSpan w:val="4"/>
          </w:tcPr>
          <w:p>
            <w:pPr>
              <w:jc w:val="center"/>
              <w:ind w:left="839"/>
              <w:spacing w:after="0"/>
              <w:rPr>
                <w:sz w:val="20"/>
                <w:szCs w:val="20"/>
                <w:color w:val="auto"/>
              </w:rPr>
            </w:pPr>
            <w:r>
              <w:rPr>
                <w:rFonts w:ascii="Times New Roman" w:cs="Times New Roman" w:eastAsia="Times New Roman" w:hAnsi="Times New Roman"/>
                <w:sz w:val="18"/>
                <w:szCs w:val="18"/>
                <w:color w:val="auto"/>
                <w:w w:val="95"/>
              </w:rPr>
              <w:t>$28,561</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$24,749</w:t>
            </w:r>
          </w:p>
        </w:tc>
      </w:tr>
    </w:tbl>
    <w:p>
      <w:pPr>
        <w:spacing w:after="0" w:line="200" w:lineRule="exact"/>
        <w:rPr>
          <w:sz w:val="20"/>
          <w:szCs w:val="20"/>
          <w:color w:val="auto"/>
        </w:rPr>
      </w:pPr>
    </w:p>
    <w:p>
      <w:pPr>
        <w:spacing w:after="0" w:line="233"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As of December 31, 2014, $3.1 million of our cash and cash equivalents was held by our foreign subsidiaries. If these funds are needed for our operations in the U.S., we may be required to accrue and pay foreign taxes if we repatriate certain of these funds. On February 25, 2015 we repatriated $883,000 from our subsidiary in Singapore. We currently plan to indefinitely reinvest the funds held by our subsidiary in Germany.</w:t>
      </w:r>
    </w:p>
    <w:p>
      <w:pPr>
        <w:spacing w:after="0" w:line="186" w:lineRule="exact"/>
        <w:rPr>
          <w:sz w:val="20"/>
          <w:szCs w:val="20"/>
          <w:color w:val="auto"/>
        </w:rPr>
      </w:pPr>
    </w:p>
    <w:p>
      <w:pPr>
        <w:ind w:left="540" w:right="120"/>
        <w:spacing w:after="0" w:line="258" w:lineRule="auto"/>
        <w:rPr>
          <w:sz w:val="20"/>
          <w:szCs w:val="20"/>
          <w:color w:val="auto"/>
        </w:rPr>
      </w:pPr>
      <w:r>
        <w:rPr>
          <w:rFonts w:ascii="Times New Roman" w:cs="Times New Roman" w:eastAsia="Times New Roman" w:hAnsi="Times New Roman"/>
          <w:sz w:val="18"/>
          <w:szCs w:val="18"/>
          <w:color w:val="auto"/>
        </w:rPr>
        <w:t>We currently expect our cash and cash equivalents and projected future cash flow to be sufficient to support our short term working capital requirements. However, we may need additional financial resources to consummate a significant acquisition if the consideration in such a transaction would require us to utilize a substantial portion of our available cash. We do not currently have any credit facilities under which we can borrow to help fund our working capital or other requirements.</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w:t>
      </w:r>
    </w:p>
    <w:p>
      <w:pPr>
        <w:spacing w:after="0" w:line="225" w:lineRule="exact"/>
        <w:rPr>
          <w:sz w:val="20"/>
          <w:szCs w:val="20"/>
          <w:color w:val="auto"/>
        </w:rPr>
      </w:pPr>
    </w:p>
    <w:p>
      <w:pPr>
        <w:ind w:left="540" w:right="8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operations for the year ended December 31, 2014 was $5.1 million. During 2014, we recorded net earnings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$3.4 million, which included non-cash charges of $879,000 for depreciation and amortization, $344,000 for excess and obsolete inventory charges and $318,000 of deferred income tax expense. During 2014, accounts receivable decreased $610,000, compared to the levels at the end of 2013, primarily reflecting an improvement in customer payment patterns. During 2014, inventories and accounts payable increased $893,000 and $172,000, respectively, compared to the levels at the end of 2013. The increase in inventory primarily reflects increased finished goods inventory on hand at December 31, 2014 that will be shipped to customers in early 2015. The increase in accounts payable primarily reflects the timing of payments to customers. During 2014, restricted certificates of deposit decreased $100,000. Our restricted certificates of deposit are pledged to secure letters of credit issued as security deposits for certain of our domestic leases. In accordance with the terms of the lease for our facility in Mansfield, Massachusetts, after reaching the thirty-seventh month of the term of the lease with no events of default having occurred, we requested and received approval to reduce the amount of the letter of credit by $100,000.</w:t>
      </w:r>
    </w:p>
    <w:p>
      <w:pPr>
        <w:spacing w:after="0" w:line="195" w:lineRule="exact"/>
        <w:rPr>
          <w:sz w:val="20"/>
          <w:szCs w:val="20"/>
          <w:color w:val="auto"/>
        </w:rPr>
      </w:pPr>
    </w:p>
    <w:p>
      <w:pPr>
        <w:ind w:left="540"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During 2014, purchases of property and equipment were $831,000 which primarily represent additions to leased systems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Thermal and Mechanical Products segments and additional production testing and demonstration equipment for our Electrical Products segment. We have no significant commitments for capital expenditures for 2015, however, depending upon changes in market demand, we may make such purchases as we deem necessary and appropriate.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During 2014, there were no cash flows from financing activities.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-25 -</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New or Recently Adopted Accounting Standards</w:t>
      </w:r>
    </w:p>
    <w:p>
      <w:pPr>
        <w:sectPr>
          <w:pgSz w:w="11900" w:h="16838" w:orient="portrait"/>
          <w:cols w:equalWidth="0" w:num="1">
            <w:col w:w="11420"/>
          </w:cols>
          <w:pgMar w:left="240" w:top="339" w:right="239" w:bottom="0" w:gutter="0" w:footer="0" w:header="0"/>
        </w:sectPr>
      </w:pPr>
    </w:p>
    <w:bookmarkStart w:id="19" w:name="page20"/>
    <w:bookmarkEnd w:id="19"/>
    <w:p>
      <w:pPr>
        <w:ind w:left="540" w:right="360"/>
        <w:spacing w:after="0" w:line="275" w:lineRule="auto"/>
        <w:rPr>
          <w:sz w:val="20"/>
          <w:szCs w:val="20"/>
          <w:color w:val="auto"/>
        </w:rPr>
      </w:pPr>
      <w:r>
        <w:rPr>
          <w:rFonts w:ascii="Times New Roman" w:cs="Times New Roman" w:eastAsia="Times New Roman" w:hAnsi="Times New Roman"/>
          <w:sz w:val="18"/>
          <w:szCs w:val="18"/>
          <w:color w:val="auto"/>
        </w:rPr>
        <w:t>See Note 2 to the consolidated financial statements for information concerning the implementation and impact of new or recently adopted accounting standards.</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w:t>
      </w:r>
    </w:p>
    <w:p>
      <w:pPr>
        <w:spacing w:after="0" w:line="227"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Inventory Valuation</w:t>
      </w:r>
    </w:p>
    <w:p>
      <w:pPr>
        <w:spacing w:after="0" w:line="227" w:lineRule="exact"/>
        <w:rPr>
          <w:sz w:val="20"/>
          <w:szCs w:val="20"/>
          <w:color w:val="auto"/>
        </w:rPr>
      </w:pPr>
    </w:p>
    <w:p>
      <w:pPr>
        <w:ind w:left="540" w:right="40"/>
        <w:spacing w:after="0" w:line="254" w:lineRule="auto"/>
        <w:rPr>
          <w:sz w:val="20"/>
          <w:szCs w:val="20"/>
          <w:color w:val="auto"/>
        </w:rPr>
      </w:pPr>
      <w:r>
        <w:rPr>
          <w:rFonts w:ascii="Times New Roman" w:cs="Times New Roman" w:eastAsia="Times New Roman" w:hAnsi="Times New Roman"/>
          <w:sz w:val="18"/>
          <w:szCs w:val="18"/>
          <w:color w:val="auto"/>
        </w:rPr>
        <w:t>Inventories are valued at cost on a first-in, first-out basis, not in excess of market value.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2014 and 2013, we recorded inventory obsolescence charges for excess and obsolete inventory of $344,000 and $311,000, respectively.</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Goodwill, Intangible and Long-Lived Assets</w:t>
      </w:r>
    </w:p>
    <w:p>
      <w:pPr>
        <w:spacing w:after="0" w:line="227"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92" w:lineRule="exact"/>
        <w:rPr>
          <w:sz w:val="20"/>
          <w:szCs w:val="20"/>
          <w:color w:val="auto"/>
        </w:rPr>
      </w:pPr>
    </w:p>
    <w:p>
      <w:pPr>
        <w:ind w:left="540"/>
        <w:spacing w:after="0" w:line="289" w:lineRule="auto"/>
        <w:rPr>
          <w:sz w:val="20"/>
          <w:szCs w:val="20"/>
          <w:color w:val="auto"/>
        </w:rPr>
      </w:pPr>
      <w:r>
        <w:rPr>
          <w:rFonts w:ascii="Times New Roman" w:cs="Times New Roman" w:eastAsia="Times New Roman" w:hAnsi="Times New Roman"/>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MANAGEMENT'S DISCUSSION AND ANALYSIS OF FINANCIAL CONDITION AND RESULTS OF OPERATIONS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440"/>
        <w:spacing w:after="0" w:line="310" w:lineRule="auto"/>
        <w:rPr>
          <w:sz w:val="20"/>
          <w:szCs w:val="20"/>
          <w:color w:val="auto"/>
        </w:rPr>
      </w:pPr>
      <w:r>
        <w:rPr>
          <w:rFonts w:ascii="Times New Roman" w:cs="Times New Roman" w:eastAsia="Times New Roman" w:hAnsi="Times New Roman"/>
          <w:sz w:val="16"/>
          <w:szCs w:val="16"/>
          <w:color w:val="auto"/>
        </w:rPr>
        <w:t>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As of December 31, 2014 and 2013, goodwill was $1.7 million. We did not record any impairment charges related to our goodwill during 2014 or 2013.</w:t>
      </w:r>
    </w:p>
    <w:p>
      <w:pPr>
        <w:spacing w:after="0" w:line="151"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As of December 31, 2014 and 2013, our indefinite-lived intangible asset was $510,000. We did not record any impairment charges related to our indefinite-lived intangible asset during 2014 or 2013.</w:t>
      </w:r>
    </w:p>
    <w:p>
      <w:pPr>
        <w:spacing w:after="0" w:line="192" w:lineRule="exact"/>
        <w:rPr>
          <w:sz w:val="20"/>
          <w:szCs w:val="20"/>
          <w:color w:val="auto"/>
        </w:rPr>
      </w:pPr>
    </w:p>
    <w:p>
      <w:pPr>
        <w:ind w:left="540" w:right="100"/>
        <w:spacing w:after="0" w:line="293" w:lineRule="auto"/>
        <w:rPr>
          <w:sz w:val="20"/>
          <w:szCs w:val="20"/>
          <w:color w:val="auto"/>
        </w:rPr>
      </w:pPr>
      <w:r>
        <w:rPr>
          <w:rFonts w:ascii="Times New Roman" w:cs="Times New Roman" w:eastAsia="Times New Roman" w:hAnsi="Times New Roman"/>
          <w:sz w:val="16"/>
          <w:szCs w:val="16"/>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2014 and 2013, finite-lived intangibles and long-lived assets were $2.2 million and $2.5 million, respectively. We did not record any impairment charges related to our long-lived assets during 2014 or 2013.</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Deferred tax assets are analyzed to determine if there will be sufficient taxable income in the future in order to realize such assets. We assess all of the</w:t>
      </w:r>
    </w:p>
    <w:p>
      <w:pPr>
        <w:sectPr>
          <w:pgSz w:w="11900" w:h="16838" w:orient="portrait"/>
          <w:cols w:equalWidth="0" w:num="1">
            <w:col w:w="11400"/>
          </w:cols>
          <w:pgMar w:left="240" w:top="125" w:right="259" w:bottom="0" w:gutter="0" w:footer="0" w:header="0"/>
        </w:sectPr>
      </w:pPr>
    </w:p>
    <w:bookmarkStart w:id="20" w:name="page21"/>
    <w:bookmarkEnd w:id="20"/>
    <w:p>
      <w:pPr>
        <w:ind w:left="540" w:right="60"/>
        <w:spacing w:after="0" w:line="254" w:lineRule="auto"/>
        <w:rPr>
          <w:sz w:val="20"/>
          <w:szCs w:val="20"/>
          <w:color w:val="auto"/>
        </w:rPr>
      </w:pPr>
      <w:r>
        <w:rPr>
          <w:rFonts w:ascii="Times New Roman" w:cs="Times New Roman" w:eastAsia="Times New Roman" w:hAnsi="Times New Roman"/>
          <w:sz w:val="18"/>
          <w:szCs w:val="18"/>
          <w:color w:val="auto"/>
        </w:rPr>
        <w:t>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2014 and 2013, we had a net deferred tax asset of $1.4 million and $1.7 million, respectively, and a deferred tax valuation allowance of $100,000 and $287,000, respectively.</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u w:val="single" w:color="auto"/>
          <w:color w:val="auto"/>
        </w:rPr>
        <w:t>Off -Balance Sheet Arrangements</w:t>
      </w:r>
    </w:p>
    <w:p>
      <w:pPr>
        <w:spacing w:after="0" w:line="227" w:lineRule="exact"/>
        <w:rPr>
          <w:sz w:val="20"/>
          <w:szCs w:val="20"/>
          <w:color w:val="auto"/>
        </w:rPr>
      </w:pPr>
    </w:p>
    <w:p>
      <w:pPr>
        <w:ind w:left="540" w:right="340"/>
        <w:spacing w:after="0" w:line="262" w:lineRule="auto"/>
        <w:rPr>
          <w:sz w:val="20"/>
          <w:szCs w:val="20"/>
          <w:color w:val="auto"/>
        </w:rPr>
      </w:pPr>
      <w:r>
        <w:rPr>
          <w:rFonts w:ascii="Times New Roman" w:cs="Times New Roman" w:eastAsia="Times New Roman" w:hAnsi="Times New Roman"/>
          <w:sz w:val="18"/>
          <w:szCs w:val="18"/>
          <w:color w:val="auto"/>
        </w:rPr>
        <w:t>There were no off-balance sheet arrangements during the year ended December 31, 2014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This disclosure is not required for a smaller reporting company.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Consolidated financial statements are set forth in this Report beginning at page F-1 and are incorporated by reference into this Item 8.</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540"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CEO and CFO Certifications. </w:t>
      </w:r>
      <w:r>
        <w:rPr>
          <w:rFonts w:ascii="Times New Roman" w:cs="Times New Roman" w:eastAsia="Times New Roman" w:hAnsi="Times New Roman"/>
          <w:sz w:val="18"/>
          <w:szCs w:val="18"/>
          <w:color w:val="auto"/>
        </w:rPr>
        <w:t>Included with this Annual Report as Exhibits 31.1 and 31.2 are two certifications, one by each of our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and our Chief Financial Officer (the "Section 302 Certifications"). This Item 9A contains information concerning the evaluations of our disclosure controls and procedures and internal control over financial reporting that are referred to in the Section 302 Certifications. This information should be read in conjunction with the Section 302 Certifications for a more complete understanding of the topics presented.</w:t>
      </w:r>
    </w:p>
    <w:p>
      <w:pPr>
        <w:spacing w:after="0" w:line="187" w:lineRule="exact"/>
        <w:rPr>
          <w:sz w:val="20"/>
          <w:szCs w:val="20"/>
          <w:color w:val="auto"/>
        </w:rPr>
      </w:pPr>
    </w:p>
    <w:p>
      <w:pPr>
        <w:jc w:val="both"/>
        <w:ind w:left="540" w:right="34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Evaluation of Our Disclosure Controls and Procedures. </w:t>
      </w:r>
      <w:r>
        <w:rPr>
          <w:rFonts w:ascii="Times New Roman" w:cs="Times New Roman" w:eastAsia="Times New Roman" w:hAnsi="Times New Roman"/>
          <w:sz w:val="18"/>
          <w:szCs w:val="18"/>
          <w:color w:val="auto"/>
        </w:rPr>
        <w:t>The SEC requires that as of the end of the year covered by this Report, our CEO and CFO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must evaluate the effectiveness of the design and operation of our disclosure controls and procedures and report on the effectiveness of the design and operation of our disclosure controls and procedures.</w:t>
      </w:r>
    </w:p>
    <w:p>
      <w:pPr>
        <w:spacing w:after="0" w:line="183" w:lineRule="exact"/>
        <w:rPr>
          <w:sz w:val="20"/>
          <w:szCs w:val="20"/>
          <w:color w:val="auto"/>
        </w:rPr>
      </w:pPr>
    </w:p>
    <w:p>
      <w:pPr>
        <w:ind w:left="540" w:right="40"/>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mean the controls and other procedures that are designed with the objective of ensuring that information required to be disclosed in our reports filed under the Securities Exchange Act of 1934 (the "Exchange Act"), such as this Report, is recorded, processed, summarized and reported within the time periods specified in the rules and forms promulgated by the SEC. Disclosure controls and procedures are also designed with the objective of ensuring that such information is accumulated and communicated to our management, including the CEO and CFO, as appropriate, to allow timely decisions regarding required disclosure.</w:t>
      </w:r>
    </w:p>
    <w:p>
      <w:pPr>
        <w:spacing w:after="0" w:line="191" w:lineRule="exact"/>
        <w:rPr>
          <w:sz w:val="20"/>
          <w:szCs w:val="20"/>
          <w:color w:val="auto"/>
        </w:rPr>
      </w:pPr>
    </w:p>
    <w:p>
      <w:pPr>
        <w:ind w:left="5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Limitations on the Effectiveness of Controls. </w:t>
      </w:r>
      <w:r>
        <w:rPr>
          <w:rFonts w:ascii="Times New Roman" w:cs="Times New Roman" w:eastAsia="Times New Roman" w:hAnsi="Times New Roman"/>
          <w:sz w:val="18"/>
          <w:szCs w:val="18"/>
          <w:color w:val="auto"/>
        </w:rPr>
        <w:t>Our management, including the CEO and CFO, does not expect that our disclosure controls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or our internal control over financial reporting will prevent all error and all fraud. A control system, no matter how well conceived and operated, can provide only reasonable, as opposed to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an entity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a system of controls may become inadequate because of changes in conditions, or the degree of compliance with the policies or procedures may deteriorate.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200" w:lineRule="exact"/>
        <w:rPr>
          <w:sz w:val="20"/>
          <w:szCs w:val="20"/>
          <w:color w:val="auto"/>
        </w:rPr>
      </w:pPr>
    </w:p>
    <w:p>
      <w:pPr>
        <w:jc w:val="both"/>
        <w:ind w:left="540" w:right="260"/>
        <w:spacing w:after="0" w:line="259" w:lineRule="auto"/>
        <w:rPr>
          <w:sz w:val="20"/>
          <w:szCs w:val="20"/>
          <w:color w:val="auto"/>
        </w:rPr>
      </w:pPr>
      <w:r>
        <w:rPr>
          <w:rFonts w:ascii="Times New Roman" w:cs="Times New Roman" w:eastAsia="Times New Roman" w:hAnsi="Times New Roman"/>
          <w:sz w:val="18"/>
          <w:szCs w:val="18"/>
          <w:b w:val="1"/>
          <w:bCs w:val="1"/>
          <w:color w:val="auto"/>
        </w:rPr>
        <w:t>CEO/CFO Conclusions about the Effectiveness of the Disclosure Controls and Procedures</w:t>
      </w:r>
      <w:r>
        <w:rPr>
          <w:rFonts w:ascii="Times New Roman" w:cs="Times New Roman" w:eastAsia="Times New Roman" w:hAnsi="Times New Roman"/>
          <w:sz w:val="18"/>
          <w:szCs w:val="18"/>
          <w:color w:val="auto"/>
        </w:rPr>
        <w:t>. As required by Rule 13a-15(b), inTEST management,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87" w:lineRule="exact"/>
        <w:rPr>
          <w:sz w:val="20"/>
          <w:szCs w:val="20"/>
          <w:color w:val="auto"/>
        </w:rPr>
      </w:pPr>
    </w:p>
    <w:p>
      <w:pPr>
        <w:ind w:left="540" w:right="40"/>
        <w:spacing w:after="0" w:line="297" w:lineRule="auto"/>
        <w:rPr>
          <w:sz w:val="20"/>
          <w:szCs w:val="20"/>
          <w:color w:val="auto"/>
        </w:rPr>
      </w:pPr>
      <w:r>
        <w:rPr>
          <w:rFonts w:ascii="Times New Roman" w:cs="Times New Roman" w:eastAsia="Times New Roman" w:hAnsi="Times New Roman"/>
          <w:sz w:val="16"/>
          <w:szCs w:val="16"/>
          <w:b w:val="1"/>
          <w:bCs w:val="1"/>
          <w:color w:val="auto"/>
        </w:rPr>
        <w:t>Management's Report on Internal Control over Financial Reporting</w:t>
      </w:r>
      <w:r>
        <w:rPr>
          <w:rFonts w:ascii="Times New Roman" w:cs="Times New Roman" w:eastAsia="Times New Roman" w:hAnsi="Times New Roman"/>
          <w:sz w:val="16"/>
          <w:szCs w:val="16"/>
          <w:color w:val="auto"/>
        </w:rPr>
        <w:t>. Our management is responsible for establishing and maintaining adequate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internal control over financial reporting. Internal control over financial reporting is defined in Rule 13a-15(f) and 15d-15(f)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1420"/>
          </w:cols>
          <w:pgMar w:left="240" w:top="125" w:right="239" w:bottom="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CONTROLS AND PROCEDURES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1080" w:hanging="167"/>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1" w:lineRule="exact"/>
        <w:rPr>
          <w:rFonts w:ascii="Times New Roman" w:cs="Times New Roman" w:eastAsia="Times New Roman" w:hAnsi="Times New Roman"/>
          <w:sz w:val="18"/>
          <w:szCs w:val="18"/>
          <w:color w:val="auto"/>
        </w:rPr>
      </w:pPr>
    </w:p>
    <w:p>
      <w:pPr>
        <w:ind w:left="1080" w:right="20" w:hanging="167"/>
        <w:spacing w:after="0" w:line="250"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1080" w:hanging="167"/>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45" w:lineRule="exact"/>
        <w:rPr>
          <w:sz w:val="20"/>
          <w:szCs w:val="20"/>
          <w:color w:val="auto"/>
        </w:rPr>
      </w:pPr>
    </w:p>
    <w:p>
      <w:pPr>
        <w:jc w:val="both"/>
        <w:ind w:left="540" w:right="600"/>
        <w:spacing w:after="0" w:line="262"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6" w:lineRule="exact"/>
        <w:rPr>
          <w:sz w:val="20"/>
          <w:szCs w:val="20"/>
          <w:color w:val="auto"/>
        </w:rPr>
      </w:pPr>
    </w:p>
    <w:p>
      <w:pPr>
        <w:ind w:left="540" w:right="20"/>
        <w:spacing w:after="0" w:line="258"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2014. In making this assessment, management used the criteria set forth by the Committee of Sponsoring Organizations of the Treadway Commission (COSO) on Internal Control-Integrated 1992 Framework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Based upon this assessment, management believes that, as of December 31, 2014, our internal control over financial reporting is effective at a reasonable assurance level.</w:t>
      </w:r>
    </w:p>
    <w:p>
      <w:pPr>
        <w:spacing w:after="0" w:line="190" w:lineRule="exact"/>
        <w:rPr>
          <w:sz w:val="20"/>
          <w:szCs w:val="20"/>
          <w:color w:val="auto"/>
        </w:rPr>
      </w:pPr>
    </w:p>
    <w:p>
      <w:pPr>
        <w:ind w:left="540" w:right="200"/>
        <w:spacing w:after="0" w:line="339" w:lineRule="auto"/>
        <w:rPr>
          <w:sz w:val="20"/>
          <w:szCs w:val="20"/>
          <w:color w:val="auto"/>
        </w:rPr>
      </w:pPr>
      <w:r>
        <w:rPr>
          <w:rFonts w:ascii="Times New Roman" w:cs="Times New Roman" w:eastAsia="Times New Roman" w:hAnsi="Times New Roman"/>
          <w:sz w:val="16"/>
          <w:szCs w:val="16"/>
          <w:color w:val="auto"/>
        </w:rPr>
        <w:t>This annual report does not include an attestation report of our independent registered public accounting firm regarding internal control over financial reporting, as such an attestation is not required pursuant to rules of the Securities and Exchange Commission applicable to smaller reporting companies.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9286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2015 Annual Meeting of Stockholders to be filed with the SEC on or before April 30, 2015, or, if our proxy statement is not filed on or before April 30, 2015, will be filed by that date by an amendment to this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2015 Annual Meeting of Stockholders to be filed with the SEC on or before April 30, 2015, or, if our proxy statement is not filed on or before April 30, 2015, will be filed by that date by an amendment to this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10" w:lineRule="exact"/>
        <w:rPr>
          <w:sz w:val="20"/>
          <w:szCs w:val="20"/>
          <w:color w:val="auto"/>
        </w:rPr>
      </w:pPr>
    </w:p>
    <w:p>
      <w:pPr>
        <w:ind w:left="540" w:right="60"/>
        <w:spacing w:after="0" w:line="262" w:lineRule="auto"/>
        <w:rPr>
          <w:sz w:val="20"/>
          <w:szCs w:val="20"/>
          <w:color w:val="auto"/>
        </w:rPr>
      </w:pPr>
      <w:r>
        <w:rPr>
          <w:rFonts w:ascii="Times New Roman" w:cs="Times New Roman" w:eastAsia="Times New Roman" w:hAnsi="Times New Roman"/>
          <w:sz w:val="18"/>
          <w:szCs w:val="18"/>
          <w:color w:val="auto"/>
        </w:rPr>
        <w:t>The information required by Item 201(d) of Regulation S-K is set forth below. The remainder of the information required by this Item 12 is incorporated by reference from our definitive proxy statement for our 2015 Annual Meeting of Stockholders to be filed with the SEC on or before April 30, 2015, or, if our proxy statement is not filed on or before April 30, 2015, will be filed by that date by an amendment to this Form 10-K.</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 ENDED DECEMBER 31, 2014</w:t>
      </w:r>
    </w:p>
    <w:p>
      <w:pPr>
        <w:spacing w:after="0" w:line="386"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STOCKHOLDER MATTERS </w:t>
      </w:r>
      <w:r>
        <w:rPr>
          <w:rFonts w:ascii="Times New Roman" w:cs="Times New Roman" w:eastAsia="Times New Roman" w:hAnsi="Times New Roman"/>
          <w:sz w:val="18"/>
          <w:szCs w:val="18"/>
          <w:color w:val="auto"/>
        </w:rPr>
        <w:t>(Continued)</w:t>
      </w:r>
    </w:p>
    <w:p>
      <w:pPr>
        <w:spacing w:after="0" w:line="132" w:lineRule="exact"/>
        <w:rPr>
          <w:sz w:val="20"/>
          <w:szCs w:val="20"/>
          <w:color w:val="auto"/>
        </w:rPr>
      </w:pPr>
    </w:p>
    <w:p>
      <w:pPr>
        <w:ind w:left="540" w:right="360"/>
        <w:spacing w:after="0" w:line="275" w:lineRule="auto"/>
        <w:rPr>
          <w:sz w:val="20"/>
          <w:szCs w:val="20"/>
          <w:color w:val="auto"/>
        </w:rPr>
      </w:pPr>
      <w:r>
        <w:rPr>
          <w:rFonts w:ascii="Times New Roman" w:cs="Times New Roman" w:eastAsia="Times New Roman" w:hAnsi="Times New Roman"/>
          <w:sz w:val="18"/>
          <w:szCs w:val="18"/>
          <w:color w:val="auto"/>
        </w:rPr>
        <w:t>The following table shows the number of securities that may be issued pursuant to our equity compensation plans (including individual compensation arrangements) as of December 31, 2014:</w:t>
      </w:r>
    </w:p>
    <w:p>
      <w:pPr>
        <w:spacing w:after="0" w:line="14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580" w:type="dxa"/>
            <w:vAlign w:val="bottom"/>
            <w:gridSpan w:val="5"/>
          </w:tcPr>
          <w:p>
            <w:pPr>
              <w:jc w:val="center"/>
              <w:ind w:left="86"/>
              <w:spacing w:after="0"/>
              <w:rPr>
                <w:sz w:val="20"/>
                <w:szCs w:val="20"/>
                <w:color w:val="auto"/>
              </w:rPr>
            </w:pPr>
            <w:r>
              <w:rPr>
                <w:rFonts w:ascii="Times New Roman" w:cs="Times New Roman" w:eastAsia="Times New Roman" w:hAnsi="Times New Roman"/>
                <w:sz w:val="14"/>
                <w:szCs w:val="14"/>
                <w:b w:val="1"/>
                <w:bCs w:val="1"/>
                <w:i w:val="1"/>
                <w:iCs w:val="1"/>
                <w:color w:val="auto"/>
                <w:w w:val="97"/>
              </w:rPr>
              <w:t>Number of securities</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Number of securities</w:t>
            </w:r>
          </w:p>
        </w:tc>
      </w:tr>
      <w:tr>
        <w:trPr>
          <w:trHeight w:val="149"/>
        </w:trPr>
        <w:tc>
          <w:tcPr>
            <w:tcW w:w="8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7"/>
              </w:rPr>
              <w:t>to be issued upon</w:t>
            </w:r>
          </w:p>
        </w:tc>
        <w:tc>
          <w:tcPr>
            <w:tcW w:w="140" w:type="dxa"/>
            <w:vAlign w:val="bottom"/>
          </w:tcPr>
          <w:p>
            <w:pPr>
              <w:spacing w:after="0"/>
              <w:rPr>
                <w:sz w:val="12"/>
                <w:szCs w:val="12"/>
                <w:color w:val="auto"/>
              </w:rPr>
            </w:pPr>
          </w:p>
        </w:tc>
        <w:tc>
          <w:tcPr>
            <w:tcW w:w="122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Weighted-average</w:t>
            </w:r>
          </w:p>
        </w:tc>
        <w:tc>
          <w:tcPr>
            <w:tcW w:w="1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remaining available</w:t>
            </w:r>
          </w:p>
        </w:tc>
      </w:tr>
      <w:tr>
        <w:trPr>
          <w:trHeight w:val="149"/>
        </w:trPr>
        <w:tc>
          <w:tcPr>
            <w:tcW w:w="8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4"/>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exercise of</w:t>
            </w:r>
          </w:p>
        </w:tc>
        <w:tc>
          <w:tcPr>
            <w:tcW w:w="140" w:type="dxa"/>
            <w:vAlign w:val="bottom"/>
          </w:tcPr>
          <w:p>
            <w:pPr>
              <w:spacing w:after="0"/>
              <w:rPr>
                <w:sz w:val="12"/>
                <w:szCs w:val="12"/>
                <w:color w:val="auto"/>
              </w:rPr>
            </w:pPr>
          </w:p>
        </w:tc>
        <w:tc>
          <w:tcPr>
            <w:tcW w:w="12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exercise price of</w:t>
            </w:r>
          </w:p>
        </w:tc>
        <w:tc>
          <w:tcPr>
            <w:tcW w:w="1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4"/>
              </w:rPr>
              <w:t>for future issuance</w:t>
            </w:r>
          </w:p>
        </w:tc>
      </w:tr>
      <w:tr>
        <w:trPr>
          <w:trHeight w:val="149"/>
        </w:trPr>
        <w:tc>
          <w:tcPr>
            <w:tcW w:w="8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80" w:type="dxa"/>
            <w:vAlign w:val="bottom"/>
            <w:gridSpan w:val="5"/>
          </w:tcPr>
          <w:p>
            <w:pPr>
              <w:jc w:val="center"/>
              <w:ind w:left="8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outstanding options,</w:t>
            </w:r>
          </w:p>
        </w:tc>
        <w:tc>
          <w:tcPr>
            <w:tcW w:w="13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outstanding options,</w:t>
            </w:r>
          </w:p>
        </w:tc>
        <w:tc>
          <w:tcPr>
            <w:tcW w:w="10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under equity</w:t>
            </w:r>
          </w:p>
        </w:tc>
      </w:tr>
      <w:tr>
        <w:trPr>
          <w:trHeight w:val="152"/>
        </w:trPr>
        <w:tc>
          <w:tcPr>
            <w:tcW w:w="45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Plan Category</w:t>
            </w:r>
          </w:p>
        </w:tc>
        <w:tc>
          <w:tcPr>
            <w:tcW w:w="320" w:type="dxa"/>
            <w:vAlign w:val="bottom"/>
          </w:tcPr>
          <w:p>
            <w:pPr>
              <w:spacing w:after="0"/>
              <w:rPr>
                <w:sz w:val="13"/>
                <w:szCs w:val="13"/>
                <w:color w:val="auto"/>
              </w:rPr>
            </w:pPr>
          </w:p>
        </w:tc>
        <w:tc>
          <w:tcPr>
            <w:tcW w:w="1260" w:type="dxa"/>
            <w:vAlign w:val="bottom"/>
            <w:gridSpan w:val="4"/>
          </w:tcPr>
          <w:p>
            <w:pPr>
              <w:jc w:val="center"/>
              <w:ind w:right="16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warrants and rights</w:t>
            </w:r>
          </w:p>
        </w:tc>
        <w:tc>
          <w:tcPr>
            <w:tcW w:w="1360" w:type="dxa"/>
            <w:vAlign w:val="bottom"/>
            <w:gridSpan w:val="5"/>
          </w:tcPr>
          <w:p>
            <w:pPr>
              <w:jc w:val="cente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warrants and rights</w:t>
            </w:r>
          </w:p>
        </w:tc>
        <w:tc>
          <w:tcPr>
            <w:tcW w:w="1380" w:type="dxa"/>
            <w:vAlign w:val="bottom"/>
            <w:gridSpan w:val="4"/>
          </w:tcPr>
          <w:p>
            <w:pPr>
              <w:jc w:val="center"/>
              <w:ind w:left="22"/>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7"/>
              </w:rPr>
              <w:t>compensation plans(1)</w:t>
            </w:r>
          </w:p>
        </w:tc>
      </w:tr>
      <w:tr>
        <w:trPr>
          <w:trHeight w:val="20"/>
        </w:trPr>
        <w:tc>
          <w:tcPr>
            <w:tcW w:w="8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45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300" w:type="dxa"/>
            <w:vAlign w:val="bottom"/>
          </w:tcPr>
          <w:p>
            <w:pPr>
              <w:spacing w:after="0"/>
              <w:rPr>
                <w:sz w:val="24"/>
                <w:szCs w:val="24"/>
                <w:color w:val="auto"/>
              </w:rPr>
            </w:pPr>
          </w:p>
        </w:tc>
      </w:tr>
      <w:tr>
        <w:trPr>
          <w:trHeight w:val="42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760" w:type="dxa"/>
            <w:vAlign w:val="bottom"/>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r>
    </w:tbl>
    <w:p>
      <w:pPr>
        <w:sectPr>
          <w:pgSz w:w="11900" w:h="16838" w:orient="portrait"/>
          <w:cols w:equalWidth="0" w:num="1">
            <w:col w:w="11420"/>
          </w:cols>
          <w:pgMar w:left="240" w:top="515" w:right="239" w:bottom="0" w:gutter="0" w:footer="0" w:header="0"/>
        </w:sectPr>
      </w:pPr>
    </w:p>
    <w:bookmarkStart w:id="22" w:name="page23"/>
    <w:bookmarkEnd w:id="22"/>
    <w:p>
      <w:pPr>
        <w:ind w:left="560"/>
        <w:spacing w:after="0"/>
        <w:tabs>
          <w:tab w:leader="none" w:pos="6260" w:val="left"/>
          <w:tab w:leader="none" w:pos="7440" w:val="left"/>
          <w:tab w:leader="none" w:pos="850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u w:val="single" w:color="auto"/>
          <w:color w:val="auto"/>
        </w:rPr>
        <w:t>557,500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-10160</wp:posOffset>
            </wp:positionV>
            <wp:extent cx="3155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-10160</wp:posOffset>
            </wp:positionV>
            <wp:extent cx="2324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241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920" w:right="1980" w:hanging="358"/>
        <w:spacing w:after="0" w:line="275"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that remain available for future issuance are issuable pursuant to the 2014 Stock Plan (500,000 shares) and the 2007 Stock Plan (57,500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2015 Annual Meeting of Stockholders to be filed with the SEC on or before April 30, 2015, or, if our proxy statement is not filed on or before April 30, 2015, will be filed by that date by an amendment to this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7" w:lineRule="exact"/>
        <w:rPr>
          <w:sz w:val="20"/>
          <w:szCs w:val="20"/>
          <w:color w:val="auto"/>
        </w:rPr>
      </w:pPr>
    </w:p>
    <w:p>
      <w:pPr>
        <w:ind w:left="540"/>
        <w:spacing w:after="0" w:line="26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our definitive proxy statement for our 2015 Annual Meeting of Stockholders to be filed with the SEC on or before April 30, 2015, or, if our proxy statement is not filed on or before April 30, 2015, will be filed by that date by an amendment to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9286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28620" cy="342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7" w:lineRule="exact"/>
        <w:rPr>
          <w:sz w:val="20"/>
          <w:szCs w:val="20"/>
          <w:color w:val="auto"/>
        </w:rPr>
      </w:pPr>
    </w:p>
    <w:p>
      <w:pPr>
        <w:ind w:left="960" w:hanging="41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filed as part of this Annual Report on Form 10-K are:</w:t>
      </w:r>
    </w:p>
    <w:p>
      <w:pPr>
        <w:spacing w:after="0" w:line="184" w:lineRule="exact"/>
        <w:rPr>
          <w:rFonts w:ascii="Times New Roman" w:cs="Times New Roman" w:eastAsia="Times New Roman" w:hAnsi="Times New Roman"/>
          <w:sz w:val="18"/>
          <w:szCs w:val="18"/>
          <w:color w:val="auto"/>
        </w:rPr>
      </w:pPr>
    </w:p>
    <w:p>
      <w:pPr>
        <w:ind w:left="1080" w:right="100" w:firstLine="8"/>
        <w:spacing w:after="0" w:line="257" w:lineRule="auto"/>
        <w:tabs>
          <w:tab w:leader="none" w:pos="146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Times New Roman" w:cs="Times New Roman" w:eastAsia="Times New Roman" w:hAnsi="Times New Roman"/>
          <w:sz w:val="18"/>
          <w:szCs w:val="18"/>
          <w:color w:val="auto"/>
        </w:rPr>
      </w:pPr>
    </w:p>
    <w:p>
      <w:pPr>
        <w:ind w:left="1480" w:hanging="392"/>
        <w:spacing w:after="0"/>
        <w:tabs>
          <w:tab w:leader="none" w:pos="148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statement schedule should be read in conjunction with the consolidated financial statements set forth in Part II, Item</w:t>
      </w:r>
    </w:p>
    <w:p>
      <w:pPr>
        <w:spacing w:after="0" w:line="32" w:lineRule="exact"/>
        <w:rPr>
          <w:rFonts w:ascii="Times New Roman" w:cs="Times New Roman" w:eastAsia="Times New Roman" w:hAnsi="Times New Roman"/>
          <w:sz w:val="16"/>
          <w:szCs w:val="16"/>
          <w:color w:val="auto"/>
        </w:rPr>
      </w:pPr>
    </w:p>
    <w:p>
      <w:pPr>
        <w:ind w:left="10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8 of this Annual Report on Form 10-K:</w:t>
      </w:r>
    </w:p>
    <w:p>
      <w:pPr>
        <w:spacing w:after="0" w:line="9" w:lineRule="exact"/>
        <w:rPr>
          <w:rFonts w:ascii="Times New Roman" w:cs="Times New Roman" w:eastAsia="Times New Roman" w:hAnsi="Times New Roman"/>
          <w:sz w:val="16"/>
          <w:szCs w:val="16"/>
          <w:color w:val="auto"/>
        </w:rPr>
      </w:pPr>
    </w:p>
    <w:p>
      <w:pPr>
        <w:ind w:left="18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Schedule II -- Valuation and Qualifying Accounts</w:t>
      </w:r>
    </w:p>
    <w:p>
      <w:pPr>
        <w:spacing w:after="0" w:line="9" w:lineRule="exact"/>
        <w:rPr>
          <w:rFonts w:ascii="Times New Roman" w:cs="Times New Roman" w:eastAsia="Times New Roman" w:hAnsi="Times New Roman"/>
          <w:sz w:val="16"/>
          <w:szCs w:val="16"/>
          <w:color w:val="auto"/>
        </w:rPr>
      </w:pPr>
    </w:p>
    <w:p>
      <w:pPr>
        <w:ind w:left="1480" w:hanging="392"/>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required by Item 601 of Regulation S-K are included under Item 15(b) of this Annual Report on Form 10-K.</w:t>
      </w:r>
    </w:p>
    <w:p>
      <w:pPr>
        <w:spacing w:after="0" w:line="172"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w:t>
      </w:r>
    </w:p>
    <w:p>
      <w:pPr>
        <w:spacing w:after="0" w:line="185" w:lineRule="exact"/>
        <w:rPr>
          <w:sz w:val="20"/>
          <w:szCs w:val="20"/>
          <w:color w:val="auto"/>
        </w:rPr>
      </w:pPr>
    </w:p>
    <w:p>
      <w:pPr>
        <w:ind w:left="1080" w:right="300"/>
        <w:spacing w:after="0" w:line="275" w:lineRule="auto"/>
        <w:rPr>
          <w:sz w:val="20"/>
          <w:szCs w:val="20"/>
          <w:color w:val="auto"/>
        </w:rPr>
      </w:pPr>
      <w:r>
        <w:rPr>
          <w:rFonts w:ascii="Times New Roman" w:cs="Times New Roman" w:eastAsia="Times New Roman" w:hAnsi="Times New Roman"/>
          <w:sz w:val="18"/>
          <w:szCs w:val="18"/>
          <w:color w:val="auto"/>
        </w:rPr>
        <w:t>A list of the Exhibits which are required by Item 601 of Regulation S-K and filed with this Report is set forth in the Exhibit Index immediately following the signature page, which Exhibit Index is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00" w:lineRule="exact"/>
        <w:rPr>
          <w:sz w:val="20"/>
          <w:szCs w:val="20"/>
          <w:color w:val="auto"/>
        </w:rPr>
      </w:pPr>
    </w:p>
    <w:p>
      <w:pPr>
        <w:spacing w:after="0" w:line="37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inTEST Corporation</w:t>
      </w:r>
    </w:p>
    <w:p>
      <w:pPr>
        <w:spacing w:after="0" w:line="25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u w:val="single" w:color="auto"/>
          <w:color w:val="auto"/>
        </w:rPr>
        <w:t>March 26, 2015</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Robert E. Matthiessen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Robert E. Matthiessen</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77"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6"/>
              </w:rPr>
              <w:t>/s/ Robert E. Matthiessen</w:t>
            </w:r>
          </w:p>
        </w:tc>
        <w:tc>
          <w:tcPr>
            <w:tcW w:w="3980" w:type="dxa"/>
            <w:vAlign w:val="bottom"/>
          </w:tcPr>
          <w:p>
            <w:pPr>
              <w:spacing w:after="0"/>
              <w:rPr>
                <w:sz w:val="18"/>
                <w:szCs w:val="18"/>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March 26, 2015</w:t>
            </w:r>
          </w:p>
        </w:tc>
      </w:tr>
      <w:tr>
        <w:trPr>
          <w:trHeight w:val="222"/>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Robert E. Matthiessen, President,</w:t>
            </w:r>
          </w:p>
        </w:tc>
        <w:tc>
          <w:tcPr>
            <w:tcW w:w="112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120" w:type="dxa"/>
            <w:vAlign w:val="bottom"/>
          </w:tcPr>
          <w:p>
            <w:pPr>
              <w:spacing w:after="0"/>
              <w:rPr>
                <w:sz w:val="18"/>
                <w:szCs w:val="18"/>
                <w:color w:val="auto"/>
              </w:rPr>
            </w:pPr>
          </w:p>
        </w:tc>
      </w:tr>
      <w:tr>
        <w:trPr>
          <w:trHeight w:val="228"/>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2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Hugh T. Regan, Jr.</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6"/>
              </w:rPr>
              <w:t>March 26, 2015</w:t>
            </w:r>
          </w:p>
        </w:tc>
      </w:tr>
      <w:tr>
        <w:trPr>
          <w:trHeight w:val="20"/>
        </w:trPr>
        <w:tc>
          <w:tcPr>
            <w:tcW w:w="1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22"/>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Hugh T. Regan, Jr., Treasurer, Chief</w:t>
            </w:r>
          </w:p>
        </w:tc>
        <w:tc>
          <w:tcPr>
            <w:tcW w:w="1120" w:type="dxa"/>
            <w:vAlign w:val="bottom"/>
          </w:tcPr>
          <w:p>
            <w:pPr>
              <w:spacing w:after="0"/>
              <w:rPr>
                <w:sz w:val="19"/>
                <w:szCs w:val="19"/>
                <w:color w:val="auto"/>
              </w:rPr>
            </w:pPr>
          </w:p>
        </w:tc>
      </w:tr>
      <w:tr>
        <w:trPr>
          <w:trHeight w:val="216"/>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Financial Officer and Secretary</w:t>
            </w:r>
          </w:p>
        </w:tc>
        <w:tc>
          <w:tcPr>
            <w:tcW w:w="1120" w:type="dxa"/>
            <w:vAlign w:val="bottom"/>
          </w:tcPr>
          <w:p>
            <w:pPr>
              <w:spacing w:after="0"/>
              <w:rPr>
                <w:sz w:val="18"/>
                <w:szCs w:val="18"/>
                <w:color w:val="auto"/>
              </w:rPr>
            </w:pPr>
          </w:p>
        </w:tc>
      </w:tr>
      <w:tr>
        <w:trPr>
          <w:trHeight w:val="228"/>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20" w:type="dxa"/>
            <w:vAlign w:val="bottom"/>
          </w:tcPr>
          <w:p>
            <w:pPr>
              <w:spacing w:after="0"/>
              <w:rPr>
                <w:sz w:val="19"/>
                <w:szCs w:val="19"/>
                <w:color w:val="auto"/>
              </w:rPr>
            </w:pPr>
          </w:p>
        </w:tc>
      </w:tr>
      <w:tr>
        <w:trPr>
          <w:trHeight w:val="596"/>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Alyn R. Holt</w:t>
            </w: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6"/>
              </w:rPr>
              <w:t>March 26, 2015</w:t>
            </w:r>
          </w:p>
        </w:tc>
      </w:tr>
      <w:tr>
        <w:trPr>
          <w:trHeight w:val="20"/>
        </w:trPr>
        <w:tc>
          <w:tcPr>
            <w:tcW w:w="1120" w:type="dxa"/>
            <w:vAlign w:val="bottom"/>
            <w:shd w:val="clear" w:color="auto" w:fill="000000"/>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5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Alyn R. Holt, Executive Chairman</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52" w:right="239" w:bottom="0" w:gutter="0" w:footer="0" w:header="0"/>
        </w:sectPr>
      </w:pPr>
    </w:p>
    <w:p>
      <w:pPr>
        <w:spacing w:after="0" w:line="206"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8"/>
          <w:szCs w:val="18"/>
          <w:u w:val="single" w:color="auto"/>
          <w:color w:val="auto"/>
        </w:rPr>
        <w:t>/s/ Steven J. Abrams</w:t>
      </w:r>
      <w:r>
        <w:rPr>
          <w:sz w:val="20"/>
          <w:szCs w:val="20"/>
          <w:color w:val="auto"/>
        </w:rPr>
        <w:tab/>
      </w:r>
      <w:r>
        <w:rPr>
          <w:rFonts w:ascii="Times New Roman" w:cs="Times New Roman" w:eastAsia="Times New Roman" w:hAnsi="Times New Roman"/>
          <w:sz w:val="16"/>
          <w:szCs w:val="16"/>
          <w:u w:val="single" w:color="auto"/>
          <w:color w:val="auto"/>
        </w:rPr>
        <w:t>March 26, 2015</w:t>
      </w:r>
    </w:p>
    <w:p>
      <w:pPr>
        <w:sectPr>
          <w:pgSz w:w="11900" w:h="16838" w:orient="portrait"/>
          <w:cols w:equalWidth="0" w:num="1">
            <w:col w:w="11420"/>
          </w:cols>
          <w:pgMar w:left="240" w:top="152" w:right="2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2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J. Abrams, Esq., Director</w:t>
            </w:r>
          </w:p>
        </w:tc>
        <w:tc>
          <w:tcPr>
            <w:tcW w:w="18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691"/>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5"/>
              </w:rPr>
              <w:t>/s/ Joseph W. Dews IV</w:t>
            </w:r>
          </w:p>
        </w:tc>
        <w:tc>
          <w:tcPr>
            <w:tcW w:w="2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March 26, 2015</w:t>
            </w:r>
          </w:p>
        </w:tc>
      </w:tr>
      <w:tr>
        <w:trPr>
          <w:trHeight w:val="235"/>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W. Dews IV, Director</w:t>
            </w:r>
          </w:p>
        </w:tc>
        <w:tc>
          <w:tcPr>
            <w:tcW w:w="1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9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William Kraut</w:t>
            </w:r>
          </w:p>
        </w:tc>
        <w:tc>
          <w:tcPr>
            <w:tcW w:w="186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6"/>
              </w:rPr>
              <w:t>March 26, 2015</w:t>
            </w:r>
          </w:p>
        </w:tc>
      </w:tr>
      <w:tr>
        <w:trPr>
          <w:trHeight w:val="20"/>
        </w:trPr>
        <w:tc>
          <w:tcPr>
            <w:tcW w:w="1220" w:type="dxa"/>
            <w:vAlign w:val="bottom"/>
            <w:shd w:val="clear" w:color="auto" w:fill="000000"/>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5"/>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Kraut, Director</w:t>
            </w:r>
          </w:p>
        </w:tc>
        <w:tc>
          <w:tcPr>
            <w:tcW w:w="18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972"/>
        </w:trPr>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980" w:type="dxa"/>
            <w:vAlign w:val="bottom"/>
            <w:gridSpan w:val="2"/>
          </w:tcPr>
          <w:p>
            <w:pPr>
              <w:jc w:val="right"/>
              <w:ind w:right="912"/>
              <w:spacing w:after="0"/>
              <w:rPr>
                <w:sz w:val="20"/>
                <w:szCs w:val="20"/>
                <w:color w:val="auto"/>
              </w:rPr>
            </w:pPr>
            <w:r>
              <w:rPr>
                <w:rFonts w:ascii="Times New Roman" w:cs="Times New Roman" w:eastAsia="Times New Roman" w:hAnsi="Times New Roman"/>
                <w:sz w:val="18"/>
                <w:szCs w:val="18"/>
                <w:color w:val="auto"/>
              </w:rPr>
              <w:t>- 31 -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22"/>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8"/>
              </w:rPr>
              <w:t>Exhibit</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r>
      <w:tr>
        <w:trPr>
          <w:trHeight w:val="152"/>
        </w:trPr>
        <w:tc>
          <w:tcPr>
            <w:tcW w:w="46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Number</w:t>
            </w:r>
          </w:p>
        </w:tc>
        <w:tc>
          <w:tcPr>
            <w:tcW w:w="240" w:type="dxa"/>
            <w:vAlign w:val="bottom"/>
          </w:tcPr>
          <w:p>
            <w:pPr>
              <w:spacing w:after="0"/>
              <w:rPr>
                <w:sz w:val="13"/>
                <w:szCs w:val="13"/>
                <w:color w:val="auto"/>
              </w:rPr>
            </w:pPr>
          </w:p>
        </w:tc>
        <w:tc>
          <w:tcPr>
            <w:tcW w:w="1240" w:type="dxa"/>
            <w:vAlign w:val="bottom"/>
            <w:tcBorders>
              <w:bottom w:val="single" w:sz="8" w:color="auto"/>
            </w:tcBorders>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5"/>
              </w:rPr>
              <w:t>Description of Exhibit</w:t>
            </w:r>
          </w:p>
        </w:tc>
        <w:tc>
          <w:tcPr>
            <w:tcW w:w="7620" w:type="dxa"/>
            <w:vAlign w:val="bottom"/>
            <w:gridSpan w:val="3"/>
          </w:tcPr>
          <w:p>
            <w:pPr>
              <w:spacing w:after="0"/>
              <w:rPr>
                <w:sz w:val="13"/>
                <w:szCs w:val="13"/>
                <w:color w:val="auto"/>
              </w:rPr>
            </w:pPr>
          </w:p>
        </w:tc>
      </w:tr>
      <w:tr>
        <w:trPr>
          <w:trHeight w:val="316"/>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Certificate of Incorporation. (1)</w:t>
            </w:r>
          </w:p>
        </w:tc>
      </w:tr>
      <w:tr>
        <w:trPr>
          <w:trHeight w:val="32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Bylaws as amended on December 5, 2013. (2)</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Agreement between Exeter 804 East Gate, LLC and the Company dated May 10, 2010. (3)</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Lease Agreement between AMB-SGP Seattle/Boston, LLC and Temptronic Corporation (a subsidiary of the Company), dated</w:t>
            </w:r>
          </w:p>
        </w:tc>
      </w:tr>
      <w:tr>
        <w:trPr>
          <w:trHeight w:val="228"/>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October 25, 2010. (4)</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Lease Agreements between Columbia California Warm Springs Industrial, LLC and inTEST Silicon Valley Corporation dated</w:t>
            </w:r>
          </w:p>
        </w:tc>
      </w:tr>
      <w:tr>
        <w:trPr>
          <w:trHeight w:val="228"/>
        </w:trPr>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January 9, 2012. (5)</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Guaranty Agreements between Columbia California Warm Springs Industrial, LLC and inTEST Corporation dated January 9,</w:t>
            </w:r>
          </w:p>
        </w:tc>
      </w:tr>
      <w:tr>
        <w:trPr>
          <w:trHeight w:val="228"/>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2012. (5)</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inTEST Corporation 2014 Stock Plan (6)(*)</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inTEST Corporation 2007 Stock Plan. (7)(*)</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Restricted Stock Grant. (8)(*)</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Stock Option Grant - Director. (8)(*)</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Stock Option Grant - Officer. (8)(*)</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of Control Agreement dated August 27, 2007 between the Company and Robert E. Matthiessen. (9)(*)</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of Control Agreement dated August 27, 2007 between the Company and Hugh T. Regan, Jr. (9)(*)</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of Control Agreement dated May 5, 2008 between the Company and Daniel J. Graham. (10)(*)</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 of Control Agreement dated May 5, 2008 between the Company and James Pelrin. (10)(*)</w:t>
            </w:r>
          </w:p>
        </w:tc>
      </w:tr>
      <w:tr>
        <w:trPr>
          <w:trHeight w:val="31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Amendment to Change of Control Agreement dated December 31, 2008 between the Company and Robert E. Matthiessen.</w:t>
            </w:r>
          </w:p>
        </w:tc>
      </w:tr>
      <w:tr>
        <w:trPr>
          <w:trHeight w:val="228"/>
        </w:trPr>
        <w:tc>
          <w:tcPr>
            <w:tcW w:w="4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(11)(*)</w:t>
            </w:r>
          </w:p>
        </w:tc>
        <w:tc>
          <w:tcPr>
            <w:tcW w:w="2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Amendment to Change of Control Agreement dated December 31, 2008 between the Company and Hugh T. Regan, Jr. (11)(*)</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Amendment to Change of Control Agreement dated December 31, 2008 between the Company and Daniel J. Graham. (11)(*)</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Change of Control Agreement dated December 31, 2008 between the Company and James Pelrin. (11)(*)</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Compensatory Arrangements of Executive Officers and Directors. (*)</w:t>
            </w:r>
          </w:p>
        </w:tc>
      </w:tr>
      <w:tr>
        <w:trPr>
          <w:trHeight w:val="32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4"/>
                <w:szCs w:val="24"/>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Code of Ethics. (12)</w:t>
            </w:r>
          </w:p>
        </w:tc>
      </w:tr>
    </w:tbl>
    <w:p>
      <w:pPr>
        <w:spacing w:after="0" w:line="96" w:lineRule="exact"/>
        <w:rPr>
          <w:sz w:val="20"/>
          <w:szCs w:val="20"/>
          <w:color w:val="auto"/>
        </w:rPr>
      </w:pPr>
    </w:p>
    <w:p>
      <w:pPr>
        <w:ind w:left="1580" w:hanging="694"/>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of the Company.</w:t>
      </w:r>
    </w:p>
    <w:p>
      <w:pPr>
        <w:spacing w:after="0" w:line="117" w:lineRule="exact"/>
        <w:rPr>
          <w:rFonts w:ascii="Times New Roman" w:cs="Times New Roman" w:eastAsia="Times New Roman" w:hAnsi="Times New Roman"/>
          <w:sz w:val="18"/>
          <w:szCs w:val="18"/>
          <w:color w:val="auto"/>
        </w:rPr>
      </w:pPr>
    </w:p>
    <w:p>
      <w:pPr>
        <w:ind w:left="1580" w:hanging="694"/>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McGladrey LLP.</w:t>
      </w:r>
    </w:p>
    <w:p>
      <w:pPr>
        <w:spacing w:after="0" w:line="11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6"/>
          <w:szCs w:val="16"/>
          <w:color w:val="auto"/>
        </w:rPr>
        <w:t>Certification of Chief Executive Officer pursuant to Rule 13a-14(a).</w:t>
      </w:r>
    </w:p>
    <w:p>
      <w:pPr>
        <w:spacing w:after="0" w:line="11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6"/>
          <w:szCs w:val="16"/>
          <w:color w:val="auto"/>
        </w:rPr>
        <w:t>Certification of Chief Financial Officer pursuant to Rule 13a-14(a).</w:t>
      </w:r>
    </w:p>
    <w:p>
      <w:pPr>
        <w:spacing w:after="0" w:line="11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6"/>
          <w:szCs w:val="16"/>
          <w:color w:val="auto"/>
        </w:rPr>
        <w:t>Certification of Chief Executive Officer pursuant to Section 906 of the Sarbanes-Oxley Act of 2002.</w:t>
      </w:r>
    </w:p>
    <w:p>
      <w:pPr>
        <w:spacing w:after="0" w:line="11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6"/>
          <w:szCs w:val="16"/>
          <w:color w:val="auto"/>
        </w:rPr>
        <w:t>Certification of Chief Financial Officer pursuant to Section 906 of the Sarbanes-Oxley Act of 2002.</w:t>
      </w:r>
    </w:p>
    <w:p>
      <w:pPr>
        <w:sectPr>
          <w:pgSz w:w="11900" w:h="16838" w:orient="portrait"/>
          <w:cols w:equalWidth="0" w:num="1">
            <w:col w:w="10440"/>
          </w:cols>
          <w:pgMar w:left="260" w:top="125" w:right="1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- 32 -</w:t>
      </w:r>
    </w:p>
    <w:p>
      <w:pPr>
        <w:sectPr>
          <w:pgSz w:w="11900" w:h="16838" w:orient="portrait"/>
          <w:cols w:equalWidth="0" w:num="1">
            <w:col w:w="10440"/>
          </w:cols>
          <w:pgMar w:left="260" w:top="125" w:right="1199" w:bottom="0" w:gutter="0" w:footer="0" w:header="0"/>
          <w:type w:val="continuous"/>
        </w:sectPr>
      </w:pPr>
    </w:p>
    <w:bookmarkStart w:id="24" w:name="page25"/>
    <w:bookmarkEnd w:id="24"/>
    <w:p>
      <w:pPr>
        <w:jc w:val="center"/>
        <w:ind w:right="-13"/>
        <w:spacing w:after="0"/>
        <w:rPr>
          <w:sz w:val="20"/>
          <w:szCs w:val="20"/>
          <w:color w:val="auto"/>
        </w:rPr>
      </w:pPr>
      <w:r>
        <w:rPr>
          <w:rFonts w:ascii="Times New Roman" w:cs="Times New Roman" w:eastAsia="Times New Roman" w:hAnsi="Times New Roman"/>
          <w:sz w:val="18"/>
          <w:szCs w:val="18"/>
          <w:b w:val="1"/>
          <w:bCs w:val="1"/>
          <w:u w:val="single" w:color="auto"/>
          <w:color w:val="auto"/>
        </w:rPr>
        <w:t>Index to Exhibits</w:t>
      </w:r>
    </w:p>
    <w:p>
      <w:pPr>
        <w:spacing w:after="0" w:line="2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(Continued)</w:t>
      </w:r>
    </w:p>
    <w:p>
      <w:pPr>
        <w:spacing w:after="0" w:line="267" w:lineRule="exact"/>
        <w:rPr>
          <w:sz w:val="20"/>
          <w:szCs w:val="20"/>
          <w:color w:val="auto"/>
        </w:rPr>
      </w:pPr>
    </w:p>
    <w:p>
      <w:pPr>
        <w:ind w:left="694" w:right="34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Registration Statement on Form S-1, File No. 333-26457 filed May 2, 1997, and incorporated herein by reference.</w:t>
      </w:r>
    </w:p>
    <w:p>
      <w:pPr>
        <w:spacing w:after="0" w:line="65" w:lineRule="exact"/>
        <w:rPr>
          <w:rFonts w:ascii="Times New Roman" w:cs="Times New Roman" w:eastAsia="Times New Roman" w:hAnsi="Times New Roman"/>
          <w:sz w:val="18"/>
          <w:szCs w:val="18"/>
          <w:color w:val="auto"/>
        </w:rPr>
      </w:pPr>
    </w:p>
    <w:p>
      <w:pPr>
        <w:ind w:left="694" w:right="2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8-K dated December 5, 2013, File No. 001-36117, filed December 9, 2013, and incorporated herein by reference.</w:t>
      </w:r>
    </w:p>
    <w:p>
      <w:pPr>
        <w:spacing w:after="0" w:line="65" w:lineRule="exact"/>
        <w:rPr>
          <w:rFonts w:ascii="Times New Roman" w:cs="Times New Roman" w:eastAsia="Times New Roman" w:hAnsi="Times New Roman"/>
          <w:sz w:val="18"/>
          <w:szCs w:val="18"/>
          <w:color w:val="auto"/>
        </w:rPr>
      </w:pPr>
    </w:p>
    <w:p>
      <w:pPr>
        <w:ind w:left="694" w:right="32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8-K dated May 10, 2010, File No. 000-22529, filed May 13, 2010, and incorporated herein by reference.</w:t>
      </w:r>
    </w:p>
    <w:p>
      <w:pPr>
        <w:spacing w:after="0" w:line="65" w:lineRule="exact"/>
        <w:rPr>
          <w:rFonts w:ascii="Times New Roman" w:cs="Times New Roman" w:eastAsia="Times New Roman" w:hAnsi="Times New Roman"/>
          <w:sz w:val="18"/>
          <w:szCs w:val="18"/>
          <w:color w:val="auto"/>
        </w:rPr>
      </w:pPr>
    </w:p>
    <w:p>
      <w:pPr>
        <w:ind w:left="694" w:right="8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8-K dated October 27, 2010, File No. 000-22529, filed October 29, 2010, and incorporated herein by reference.</w:t>
      </w:r>
    </w:p>
    <w:p>
      <w:pPr>
        <w:spacing w:after="0" w:line="65" w:lineRule="exact"/>
        <w:rPr>
          <w:rFonts w:ascii="Times New Roman" w:cs="Times New Roman" w:eastAsia="Times New Roman" w:hAnsi="Times New Roman"/>
          <w:sz w:val="18"/>
          <w:szCs w:val="18"/>
          <w:color w:val="auto"/>
        </w:rPr>
      </w:pPr>
    </w:p>
    <w:p>
      <w:pPr>
        <w:ind w:left="694" w:right="22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10-Q for the quarter ended March 31, 2012, File No. 000-22529, filed May 15, 2012, and incorporated herein by reference.</w:t>
      </w:r>
    </w:p>
    <w:p>
      <w:pPr>
        <w:spacing w:after="0" w:line="65" w:lineRule="exact"/>
        <w:rPr>
          <w:rFonts w:ascii="Times New Roman" w:cs="Times New Roman" w:eastAsia="Times New Roman" w:hAnsi="Times New Roman"/>
          <w:sz w:val="18"/>
          <w:szCs w:val="18"/>
          <w:color w:val="auto"/>
        </w:rPr>
      </w:pPr>
    </w:p>
    <w:p>
      <w:pPr>
        <w:ind w:left="694" w:hanging="694"/>
        <w:spacing w:after="0"/>
        <w:tabs>
          <w:tab w:leader="none" w:pos="69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appendix to the Company's Proxy Statement filed April 30, 2014, and incorporated herein by reference.</w:t>
      </w:r>
    </w:p>
    <w:p>
      <w:pPr>
        <w:spacing w:after="0" w:line="140" w:lineRule="exact"/>
        <w:rPr>
          <w:rFonts w:ascii="Times New Roman" w:cs="Times New Roman" w:eastAsia="Times New Roman" w:hAnsi="Times New Roman"/>
          <w:sz w:val="16"/>
          <w:szCs w:val="16"/>
          <w:color w:val="auto"/>
        </w:rPr>
      </w:pPr>
    </w:p>
    <w:p>
      <w:pPr>
        <w:ind w:left="694" w:hanging="694"/>
        <w:spacing w:after="0"/>
        <w:tabs>
          <w:tab w:leader="none" w:pos="69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 as an appendix to the Company's Proxy Statement filed April 27, 2007, and incorporated herein by reference.</w:t>
      </w:r>
    </w:p>
    <w:p>
      <w:pPr>
        <w:spacing w:after="0" w:line="140" w:lineRule="exact"/>
        <w:rPr>
          <w:rFonts w:ascii="Times New Roman" w:cs="Times New Roman" w:eastAsia="Times New Roman" w:hAnsi="Times New Roman"/>
          <w:sz w:val="16"/>
          <w:szCs w:val="16"/>
          <w:color w:val="auto"/>
        </w:rPr>
      </w:pPr>
    </w:p>
    <w:p>
      <w:pPr>
        <w:ind w:left="694" w:right="16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10-K for the year ended December 31, 2004, File No. 000-22529, filed March 31, 2005, and incorporated herein by reference.</w:t>
      </w:r>
    </w:p>
    <w:p>
      <w:pPr>
        <w:spacing w:after="0" w:line="65" w:lineRule="exact"/>
        <w:rPr>
          <w:rFonts w:ascii="Times New Roman" w:cs="Times New Roman" w:eastAsia="Times New Roman" w:hAnsi="Times New Roman"/>
          <w:sz w:val="18"/>
          <w:szCs w:val="18"/>
          <w:color w:val="auto"/>
        </w:rPr>
      </w:pPr>
    </w:p>
    <w:p>
      <w:pPr>
        <w:ind w:left="694" w:right="16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10-K for the year ended December 31, 2007, File No. 000-22529, filed March 31, 2008, and incorporated herein by reference.</w:t>
      </w:r>
    </w:p>
    <w:p>
      <w:pPr>
        <w:spacing w:after="0" w:line="65" w:lineRule="exact"/>
        <w:rPr>
          <w:rFonts w:ascii="Times New Roman" w:cs="Times New Roman" w:eastAsia="Times New Roman" w:hAnsi="Times New Roman"/>
          <w:sz w:val="18"/>
          <w:szCs w:val="18"/>
          <w:color w:val="auto"/>
        </w:rPr>
      </w:pPr>
    </w:p>
    <w:p>
      <w:pPr>
        <w:ind w:left="694"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10-Q for the quarter ended June 30, 2008, File No. 000-22529, filed August 14, 2008, and incorporated herein by reference.</w:t>
      </w:r>
    </w:p>
    <w:p>
      <w:pPr>
        <w:spacing w:after="0" w:line="65" w:lineRule="exact"/>
        <w:rPr>
          <w:rFonts w:ascii="Times New Roman" w:cs="Times New Roman" w:eastAsia="Times New Roman" w:hAnsi="Times New Roman"/>
          <w:sz w:val="18"/>
          <w:szCs w:val="18"/>
          <w:color w:val="auto"/>
        </w:rPr>
      </w:pPr>
    </w:p>
    <w:p>
      <w:pPr>
        <w:ind w:left="694"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10-Q for the quarter ended June 30, 2009, File No. 000-22529, filed August 14, 2009, and incorporated herein by reference.</w:t>
      </w:r>
    </w:p>
    <w:p>
      <w:pPr>
        <w:spacing w:after="0" w:line="65" w:lineRule="exact"/>
        <w:rPr>
          <w:rFonts w:ascii="Times New Roman" w:cs="Times New Roman" w:eastAsia="Times New Roman" w:hAnsi="Times New Roman"/>
          <w:sz w:val="18"/>
          <w:szCs w:val="18"/>
          <w:color w:val="auto"/>
        </w:rPr>
      </w:pPr>
    </w:p>
    <w:p>
      <w:pPr>
        <w:ind w:left="694" w:right="160" w:hanging="694"/>
        <w:spacing w:after="0" w:line="275" w:lineRule="auto"/>
        <w:tabs>
          <w:tab w:leader="none" w:pos="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by the Company as an exhibit to the Company's Form 10-K for the year ended December 31, 2003, File No. 000-22529, filed March 30, 2004, and incorporated herein by reference.</w:t>
      </w:r>
    </w:p>
    <w:p>
      <w:pPr>
        <w:spacing w:after="0" w:line="66" w:lineRule="exact"/>
        <w:rPr>
          <w:sz w:val="20"/>
          <w:szCs w:val="20"/>
          <w:color w:val="auto"/>
        </w:rPr>
      </w:pPr>
    </w:p>
    <w:p>
      <w:pPr>
        <w:ind w:left="694" w:right="420" w:hanging="694"/>
        <w:spacing w:after="0" w:line="275" w:lineRule="auto"/>
        <w:tabs>
          <w:tab w:leader="none" w:pos="6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contract or arrangement in which a director or executive officers participate.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25"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w:t>
      </w:r>
    </w:p>
    <w:p>
      <w:pPr>
        <w:spacing w:after="0" w:line="23"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14" w:type="dxa"/>
        <w:tblCellMar>
          <w:top w:w="0" w:type="dxa"/>
          <w:left w:w="0" w:type="dxa"/>
          <w:bottom w:w="0" w:type="dxa"/>
          <w:right w:w="0" w:type="dxa"/>
        </w:tblCellMar>
      </w:tblPr>
      <w:tr>
        <w:trPr>
          <w:trHeight w:val="207"/>
        </w:trPr>
        <w:tc>
          <w:tcPr>
            <w:tcW w:w="704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w w:val="91"/>
              </w:rPr>
              <w:t>Page</w:t>
            </w:r>
          </w:p>
        </w:tc>
      </w:tr>
      <w:tr>
        <w:trPr>
          <w:trHeight w:val="451"/>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9"/>
              </w:rPr>
              <w:t>F - 1</w:t>
            </w: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14"/>
        <w:spacing w:after="0"/>
        <w:rPr>
          <w:sz w:val="20"/>
          <w:szCs w:val="20"/>
          <w:color w:val="auto"/>
        </w:rPr>
      </w:pPr>
      <w:r>
        <w:rPr>
          <w:rFonts w:ascii="Times New Roman" w:cs="Times New Roman" w:eastAsia="Times New Roman" w:hAnsi="Times New Roman"/>
          <w:sz w:val="18"/>
          <w:szCs w:val="18"/>
          <w:color w:val="auto"/>
        </w:rPr>
        <w:t>CONSOLIDATED FINANCIAL STATEMENTS</w:t>
      </w:r>
    </w:p>
    <w:p>
      <w:pPr>
        <w:sectPr>
          <w:pgSz w:w="11900" w:h="16838" w:orient="portrait"/>
          <w:cols w:equalWidth="0" w:num="1">
            <w:col w:w="9594"/>
          </w:cols>
          <w:pgMar w:left="1146" w:top="906" w:right="1159" w:bottom="0" w:gutter="0" w:footer="0" w:header="0"/>
        </w:sectPr>
      </w:pPr>
    </w:p>
    <w:bookmarkStart w:id="25" w:name="page26"/>
    <w:bookmarkEnd w:id="25"/>
    <w:tbl>
      <w:tblPr>
        <w:tblLayout w:type="fixed"/>
        <w:tblInd w:w="1920" w:type="dxa"/>
        <w:tblCellMar>
          <w:top w:w="0" w:type="dxa"/>
          <w:left w:w="0" w:type="dxa"/>
          <w:bottom w:w="0" w:type="dxa"/>
          <w:right w:w="0" w:type="dxa"/>
        </w:tblCellMar>
      </w:tblPr>
      <w:tr>
        <w:trPr>
          <w:trHeight w:val="228"/>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as of December 31, 2014 and 2013</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- 2</w:t>
            </w:r>
          </w:p>
        </w:tc>
      </w:tr>
      <w:tr>
        <w:trPr>
          <w:trHeight w:val="39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w:t>
            </w:r>
          </w:p>
        </w:tc>
        <w:tc>
          <w:tcPr>
            <w:tcW w:w="1500" w:type="dxa"/>
            <w:vAlign w:val="bottom"/>
          </w:tcPr>
          <w:p>
            <w:pPr>
              <w:spacing w:after="0"/>
              <w:rPr>
                <w:sz w:val="24"/>
                <w:szCs w:val="24"/>
                <w:color w:val="auto"/>
              </w:rPr>
            </w:pPr>
          </w:p>
        </w:tc>
      </w:tr>
      <w:tr>
        <w:trPr>
          <w:trHeight w:val="228"/>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2014 and 2013</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- 3</w:t>
            </w:r>
          </w:p>
        </w:tc>
      </w:tr>
      <w:tr>
        <w:trPr>
          <w:trHeight w:val="39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Comprehensive Earnings for the years</w:t>
            </w:r>
          </w:p>
        </w:tc>
        <w:tc>
          <w:tcPr>
            <w:tcW w:w="1500" w:type="dxa"/>
            <w:vAlign w:val="bottom"/>
          </w:tcPr>
          <w:p>
            <w:pPr>
              <w:spacing w:after="0"/>
              <w:rPr>
                <w:sz w:val="24"/>
                <w:szCs w:val="24"/>
                <w:color w:val="auto"/>
              </w:rPr>
            </w:pPr>
          </w:p>
        </w:tc>
      </w:tr>
      <w:tr>
        <w:trPr>
          <w:trHeight w:val="228"/>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ended December 31, 2014 and 2013</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- 3</w:t>
            </w:r>
          </w:p>
        </w:tc>
      </w:tr>
      <w:tr>
        <w:trPr>
          <w:trHeight w:val="39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w:t>
            </w:r>
          </w:p>
        </w:tc>
        <w:tc>
          <w:tcPr>
            <w:tcW w:w="1500" w:type="dxa"/>
            <w:vAlign w:val="bottom"/>
          </w:tcPr>
          <w:p>
            <w:pPr>
              <w:spacing w:after="0"/>
              <w:rPr>
                <w:sz w:val="24"/>
                <w:szCs w:val="24"/>
                <w:color w:val="auto"/>
              </w:rPr>
            </w:pPr>
          </w:p>
        </w:tc>
      </w:tr>
      <w:tr>
        <w:trPr>
          <w:trHeight w:val="228"/>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ended December 31, 2014 and 2013</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- 4</w:t>
            </w:r>
          </w:p>
        </w:tc>
      </w:tr>
      <w:tr>
        <w:trPr>
          <w:trHeight w:val="393"/>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w:t>
            </w:r>
          </w:p>
        </w:tc>
        <w:tc>
          <w:tcPr>
            <w:tcW w:w="1500" w:type="dxa"/>
            <w:vAlign w:val="bottom"/>
          </w:tcPr>
          <w:p>
            <w:pPr>
              <w:spacing w:after="0"/>
              <w:rPr>
                <w:sz w:val="24"/>
                <w:szCs w:val="24"/>
                <w:color w:val="auto"/>
              </w:rPr>
            </w:pPr>
          </w:p>
        </w:tc>
      </w:tr>
      <w:tr>
        <w:trPr>
          <w:trHeight w:val="228"/>
        </w:trPr>
        <w:tc>
          <w:tcPr>
            <w:tcW w:w="5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December 31, 2014 and 2013</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- 5</w:t>
            </w:r>
          </w:p>
        </w:tc>
      </w:tr>
      <w:tr>
        <w:trPr>
          <w:trHeight w:val="405"/>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9"/>
              </w:rPr>
              <w:t>F - 6</w:t>
            </w:r>
          </w:p>
        </w:tc>
      </w:tr>
      <w:tr>
        <w:trPr>
          <w:trHeight w:val="405"/>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500" w:type="dxa"/>
            <w:vAlign w:val="bottom"/>
          </w:tcPr>
          <w:p>
            <w:pPr>
              <w:spacing w:after="0"/>
              <w:rPr>
                <w:sz w:val="24"/>
                <w:szCs w:val="24"/>
                <w:color w:val="auto"/>
              </w:rPr>
            </w:pPr>
          </w:p>
        </w:tc>
      </w:tr>
      <w:tr>
        <w:trPr>
          <w:trHeight w:val="432"/>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tc>
        <w:tc>
          <w:tcPr>
            <w:tcW w:w="1500" w:type="dxa"/>
            <w:vAlign w:val="bottom"/>
          </w:tcPr>
          <w:p>
            <w:pPr>
              <w:jc w:val="center"/>
              <w:ind w:left="992"/>
              <w:spacing w:after="0"/>
              <w:rPr>
                <w:sz w:val="20"/>
                <w:szCs w:val="20"/>
                <w:color w:val="auto"/>
              </w:rPr>
            </w:pPr>
            <w:r>
              <w:rPr>
                <w:rFonts w:ascii="Times New Roman" w:cs="Times New Roman" w:eastAsia="Times New Roman" w:hAnsi="Times New Roman"/>
                <w:sz w:val="18"/>
                <w:szCs w:val="18"/>
                <w:color w:val="auto"/>
                <w:w w:val="97"/>
              </w:rPr>
              <w:t>F - 21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inTEST Corporation and subsidiaries as of December 31, 2014 and 2013, and the related consolidated statements of operations, comprehensive earnings, stockholders' equity, and cash flows for the years then ended. Our audits also included the financial statement schedule of inTEST Corporation listed in Item 15(a). These financial statements and financial statement schedule are the responsibility of the Company's management. Our responsibility is to express an opinion on these financial statements and schedule based on our audits.</w:t>
      </w:r>
    </w:p>
    <w:p>
      <w:pPr>
        <w:spacing w:after="0" w:line="190"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inTEST Corporation and subsidiaries as of December 31, 2014 and 2013, and the results of their operations and their cash flows for the years then ended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w:t>
      </w:r>
    </w:p>
    <w:p>
      <w:pPr>
        <w:sectPr>
          <w:pgSz w:w="11900" w:h="16838" w:orient="portrait"/>
          <w:cols w:equalWidth="0" w:num="1">
            <w:col w:w="11360"/>
          </w:cols>
          <w:pgMar w:left="240" w:top="152"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McGLADREY LLP</w:t>
      </w:r>
    </w:p>
    <w:p>
      <w:pPr>
        <w:sectPr>
          <w:pgSz w:w="11900" w:h="16838" w:orient="portrait"/>
          <w:cols w:equalWidth="0" w:num="1">
            <w:col w:w="11360"/>
          </w:cols>
          <w:pgMar w:left="240" w:top="152" w:right="299" w:bottom="0" w:gutter="0" w:footer="0" w:header="0"/>
          <w:type w:val="continuous"/>
        </w:sectPr>
      </w:pPr>
    </w:p>
    <w:bookmarkStart w:id="26" w:name="page27"/>
    <w:bookmarkEnd w:id="26"/>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 Bell, Pennsylvania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6"/>
          </w:tcPr>
          <w:p>
            <w:pPr>
              <w:jc w:val="right"/>
              <w:ind w:right="420"/>
              <w:spacing w:after="0"/>
              <w:rPr>
                <w:sz w:val="20"/>
                <w:szCs w:val="20"/>
                <w:color w:val="auto"/>
              </w:rPr>
            </w:pPr>
            <w:r>
              <w:rPr>
                <w:rFonts w:ascii="Courier New" w:cs="Courier New" w:eastAsia="Courier New" w:hAnsi="Courier New"/>
                <w:sz w:val="18"/>
                <w:szCs w:val="18"/>
                <w:color w:val="auto"/>
              </w:rPr>
              <w:t>December 31,</w:t>
            </w:r>
          </w:p>
        </w:tc>
        <w:tc>
          <w:tcPr>
            <w:tcW w:w="0" w:type="dxa"/>
            <w:vAlign w:val="bottom"/>
          </w:tcPr>
          <w:p>
            <w:pPr>
              <w:spacing w:after="0"/>
              <w:rPr>
                <w:sz w:val="1"/>
                <w:szCs w:val="1"/>
                <w:color w:val="auto"/>
              </w:rPr>
            </w:pPr>
          </w:p>
        </w:tc>
      </w:tr>
      <w:tr>
        <w:trPr>
          <w:trHeight w:val="203"/>
        </w:trPr>
        <w:tc>
          <w:tcPr>
            <w:tcW w:w="6960" w:type="dxa"/>
            <w:vAlign w:val="bottom"/>
          </w:tcPr>
          <w:p>
            <w:pPr>
              <w:spacing w:after="0"/>
              <w:rPr>
                <w:sz w:val="17"/>
                <w:szCs w:val="17"/>
                <w:color w:val="auto"/>
              </w:rPr>
            </w:pPr>
          </w:p>
        </w:tc>
        <w:tc>
          <w:tcPr>
            <w:tcW w:w="22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60" w:type="dxa"/>
            <w:vAlign w:val="bottom"/>
            <w:vMerge w:val="restart"/>
          </w:tcPr>
          <w:p>
            <w:pPr>
              <w:spacing w:after="0"/>
              <w:rPr>
                <w:sz w:val="20"/>
                <w:szCs w:val="20"/>
                <w:color w:val="auto"/>
              </w:rPr>
            </w:pPr>
            <w:r>
              <w:rPr>
                <w:rFonts w:ascii="Courier New" w:cs="Courier New" w:eastAsia="Courier New" w:hAnsi="Courier New"/>
                <w:sz w:val="18"/>
                <w:szCs w:val="18"/>
                <w:color w:val="auto"/>
              </w:rPr>
              <w:t>ASSETS:</w:t>
            </w:r>
          </w:p>
        </w:tc>
        <w:tc>
          <w:tcPr>
            <w:tcW w:w="9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2014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vMerge w:val="continue"/>
          </w:tcPr>
          <w:p>
            <w:pPr>
              <w:spacing w:after="0"/>
              <w:rPr>
                <w:sz w:val="17"/>
                <w:szCs w:val="17"/>
                <w:color w:val="auto"/>
              </w:rPr>
            </w:pPr>
          </w:p>
        </w:tc>
        <w:tc>
          <w:tcPr>
            <w:tcW w:w="1220" w:type="dxa"/>
            <w:vAlign w:val="bottom"/>
            <w:gridSpan w:val="4"/>
          </w:tcPr>
          <w:p>
            <w:pPr>
              <w:jc w:val="right"/>
              <w:ind w:righ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$23,126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$19,018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Trade accounts receivable, net of allowance for</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5,034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5,748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doubtful accounts of $146 and $147, respectively</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3,769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tax assets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701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Prepaid expenses and other current assets</w:t>
            </w:r>
          </w:p>
        </w:tc>
        <w:tc>
          <w:tcPr>
            <w:tcW w:w="960" w:type="dxa"/>
            <w:vAlign w:val="bottom"/>
            <w:gridSpan w:val="3"/>
          </w:tcPr>
          <w:p>
            <w:pPr>
              <w:jc w:val="right"/>
              <w:ind w:right="20"/>
              <w:spacing w:after="0" w:line="192" w:lineRule="exact"/>
              <w:rPr>
                <w:sz w:val="20"/>
                <w:szCs w:val="20"/>
                <w:color w:val="auto"/>
              </w:rPr>
            </w:pPr>
            <w:r>
              <w:rPr>
                <w:rFonts w:ascii="Courier New" w:cs="Courier New" w:eastAsia="Courier New" w:hAnsi="Courier New"/>
                <w:sz w:val="18"/>
                <w:szCs w:val="18"/>
                <w:color w:val="auto"/>
              </w:rPr>
              <w:t>473</w:t>
            </w:r>
          </w:p>
        </w:tc>
        <w:tc>
          <w:tcPr>
            <w:tcW w:w="260" w:type="dxa"/>
            <w:vAlign w:val="bottom"/>
          </w:tcPr>
          <w:p>
            <w:pPr>
              <w:spacing w:after="0"/>
              <w:rPr>
                <w:sz w:val="16"/>
                <w:szCs w:val="16"/>
                <w:color w:val="auto"/>
              </w:rPr>
            </w:pPr>
          </w:p>
        </w:tc>
        <w:tc>
          <w:tcPr>
            <w:tcW w:w="100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371</w:t>
            </w:r>
          </w:p>
        </w:tc>
        <w:tc>
          <w:tcPr>
            <w:tcW w:w="0" w:type="dxa"/>
            <w:vAlign w:val="bottom"/>
          </w:tcPr>
          <w:p>
            <w:pPr>
              <w:spacing w:after="0"/>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32,931</w:t>
            </w:r>
          </w:p>
        </w:tc>
        <w:tc>
          <w:tcPr>
            <w:tcW w:w="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29,081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960" w:type="dxa"/>
            <w:vAlign w:val="bottom"/>
          </w:tcPr>
          <w:p>
            <w:pPr>
              <w:spacing w:after="0" w:line="193" w:lineRule="exact"/>
              <w:rPr>
                <w:sz w:val="20"/>
                <w:szCs w:val="20"/>
                <w:color w:val="auto"/>
              </w:rPr>
            </w:pPr>
            <w:r>
              <w:rPr>
                <w:rFonts w:ascii="Courier New" w:cs="Courier New" w:eastAsia="Courier New" w:hAnsi="Courier New"/>
                <w:sz w:val="18"/>
                <w:szCs w:val="18"/>
                <w:color w:val="auto"/>
              </w:rPr>
              <w:t>Property and equipment:</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4,322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4,190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Leasehold improvements</w:t>
            </w:r>
          </w:p>
        </w:tc>
        <w:tc>
          <w:tcPr>
            <w:tcW w:w="960" w:type="dxa"/>
            <w:vAlign w:val="bottom"/>
            <w:gridSpan w:val="3"/>
          </w:tcPr>
          <w:p>
            <w:pPr>
              <w:jc w:val="right"/>
              <w:ind w:right="20"/>
              <w:spacing w:after="0" w:line="192" w:lineRule="exact"/>
              <w:rPr>
                <w:sz w:val="20"/>
                <w:szCs w:val="20"/>
                <w:color w:val="auto"/>
              </w:rPr>
            </w:pPr>
            <w:r>
              <w:rPr>
                <w:rFonts w:ascii="Courier New" w:cs="Courier New" w:eastAsia="Courier New" w:hAnsi="Courier New"/>
                <w:sz w:val="18"/>
                <w:szCs w:val="18"/>
                <w:color w:val="auto"/>
              </w:rPr>
              <w:t>593</w:t>
            </w:r>
          </w:p>
        </w:tc>
        <w:tc>
          <w:tcPr>
            <w:tcW w:w="260" w:type="dxa"/>
            <w:vAlign w:val="bottom"/>
          </w:tcPr>
          <w:p>
            <w:pPr>
              <w:spacing w:after="0"/>
              <w:rPr>
                <w:sz w:val="16"/>
                <w:szCs w:val="16"/>
                <w:color w:val="auto"/>
              </w:rPr>
            </w:pPr>
          </w:p>
        </w:tc>
        <w:tc>
          <w:tcPr>
            <w:tcW w:w="100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594</w:t>
            </w:r>
          </w:p>
        </w:tc>
        <w:tc>
          <w:tcPr>
            <w:tcW w:w="0" w:type="dxa"/>
            <w:vAlign w:val="bottom"/>
          </w:tcPr>
          <w:p>
            <w:pPr>
              <w:spacing w:after="0"/>
              <w:rPr>
                <w:sz w:val="1"/>
                <w:szCs w:val="1"/>
                <w:color w:val="auto"/>
              </w:rPr>
            </w:pPr>
          </w:p>
        </w:tc>
      </w:tr>
      <w:tr>
        <w:trPr>
          <w:trHeight w:val="193"/>
        </w:trPr>
        <w:tc>
          <w:tcPr>
            <w:tcW w:w="6960" w:type="dxa"/>
            <w:vAlign w:val="bottom"/>
          </w:tcPr>
          <w:p>
            <w:pPr>
              <w:ind w:left="540"/>
              <w:spacing w:after="0" w:line="193" w:lineRule="exact"/>
              <w:rPr>
                <w:sz w:val="20"/>
                <w:szCs w:val="20"/>
                <w:color w:val="auto"/>
              </w:rPr>
            </w:pPr>
            <w:r>
              <w:rPr>
                <w:rFonts w:ascii="Courier New" w:cs="Courier New" w:eastAsia="Courier New" w:hAnsi="Courier New"/>
                <w:sz w:val="18"/>
                <w:szCs w:val="18"/>
                <w:color w:val="auto"/>
              </w:rPr>
              <w:t>Gross property and equipment</w:t>
            </w: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Courier New" w:cs="Courier New" w:eastAsia="Courier New" w:hAnsi="Courier New"/>
                <w:sz w:val="18"/>
                <w:szCs w:val="18"/>
                <w:color w:val="auto"/>
              </w:rPr>
              <w:t>4,915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Courier New" w:cs="Courier New" w:eastAsia="Courier New" w:hAnsi="Courier New"/>
                <w:sz w:val="18"/>
                <w:szCs w:val="18"/>
                <w:color w:val="auto"/>
              </w:rPr>
              <w:t>4,784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Less: accumulated depreciation</w:t>
            </w:r>
          </w:p>
        </w:tc>
        <w:tc>
          <w:tcPr>
            <w:tcW w:w="1220" w:type="dxa"/>
            <w:vAlign w:val="bottom"/>
            <w:gridSpan w:val="4"/>
          </w:tcPr>
          <w:p>
            <w:pPr>
              <w:jc w:val="right"/>
              <w:ind w:right="160"/>
              <w:spacing w:after="0" w:line="192" w:lineRule="exact"/>
              <w:rPr>
                <w:sz w:val="20"/>
                <w:szCs w:val="20"/>
                <w:color w:val="auto"/>
              </w:rPr>
            </w:pPr>
            <w:r>
              <w:rPr>
                <w:rFonts w:ascii="Courier New" w:cs="Courier New" w:eastAsia="Courier New" w:hAnsi="Courier New"/>
                <w:sz w:val="18"/>
                <w:szCs w:val="18"/>
                <w:color w:val="auto"/>
              </w:rPr>
              <w:t>(3,647)</w:t>
            </w:r>
          </w:p>
        </w:tc>
        <w:tc>
          <w:tcPr>
            <w:tcW w:w="1000" w:type="dxa"/>
            <w:vAlign w:val="bottom"/>
            <w:gridSpan w:val="3"/>
          </w:tcPr>
          <w:p>
            <w:pPr>
              <w:jc w:val="right"/>
              <w:spacing w:after="0" w:line="192" w:lineRule="exact"/>
              <w:rPr>
                <w:sz w:val="20"/>
                <w:szCs w:val="20"/>
                <w:color w:val="auto"/>
              </w:rPr>
            </w:pPr>
            <w:r>
              <w:rPr>
                <w:rFonts w:ascii="Courier New" w:cs="Courier New" w:eastAsia="Courier New" w:hAnsi="Courier New"/>
                <w:sz w:val="18"/>
                <w:szCs w:val="18"/>
                <w:color w:val="auto"/>
              </w:rPr>
              <w:t>(3,530)</w:t>
            </w:r>
          </w:p>
        </w:tc>
        <w:tc>
          <w:tcPr>
            <w:tcW w:w="0" w:type="dxa"/>
            <w:vAlign w:val="bottom"/>
          </w:tcPr>
          <w:p>
            <w:pPr>
              <w:spacing w:after="0"/>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Net property and equipment</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1,268</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1,254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696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884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Restricted certificates of deposit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350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60" w:type="dxa"/>
            <w:vAlign w:val="bottom"/>
          </w:tcPr>
          <w:p>
            <w:pPr>
              <w:spacing w:after="0" w:line="192" w:lineRule="exact"/>
              <w:rPr>
                <w:sz w:val="20"/>
                <w:szCs w:val="20"/>
                <w:color w:val="auto"/>
              </w:rPr>
            </w:pPr>
            <w:r>
              <w:rPr>
                <w:rFonts w:ascii="Courier New" w:cs="Courier New" w:eastAsia="Courier New" w:hAnsi="Courier New"/>
                <w:sz w:val="18"/>
                <w:szCs w:val="18"/>
                <w:color w:val="auto"/>
              </w:rPr>
              <w:t>Other assets</w:t>
            </w:r>
          </w:p>
        </w:tc>
        <w:tc>
          <w:tcPr>
            <w:tcW w:w="960" w:type="dxa"/>
            <w:vAlign w:val="bottom"/>
            <w:gridSpan w:val="3"/>
          </w:tcPr>
          <w:p>
            <w:pPr>
              <w:jc w:val="right"/>
              <w:ind w:right="20"/>
              <w:spacing w:after="0" w:line="192" w:lineRule="exact"/>
              <w:rPr>
                <w:sz w:val="20"/>
                <w:szCs w:val="20"/>
                <w:color w:val="auto"/>
              </w:rPr>
            </w:pPr>
            <w:r>
              <w:rPr>
                <w:rFonts w:ascii="Courier New" w:cs="Courier New" w:eastAsia="Courier New" w:hAnsi="Courier New"/>
                <w:sz w:val="18"/>
                <w:szCs w:val="18"/>
                <w:color w:val="auto"/>
              </w:rPr>
              <w:t>206</w:t>
            </w:r>
          </w:p>
        </w:tc>
        <w:tc>
          <w:tcPr>
            <w:tcW w:w="260" w:type="dxa"/>
            <w:vAlign w:val="bottom"/>
          </w:tcPr>
          <w:p>
            <w:pPr>
              <w:spacing w:after="0"/>
              <w:rPr>
                <w:sz w:val="16"/>
                <w:szCs w:val="16"/>
                <w:color w:val="auto"/>
              </w:rPr>
            </w:pPr>
          </w:p>
        </w:tc>
        <w:tc>
          <w:tcPr>
            <w:tcW w:w="100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212</w:t>
            </w:r>
          </w:p>
        </w:tc>
        <w:tc>
          <w:tcPr>
            <w:tcW w:w="0" w:type="dxa"/>
            <w:vAlign w:val="bottom"/>
          </w:tcPr>
          <w:p>
            <w:pPr>
              <w:spacing w:after="0"/>
              <w:rPr>
                <w:sz w:val="1"/>
                <w:szCs w:val="1"/>
                <w:color w:val="auto"/>
              </w:rPr>
            </w:pPr>
          </w:p>
        </w:tc>
      </w:tr>
      <w:tr>
        <w:trPr>
          <w:trHeight w:val="193"/>
        </w:trPr>
        <w:tc>
          <w:tcPr>
            <w:tcW w:w="6960" w:type="dxa"/>
            <w:vAlign w:val="bottom"/>
          </w:tcPr>
          <w:p>
            <w:pPr>
              <w:ind w:left="540"/>
              <w:spacing w:after="0" w:line="19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Courier New" w:cs="Courier New" w:eastAsia="Courier New" w:hAnsi="Courier New"/>
                <w:sz w:val="18"/>
                <w:szCs w:val="18"/>
                <w:color w:val="auto"/>
                <w:w w:val="92"/>
              </w:rPr>
              <w:t>$38,738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line="193" w:lineRule="exact"/>
              <w:rPr>
                <w:sz w:val="20"/>
                <w:szCs w:val="20"/>
                <w:color w:val="auto"/>
              </w:rPr>
            </w:pPr>
            <w:r>
              <w:rPr>
                <w:rFonts w:ascii="Courier New" w:cs="Courier New" w:eastAsia="Courier New" w:hAnsi="Courier New"/>
                <w:sz w:val="18"/>
                <w:szCs w:val="18"/>
                <w:color w:val="auto"/>
                <w:w w:val="92"/>
              </w:rPr>
              <w:t>$35,481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6960" w:type="dxa"/>
            <w:vAlign w:val="bottom"/>
            <w:vMerge w:val="restart"/>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69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$ 1,234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$ 1,064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wages and benefits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professional fees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sales commissions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and foreign income taxes payable</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rPr>
              <w:t>Other current liabilities</w:t>
            </w:r>
          </w:p>
        </w:tc>
        <w:tc>
          <w:tcPr>
            <w:tcW w:w="960" w:type="dxa"/>
            <w:vAlign w:val="bottom"/>
            <w:gridSpan w:val="3"/>
          </w:tcPr>
          <w:p>
            <w:pPr>
              <w:jc w:val="right"/>
              <w:ind w:right="20"/>
              <w:spacing w:after="0" w:line="192" w:lineRule="exact"/>
              <w:rPr>
                <w:sz w:val="20"/>
                <w:szCs w:val="20"/>
                <w:color w:val="auto"/>
              </w:rPr>
            </w:pPr>
            <w:r>
              <w:rPr>
                <w:rFonts w:ascii="Courier New" w:cs="Courier New" w:eastAsia="Courier New" w:hAnsi="Courier New"/>
                <w:sz w:val="18"/>
                <w:szCs w:val="18"/>
                <w:color w:val="auto"/>
              </w:rPr>
              <w:t>253</w:t>
            </w:r>
          </w:p>
        </w:tc>
        <w:tc>
          <w:tcPr>
            <w:tcW w:w="260" w:type="dxa"/>
            <w:vAlign w:val="bottom"/>
          </w:tcPr>
          <w:p>
            <w:pPr>
              <w:spacing w:after="0"/>
              <w:rPr>
                <w:sz w:val="16"/>
                <w:szCs w:val="16"/>
                <w:color w:val="auto"/>
              </w:rPr>
            </w:pPr>
          </w:p>
        </w:tc>
        <w:tc>
          <w:tcPr>
            <w:tcW w:w="100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301</w:t>
            </w:r>
          </w:p>
        </w:tc>
        <w:tc>
          <w:tcPr>
            <w:tcW w:w="0" w:type="dxa"/>
            <w:vAlign w:val="bottom"/>
          </w:tcPr>
          <w:p>
            <w:pPr>
              <w:spacing w:after="0"/>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current liabilities</w:t>
            </w:r>
          </w:p>
        </w:tc>
        <w:tc>
          <w:tcPr>
            <w:tcW w:w="220" w:type="dxa"/>
            <w:vAlign w:val="bottom"/>
          </w:tcPr>
          <w:p>
            <w:pPr>
              <w:spacing w:after="0"/>
              <w:rPr>
                <w:sz w:val="15"/>
                <w:szCs w:val="15"/>
                <w:color w:val="auto"/>
              </w:rPr>
            </w:pPr>
          </w:p>
        </w:tc>
        <w:tc>
          <w:tcPr>
            <w:tcW w:w="740" w:type="dxa"/>
            <w:vAlign w:val="bottom"/>
            <w:tcBorders>
              <w:top w:val="single" w:sz="8" w:color="auto"/>
            </w:tcBorders>
            <w:gridSpan w:val="2"/>
          </w:tcPr>
          <w:p>
            <w:pPr>
              <w:jc w:val="right"/>
              <w:ind w:right="20"/>
              <w:spacing w:after="0" w:line="182" w:lineRule="exact"/>
              <w:rPr>
                <w:sz w:val="20"/>
                <w:szCs w:val="20"/>
                <w:color w:val="auto"/>
              </w:rPr>
            </w:pPr>
            <w:r>
              <w:rPr>
                <w:rFonts w:ascii="Courier New" w:cs="Courier New" w:eastAsia="Courier New" w:hAnsi="Courier New"/>
                <w:sz w:val="18"/>
                <w:szCs w:val="18"/>
                <w:color w:val="auto"/>
              </w:rPr>
              <w:t>4,370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4,332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0"/>
        </w:trPr>
        <w:tc>
          <w:tcPr>
            <w:tcW w:w="6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 (Notes 9 and 11)</w:t>
            </w: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 value; 5,000,000 shares authorized;</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no shares issued or outstanding</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 value; 20,000,000 shares authorized;</w:t>
            </w:r>
          </w:p>
        </w:tc>
        <w:tc>
          <w:tcPr>
            <w:tcW w:w="9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106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10,595,755 and 10,590,755 shares issued, respectively</w:t>
            </w:r>
          </w:p>
        </w:tc>
        <w:tc>
          <w:tcPr>
            <w:tcW w:w="9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26,321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26,187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7,152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3,713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other comprehensive earnings</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993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960" w:type="dxa"/>
            <w:vAlign w:val="bottom"/>
          </w:tcPr>
          <w:p>
            <w:pPr>
              <w:ind w:left="220"/>
              <w:spacing w:after="0" w:line="192" w:lineRule="exact"/>
              <w:rPr>
                <w:sz w:val="20"/>
                <w:szCs w:val="20"/>
                <w:color w:val="auto"/>
              </w:rPr>
            </w:pPr>
            <w:r>
              <w:rPr>
                <w:rFonts w:ascii="Courier New" w:cs="Courier New" w:eastAsia="Courier New" w:hAnsi="Courier New"/>
                <w:sz w:val="18"/>
                <w:szCs w:val="18"/>
                <w:color w:val="auto"/>
                <w:w w:val="98"/>
              </w:rPr>
              <w:t>Treasury stock, at cost; 33,077 and 33,077 shares, respectively</w:t>
            </w:r>
          </w:p>
        </w:tc>
        <w:tc>
          <w:tcPr>
            <w:tcW w:w="1220" w:type="dxa"/>
            <w:vAlign w:val="bottom"/>
            <w:gridSpan w:val="4"/>
          </w:tcPr>
          <w:p>
            <w:pPr>
              <w:jc w:val="right"/>
              <w:ind w:right="160"/>
              <w:spacing w:after="0" w:line="192" w:lineRule="exact"/>
              <w:rPr>
                <w:sz w:val="20"/>
                <w:szCs w:val="20"/>
                <w:color w:val="auto"/>
              </w:rPr>
            </w:pPr>
            <w:r>
              <w:rPr>
                <w:rFonts w:ascii="Courier New" w:cs="Courier New" w:eastAsia="Courier New" w:hAnsi="Courier New"/>
                <w:sz w:val="18"/>
                <w:szCs w:val="18"/>
                <w:color w:val="auto"/>
              </w:rPr>
              <w:t>(204)</w:t>
            </w:r>
          </w:p>
        </w:tc>
        <w:tc>
          <w:tcPr>
            <w:tcW w:w="1000" w:type="dxa"/>
            <w:vAlign w:val="bottom"/>
            <w:gridSpan w:val="3"/>
          </w:tcPr>
          <w:p>
            <w:pPr>
              <w:jc w:val="right"/>
              <w:spacing w:after="0" w:line="192" w:lineRule="exact"/>
              <w:rPr>
                <w:sz w:val="20"/>
                <w:szCs w:val="20"/>
                <w:color w:val="auto"/>
              </w:rPr>
            </w:pPr>
            <w:r>
              <w:rPr>
                <w:rFonts w:ascii="Courier New" w:cs="Courier New" w:eastAsia="Courier New" w:hAnsi="Courier New"/>
                <w:sz w:val="18"/>
                <w:szCs w:val="18"/>
                <w:color w:val="auto"/>
              </w:rPr>
              <w:t>(204)</w:t>
            </w:r>
          </w:p>
        </w:tc>
        <w:tc>
          <w:tcPr>
            <w:tcW w:w="0" w:type="dxa"/>
            <w:vAlign w:val="bottom"/>
          </w:tcPr>
          <w:p>
            <w:pPr>
              <w:spacing w:after="0"/>
              <w:rPr>
                <w:sz w:val="1"/>
                <w:szCs w:val="1"/>
                <w:color w:val="auto"/>
              </w:rPr>
            </w:pPr>
          </w:p>
        </w:tc>
      </w:tr>
      <w:tr>
        <w:trPr>
          <w:trHeight w:val="183"/>
        </w:trPr>
        <w:tc>
          <w:tcPr>
            <w:tcW w:w="6960" w:type="dxa"/>
            <w:vAlign w:val="bottom"/>
          </w:tcPr>
          <w:p>
            <w:pPr>
              <w:ind w:left="540"/>
              <w:spacing w:after="0" w:line="182" w:lineRule="exact"/>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34,368</w:t>
            </w:r>
          </w:p>
        </w:tc>
        <w:tc>
          <w:tcPr>
            <w:tcW w:w="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31,149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6960" w:type="dxa"/>
            <w:vAlign w:val="bottom"/>
          </w:tcPr>
          <w:p>
            <w:pPr>
              <w:ind w:left="54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$38,738</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$35,481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96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 - 2</w:t>
      </w:r>
    </w:p>
    <w:p>
      <w:pPr>
        <w:spacing w:after="0" w:line="200" w:lineRule="exact"/>
        <w:rPr>
          <w:sz w:val="20"/>
          <w:szCs w:val="20"/>
          <w:color w:val="auto"/>
        </w:rPr>
      </w:pPr>
    </w:p>
    <w:p>
      <w:pPr>
        <w:spacing w:after="0" w:line="374"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ectPr>
          <w:pgSz w:w="11900" w:h="16873" w:orient="portrait"/>
          <w:cols w:equalWidth="0" w:num="1">
            <w:col w:w="10219"/>
          </w:cols>
          <w:pgMar w:left="240" w:top="908" w:right="1440" w:bottom="0" w:gutter="0" w:footer="0" w:header="0"/>
        </w:sectPr>
      </w:pPr>
    </w:p>
    <w:bookmarkStart w:id="27" w:name="page28"/>
    <w:bookmarkEnd w:id="27"/>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gridSpan w:val="5"/>
          </w:tcPr>
          <w:p>
            <w:pPr>
              <w:jc w:val="center"/>
              <w:ind w:left="3832"/>
              <w:spacing w:after="0"/>
              <w:rPr>
                <w:sz w:val="20"/>
                <w:szCs w:val="20"/>
                <w:color w:val="auto"/>
              </w:rPr>
            </w:pPr>
            <w:r>
              <w:rPr>
                <w:rFonts w:ascii="Times New Roman" w:cs="Times New Roman" w:eastAsia="Times New Roman" w:hAnsi="Times New Roman"/>
                <w:sz w:val="18"/>
                <w:szCs w:val="18"/>
                <w:color w:val="auto"/>
                <w:w w:val="97"/>
              </w:rPr>
              <w:t>(In thousands, except share and per share data)</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3720" w:type="dxa"/>
            <w:vAlign w:val="bottom"/>
            <w:gridSpan w:val="7"/>
          </w:tcPr>
          <w:p>
            <w:pPr>
              <w:ind w:left="1080"/>
              <w:spacing w:after="0"/>
              <w:rPr>
                <w:sz w:val="20"/>
                <w:szCs w:val="20"/>
                <w:color w:val="auto"/>
              </w:rPr>
            </w:pPr>
            <w:r>
              <w:rPr>
                <w:rFonts w:ascii="Courier New" w:cs="Courier New" w:eastAsia="Courier New" w:hAnsi="Courier New"/>
                <w:sz w:val="18"/>
                <w:szCs w:val="18"/>
                <w:color w:val="auto"/>
              </w:rPr>
              <w:t>Years Ended December 31,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6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660" w:type="dxa"/>
            <w:vAlign w:val="bottom"/>
          </w:tcPr>
          <w:p>
            <w:pPr>
              <w:spacing w:after="0"/>
              <w:rPr>
                <w:sz w:val="17"/>
                <w:szCs w:val="17"/>
                <w:color w:val="auto"/>
              </w:rPr>
            </w:pP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vMerge w:val="restart"/>
          </w:tcPr>
          <w:p>
            <w:pPr>
              <w:spacing w:after="0"/>
              <w:rPr>
                <w:sz w:val="20"/>
                <w:szCs w:val="20"/>
                <w:color w:val="auto"/>
              </w:rPr>
            </w:pPr>
            <w:r>
              <w:rPr>
                <w:rFonts w:ascii="Courier New" w:cs="Courier New" w:eastAsia="Courier New" w:hAnsi="Courier New"/>
                <w:sz w:val="18"/>
                <w:szCs w:val="18"/>
                <w:color w:val="auto"/>
              </w:rPr>
              <w:t>Net revenues</w:t>
            </w: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vMerge w:val="continue"/>
          </w:tcPr>
          <w:p>
            <w:pPr>
              <w:spacing w:after="0"/>
              <w:rPr>
                <w:sz w:val="17"/>
                <w:szCs w:val="17"/>
                <w:color w:val="auto"/>
              </w:rPr>
            </w:pP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$41,796</w:t>
            </w:r>
          </w:p>
        </w:tc>
        <w:tc>
          <w:tcPr>
            <w:tcW w:w="6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$39,426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line="192" w:lineRule="exact"/>
              <w:rPr>
                <w:sz w:val="20"/>
                <w:szCs w:val="20"/>
                <w:color w:val="auto"/>
              </w:rPr>
            </w:pPr>
            <w:r>
              <w:rPr>
                <w:rFonts w:ascii="Courier New" w:cs="Courier New" w:eastAsia="Courier New" w:hAnsi="Courier New"/>
                <w:sz w:val="18"/>
                <w:szCs w:val="18"/>
                <w:color w:val="auto"/>
              </w:rPr>
              <w:t>Cost of revenues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5"/>
              </w:rPr>
              <w:t>21,334</w:t>
            </w:r>
          </w:p>
        </w:tc>
        <w:tc>
          <w:tcPr>
            <w:tcW w:w="660" w:type="dxa"/>
            <w:vAlign w:val="bottom"/>
          </w:tcPr>
          <w:p>
            <w:pPr>
              <w:spacing w:after="0"/>
              <w:rPr>
                <w:sz w:val="16"/>
                <w:szCs w:val="16"/>
                <w:color w:val="auto"/>
              </w:rPr>
            </w:pPr>
          </w:p>
        </w:tc>
        <w:tc>
          <w:tcPr>
            <w:tcW w:w="124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20,411</w:t>
            </w:r>
          </w:p>
        </w:tc>
        <w:tc>
          <w:tcPr>
            <w:tcW w:w="0" w:type="dxa"/>
            <w:vAlign w:val="bottom"/>
          </w:tcPr>
          <w:p>
            <w:pPr>
              <w:spacing w:after="0"/>
              <w:rPr>
                <w:sz w:val="1"/>
                <w:szCs w:val="1"/>
                <w:color w:val="auto"/>
              </w:rPr>
            </w:pPr>
          </w:p>
        </w:tc>
      </w:tr>
      <w:tr>
        <w:trPr>
          <w:trHeight w:val="183"/>
        </w:trPr>
        <w:tc>
          <w:tcPr>
            <w:tcW w:w="504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Gross margin</w:t>
            </w:r>
          </w:p>
        </w:tc>
        <w:tc>
          <w:tcPr>
            <w:tcW w:w="10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20,462</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19,015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504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5,735</w:t>
            </w:r>
          </w:p>
        </w:tc>
        <w:tc>
          <w:tcPr>
            <w:tcW w:w="660" w:type="dxa"/>
            <w:vAlign w:val="bottom"/>
          </w:tcPr>
          <w:p>
            <w:pPr>
              <w:spacing w:after="0"/>
              <w:rPr>
                <w:sz w:val="24"/>
                <w:szCs w:val="24"/>
                <w:color w:val="auto"/>
              </w:rPr>
            </w:pP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5,395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expense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Engineering and product development expense</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3,580</w:t>
            </w:r>
          </w:p>
        </w:tc>
        <w:tc>
          <w:tcPr>
            <w:tcW w:w="6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040" w:type="dxa"/>
            <w:vAlign w:val="bottom"/>
          </w:tcPr>
          <w:p>
            <w:pPr>
              <w:ind w:left="320"/>
              <w:spacing w:after="0" w:line="192" w:lineRule="exact"/>
              <w:rPr>
                <w:sz w:val="20"/>
                <w:szCs w:val="20"/>
                <w:color w:val="auto"/>
              </w:rPr>
            </w:pPr>
            <w:r>
              <w:rPr>
                <w:rFonts w:ascii="Courier New" w:cs="Courier New" w:eastAsia="Courier New" w:hAnsi="Courier New"/>
                <w:sz w:val="18"/>
                <w:szCs w:val="18"/>
                <w:color w:val="auto"/>
              </w:rPr>
              <w:t>General and administrative expense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6,231</w:t>
            </w:r>
          </w:p>
        </w:tc>
        <w:tc>
          <w:tcPr>
            <w:tcW w:w="660" w:type="dxa"/>
            <w:vAlign w:val="bottom"/>
          </w:tcPr>
          <w:p>
            <w:pPr>
              <w:spacing w:after="0"/>
              <w:rPr>
                <w:sz w:val="16"/>
                <w:szCs w:val="16"/>
                <w:color w:val="auto"/>
              </w:rPr>
            </w:pPr>
          </w:p>
        </w:tc>
        <w:tc>
          <w:tcPr>
            <w:tcW w:w="124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5,975</w:t>
            </w:r>
          </w:p>
        </w:tc>
        <w:tc>
          <w:tcPr>
            <w:tcW w:w="0" w:type="dxa"/>
            <w:vAlign w:val="bottom"/>
          </w:tcPr>
          <w:p>
            <w:pPr>
              <w:spacing w:after="0"/>
              <w:rPr>
                <w:sz w:val="1"/>
                <w:szCs w:val="1"/>
                <w:color w:val="auto"/>
              </w:rPr>
            </w:pPr>
          </w:p>
        </w:tc>
      </w:tr>
      <w:tr>
        <w:trPr>
          <w:trHeight w:val="183"/>
        </w:trPr>
        <w:tc>
          <w:tcPr>
            <w:tcW w:w="5040" w:type="dxa"/>
            <w:vAlign w:val="bottom"/>
          </w:tcPr>
          <w:p>
            <w:pPr>
              <w:ind w:left="640"/>
              <w:spacing w:after="0" w:line="182" w:lineRule="exact"/>
              <w:rPr>
                <w:sz w:val="20"/>
                <w:szCs w:val="20"/>
                <w:color w:val="auto"/>
              </w:rPr>
            </w:pPr>
            <w:r>
              <w:rPr>
                <w:rFonts w:ascii="Courier New" w:cs="Courier New" w:eastAsia="Courier New" w:hAnsi="Courier New"/>
                <w:sz w:val="18"/>
                <w:szCs w:val="18"/>
                <w:color w:val="auto"/>
              </w:rPr>
              <w:t>Total operating expenses</w:t>
            </w:r>
          </w:p>
        </w:tc>
        <w:tc>
          <w:tcPr>
            <w:tcW w:w="10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w w:val="95"/>
              </w:rPr>
              <w:t>15,546</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Courier New" w:cs="Courier New" w:eastAsia="Courier New" w:hAnsi="Courier New"/>
                <w:sz w:val="18"/>
                <w:szCs w:val="18"/>
                <w:color w:val="auto"/>
              </w:rPr>
              <w:t>15,053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6"/>
        </w:trPr>
        <w:tc>
          <w:tcPr>
            <w:tcW w:w="504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4,916</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3,962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line="192" w:lineRule="exact"/>
              <w:rPr>
                <w:sz w:val="20"/>
                <w:szCs w:val="20"/>
                <w:color w:val="auto"/>
              </w:rPr>
            </w:pPr>
            <w:r>
              <w:rPr>
                <w:rFonts w:ascii="Courier New" w:cs="Courier New" w:eastAsia="Courier New" w:hAnsi="Courier New"/>
                <w:sz w:val="18"/>
                <w:szCs w:val="18"/>
                <w:color w:val="auto"/>
              </w:rPr>
              <w:t>Other income (expense)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right"/>
              <w:ind w:right="560"/>
              <w:spacing w:after="0" w:line="192" w:lineRule="exact"/>
              <w:rPr>
                <w:sz w:val="20"/>
                <w:szCs w:val="20"/>
                <w:color w:val="auto"/>
              </w:rPr>
            </w:pPr>
            <w:r>
              <w:rPr>
                <w:rFonts w:ascii="Courier New" w:cs="Courier New" w:eastAsia="Courier New" w:hAnsi="Courier New"/>
                <w:sz w:val="18"/>
                <w:szCs w:val="18"/>
                <w:color w:val="auto"/>
              </w:rPr>
              <w:t>(7)</w:t>
            </w:r>
          </w:p>
        </w:tc>
        <w:tc>
          <w:tcPr>
            <w:tcW w:w="1240" w:type="dxa"/>
            <w:vAlign w:val="bottom"/>
            <w:gridSpan w:val="3"/>
          </w:tcPr>
          <w:p>
            <w:pPr>
              <w:jc w:val="right"/>
              <w:ind w:right="120"/>
              <w:spacing w:after="0" w:line="192" w:lineRule="exact"/>
              <w:rPr>
                <w:sz w:val="20"/>
                <w:szCs w:val="20"/>
                <w:color w:val="auto"/>
              </w:rPr>
            </w:pPr>
            <w:r>
              <w:rPr>
                <w:rFonts w:ascii="Courier New" w:cs="Courier New" w:eastAsia="Courier New" w:hAnsi="Courier New"/>
                <w:sz w:val="18"/>
                <w:szCs w:val="18"/>
                <w:color w:val="auto"/>
              </w:rPr>
              <w:t>46</w:t>
            </w:r>
          </w:p>
        </w:tc>
        <w:tc>
          <w:tcPr>
            <w:tcW w:w="0" w:type="dxa"/>
            <w:vAlign w:val="bottom"/>
          </w:tcPr>
          <w:p>
            <w:pPr>
              <w:spacing w:after="0"/>
              <w:rPr>
                <w:sz w:val="1"/>
                <w:szCs w:val="1"/>
                <w:color w:val="auto"/>
              </w:rPr>
            </w:pPr>
          </w:p>
        </w:tc>
      </w:tr>
      <w:tr>
        <w:trPr>
          <w:trHeight w:val="396"/>
        </w:trPr>
        <w:tc>
          <w:tcPr>
            <w:tcW w:w="5040" w:type="dxa"/>
            <w:vAlign w:val="bottom"/>
          </w:tcPr>
          <w:p>
            <w:pPr>
              <w:spacing w:after="0"/>
              <w:rPr>
                <w:sz w:val="20"/>
                <w:szCs w:val="20"/>
                <w:color w:val="auto"/>
              </w:rPr>
            </w:pPr>
            <w:r>
              <w:rPr>
                <w:rFonts w:ascii="Courier New" w:cs="Courier New" w:eastAsia="Courier New" w:hAnsi="Courier New"/>
                <w:sz w:val="18"/>
                <w:szCs w:val="18"/>
                <w:color w:val="auto"/>
              </w:rPr>
              <w:t>Earnings before income tax expense</w:t>
            </w:r>
          </w:p>
        </w:tc>
        <w:tc>
          <w:tcPr>
            <w:tcW w:w="10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4,909</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Courier New" w:cs="Courier New" w:eastAsia="Courier New" w:hAnsi="Courier New"/>
                <w:sz w:val="18"/>
                <w:szCs w:val="18"/>
                <w:color w:val="auto"/>
              </w:rPr>
              <w:t>4,008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040" w:type="dxa"/>
            <w:vAlign w:val="bottom"/>
          </w:tcPr>
          <w:p>
            <w:pPr>
              <w:spacing w:after="0" w:line="192" w:lineRule="exact"/>
              <w:rPr>
                <w:sz w:val="20"/>
                <w:szCs w:val="20"/>
                <w:color w:val="auto"/>
              </w:rPr>
            </w:pPr>
            <w:r>
              <w:rPr>
                <w:rFonts w:ascii="Courier New" w:cs="Courier New" w:eastAsia="Courier New" w:hAnsi="Courier New"/>
                <w:sz w:val="18"/>
                <w:szCs w:val="18"/>
                <w:color w:val="auto"/>
              </w:rPr>
              <w:t>Income tax expense</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rPr>
              <w:t>1,470</w:t>
            </w: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line="192" w:lineRule="exact"/>
              <w:rPr>
                <w:sz w:val="20"/>
                <w:szCs w:val="20"/>
                <w:color w:val="auto"/>
              </w:rPr>
            </w:pPr>
            <w:r>
              <w:rPr>
                <w:rFonts w:ascii="Courier New" w:cs="Courier New" w:eastAsia="Courier New" w:hAnsi="Courier New"/>
                <w:sz w:val="18"/>
                <w:szCs w:val="18"/>
                <w:color w:val="auto"/>
              </w:rPr>
              <w:t>931</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40" w:type="dxa"/>
            <w:vAlign w:val="bottom"/>
          </w:tcPr>
          <w:p>
            <w:pPr>
              <w:ind w:left="640"/>
              <w:spacing w:after="0"/>
              <w:rPr>
                <w:sz w:val="20"/>
                <w:szCs w:val="20"/>
                <w:color w:val="auto"/>
              </w:rPr>
            </w:pPr>
            <w:r>
              <w:rPr>
                <w:rFonts w:ascii="Courier New" w:cs="Courier New" w:eastAsia="Courier New" w:hAnsi="Courier New"/>
                <w:sz w:val="18"/>
                <w:szCs w:val="18"/>
                <w:color w:val="auto"/>
              </w:rPr>
              <w:t>Net earnings</w:t>
            </w:r>
          </w:p>
        </w:tc>
        <w:tc>
          <w:tcPr>
            <w:tcW w:w="1180" w:type="dxa"/>
            <w:vAlign w:val="bottom"/>
            <w:gridSpan w:val="2"/>
          </w:tcPr>
          <w:p>
            <w:pPr>
              <w:ind w:left="108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3,439</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$ 3,077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040" w:type="dxa"/>
            <w:vAlign w:val="bottom"/>
            <w:vMerge w:val="restart"/>
          </w:tcPr>
          <w:p>
            <w:pPr>
              <w:spacing w:after="0"/>
              <w:rPr>
                <w:sz w:val="20"/>
                <w:szCs w:val="20"/>
                <w:color w:val="auto"/>
              </w:rPr>
            </w:pPr>
            <w:r>
              <w:rPr>
                <w:rFonts w:ascii="Courier New" w:cs="Courier New" w:eastAsia="Courier New" w:hAnsi="Courier New"/>
                <w:sz w:val="18"/>
                <w:szCs w:val="18"/>
                <w:color w:val="auto"/>
              </w:rPr>
              <w:t>Net earnings per common share:</w:t>
            </w:r>
          </w:p>
        </w:tc>
        <w:tc>
          <w:tcPr>
            <w:tcW w:w="18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$0.33</w:t>
            </w:r>
          </w:p>
        </w:tc>
        <w:tc>
          <w:tcPr>
            <w:tcW w:w="660" w:type="dxa"/>
            <w:vAlign w:val="bottom"/>
          </w:tcPr>
          <w:p>
            <w:pPr>
              <w:spacing w:after="0"/>
              <w:rPr>
                <w:sz w:val="9"/>
                <w:szCs w:val="9"/>
                <w:color w:val="auto"/>
              </w:rPr>
            </w:pPr>
          </w:p>
        </w:tc>
        <w:tc>
          <w:tcPr>
            <w:tcW w:w="11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$0.30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Diluted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$0.33</w:t>
            </w:r>
          </w:p>
        </w:tc>
        <w:tc>
          <w:tcPr>
            <w:tcW w:w="660" w:type="dxa"/>
            <w:vAlign w:val="bottom"/>
          </w:tcPr>
          <w:p>
            <w:pPr>
              <w:spacing w:after="0"/>
              <w:rPr>
                <w:sz w:val="17"/>
                <w:szCs w:val="17"/>
                <w:color w:val="auto"/>
              </w:rPr>
            </w:pP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3" w:lineRule="exact"/>
              <w:rPr>
                <w:sz w:val="20"/>
                <w:szCs w:val="20"/>
                <w:color w:val="auto"/>
              </w:rPr>
            </w:pPr>
            <w:r>
              <w:rPr>
                <w:rFonts w:ascii="Courier New" w:cs="Courier New" w:eastAsia="Courier New" w:hAnsi="Courier New"/>
                <w:sz w:val="18"/>
                <w:szCs w:val="18"/>
                <w:color w:val="auto"/>
              </w:rPr>
              <w:t>Weighted average common shares outstanding:</w:t>
            </w:r>
          </w:p>
        </w:tc>
        <w:tc>
          <w:tcPr>
            <w:tcW w:w="2480" w:type="dxa"/>
            <w:vAlign w:val="bottom"/>
            <w:gridSpan w:val="4"/>
            <w:vMerge w:val="restart"/>
          </w:tcPr>
          <w:p>
            <w:pPr>
              <w:jc w:val="right"/>
              <w:ind w:right="560"/>
              <w:spacing w:after="0"/>
              <w:rPr>
                <w:sz w:val="20"/>
                <w:szCs w:val="20"/>
                <w:color w:val="auto"/>
              </w:rPr>
            </w:pPr>
            <w:r>
              <w:rPr>
                <w:rFonts w:ascii="Courier New" w:cs="Courier New" w:eastAsia="Courier New" w:hAnsi="Courier New"/>
                <w:sz w:val="18"/>
                <w:szCs w:val="18"/>
                <w:color w:val="auto"/>
              </w:rPr>
              <w:t>10,431,743</w:t>
            </w:r>
          </w:p>
        </w:tc>
        <w:tc>
          <w:tcPr>
            <w:tcW w:w="124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10,363,678</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2480" w:type="dxa"/>
            <w:vAlign w:val="bottom"/>
            <w:gridSpan w:val="4"/>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4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2480" w:type="dxa"/>
            <w:vAlign w:val="bottom"/>
            <w:gridSpan w:val="4"/>
          </w:tcPr>
          <w:p>
            <w:pPr>
              <w:jc w:val="right"/>
              <w:ind w:right="560"/>
              <w:spacing w:after="0"/>
              <w:rPr>
                <w:sz w:val="20"/>
                <w:szCs w:val="20"/>
                <w:color w:val="auto"/>
              </w:rPr>
            </w:pPr>
            <w:r>
              <w:rPr>
                <w:rFonts w:ascii="Courier New" w:cs="Courier New" w:eastAsia="Courier New" w:hAnsi="Courier New"/>
                <w:sz w:val="18"/>
                <w:szCs w:val="18"/>
                <w:color w:val="auto"/>
              </w:rPr>
              <w:t>10,466,064</w:t>
            </w:r>
          </w:p>
        </w:tc>
        <w:tc>
          <w:tcPr>
            <w:tcW w:w="12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10,419,103</w:t>
            </w:r>
          </w:p>
        </w:tc>
        <w:tc>
          <w:tcPr>
            <w:tcW w:w="0" w:type="dxa"/>
            <w:vAlign w:val="bottom"/>
          </w:tcPr>
          <w:p>
            <w:pPr>
              <w:spacing w:after="0"/>
              <w:rPr>
                <w:sz w:val="1"/>
                <w:szCs w:val="1"/>
                <w:color w:val="auto"/>
              </w:rPr>
            </w:pPr>
          </w:p>
        </w:tc>
      </w:tr>
      <w:tr>
        <w:trPr>
          <w:trHeight w:val="542"/>
        </w:trPr>
        <w:tc>
          <w:tcPr>
            <w:tcW w:w="8760" w:type="dxa"/>
            <w:vAlign w:val="bottom"/>
            <w:gridSpan w:val="8"/>
          </w:tcPr>
          <w:p>
            <w:pPr>
              <w:jc w:val="center"/>
              <w:ind w:left="2592"/>
              <w:spacing w:after="0"/>
              <w:rPr>
                <w:sz w:val="20"/>
                <w:szCs w:val="20"/>
                <w:color w:val="auto"/>
              </w:rPr>
            </w:pPr>
            <w:r>
              <w:rPr>
                <w:rFonts w:ascii="Times New Roman" w:cs="Times New Roman" w:eastAsia="Times New Roman" w:hAnsi="Times New Roman"/>
                <w:sz w:val="18"/>
                <w:szCs w:val="18"/>
                <w:color w:val="auto"/>
                <w:w w:val="97"/>
              </w:rPr>
              <w:t>See accompanying Notes to Consolidated Financial Statements.</w:t>
            </w:r>
          </w:p>
        </w:tc>
        <w:tc>
          <w:tcPr>
            <w:tcW w:w="0" w:type="dxa"/>
            <w:vAlign w:val="bottom"/>
          </w:tcPr>
          <w:p>
            <w:pPr>
              <w:spacing w:after="0"/>
              <w:rPr>
                <w:sz w:val="1"/>
                <w:szCs w:val="1"/>
                <w:color w:val="auto"/>
              </w:rPr>
            </w:pPr>
          </w:p>
        </w:tc>
      </w:tr>
      <w:tr>
        <w:trPr>
          <w:trHeight w:val="769"/>
        </w:trPr>
        <w:tc>
          <w:tcPr>
            <w:tcW w:w="7520" w:type="dxa"/>
            <w:vAlign w:val="bottom"/>
            <w:gridSpan w:val="5"/>
          </w:tcPr>
          <w:p>
            <w:pPr>
              <w:jc w:val="center"/>
              <w:ind w:left="3832"/>
              <w:spacing w:after="0"/>
              <w:rPr>
                <w:sz w:val="20"/>
                <w:szCs w:val="20"/>
                <w:color w:val="auto"/>
              </w:rPr>
            </w:pPr>
            <w:r>
              <w:rPr>
                <w:rFonts w:ascii="Times New Roman" w:cs="Times New Roman" w:eastAsia="Times New Roman" w:hAnsi="Times New Roman"/>
                <w:sz w:val="18"/>
                <w:szCs w:val="18"/>
                <w:b w:val="1"/>
                <w:bCs w:val="1"/>
                <w:color w:val="auto"/>
                <w:w w:val="96"/>
              </w:rPr>
              <w:t>inTEST CORPORATION</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760" w:type="dxa"/>
            <w:vAlign w:val="bottom"/>
            <w:gridSpan w:val="8"/>
          </w:tcPr>
          <w:p>
            <w:pPr>
              <w:jc w:val="center"/>
              <w:ind w:left="2572"/>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COMPREHENSIVE EARNINGS</w:t>
            </w: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1180" w:type="dxa"/>
            <w:vAlign w:val="bottom"/>
            <w:gridSpan w:val="2"/>
          </w:tcPr>
          <w:p>
            <w:pPr>
              <w:jc w:val="center"/>
              <w:ind w:left="72"/>
              <w:spacing w:after="0"/>
              <w:rPr>
                <w:sz w:val="20"/>
                <w:szCs w:val="20"/>
                <w:color w:val="auto"/>
              </w:rPr>
            </w:pPr>
            <w:r>
              <w:rPr>
                <w:rFonts w:ascii="Times New Roman" w:cs="Times New Roman" w:eastAsia="Times New Roman" w:hAnsi="Times New Roman"/>
                <w:sz w:val="18"/>
                <w:szCs w:val="18"/>
                <w:color w:val="auto"/>
                <w:w w:val="98"/>
              </w:rPr>
              <w:t>(In thousands)</w:t>
            </w: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5040" w:type="dxa"/>
            <w:vAlign w:val="bottom"/>
          </w:tcPr>
          <w:p>
            <w:pPr>
              <w:spacing w:after="0"/>
              <w:rPr>
                <w:sz w:val="24"/>
                <w:szCs w:val="24"/>
                <w:color w:val="auto"/>
              </w:rPr>
            </w:pPr>
          </w:p>
        </w:tc>
        <w:tc>
          <w:tcPr>
            <w:tcW w:w="3720" w:type="dxa"/>
            <w:vAlign w:val="bottom"/>
            <w:gridSpan w:val="7"/>
          </w:tcPr>
          <w:p>
            <w:pPr>
              <w:ind w:left="1080"/>
              <w:spacing w:after="0"/>
              <w:rPr>
                <w:sz w:val="20"/>
                <w:szCs w:val="20"/>
                <w:color w:val="auto"/>
              </w:rPr>
            </w:pPr>
            <w:r>
              <w:rPr>
                <w:rFonts w:ascii="Courier New" w:cs="Courier New" w:eastAsia="Courier New" w:hAnsi="Courier New"/>
                <w:sz w:val="18"/>
                <w:szCs w:val="18"/>
                <w:color w:val="auto"/>
              </w:rPr>
              <w:t>Years Ended December 31,</w:t>
            </w: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36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2014</w:t>
            </w:r>
          </w:p>
        </w:tc>
        <w:tc>
          <w:tcPr>
            <w:tcW w:w="660" w:type="dxa"/>
            <w:vAlign w:val="bottom"/>
          </w:tcPr>
          <w:p>
            <w:pPr>
              <w:spacing w:after="0"/>
              <w:rPr>
                <w:sz w:val="17"/>
                <w:szCs w:val="17"/>
                <w:color w:val="auto"/>
              </w:rPr>
            </w:pPr>
          </w:p>
        </w:tc>
        <w:tc>
          <w:tcPr>
            <w:tcW w:w="11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vMerge w:val="restart"/>
          </w:tcPr>
          <w:p>
            <w:pPr>
              <w:spacing w:after="0"/>
              <w:rPr>
                <w:sz w:val="20"/>
                <w:szCs w:val="20"/>
                <w:color w:val="auto"/>
              </w:rPr>
            </w:pPr>
            <w:r>
              <w:rPr>
                <w:rFonts w:ascii="Courier New" w:cs="Courier New" w:eastAsia="Courier New" w:hAnsi="Courier New"/>
                <w:sz w:val="18"/>
                <w:szCs w:val="18"/>
                <w:color w:val="auto"/>
              </w:rPr>
              <w:t>Net earnings</w:t>
            </w:r>
          </w:p>
        </w:tc>
        <w:tc>
          <w:tcPr>
            <w:tcW w:w="18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40" w:type="dxa"/>
            <w:vAlign w:val="bottom"/>
            <w:vMerge w:val="continue"/>
          </w:tcPr>
          <w:p>
            <w:pPr>
              <w:spacing w:after="0"/>
              <w:rPr>
                <w:sz w:val="24"/>
                <w:szCs w:val="24"/>
                <w:color w:val="auto"/>
              </w:rPr>
            </w:pPr>
          </w:p>
        </w:tc>
        <w:tc>
          <w:tcPr>
            <w:tcW w:w="1180" w:type="dxa"/>
            <w:vAlign w:val="bottom"/>
            <w:gridSpan w:val="2"/>
          </w:tcPr>
          <w:p>
            <w:pPr>
              <w:ind w:left="108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3,439</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$ 3,077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40" w:type="dxa"/>
            <w:vAlign w:val="bottom"/>
          </w:tcPr>
          <w:p>
            <w:pPr>
              <w:spacing w:after="0"/>
              <w:rPr>
                <w:sz w:val="20"/>
                <w:szCs w:val="20"/>
                <w:color w:val="auto"/>
              </w:rPr>
            </w:pPr>
            <w:r>
              <w:rPr>
                <w:rFonts w:ascii="Courier New" w:cs="Courier New" w:eastAsia="Courier New" w:hAnsi="Courier New"/>
                <w:sz w:val="18"/>
                <w:szCs w:val="18"/>
                <w:color w:val="auto"/>
              </w:rPr>
              <w:t>Foreign currency translation adjustments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560"/>
              <w:spacing w:after="0"/>
              <w:rPr>
                <w:sz w:val="20"/>
                <w:szCs w:val="20"/>
                <w:color w:val="auto"/>
              </w:rPr>
            </w:pPr>
            <w:r>
              <w:rPr>
                <w:rFonts w:ascii="Courier New" w:cs="Courier New" w:eastAsia="Courier New" w:hAnsi="Courier New"/>
                <w:sz w:val="18"/>
                <w:szCs w:val="18"/>
                <w:color w:val="auto"/>
              </w:rPr>
              <w:t>(354)</w:t>
            </w:r>
          </w:p>
        </w:tc>
        <w:tc>
          <w:tcPr>
            <w:tcW w:w="1240" w:type="dxa"/>
            <w:vAlign w:val="bottom"/>
            <w:gridSpan w:val="3"/>
          </w:tcPr>
          <w:p>
            <w:pPr>
              <w:jc w:val="right"/>
              <w:ind w:right="120"/>
              <w:spacing w:after="0"/>
              <w:rPr>
                <w:sz w:val="20"/>
                <w:szCs w:val="20"/>
                <w:color w:val="auto"/>
              </w:rPr>
            </w:pPr>
            <w:r>
              <w:rPr>
                <w:rFonts w:ascii="Courier New" w:cs="Courier New" w:eastAsia="Courier New" w:hAnsi="Courier New"/>
                <w:sz w:val="18"/>
                <w:szCs w:val="18"/>
                <w:color w:val="auto"/>
              </w:rPr>
              <w:t>94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040" w:type="dxa"/>
            <w:vAlign w:val="bottom"/>
          </w:tcPr>
          <w:p>
            <w:pPr>
              <w:spacing w:after="0"/>
              <w:rPr>
                <w:sz w:val="20"/>
                <w:szCs w:val="20"/>
                <w:color w:val="auto"/>
              </w:rPr>
            </w:pPr>
            <w:r>
              <w:rPr>
                <w:rFonts w:ascii="Courier New" w:cs="Courier New" w:eastAsia="Courier New" w:hAnsi="Courier New"/>
                <w:sz w:val="18"/>
                <w:szCs w:val="18"/>
                <w:color w:val="auto"/>
              </w:rPr>
              <w:t>Comprehensive earnings</w:t>
            </w:r>
          </w:p>
        </w:tc>
        <w:tc>
          <w:tcPr>
            <w:tcW w:w="1180" w:type="dxa"/>
            <w:vAlign w:val="bottom"/>
            <w:gridSpan w:val="2"/>
          </w:tcPr>
          <w:p>
            <w:pPr>
              <w:ind w:left="1080"/>
              <w:spacing w:after="0"/>
              <w:rPr>
                <w:sz w:val="20"/>
                <w:szCs w:val="20"/>
                <w:color w:val="auto"/>
              </w:rPr>
            </w:pPr>
            <w:r>
              <w:rPr>
                <w:rFonts w:ascii="Courier New" w:cs="Courier New" w:eastAsia="Courier New" w:hAnsi="Courier New"/>
                <w:sz w:val="18"/>
                <w:szCs w:val="18"/>
                <w:color w:val="auto"/>
                <w:w w:val="73"/>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3,085</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$ 3,171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0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66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 - 3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11"/>
                <w:szCs w:val="11"/>
                <w:color w:val="auto"/>
              </w:rPr>
            </w:pPr>
          </w:p>
        </w:tc>
        <w:tc>
          <w:tcPr>
            <w:tcW w:w="1380" w:type="dxa"/>
            <w:vAlign w:val="bottom"/>
            <w:gridSpan w:val="2"/>
            <w:vMerge w:val="restart"/>
          </w:tcPr>
          <w:p>
            <w:pPr>
              <w:jc w:val="right"/>
              <w:ind w:right="121"/>
              <w:spacing w:after="0"/>
              <w:rPr>
                <w:sz w:val="20"/>
                <w:szCs w:val="20"/>
                <w:color w:val="auto"/>
              </w:rPr>
            </w:pPr>
            <w:r>
              <w:rPr>
                <w:rFonts w:ascii="Courier New" w:cs="Courier New" w:eastAsia="Courier New" w:hAnsi="Courier New"/>
                <w:sz w:val="12"/>
                <w:szCs w:val="12"/>
                <w:color w:val="auto"/>
              </w:rPr>
              <w:t>Common Stock</w:t>
            </w:r>
          </w:p>
        </w:tc>
        <w:tc>
          <w:tcPr>
            <w:tcW w:w="8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Additional</w:t>
            </w: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jc w:val="center"/>
              <w:ind w:left="19"/>
              <w:spacing w:after="0"/>
              <w:rPr>
                <w:sz w:val="20"/>
                <w:szCs w:val="20"/>
                <w:color w:val="auto"/>
              </w:rPr>
            </w:pPr>
            <w:r>
              <w:rPr>
                <w:rFonts w:ascii="Courier New" w:cs="Courier New" w:eastAsia="Courier New" w:hAnsi="Courier New"/>
                <w:sz w:val="12"/>
                <w:szCs w:val="12"/>
                <w:color w:val="auto"/>
              </w:rPr>
              <w:t>Accumulated</w:t>
            </w:r>
          </w:p>
        </w:tc>
        <w:tc>
          <w:tcPr>
            <w:tcW w:w="800" w:type="dxa"/>
            <w:vAlign w:val="bottom"/>
          </w:tcPr>
          <w:p>
            <w:pPr>
              <w:spacing w:after="0"/>
              <w:rPr>
                <w:sz w:val="11"/>
                <w:szCs w:val="11"/>
                <w:color w:val="auto"/>
              </w:rPr>
            </w:pPr>
          </w:p>
        </w:tc>
        <w:tc>
          <w:tcPr>
            <w:tcW w:w="880" w:type="dxa"/>
            <w:vAlign w:val="bottom"/>
            <w:vMerge w:val="restart"/>
          </w:tcPr>
          <w:p>
            <w:pPr>
              <w:ind w:left="160"/>
              <w:spacing w:after="0"/>
              <w:rPr>
                <w:sz w:val="20"/>
                <w:szCs w:val="20"/>
                <w:color w:val="auto"/>
              </w:rPr>
            </w:pPr>
            <w:r>
              <w:rPr>
                <w:rFonts w:ascii="Courier New" w:cs="Courier New" w:eastAsia="Courier New" w:hAnsi="Courier New"/>
                <w:sz w:val="12"/>
                <w:szCs w:val="12"/>
                <w:color w:val="auto"/>
              </w:rPr>
              <w:t>Total</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gridSpan w:val="2"/>
            <w:vMerge w:val="restart"/>
          </w:tcPr>
          <w:p>
            <w:pPr>
              <w:jc w:val="right"/>
              <w:ind w:right="79"/>
              <w:spacing w:after="0"/>
              <w:rPr>
                <w:sz w:val="20"/>
                <w:szCs w:val="20"/>
                <w:color w:val="auto"/>
              </w:rPr>
            </w:pPr>
            <w:r>
              <w:rPr>
                <w:rFonts w:ascii="Courier New" w:cs="Courier New" w:eastAsia="Courier New" w:hAnsi="Courier New"/>
                <w:sz w:val="12"/>
                <w:szCs w:val="12"/>
                <w:color w:val="auto"/>
              </w:rPr>
              <w:t>Retained</w:t>
            </w:r>
          </w:p>
        </w:tc>
        <w:tc>
          <w:tcPr>
            <w:tcW w:w="1160" w:type="dxa"/>
            <w:vAlign w:val="bottom"/>
          </w:tcPr>
          <w:p>
            <w:pPr>
              <w:jc w:val="center"/>
              <w:ind w:left="19"/>
              <w:spacing w:after="0"/>
              <w:rPr>
                <w:sz w:val="20"/>
                <w:szCs w:val="20"/>
                <w:color w:val="auto"/>
              </w:rPr>
            </w:pPr>
            <w:r>
              <w:rPr>
                <w:rFonts w:ascii="Courier New" w:cs="Courier New" w:eastAsia="Courier New" w:hAnsi="Courier New"/>
                <w:sz w:val="12"/>
                <w:szCs w:val="12"/>
                <w:color w:val="auto"/>
                <w:w w:val="99"/>
              </w:rPr>
              <w:t>Other</w:t>
            </w:r>
          </w:p>
        </w:tc>
        <w:tc>
          <w:tcPr>
            <w:tcW w:w="8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5"/>
                <w:szCs w:val="15"/>
                <w:color w:val="auto"/>
                <w:w w:val="70"/>
                <w:vertAlign w:val="subscript"/>
              </w:rPr>
              <w:t>Shares</w:t>
            </w:r>
          </w:p>
        </w:tc>
        <w:tc>
          <w:tcPr>
            <w:tcW w:w="4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w w:val="92"/>
              </w:rPr>
              <w:t>Amount</w:t>
            </w:r>
          </w:p>
        </w:tc>
        <w:tc>
          <w:tcPr>
            <w:tcW w:w="800" w:type="dxa"/>
            <w:vAlign w:val="bottom"/>
          </w:tcPr>
          <w:p>
            <w:pPr>
              <w:jc w:val="right"/>
              <w:ind w:right="120"/>
              <w:spacing w:after="0"/>
              <w:rPr>
                <w:sz w:val="20"/>
                <w:szCs w:val="20"/>
                <w:color w:val="auto"/>
              </w:rPr>
            </w:pPr>
            <w:r>
              <w:rPr>
                <w:rFonts w:ascii="Courier New" w:cs="Courier New" w:eastAsia="Courier New" w:hAnsi="Courier New"/>
                <w:sz w:val="12"/>
                <w:szCs w:val="12"/>
                <w:color w:val="auto"/>
              </w:rPr>
              <w:t>Paid-In</w:t>
            </w:r>
          </w:p>
        </w:tc>
        <w:tc>
          <w:tcPr>
            <w:tcW w:w="920" w:type="dxa"/>
            <w:vAlign w:val="bottom"/>
            <w:gridSpan w:val="2"/>
            <w:vMerge w:val="continue"/>
          </w:tcPr>
          <w:p>
            <w:pPr>
              <w:spacing w:after="0"/>
              <w:rPr>
                <w:sz w:val="11"/>
                <w:szCs w:val="11"/>
                <w:color w:val="auto"/>
              </w:rPr>
            </w:pPr>
          </w:p>
        </w:tc>
        <w:tc>
          <w:tcPr>
            <w:tcW w:w="1160" w:type="dxa"/>
            <w:vAlign w:val="bottom"/>
          </w:tcPr>
          <w:p>
            <w:pPr>
              <w:jc w:val="center"/>
              <w:ind w:left="19"/>
              <w:spacing w:after="0"/>
              <w:rPr>
                <w:sz w:val="20"/>
                <w:szCs w:val="20"/>
                <w:color w:val="auto"/>
              </w:rPr>
            </w:pPr>
            <w:r>
              <w:rPr>
                <w:rFonts w:ascii="Courier New" w:cs="Courier New" w:eastAsia="Courier New" w:hAnsi="Courier New"/>
                <w:sz w:val="12"/>
                <w:szCs w:val="12"/>
                <w:color w:val="auto"/>
              </w:rPr>
              <w:t>Comprehensive</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Treasury Stockholders'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0" w:type="dxa"/>
            <w:vAlign w:val="bottom"/>
          </w:tcPr>
          <w:p>
            <w:pPr>
              <w:jc w:val="right"/>
              <w:ind w:right="120"/>
              <w:spacing w:after="0"/>
              <w:rPr>
                <w:sz w:val="20"/>
                <w:szCs w:val="20"/>
                <w:color w:val="auto"/>
              </w:rPr>
            </w:pPr>
            <w:r>
              <w:rPr>
                <w:rFonts w:ascii="Courier New" w:cs="Courier New" w:eastAsia="Courier New" w:hAnsi="Courier New"/>
                <w:sz w:val="12"/>
                <w:szCs w:val="12"/>
                <w:color w:val="auto"/>
              </w:rPr>
              <w:t>Capital</w:t>
            </w:r>
          </w:p>
        </w:tc>
        <w:tc>
          <w:tcPr>
            <w:tcW w:w="9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Earnings</w:t>
            </w:r>
          </w:p>
        </w:tc>
        <w:tc>
          <w:tcPr>
            <w:tcW w:w="116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Earnings</w:t>
            </w:r>
          </w:p>
        </w:tc>
        <w:tc>
          <w:tcPr>
            <w:tcW w:w="800" w:type="dxa"/>
            <w:vAlign w:val="bottom"/>
          </w:tcPr>
          <w:p>
            <w:pPr>
              <w:jc w:val="right"/>
              <w:ind w:right="219"/>
              <w:spacing w:after="0"/>
              <w:rPr>
                <w:sz w:val="20"/>
                <w:szCs w:val="20"/>
                <w:color w:val="auto"/>
              </w:rPr>
            </w:pPr>
            <w:r>
              <w:rPr>
                <w:rFonts w:ascii="Courier New" w:cs="Courier New" w:eastAsia="Courier New" w:hAnsi="Courier New"/>
                <w:sz w:val="12"/>
                <w:szCs w:val="12"/>
                <w:color w:val="auto"/>
              </w:rPr>
              <w:t>Stock</w:t>
            </w:r>
          </w:p>
        </w:tc>
        <w:tc>
          <w:tcPr>
            <w:tcW w:w="880" w:type="dxa"/>
            <w:vAlign w:val="bottom"/>
          </w:tcPr>
          <w:p>
            <w:pPr>
              <w:ind w:left="160"/>
              <w:spacing w:after="0"/>
              <w:rPr>
                <w:sz w:val="20"/>
                <w:szCs w:val="20"/>
                <w:color w:val="auto"/>
              </w:rPr>
            </w:pPr>
            <w:r>
              <w:rPr>
                <w:rFonts w:ascii="Courier New" w:cs="Courier New" w:eastAsia="Courier New" w:hAnsi="Courier New"/>
                <w:sz w:val="12"/>
                <w:szCs w:val="12"/>
                <w:color w:val="auto"/>
              </w:rPr>
              <w:t>Equity</w:t>
            </w:r>
          </w:p>
        </w:tc>
        <w:tc>
          <w:tcPr>
            <w:tcW w:w="0" w:type="dxa"/>
            <w:vAlign w:val="bottom"/>
          </w:tcPr>
          <w:p>
            <w:pPr>
              <w:spacing w:after="0"/>
              <w:rPr>
                <w:sz w:val="1"/>
                <w:szCs w:val="1"/>
                <w:color w:val="auto"/>
              </w:rPr>
            </w:pPr>
          </w:p>
        </w:tc>
      </w:tr>
      <w:tr>
        <w:trPr>
          <w:trHeight w:val="135"/>
        </w:trPr>
        <w:tc>
          <w:tcPr>
            <w:tcW w:w="2160" w:type="dxa"/>
            <w:vAlign w:val="bottom"/>
            <w:vMerge w:val="restart"/>
          </w:tcPr>
          <w:p>
            <w:pPr>
              <w:spacing w:after="0"/>
              <w:rPr>
                <w:sz w:val="20"/>
                <w:szCs w:val="20"/>
                <w:color w:val="auto"/>
              </w:rPr>
            </w:pPr>
            <w:r>
              <w:rPr>
                <w:rFonts w:ascii="Courier New" w:cs="Courier New" w:eastAsia="Courier New" w:hAnsi="Courier New"/>
                <w:sz w:val="12"/>
                <w:szCs w:val="12"/>
                <w:color w:val="auto"/>
              </w:rPr>
              <w:t>Balance, January 1, 2013</w:t>
            </w:r>
          </w:p>
        </w:tc>
        <w:tc>
          <w:tcPr>
            <w:tcW w:w="920" w:type="dxa"/>
            <w:vAlign w:val="bottom"/>
            <w:vMerge w:val="restart"/>
          </w:tcPr>
          <w:p>
            <w:pPr>
              <w:jc w:val="right"/>
              <w:ind w:right="22"/>
              <w:spacing w:after="0"/>
              <w:rPr>
                <w:sz w:val="20"/>
                <w:szCs w:val="20"/>
                <w:color w:val="auto"/>
              </w:rPr>
            </w:pPr>
            <w:r>
              <w:rPr>
                <w:rFonts w:ascii="Courier New" w:cs="Courier New" w:eastAsia="Courier New" w:hAnsi="Courier New"/>
                <w:sz w:val="15"/>
                <w:szCs w:val="15"/>
                <w:color w:val="auto"/>
                <w:w w:val="71"/>
                <w:vertAlign w:val="subscript"/>
              </w:rPr>
              <w:t>10,453,255</w:t>
            </w:r>
            <w:r>
              <w:rPr>
                <w:rFonts w:ascii="Courier New" w:cs="Courier New" w:eastAsia="Courier New" w:hAnsi="Courier New"/>
                <w:sz w:val="9"/>
                <w:szCs w:val="9"/>
                <w:color w:val="auto"/>
                <w:w w:val="71"/>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w:t>
            </w:r>
            <w:r>
              <w:rPr>
                <w:rFonts w:ascii="Courier New" w:cs="Courier New" w:eastAsia="Courier New" w:hAnsi="Courier New"/>
                <w:sz w:val="15"/>
                <w:szCs w:val="15"/>
                <w:color w:val="auto"/>
                <w:w w:val="70"/>
                <w:vertAlign w:val="subscript"/>
              </w:rPr>
              <w:t>$105</w:t>
            </w:r>
          </w:p>
        </w:tc>
        <w:tc>
          <w:tcPr>
            <w:tcW w:w="80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7"/>
                <w:szCs w:val="17"/>
                <w:color w:val="auto"/>
                <w:w w:val="70"/>
                <w:vertAlign w:val="subscript"/>
              </w:rPr>
              <w:t>$26,030</w:t>
            </w:r>
          </w:p>
        </w:tc>
        <w:tc>
          <w:tcPr>
            <w:tcW w:w="4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0"/>
              </w:rPr>
              <w:t>------------</w:t>
            </w:r>
            <w:r>
              <w:rPr>
                <w:rFonts w:ascii="Courier New" w:cs="Courier New" w:eastAsia="Courier New" w:hAnsi="Courier New"/>
                <w:sz w:val="9"/>
                <w:szCs w:val="9"/>
                <w:color w:val="auto"/>
                <w:w w:val="70"/>
                <w:vertAlign w:val="subscript"/>
              </w:rPr>
              <w:t>$</w:t>
            </w:r>
          </w:p>
        </w:tc>
        <w:tc>
          <w:tcPr>
            <w:tcW w:w="52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636</w:t>
            </w:r>
          </w:p>
        </w:tc>
        <w:tc>
          <w:tcPr>
            <w:tcW w:w="1160" w:type="dxa"/>
            <w:vAlign w:val="bottom"/>
          </w:tcPr>
          <w:p>
            <w:pPr>
              <w:jc w:val="center"/>
              <w:ind w:left="19"/>
              <w:spacing w:after="0"/>
              <w:rPr>
                <w:sz w:val="20"/>
                <w:szCs w:val="20"/>
                <w:color w:val="auto"/>
              </w:rPr>
            </w:pPr>
            <w:r>
              <w:rPr>
                <w:rFonts w:ascii="Courier New" w:cs="Courier New" w:eastAsia="Courier New" w:hAnsi="Courier New"/>
                <w:sz w:val="12"/>
                <w:szCs w:val="12"/>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2"/>
                <w:szCs w:val="12"/>
                <w:color w:val="auto"/>
              </w:rPr>
              <w:t>-------- -------------</w:t>
            </w:r>
          </w:p>
        </w:tc>
        <w:tc>
          <w:tcPr>
            <w:tcW w:w="0" w:type="dxa"/>
            <w:vAlign w:val="bottom"/>
          </w:tcPr>
          <w:p>
            <w:pPr>
              <w:spacing w:after="0"/>
              <w:rPr>
                <w:sz w:val="1"/>
                <w:szCs w:val="1"/>
                <w:color w:val="auto"/>
              </w:rPr>
            </w:pPr>
          </w:p>
        </w:tc>
      </w:tr>
      <w:tr>
        <w:trPr>
          <w:trHeight w:val="222"/>
        </w:trPr>
        <w:tc>
          <w:tcPr>
            <w:tcW w:w="2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$1,253</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  (204)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$27,820</w:t>
            </w:r>
          </w:p>
        </w:tc>
        <w:tc>
          <w:tcPr>
            <w:tcW w:w="0" w:type="dxa"/>
            <w:vAlign w:val="bottom"/>
          </w:tcPr>
          <w:p>
            <w:pPr>
              <w:spacing w:after="0"/>
              <w:rPr>
                <w:sz w:val="1"/>
                <w:szCs w:val="1"/>
                <w:color w:val="auto"/>
              </w:rPr>
            </w:pPr>
          </w:p>
        </w:tc>
      </w:tr>
      <w:tr>
        <w:trPr>
          <w:trHeight w:val="183"/>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0"/>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5"/>
                <w:szCs w:val="15"/>
                <w:color w:val="auto"/>
              </w:rPr>
            </w:pPr>
          </w:p>
        </w:tc>
        <w:tc>
          <w:tcPr>
            <w:tcW w:w="5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9"/>
              </w:rPr>
              <w:t>3,077</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3,077</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earnings</w:t>
            </w:r>
          </w:p>
        </w:tc>
        <w:tc>
          <w:tcPr>
            <w:tcW w:w="9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0"/>
              <w:spacing w:after="0"/>
              <w:rPr>
                <w:sz w:val="20"/>
                <w:szCs w:val="20"/>
                <w:color w:val="auto"/>
              </w:rPr>
            </w:pPr>
            <w:r>
              <w:rPr>
                <w:rFonts w:ascii="Courier New" w:cs="Courier New" w:eastAsia="Courier New" w:hAnsi="Courier New"/>
                <w:sz w:val="12"/>
                <w:szCs w:val="12"/>
                <w:color w:val="auto"/>
              </w:rPr>
              <w:t>-</w:t>
            </w:r>
          </w:p>
        </w:tc>
        <w:tc>
          <w:tcPr>
            <w:tcW w:w="400" w:type="dxa"/>
            <w:vAlign w:val="bottom"/>
          </w:tcPr>
          <w:p>
            <w:pPr>
              <w:spacing w:after="0"/>
              <w:rPr>
                <w:sz w:val="11"/>
                <w:szCs w:val="11"/>
                <w:color w:val="auto"/>
              </w:rPr>
            </w:pPr>
          </w:p>
        </w:tc>
        <w:tc>
          <w:tcPr>
            <w:tcW w:w="5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94</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94</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20" w:type="dxa"/>
            <w:vAlign w:val="bottom"/>
            <w:vMerge w:val="restart"/>
          </w:tcPr>
          <w:p>
            <w:pPr>
              <w:jc w:val="right"/>
              <w:ind w:right="22"/>
              <w:spacing w:after="0"/>
              <w:rPr>
                <w:sz w:val="20"/>
                <w:szCs w:val="20"/>
                <w:color w:val="auto"/>
              </w:rPr>
            </w:pPr>
            <w:r>
              <w:rPr>
                <w:rFonts w:ascii="Courier New" w:cs="Courier New" w:eastAsia="Courier New" w:hAnsi="Courier New"/>
                <w:sz w:val="12"/>
                <w:szCs w:val="12"/>
                <w:color w:val="auto"/>
              </w:rPr>
              <w:t>-</w:t>
            </w:r>
          </w:p>
        </w:tc>
        <w:tc>
          <w:tcPr>
            <w:tcW w:w="4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vMerge w:val="restart"/>
          </w:tcPr>
          <w:p>
            <w:pPr>
              <w:jc w:val="right"/>
              <w:ind w:right="40"/>
              <w:spacing w:after="0"/>
              <w:rPr>
                <w:sz w:val="20"/>
                <w:szCs w:val="20"/>
                <w:color w:val="auto"/>
              </w:rPr>
            </w:pPr>
            <w:r>
              <w:rPr>
                <w:rFonts w:ascii="Courier New" w:cs="Courier New" w:eastAsia="Courier New" w:hAnsi="Courier New"/>
                <w:sz w:val="12"/>
                <w:szCs w:val="12"/>
                <w:color w:val="auto"/>
              </w:rPr>
              <w:t>128</w:t>
            </w:r>
          </w:p>
        </w:tc>
        <w:tc>
          <w:tcPr>
            <w:tcW w:w="400" w:type="dxa"/>
            <w:vAlign w:val="bottom"/>
          </w:tcPr>
          <w:p>
            <w:pPr>
              <w:spacing w:after="0"/>
              <w:rPr>
                <w:sz w:val="11"/>
                <w:szCs w:val="11"/>
                <w:color w:val="auto"/>
              </w:rPr>
            </w:pPr>
          </w:p>
        </w:tc>
        <w:tc>
          <w:tcPr>
            <w:tcW w:w="52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vMerge w:val="restart"/>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128</w:t>
            </w: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20" w:type="dxa"/>
            <w:vAlign w:val="bottom"/>
            <w:vMerge w:val="restart"/>
          </w:tcPr>
          <w:p>
            <w:pPr>
              <w:jc w:val="right"/>
              <w:ind w:right="22"/>
              <w:spacing w:after="0"/>
              <w:rPr>
                <w:sz w:val="20"/>
                <w:szCs w:val="20"/>
                <w:color w:val="auto"/>
              </w:rPr>
            </w:pPr>
            <w:r>
              <w:rPr>
                <w:rFonts w:ascii="Courier New" w:cs="Courier New" w:eastAsia="Courier New" w:hAnsi="Courier New"/>
                <w:sz w:val="12"/>
                <w:szCs w:val="12"/>
                <w:color w:val="auto"/>
              </w:rPr>
              <w:t>127,500</w:t>
            </w:r>
          </w:p>
        </w:tc>
        <w:tc>
          <w:tcPr>
            <w:tcW w:w="46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(1)</w:t>
            </w:r>
          </w:p>
        </w:tc>
        <w:tc>
          <w:tcPr>
            <w:tcW w:w="400" w:type="dxa"/>
            <w:vAlign w:val="bottom"/>
          </w:tcPr>
          <w:p>
            <w:pPr>
              <w:spacing w:after="0"/>
              <w:rPr>
                <w:sz w:val="11"/>
                <w:szCs w:val="11"/>
                <w:color w:val="auto"/>
              </w:rPr>
            </w:pPr>
          </w:p>
        </w:tc>
        <w:tc>
          <w:tcPr>
            <w:tcW w:w="52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vMerge w:val="restart"/>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vMerge w:val="restart"/>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Stock options exercised</w:t>
            </w:r>
          </w:p>
        </w:tc>
        <w:tc>
          <w:tcPr>
            <w:tcW w:w="9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10,000</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0"/>
              <w:spacing w:after="0"/>
              <w:rPr>
                <w:sz w:val="20"/>
                <w:szCs w:val="20"/>
                <w:color w:val="auto"/>
              </w:rPr>
            </w:pPr>
            <w:r>
              <w:rPr>
                <w:rFonts w:ascii="Courier New" w:cs="Courier New" w:eastAsia="Courier New" w:hAnsi="Courier New"/>
                <w:sz w:val="12"/>
                <w:szCs w:val="12"/>
                <w:color w:val="auto"/>
              </w:rPr>
              <w:t>30</w:t>
            </w:r>
          </w:p>
        </w:tc>
        <w:tc>
          <w:tcPr>
            <w:tcW w:w="400" w:type="dxa"/>
            <w:vAlign w:val="bottom"/>
          </w:tcPr>
          <w:p>
            <w:pPr>
              <w:spacing w:after="0"/>
              <w:rPr>
                <w:sz w:val="11"/>
                <w:szCs w:val="11"/>
                <w:color w:val="auto"/>
              </w:rPr>
            </w:pPr>
          </w:p>
        </w:tc>
        <w:tc>
          <w:tcPr>
            <w:tcW w:w="52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9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40"/>
              <w:spacing w:after="0"/>
              <w:rPr>
                <w:sz w:val="20"/>
                <w:szCs w:val="20"/>
                <w:color w:val="auto"/>
              </w:rPr>
            </w:pPr>
            <w:r>
              <w:rPr>
                <w:rFonts w:ascii="Courier New" w:cs="Courier New" w:eastAsia="Courier New" w:hAnsi="Courier New"/>
                <w:sz w:val="12"/>
                <w:szCs w:val="12"/>
                <w:color w:val="auto"/>
              </w:rPr>
              <w:t>-------</w:t>
            </w:r>
          </w:p>
        </w:tc>
        <w:tc>
          <w:tcPr>
            <w:tcW w:w="920" w:type="dxa"/>
            <w:vAlign w:val="bottom"/>
            <w:gridSpan w:val="2"/>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w:t>
            </w:r>
          </w:p>
        </w:tc>
        <w:tc>
          <w:tcPr>
            <w:tcW w:w="800" w:type="dxa"/>
            <w:vAlign w:val="bottom"/>
          </w:tcPr>
          <w:p>
            <w:pPr>
              <w:jc w:val="right"/>
              <w:ind w:right="159"/>
              <w:spacing w:after="0"/>
              <w:rPr>
                <w:sz w:val="20"/>
                <w:szCs w:val="20"/>
                <w:color w:val="auto"/>
              </w:rPr>
            </w:pPr>
            <w:r>
              <w:rPr>
                <w:rFonts w:ascii="Courier New" w:cs="Courier New" w:eastAsia="Courier New" w:hAnsi="Courier New"/>
                <w:sz w:val="12"/>
                <w:szCs w:val="12"/>
                <w:color w:val="auto"/>
              </w:rPr>
              <w:t>-------</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December 31, 2013</w:t>
            </w:r>
          </w:p>
        </w:tc>
        <w:tc>
          <w:tcPr>
            <w:tcW w:w="920" w:type="dxa"/>
            <w:vAlign w:val="bottom"/>
          </w:tcPr>
          <w:p>
            <w:pPr>
              <w:jc w:val="right"/>
              <w:ind w:right="22"/>
              <w:spacing w:after="0"/>
              <w:rPr>
                <w:sz w:val="20"/>
                <w:szCs w:val="20"/>
                <w:color w:val="auto"/>
              </w:rPr>
            </w:pPr>
            <w:r>
              <w:rPr>
                <w:rFonts w:ascii="Courier New" w:cs="Courier New" w:eastAsia="Courier New" w:hAnsi="Courier New"/>
                <w:sz w:val="12"/>
                <w:szCs w:val="12"/>
                <w:color w:val="auto"/>
              </w:rPr>
              <w:t>10,590,755</w:t>
            </w:r>
          </w:p>
        </w:tc>
        <w:tc>
          <w:tcPr>
            <w:tcW w:w="460" w:type="dxa"/>
            <w:vAlign w:val="bottom"/>
          </w:tcPr>
          <w:p>
            <w:pPr>
              <w:jc w:val="right"/>
              <w:spacing w:after="0"/>
              <w:rPr>
                <w:sz w:val="20"/>
                <w:szCs w:val="20"/>
                <w:color w:val="auto"/>
              </w:rPr>
            </w:pPr>
            <w:r>
              <w:rPr>
                <w:rFonts w:ascii="Courier New" w:cs="Courier New" w:eastAsia="Courier New" w:hAnsi="Courier New"/>
                <w:sz w:val="12"/>
                <w:szCs w:val="12"/>
                <w:color w:val="auto"/>
              </w:rPr>
              <w:t>106</w:t>
            </w:r>
          </w:p>
        </w:tc>
        <w:tc>
          <w:tcPr>
            <w:tcW w:w="800" w:type="dxa"/>
            <w:vAlign w:val="bottom"/>
          </w:tcPr>
          <w:p>
            <w:pPr>
              <w:jc w:val="right"/>
              <w:ind w:right="40"/>
              <w:spacing w:after="0"/>
              <w:rPr>
                <w:sz w:val="20"/>
                <w:szCs w:val="20"/>
                <w:color w:val="auto"/>
              </w:rPr>
            </w:pPr>
            <w:r>
              <w:rPr>
                <w:rFonts w:ascii="Courier New" w:cs="Courier New" w:eastAsia="Courier New" w:hAnsi="Courier New"/>
                <w:sz w:val="12"/>
                <w:szCs w:val="12"/>
                <w:color w:val="auto"/>
              </w:rPr>
              <w:t>26,187</w:t>
            </w:r>
          </w:p>
        </w:tc>
        <w:tc>
          <w:tcPr>
            <w:tcW w:w="400" w:type="dxa"/>
            <w:vAlign w:val="bottom"/>
          </w:tcPr>
          <w:p>
            <w:pPr>
              <w:spacing w:after="0"/>
              <w:rPr>
                <w:sz w:val="23"/>
                <w:szCs w:val="23"/>
                <w:color w:val="auto"/>
              </w:rPr>
            </w:pPr>
          </w:p>
        </w:tc>
        <w:tc>
          <w:tcPr>
            <w:tcW w:w="520" w:type="dxa"/>
            <w:vAlign w:val="bottom"/>
          </w:tcPr>
          <w:p>
            <w:pPr>
              <w:jc w:val="right"/>
              <w:ind w:right="79"/>
              <w:spacing w:after="0"/>
              <w:rPr>
                <w:sz w:val="20"/>
                <w:szCs w:val="20"/>
                <w:color w:val="auto"/>
              </w:rPr>
            </w:pPr>
            <w:r>
              <w:rPr>
                <w:rFonts w:ascii="Courier New" w:cs="Courier New" w:eastAsia="Courier New" w:hAnsi="Courier New"/>
                <w:sz w:val="12"/>
                <w:szCs w:val="12"/>
                <w:color w:val="auto"/>
                <w:w w:val="99"/>
              </w:rPr>
              <w:t>3,713</w:t>
            </w:r>
          </w:p>
        </w:tc>
        <w:tc>
          <w:tcPr>
            <w:tcW w:w="1160" w:type="dxa"/>
            <w:vAlign w:val="bottom"/>
          </w:tcPr>
          <w:p>
            <w:pPr>
              <w:jc w:val="right"/>
              <w:ind w:right="299"/>
              <w:spacing w:after="0"/>
              <w:rPr>
                <w:sz w:val="20"/>
                <w:szCs w:val="20"/>
                <w:color w:val="auto"/>
              </w:rPr>
            </w:pPr>
            <w:r>
              <w:rPr>
                <w:rFonts w:ascii="Courier New" w:cs="Courier New" w:eastAsia="Courier New" w:hAnsi="Courier New"/>
                <w:sz w:val="12"/>
                <w:szCs w:val="12"/>
                <w:color w:val="auto"/>
              </w:rPr>
              <w:t>1,347</w:t>
            </w:r>
          </w:p>
        </w:tc>
        <w:tc>
          <w:tcPr>
            <w:tcW w:w="80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(204)</w:t>
            </w:r>
          </w:p>
        </w:tc>
        <w:tc>
          <w:tcPr>
            <w:tcW w:w="880" w:type="dxa"/>
            <w:vAlign w:val="bottom"/>
          </w:tcPr>
          <w:p>
            <w:pPr>
              <w:jc w:val="right"/>
              <w:ind w:right="79"/>
              <w:spacing w:after="0"/>
              <w:rPr>
                <w:sz w:val="20"/>
                <w:szCs w:val="20"/>
                <w:color w:val="auto"/>
              </w:rPr>
            </w:pPr>
            <w:r>
              <w:rPr>
                <w:rFonts w:ascii="Courier New" w:cs="Courier New" w:eastAsia="Courier New" w:hAnsi="Courier New"/>
                <w:sz w:val="12"/>
                <w:szCs w:val="12"/>
                <w:color w:val="auto"/>
              </w:rPr>
              <w:t>31,149</w:t>
            </w:r>
          </w:p>
        </w:tc>
        <w:tc>
          <w:tcPr>
            <w:tcW w:w="0" w:type="dxa"/>
            <w:vAlign w:val="bottom"/>
          </w:tcPr>
          <w:p>
            <w:pPr>
              <w:spacing w:after="0"/>
              <w:rPr>
                <w:sz w:val="1"/>
                <w:szCs w:val="1"/>
                <w:color w:val="auto"/>
              </w:rPr>
            </w:pPr>
          </w:p>
        </w:tc>
      </w:tr>
    </w:tbl>
    <w:p>
      <w:pPr>
        <w:sectPr>
          <w:pgSz w:w="11900" w:h="16898" w:orient="portrait"/>
          <w:cols w:equalWidth="0" w:num="1">
            <w:col w:w="10219"/>
          </w:cols>
          <w:pgMar w:left="240" w:top="125" w:right="1440"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160" w:type="dxa"/>
            <w:vAlign w:val="bottom"/>
          </w:tcPr>
          <w:p>
            <w:pPr>
              <w:spacing w:after="0"/>
              <w:rPr>
                <w:sz w:val="20"/>
                <w:szCs w:val="20"/>
                <w:color w:val="auto"/>
              </w:rPr>
            </w:pPr>
            <w:r>
              <w:rPr>
                <w:rFonts w:ascii="Courier New" w:cs="Courier New" w:eastAsia="Courier New" w:hAnsi="Courier New"/>
                <w:sz w:val="12"/>
                <w:szCs w:val="12"/>
                <w:color w:val="auto"/>
              </w:rPr>
              <w:t>Net earnings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3,439</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3,439</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Other comprehensive loss</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(354)</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2"/>
                <w:szCs w:val="12"/>
                <w:color w:val="auto"/>
              </w:rPr>
              <w:t>(354)</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Amortization of deferred</w:t>
            </w: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compensation related to</w:t>
            </w:r>
          </w:p>
        </w:tc>
        <w:tc>
          <w:tcPr>
            <w:tcW w:w="940" w:type="dxa"/>
            <w:vAlign w:val="bottom"/>
            <w:vMerge w:val="restart"/>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vMerge w:val="restart"/>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134</w:t>
            </w:r>
          </w:p>
        </w:tc>
        <w:tc>
          <w:tcPr>
            <w:tcW w:w="980" w:type="dxa"/>
            <w:vAlign w:val="bottom"/>
            <w:vMerge w:val="restart"/>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2"/>
                <w:szCs w:val="12"/>
                <w:color w:val="auto"/>
              </w:rPr>
              <w:t>134</w:t>
            </w: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restricted stock</w:t>
            </w:r>
          </w:p>
        </w:tc>
        <w:tc>
          <w:tcPr>
            <w:tcW w:w="9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Forfeiture of non-vested</w:t>
            </w:r>
          </w:p>
        </w:tc>
        <w:tc>
          <w:tcPr>
            <w:tcW w:w="94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(5,000)</w:t>
            </w:r>
          </w:p>
        </w:tc>
        <w:tc>
          <w:tcPr>
            <w:tcW w:w="520" w:type="dxa"/>
            <w:vAlign w:val="bottom"/>
            <w:vMerge w:val="restart"/>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vMerge w:val="restart"/>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20"/>
                <w:szCs w:val="20"/>
                <w:color w:val="auto"/>
              </w:rPr>
            </w:pPr>
            <w:r>
              <w:rPr>
                <w:rFonts w:ascii="Courier New" w:cs="Courier New" w:eastAsia="Courier New" w:hAnsi="Courier New"/>
                <w:sz w:val="12"/>
                <w:szCs w:val="12"/>
                <w:color w:val="auto"/>
              </w:rPr>
              <w:t>Issuance of non-vested</w:t>
            </w:r>
          </w:p>
        </w:tc>
        <w:tc>
          <w:tcPr>
            <w:tcW w:w="940" w:type="dxa"/>
            <w:vAlign w:val="bottom"/>
            <w:vMerge w:val="restart"/>
          </w:tcPr>
          <w:p>
            <w:pPr>
              <w:jc w:val="right"/>
              <w:ind w:right="39"/>
              <w:spacing w:after="0"/>
              <w:rPr>
                <w:sz w:val="20"/>
                <w:szCs w:val="20"/>
                <w:color w:val="auto"/>
              </w:rPr>
            </w:pPr>
            <w:r>
              <w:rPr>
                <w:rFonts w:ascii="Courier New" w:cs="Courier New" w:eastAsia="Courier New" w:hAnsi="Courier New"/>
                <w:sz w:val="12"/>
                <w:szCs w:val="12"/>
                <w:color w:val="auto"/>
              </w:rPr>
              <w:t>10,000</w:t>
            </w:r>
          </w:p>
        </w:tc>
        <w:tc>
          <w:tcPr>
            <w:tcW w:w="520" w:type="dxa"/>
            <w:vAlign w:val="bottom"/>
            <w:vMerge w:val="restart"/>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vMerge w:val="restart"/>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vMerge w:val="restart"/>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vMerge w:val="restart"/>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vMerge w:val="restart"/>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2160" w:type="dxa"/>
            <w:vAlign w:val="bottom"/>
          </w:tcPr>
          <w:p>
            <w:pPr>
              <w:ind w:left="160"/>
              <w:spacing w:after="0"/>
              <w:rPr>
                <w:sz w:val="20"/>
                <w:szCs w:val="20"/>
                <w:color w:val="auto"/>
              </w:rPr>
            </w:pPr>
            <w:r>
              <w:rPr>
                <w:rFonts w:ascii="Courier New" w:cs="Courier New" w:eastAsia="Courier New" w:hAnsi="Courier New"/>
                <w:sz w:val="12"/>
                <w:szCs w:val="12"/>
                <w:color w:val="auto"/>
              </w:rPr>
              <w:t>shares of restricted stock</w:t>
            </w:r>
          </w:p>
        </w:tc>
        <w:tc>
          <w:tcPr>
            <w:tcW w:w="9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16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0"/>
                <w:szCs w:val="20"/>
                <w:color w:val="auto"/>
              </w:rPr>
            </w:pPr>
            <w:r>
              <w:rPr>
                <w:rFonts w:ascii="Courier New" w:cs="Courier New" w:eastAsia="Courier New" w:hAnsi="Courier New"/>
                <w:sz w:val="12"/>
                <w:szCs w:val="12"/>
                <w:color w:val="auto"/>
              </w:rPr>
              <w:t>Balance, December 31, 2014</w:t>
            </w: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10,595,755</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$ 106</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$26,321</w:t>
            </w:r>
          </w:p>
        </w:tc>
        <w:tc>
          <w:tcPr>
            <w:tcW w:w="9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  7,152</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  993</w:t>
            </w:r>
          </w:p>
        </w:tc>
        <w:tc>
          <w:tcPr>
            <w:tcW w:w="940" w:type="dxa"/>
            <w:vAlign w:val="bottom"/>
          </w:tcPr>
          <w:p>
            <w:pPr>
              <w:jc w:val="right"/>
              <w:ind w:right="119"/>
              <w:spacing w:after="0"/>
              <w:rPr>
                <w:sz w:val="20"/>
                <w:szCs w:val="20"/>
                <w:color w:val="auto"/>
              </w:rPr>
            </w:pPr>
            <w:r>
              <w:rPr>
                <w:rFonts w:ascii="Courier New" w:cs="Courier New" w:eastAsia="Courier New" w:hAnsi="Courier New"/>
                <w:sz w:val="12"/>
                <w:szCs w:val="12"/>
                <w:color w:val="auto"/>
              </w:rPr>
              <w:t>$  (204)</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$34,368</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Courier New" w:cs="Courier New" w:eastAsia="Courier New" w:hAnsi="Courier New"/>
                <w:sz w:val="12"/>
                <w:szCs w:val="12"/>
                <w:color w:val="auto"/>
              </w:rPr>
              <w:t>==========</w:t>
            </w:r>
          </w:p>
        </w:tc>
        <w:tc>
          <w:tcPr>
            <w:tcW w:w="520" w:type="dxa"/>
            <w:vAlign w:val="bottom"/>
          </w:tcPr>
          <w:p>
            <w:pPr>
              <w:jc w:val="right"/>
              <w:ind w:right="59"/>
              <w:spacing w:after="0"/>
              <w:rPr>
                <w:sz w:val="20"/>
                <w:szCs w:val="20"/>
                <w:color w:val="auto"/>
              </w:rPr>
            </w:pPr>
            <w:r>
              <w:rPr>
                <w:rFonts w:ascii="Courier New" w:cs="Courier New" w:eastAsia="Courier New" w:hAnsi="Courier New"/>
                <w:sz w:val="12"/>
                <w:szCs w:val="12"/>
                <w:color w:val="auto"/>
              </w:rPr>
              <w:t>=====</w:t>
            </w:r>
          </w:p>
        </w:tc>
        <w:tc>
          <w:tcPr>
            <w:tcW w:w="760" w:type="dxa"/>
            <w:vAlign w:val="bottom"/>
          </w:tcPr>
          <w:p>
            <w:pPr>
              <w:jc w:val="right"/>
              <w:ind w:right="79"/>
              <w:spacing w:after="0"/>
              <w:rPr>
                <w:sz w:val="20"/>
                <w:szCs w:val="20"/>
                <w:color w:val="auto"/>
              </w:rPr>
            </w:pPr>
            <w:r>
              <w:rPr>
                <w:rFonts w:ascii="Courier New" w:cs="Courier New" w:eastAsia="Courier New" w:hAnsi="Courier New"/>
                <w:sz w:val="12"/>
                <w:szCs w:val="12"/>
                <w:color w:val="auto"/>
              </w:rPr>
              <w:t>=======</w:t>
            </w:r>
          </w:p>
        </w:tc>
        <w:tc>
          <w:tcPr>
            <w:tcW w:w="980" w:type="dxa"/>
            <w:vAlign w:val="bottom"/>
          </w:tcPr>
          <w:p>
            <w:pPr>
              <w:jc w:val="right"/>
              <w:ind w:right="179"/>
              <w:spacing w:after="0"/>
              <w:rPr>
                <w:sz w:val="20"/>
                <w:szCs w:val="20"/>
                <w:color w:val="auto"/>
              </w:rPr>
            </w:pPr>
            <w:r>
              <w:rPr>
                <w:rFonts w:ascii="Courier New" w:cs="Courier New" w:eastAsia="Courier New" w:hAnsi="Courier New"/>
                <w:sz w:val="12"/>
                <w:szCs w:val="12"/>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940" w:type="dxa"/>
            <w:vAlign w:val="bottom"/>
          </w:tcPr>
          <w:p>
            <w:pPr>
              <w:jc w:val="right"/>
              <w:ind w:right="199"/>
              <w:spacing w:after="0"/>
              <w:rPr>
                <w:sz w:val="20"/>
                <w:szCs w:val="20"/>
                <w:color w:val="auto"/>
              </w:rPr>
            </w:pPr>
            <w:r>
              <w:rPr>
                <w:rFonts w:ascii="Courier New" w:cs="Courier New" w:eastAsia="Courier New" w:hAnsi="Courier New"/>
                <w:sz w:val="12"/>
                <w:szCs w:val="12"/>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 - 4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gridSpan w:val="4"/>
          </w:tcPr>
          <w:p>
            <w:pPr>
              <w:jc w:val="center"/>
              <w:ind w:left="4658"/>
              <w:spacing w:after="0"/>
              <w:rPr>
                <w:sz w:val="20"/>
                <w:szCs w:val="20"/>
                <w:color w:val="auto"/>
              </w:rPr>
            </w:pPr>
            <w:r>
              <w:rPr>
                <w:rFonts w:ascii="Times New Roman" w:cs="Times New Roman" w:eastAsia="Times New Roman" w:hAnsi="Times New Roman"/>
                <w:sz w:val="18"/>
                <w:szCs w:val="18"/>
                <w:b w:val="1"/>
                <w:bCs w:val="1"/>
                <w:color w:val="auto"/>
                <w:w w:val="96"/>
              </w:rPr>
              <w:t>inTEST CORPORATION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780" w:type="dxa"/>
            <w:vAlign w:val="bottom"/>
            <w:gridSpan w:val="5"/>
          </w:tcPr>
          <w:p>
            <w:pPr>
              <w:jc w:val="center"/>
              <w:ind w:left="3598"/>
              <w:spacing w:after="0"/>
              <w:rPr>
                <w:sz w:val="20"/>
                <w:szCs w:val="20"/>
                <w:color w:val="auto"/>
              </w:rPr>
            </w:pPr>
            <w:r>
              <w:rPr>
                <w:rFonts w:ascii="Times New Roman" w:cs="Times New Roman" w:eastAsia="Times New Roman" w:hAnsi="Times New Roman"/>
                <w:sz w:val="18"/>
                <w:szCs w:val="18"/>
                <w:b w:val="1"/>
                <w:bCs w:val="1"/>
                <w:color w:val="auto"/>
                <w:w w:val="96"/>
              </w:rPr>
              <w:t>CONSOLIDATED STATEMENTS OF CASH FLOWS</w:t>
            </w: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1240" w:type="dxa"/>
            <w:vAlign w:val="bottom"/>
            <w:gridSpan w:val="2"/>
          </w:tcPr>
          <w:p>
            <w:pPr>
              <w:jc w:val="center"/>
              <w:ind w:right="159"/>
              <w:spacing w:after="0"/>
              <w:rPr>
                <w:sz w:val="20"/>
                <w:szCs w:val="20"/>
                <w:color w:val="auto"/>
              </w:rPr>
            </w:pPr>
            <w:r>
              <w:rPr>
                <w:rFonts w:ascii="Times New Roman" w:cs="Times New Roman" w:eastAsia="Times New Roman" w:hAnsi="Times New Roman"/>
                <w:sz w:val="18"/>
                <w:szCs w:val="18"/>
                <w:color w:val="auto"/>
                <w:w w:val="98"/>
              </w:rPr>
              <w:t>(In thousands)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9"/>
        </w:trPr>
        <w:tc>
          <w:tcPr>
            <w:tcW w:w="5200" w:type="dxa"/>
            <w:vAlign w:val="bottom"/>
          </w:tcPr>
          <w:p>
            <w:pPr>
              <w:spacing w:after="0"/>
              <w:rPr>
                <w:sz w:val="24"/>
                <w:szCs w:val="24"/>
                <w:color w:val="auto"/>
              </w:rPr>
            </w:pPr>
          </w:p>
        </w:tc>
        <w:tc>
          <w:tcPr>
            <w:tcW w:w="2580" w:type="dxa"/>
            <w:vAlign w:val="bottom"/>
            <w:gridSpan w:val="4"/>
          </w:tcPr>
          <w:p>
            <w:pPr>
              <w:ind w:left="200"/>
              <w:spacing w:after="0"/>
              <w:rPr>
                <w:sz w:val="20"/>
                <w:szCs w:val="20"/>
                <w:color w:val="auto"/>
              </w:rPr>
            </w:pPr>
            <w:r>
              <w:rPr>
                <w:rFonts w:ascii="Courier New" w:cs="Courier New" w:eastAsia="Courier New" w:hAnsi="Courier New"/>
                <w:sz w:val="12"/>
                <w:szCs w:val="12"/>
                <w:color w:val="auto"/>
              </w:rPr>
              <w:t>Years Ended December 31,</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580" w:type="dxa"/>
            <w:vAlign w:val="bottom"/>
            <w:gridSpan w:val="4"/>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center"/>
              <w:ind w:right="459"/>
              <w:spacing w:after="0"/>
              <w:rPr>
                <w:sz w:val="20"/>
                <w:szCs w:val="20"/>
                <w:color w:val="auto"/>
              </w:rPr>
            </w:pPr>
            <w:r>
              <w:rPr>
                <w:rFonts w:ascii="Courier New" w:cs="Courier New" w:eastAsia="Courier New" w:hAnsi="Courier New"/>
                <w:sz w:val="12"/>
                <w:szCs w:val="12"/>
                <w:color w:val="auto"/>
                <w:w w:val="97"/>
              </w:rPr>
              <w:t>2014</w:t>
            </w:r>
          </w:p>
        </w:tc>
        <w:tc>
          <w:tcPr>
            <w:tcW w:w="280" w:type="dxa"/>
            <w:vAlign w:val="bottom"/>
          </w:tcPr>
          <w:p>
            <w:pPr>
              <w:spacing w:after="0"/>
              <w:rPr>
                <w:sz w:val="11"/>
                <w:szCs w:val="11"/>
                <w:color w:val="auto"/>
              </w:rPr>
            </w:pPr>
          </w:p>
        </w:tc>
        <w:tc>
          <w:tcPr>
            <w:tcW w:w="1060" w:type="dxa"/>
            <w:vAlign w:val="bottom"/>
          </w:tcPr>
          <w:p>
            <w:pPr>
              <w:jc w:val="right"/>
              <w:ind w:right="639"/>
              <w:spacing w:after="0"/>
              <w:rPr>
                <w:sz w:val="20"/>
                <w:szCs w:val="20"/>
                <w:color w:val="auto"/>
              </w:rPr>
            </w:pPr>
            <w:r>
              <w:rPr>
                <w:rFonts w:ascii="Courier New" w:cs="Courier New" w:eastAsia="Courier New" w:hAnsi="Courier New"/>
                <w:sz w:val="12"/>
                <w:szCs w:val="12"/>
                <w:color w:val="auto"/>
              </w:rPr>
              <w:t>2013</w:t>
            </w:r>
          </w:p>
        </w:tc>
        <w:tc>
          <w:tcPr>
            <w:tcW w:w="0" w:type="dxa"/>
            <w:vAlign w:val="bottom"/>
          </w:tcPr>
          <w:p>
            <w:pPr>
              <w:spacing w:after="0"/>
              <w:rPr>
                <w:sz w:val="1"/>
                <w:szCs w:val="1"/>
                <w:color w:val="auto"/>
              </w:rPr>
            </w:pPr>
          </w:p>
        </w:tc>
      </w:tr>
      <w:tr>
        <w:trPr>
          <w:trHeight w:val="20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CASH FLOWS FROM OPERATING ACTIVITIES</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65"/>
        </w:trPr>
        <w:tc>
          <w:tcPr>
            <w:tcW w:w="5200" w:type="dxa"/>
            <w:vAlign w:val="bottom"/>
            <w:vMerge w:val="continue"/>
          </w:tcPr>
          <w:p>
            <w:pPr>
              <w:spacing w:after="0"/>
              <w:rPr>
                <w:sz w:val="5"/>
                <w:szCs w:val="5"/>
                <w:color w:val="auto"/>
              </w:rPr>
            </w:pPr>
          </w:p>
        </w:tc>
        <w:tc>
          <w:tcPr>
            <w:tcW w:w="1240" w:type="dxa"/>
            <w:vAlign w:val="bottom"/>
            <w:gridSpan w:val="2"/>
            <w:vMerge w:val="restart"/>
          </w:tcPr>
          <w:p>
            <w:pPr>
              <w:jc w:val="right"/>
              <w:ind w:right="459"/>
              <w:spacing w:after="0"/>
              <w:rPr>
                <w:sz w:val="20"/>
                <w:szCs w:val="20"/>
                <w:color w:val="auto"/>
              </w:rPr>
            </w:pPr>
            <w:r>
              <w:rPr>
                <w:rFonts w:ascii="Courier New" w:cs="Courier New" w:eastAsia="Courier New" w:hAnsi="Courier New"/>
                <w:sz w:val="12"/>
                <w:szCs w:val="12"/>
                <w:color w:val="auto"/>
              </w:rPr>
              <w:t>$ 3,439</w:t>
            </w:r>
          </w:p>
        </w:tc>
        <w:tc>
          <w:tcPr>
            <w:tcW w:w="1340" w:type="dxa"/>
            <w:vAlign w:val="bottom"/>
            <w:gridSpan w:val="2"/>
            <w:vMerge w:val="restart"/>
          </w:tcPr>
          <w:p>
            <w:pPr>
              <w:jc w:val="right"/>
              <w:ind w:right="559"/>
              <w:spacing w:after="0"/>
              <w:rPr>
                <w:sz w:val="20"/>
                <w:szCs w:val="20"/>
                <w:color w:val="auto"/>
              </w:rPr>
            </w:pPr>
            <w:r>
              <w:rPr>
                <w:rFonts w:ascii="Courier New" w:cs="Courier New" w:eastAsia="Courier New" w:hAnsi="Courier New"/>
                <w:sz w:val="12"/>
                <w:szCs w:val="12"/>
                <w:color w:val="auto"/>
              </w:rPr>
              <w:t>$ 3,077</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Net earnings</w:t>
            </w:r>
          </w:p>
        </w:tc>
        <w:tc>
          <w:tcPr>
            <w:tcW w:w="124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Adjustments to reconcile net earnings to net cash provided by</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220"/>
              <w:spacing w:after="0"/>
              <w:rPr>
                <w:sz w:val="20"/>
                <w:szCs w:val="20"/>
                <w:color w:val="auto"/>
              </w:rPr>
            </w:pPr>
            <w:r>
              <w:rPr>
                <w:rFonts w:ascii="Courier New" w:cs="Courier New" w:eastAsia="Courier New" w:hAnsi="Courier New"/>
                <w:sz w:val="12"/>
                <w:szCs w:val="12"/>
                <w:color w:val="auto"/>
              </w:rPr>
              <w:t>operating activities:</w:t>
            </w:r>
          </w:p>
        </w:tc>
        <w:tc>
          <w:tcPr>
            <w:tcW w:w="280" w:type="dxa"/>
            <w:vAlign w:val="bottom"/>
          </w:tcPr>
          <w:p>
            <w:pPr>
              <w:spacing w:after="0"/>
              <w:rPr>
                <w:sz w:val="11"/>
                <w:szCs w:val="11"/>
                <w:color w:val="auto"/>
              </w:rPr>
            </w:pPr>
          </w:p>
        </w:tc>
        <w:tc>
          <w:tcPr>
            <w:tcW w:w="960" w:type="dxa"/>
            <w:vAlign w:val="bottom"/>
            <w:vMerge w:val="restart"/>
          </w:tcPr>
          <w:p>
            <w:pPr>
              <w:jc w:val="right"/>
              <w:ind w:right="459"/>
              <w:spacing w:after="0"/>
              <w:rPr>
                <w:sz w:val="20"/>
                <w:szCs w:val="20"/>
                <w:color w:val="auto"/>
              </w:rPr>
            </w:pPr>
            <w:r>
              <w:rPr>
                <w:rFonts w:ascii="Courier New" w:cs="Courier New" w:eastAsia="Courier New" w:hAnsi="Courier New"/>
                <w:sz w:val="12"/>
                <w:szCs w:val="12"/>
                <w:color w:val="auto"/>
              </w:rPr>
              <w:t>879</w:t>
            </w:r>
          </w:p>
        </w:tc>
        <w:tc>
          <w:tcPr>
            <w:tcW w:w="280" w:type="dxa"/>
            <w:vAlign w:val="bottom"/>
          </w:tcPr>
          <w:p>
            <w:pPr>
              <w:spacing w:after="0"/>
              <w:rPr>
                <w:sz w:val="11"/>
                <w:szCs w:val="11"/>
                <w:color w:val="auto"/>
              </w:rPr>
            </w:pPr>
          </w:p>
        </w:tc>
        <w:tc>
          <w:tcPr>
            <w:tcW w:w="1060" w:type="dxa"/>
            <w:vAlign w:val="bottom"/>
            <w:vMerge w:val="restart"/>
          </w:tcPr>
          <w:p>
            <w:pPr>
              <w:jc w:val="right"/>
              <w:ind w:right="559"/>
              <w:spacing w:after="0"/>
              <w:rPr>
                <w:sz w:val="20"/>
                <w:szCs w:val="20"/>
                <w:color w:val="auto"/>
              </w:rPr>
            </w:pPr>
            <w:r>
              <w:rPr>
                <w:rFonts w:ascii="Courier New" w:cs="Courier New" w:eastAsia="Courier New" w:hAnsi="Courier New"/>
                <w:sz w:val="12"/>
                <w:szCs w:val="12"/>
                <w:color w:val="auto"/>
              </w:rPr>
              <w:t>847</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Depreciation and amortization</w:t>
            </w: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Provision for excess and obsolete inventory</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344</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311</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Foreign exchange loss</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44</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Amortization of deferred compensation related to restricted stock</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134</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128</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(Gain) loss on sale of property and equipment</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44</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Proceeds from sale of demonstration equipment, net of gain</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161</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32</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Deferred income tax expense</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318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307</w:t>
            </w:r>
          </w:p>
        </w:tc>
        <w:tc>
          <w:tcPr>
            <w:tcW w:w="0" w:type="dxa"/>
            <w:vAlign w:val="bottom"/>
          </w:tcPr>
          <w:p>
            <w:pPr>
              <w:spacing w:after="0"/>
              <w:rPr>
                <w:sz w:val="1"/>
                <w:szCs w:val="1"/>
                <w:color w:val="auto"/>
              </w:rPr>
            </w:pPr>
          </w:p>
        </w:tc>
      </w:tr>
      <w:tr>
        <w:trPr>
          <w:trHeight w:val="135"/>
        </w:trPr>
        <w:tc>
          <w:tcPr>
            <w:tcW w:w="5200" w:type="dxa"/>
            <w:vAlign w:val="bottom"/>
          </w:tcPr>
          <w:p>
            <w:pPr>
              <w:ind w:left="300"/>
              <w:spacing w:after="0"/>
              <w:rPr>
                <w:sz w:val="20"/>
                <w:szCs w:val="20"/>
                <w:color w:val="auto"/>
              </w:rPr>
            </w:pPr>
            <w:r>
              <w:rPr>
                <w:rFonts w:ascii="Courier New" w:cs="Courier New" w:eastAsia="Courier New" w:hAnsi="Courier New"/>
                <w:sz w:val="12"/>
                <w:szCs w:val="12"/>
                <w:color w:val="auto"/>
              </w:rPr>
              <w:t>Changes in assets and liabilities:</w:t>
            </w:r>
          </w:p>
        </w:tc>
        <w:tc>
          <w:tcPr>
            <w:tcW w:w="280" w:type="dxa"/>
            <w:vAlign w:val="bottom"/>
          </w:tcPr>
          <w:p>
            <w:pPr>
              <w:spacing w:after="0"/>
              <w:rPr>
                <w:sz w:val="11"/>
                <w:szCs w:val="11"/>
                <w:color w:val="auto"/>
              </w:rPr>
            </w:pPr>
          </w:p>
        </w:tc>
        <w:tc>
          <w:tcPr>
            <w:tcW w:w="960" w:type="dxa"/>
            <w:vAlign w:val="bottom"/>
            <w:vMerge w:val="restart"/>
          </w:tcPr>
          <w:p>
            <w:pPr>
              <w:jc w:val="right"/>
              <w:ind w:right="459"/>
              <w:spacing w:after="0"/>
              <w:rPr>
                <w:sz w:val="20"/>
                <w:szCs w:val="20"/>
                <w:color w:val="auto"/>
              </w:rPr>
            </w:pPr>
            <w:r>
              <w:rPr>
                <w:rFonts w:ascii="Courier New" w:cs="Courier New" w:eastAsia="Courier New" w:hAnsi="Courier New"/>
                <w:sz w:val="12"/>
                <w:szCs w:val="12"/>
                <w:color w:val="auto"/>
              </w:rPr>
              <w:t>610</w:t>
            </w:r>
          </w:p>
        </w:tc>
        <w:tc>
          <w:tcPr>
            <w:tcW w:w="280" w:type="dxa"/>
            <w:vAlign w:val="bottom"/>
          </w:tcPr>
          <w:p>
            <w:pPr>
              <w:spacing w:after="0"/>
              <w:rPr>
                <w:sz w:val="11"/>
                <w:szCs w:val="11"/>
                <w:color w:val="auto"/>
              </w:rPr>
            </w:pPr>
          </w:p>
        </w:tc>
        <w:tc>
          <w:tcPr>
            <w:tcW w:w="1060" w:type="dxa"/>
            <w:vAlign w:val="bottom"/>
            <w:vMerge w:val="restart"/>
          </w:tcPr>
          <w:p>
            <w:pPr>
              <w:jc w:val="right"/>
              <w:ind w:right="499"/>
              <w:spacing w:after="0"/>
              <w:rPr>
                <w:sz w:val="20"/>
                <w:szCs w:val="20"/>
                <w:color w:val="auto"/>
              </w:rPr>
            </w:pPr>
            <w:r>
              <w:rPr>
                <w:rFonts w:ascii="Courier New" w:cs="Courier New" w:eastAsia="Courier New" w:hAnsi="Courier New"/>
                <w:sz w:val="12"/>
                <w:szCs w:val="12"/>
                <w:color w:val="auto"/>
              </w:rPr>
              <w:t>(233)</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Trade accounts receivable</w:t>
            </w: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Inventories</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(893)</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(416)</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Prepaid expenses and other current assets</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(113)</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(6)</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Restricted certificates of deposit</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100</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Other assets</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(17)</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(18)</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Accounts payable</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172</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23</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Accrued wages and benefits</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(75)</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63</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Accrued rent</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38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48</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Accrued professional fees</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25</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(19)</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Accrued sales commissions</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23</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(43)</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Domestic and foreign income taxes payable</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(61)</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tcPr>
          <w:p>
            <w:pPr>
              <w:ind w:left="440"/>
              <w:spacing w:after="0"/>
              <w:rPr>
                <w:sz w:val="20"/>
                <w:szCs w:val="20"/>
                <w:color w:val="auto"/>
              </w:rPr>
            </w:pPr>
            <w:r>
              <w:rPr>
                <w:rFonts w:ascii="Courier New" w:cs="Courier New" w:eastAsia="Courier New" w:hAnsi="Courier New"/>
                <w:sz w:val="12"/>
                <w:szCs w:val="12"/>
                <w:color w:val="auto"/>
              </w:rPr>
              <w:t>Other current liabilities</w:t>
            </w: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(43)</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(332)</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Net cash provided by operating activities</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5,129</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3,770</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00"/>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FLOWS FROM INVESTING ACTIVITIES</w:t>
            </w:r>
          </w:p>
        </w:tc>
        <w:tc>
          <w:tcPr>
            <w:tcW w:w="280" w:type="dxa"/>
            <w:vAlign w:val="bottom"/>
          </w:tcPr>
          <w:p>
            <w:pPr>
              <w:spacing w:after="0"/>
              <w:rPr>
                <w:sz w:val="17"/>
                <w:szCs w:val="17"/>
                <w:color w:val="auto"/>
              </w:rPr>
            </w:pPr>
          </w:p>
        </w:tc>
        <w:tc>
          <w:tcPr>
            <w:tcW w:w="960" w:type="dxa"/>
            <w:vAlign w:val="bottom"/>
            <w:vMerge w:val="restart"/>
          </w:tcPr>
          <w:p>
            <w:pPr>
              <w:jc w:val="right"/>
              <w:ind w:right="399"/>
              <w:spacing w:after="0"/>
              <w:rPr>
                <w:sz w:val="20"/>
                <w:szCs w:val="20"/>
                <w:color w:val="auto"/>
              </w:rPr>
            </w:pPr>
            <w:r>
              <w:rPr>
                <w:rFonts w:ascii="Courier New" w:cs="Courier New" w:eastAsia="Courier New" w:hAnsi="Courier New"/>
                <w:sz w:val="12"/>
                <w:szCs w:val="12"/>
                <w:color w:val="auto"/>
              </w:rPr>
              <w:t>(831)</w:t>
            </w:r>
          </w:p>
        </w:tc>
        <w:tc>
          <w:tcPr>
            <w:tcW w:w="280" w:type="dxa"/>
            <w:vAlign w:val="bottom"/>
          </w:tcPr>
          <w:p>
            <w:pPr>
              <w:spacing w:after="0"/>
              <w:rPr>
                <w:sz w:val="17"/>
                <w:szCs w:val="17"/>
                <w:color w:val="auto"/>
              </w:rPr>
            </w:pPr>
          </w:p>
        </w:tc>
        <w:tc>
          <w:tcPr>
            <w:tcW w:w="1060" w:type="dxa"/>
            <w:vAlign w:val="bottom"/>
            <w:vMerge w:val="restart"/>
          </w:tcPr>
          <w:p>
            <w:pPr>
              <w:jc w:val="right"/>
              <w:ind w:right="499"/>
              <w:spacing w:after="0"/>
              <w:rPr>
                <w:sz w:val="20"/>
                <w:szCs w:val="20"/>
                <w:color w:val="auto"/>
              </w:rPr>
            </w:pPr>
            <w:r>
              <w:rPr>
                <w:rFonts w:ascii="Courier New" w:cs="Courier New" w:eastAsia="Courier New" w:hAnsi="Courier New"/>
                <w:sz w:val="12"/>
                <w:szCs w:val="12"/>
                <w:color w:val="auto"/>
              </w:rPr>
              <w:t>(424)</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Purchase of property and equipment</w:t>
            </w: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sale of property and equipment</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10</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Net cash used in investing activities</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(823)</w:t>
            </w:r>
          </w:p>
        </w:tc>
        <w:tc>
          <w:tcPr>
            <w:tcW w:w="280" w:type="dxa"/>
            <w:vAlign w:val="bottom"/>
          </w:tcPr>
          <w:p>
            <w:pPr>
              <w:spacing w:after="0"/>
              <w:rPr>
                <w:sz w:val="11"/>
                <w:szCs w:val="11"/>
                <w:color w:val="auto"/>
              </w:rPr>
            </w:pPr>
          </w:p>
        </w:tc>
        <w:tc>
          <w:tcPr>
            <w:tcW w:w="1060" w:type="dxa"/>
            <w:vAlign w:val="bottom"/>
          </w:tcPr>
          <w:p>
            <w:pPr>
              <w:jc w:val="right"/>
              <w:ind w:right="499"/>
              <w:spacing w:after="0"/>
              <w:rPr>
                <w:sz w:val="20"/>
                <w:szCs w:val="20"/>
                <w:color w:val="auto"/>
              </w:rPr>
            </w:pPr>
            <w:r>
              <w:rPr>
                <w:rFonts w:ascii="Courier New" w:cs="Courier New" w:eastAsia="Courier New" w:hAnsi="Courier New"/>
                <w:sz w:val="12"/>
                <w:szCs w:val="12"/>
                <w:color w:val="auto"/>
              </w:rPr>
              <w:t>(414)</w:t>
            </w:r>
          </w:p>
        </w:tc>
        <w:tc>
          <w:tcPr>
            <w:tcW w:w="0" w:type="dxa"/>
            <w:vAlign w:val="bottom"/>
          </w:tcPr>
          <w:p>
            <w:pPr>
              <w:spacing w:after="0"/>
              <w:rPr>
                <w:sz w:val="1"/>
                <w:szCs w:val="1"/>
                <w:color w:val="auto"/>
              </w:rPr>
            </w:pPr>
          </w:p>
        </w:tc>
      </w:tr>
      <w:tr>
        <w:trPr>
          <w:trHeight w:val="205"/>
        </w:trPr>
        <w:tc>
          <w:tcPr>
            <w:tcW w:w="5200" w:type="dxa"/>
            <w:vAlign w:val="bottom"/>
          </w:tcPr>
          <w:p>
            <w:pPr>
              <w:spacing w:after="0"/>
              <w:rPr>
                <w:sz w:val="17"/>
                <w:szCs w:val="17"/>
                <w:color w:val="auto"/>
              </w:rPr>
            </w:pP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200"/>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FLOWS FROM FINANCING ACTIVITIES</w:t>
            </w:r>
          </w:p>
        </w:tc>
        <w:tc>
          <w:tcPr>
            <w:tcW w:w="280" w:type="dxa"/>
            <w:vAlign w:val="bottom"/>
          </w:tcPr>
          <w:p>
            <w:pPr>
              <w:spacing w:after="0"/>
              <w:rPr>
                <w:sz w:val="17"/>
                <w:szCs w:val="17"/>
                <w:color w:val="auto"/>
              </w:rPr>
            </w:pPr>
          </w:p>
        </w:tc>
        <w:tc>
          <w:tcPr>
            <w:tcW w:w="960" w:type="dxa"/>
            <w:vAlign w:val="bottom"/>
            <w:vMerge w:val="restart"/>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7"/>
                <w:szCs w:val="17"/>
                <w:color w:val="auto"/>
              </w:rPr>
            </w:pPr>
          </w:p>
        </w:tc>
        <w:tc>
          <w:tcPr>
            <w:tcW w:w="1060" w:type="dxa"/>
            <w:vAlign w:val="bottom"/>
            <w:vMerge w:val="restart"/>
          </w:tcPr>
          <w:p>
            <w:pPr>
              <w:jc w:val="right"/>
              <w:ind w:right="55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Proceeds from stock options exercised</w:t>
            </w: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Net cash provided by financing activities</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30</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Effects of exchange rates on cash</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(198)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56</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Net cash provided by all activities</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rPr>
              <w:t>4,108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3,442</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Cash and cash equivalents at beginning of period</w:t>
            </w:r>
          </w:p>
        </w:tc>
        <w:tc>
          <w:tcPr>
            <w:tcW w:w="280" w:type="dxa"/>
            <w:vAlign w:val="bottom"/>
          </w:tcPr>
          <w:p>
            <w:pPr>
              <w:spacing w:after="0"/>
              <w:rPr>
                <w:sz w:val="11"/>
                <w:szCs w:val="11"/>
                <w:color w:val="auto"/>
              </w:rPr>
            </w:pPr>
          </w:p>
        </w:tc>
        <w:tc>
          <w:tcPr>
            <w:tcW w:w="960" w:type="dxa"/>
            <w:vAlign w:val="bottom"/>
          </w:tcPr>
          <w:p>
            <w:pPr>
              <w:jc w:val="right"/>
              <w:ind w:right="459"/>
              <w:spacing w:after="0"/>
              <w:rPr>
                <w:sz w:val="20"/>
                <w:szCs w:val="20"/>
                <w:color w:val="auto"/>
              </w:rPr>
            </w:pPr>
            <w:r>
              <w:rPr>
                <w:rFonts w:ascii="Courier New" w:cs="Courier New" w:eastAsia="Courier New" w:hAnsi="Courier New"/>
                <w:sz w:val="12"/>
                <w:szCs w:val="12"/>
                <w:color w:val="auto"/>
                <w:w w:val="97"/>
              </w:rPr>
              <w:t>19,018</w:t>
            </w:r>
          </w:p>
        </w:tc>
        <w:tc>
          <w:tcPr>
            <w:tcW w:w="280" w:type="dxa"/>
            <w:vAlign w:val="bottom"/>
          </w:tcPr>
          <w:p>
            <w:pPr>
              <w:spacing w:after="0"/>
              <w:rPr>
                <w:sz w:val="11"/>
                <w:szCs w:val="11"/>
                <w:color w:val="auto"/>
              </w:rPr>
            </w:pP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w w:val="97"/>
              </w:rPr>
              <w:t>15,576</w:t>
            </w:r>
          </w:p>
        </w:tc>
        <w:tc>
          <w:tcPr>
            <w:tcW w:w="0" w:type="dxa"/>
            <w:vAlign w:val="bottom"/>
          </w:tcPr>
          <w:p>
            <w:pPr>
              <w:spacing w:after="0"/>
              <w:rPr>
                <w:sz w:val="1"/>
                <w:szCs w:val="1"/>
                <w:color w:val="auto"/>
              </w:rPr>
            </w:pPr>
          </w:p>
        </w:tc>
      </w:tr>
      <w:tr>
        <w:trPr>
          <w:trHeight w:val="13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Cash and cash equivalents at end of period</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135"/>
        </w:trPr>
        <w:tc>
          <w:tcPr>
            <w:tcW w:w="5200" w:type="dxa"/>
            <w:vAlign w:val="bottom"/>
            <w:vMerge w:val="continue"/>
          </w:tcPr>
          <w:p>
            <w:pPr>
              <w:spacing w:after="0"/>
              <w:rPr>
                <w:sz w:val="11"/>
                <w:szCs w:val="11"/>
                <w:color w:val="auto"/>
              </w:rPr>
            </w:pP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$23,126</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$19,018</w:t>
            </w:r>
          </w:p>
        </w:tc>
        <w:tc>
          <w:tcPr>
            <w:tcW w:w="0" w:type="dxa"/>
            <w:vAlign w:val="bottom"/>
          </w:tcPr>
          <w:p>
            <w:pPr>
              <w:spacing w:after="0"/>
              <w:rPr>
                <w:sz w:val="1"/>
                <w:szCs w:val="1"/>
                <w:color w:val="auto"/>
              </w:rPr>
            </w:pPr>
          </w:p>
        </w:tc>
      </w:tr>
      <w:tr>
        <w:trPr>
          <w:trHeight w:val="205"/>
        </w:trPr>
        <w:tc>
          <w:tcPr>
            <w:tcW w:w="5200" w:type="dxa"/>
            <w:vAlign w:val="bottom"/>
            <w:vMerge w:val="restart"/>
          </w:tcPr>
          <w:p>
            <w:pPr>
              <w:spacing w:after="0"/>
              <w:rPr>
                <w:sz w:val="20"/>
                <w:szCs w:val="20"/>
                <w:color w:val="auto"/>
              </w:rPr>
            </w:pPr>
            <w:r>
              <w:rPr>
                <w:rFonts w:ascii="Courier New" w:cs="Courier New" w:eastAsia="Courier New" w:hAnsi="Courier New"/>
                <w:sz w:val="12"/>
                <w:szCs w:val="12"/>
                <w:color w:val="auto"/>
              </w:rPr>
              <w:t>Cash payments for:</w:t>
            </w:r>
          </w:p>
        </w:tc>
        <w:tc>
          <w:tcPr>
            <w:tcW w:w="1240" w:type="dxa"/>
            <w:vAlign w:val="bottom"/>
            <w:gridSpan w:val="2"/>
          </w:tcPr>
          <w:p>
            <w:pPr>
              <w:jc w:val="right"/>
              <w:ind w:right="459"/>
              <w:spacing w:after="0"/>
              <w:rPr>
                <w:sz w:val="20"/>
                <w:szCs w:val="20"/>
                <w:color w:val="auto"/>
              </w:rPr>
            </w:pPr>
            <w:r>
              <w:rPr>
                <w:rFonts w:ascii="Courier New" w:cs="Courier New" w:eastAsia="Courier New" w:hAnsi="Courier New"/>
                <w:sz w:val="12"/>
                <w:szCs w:val="12"/>
                <w:color w:val="auto"/>
              </w:rPr>
              <w:t>=======</w:t>
            </w:r>
          </w:p>
        </w:tc>
        <w:tc>
          <w:tcPr>
            <w:tcW w:w="1340" w:type="dxa"/>
            <w:vAlign w:val="bottom"/>
            <w:gridSpan w:val="2"/>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r>
        <w:trPr>
          <w:trHeight w:val="65"/>
        </w:trPr>
        <w:tc>
          <w:tcPr>
            <w:tcW w:w="5200" w:type="dxa"/>
            <w:vAlign w:val="bottom"/>
            <w:vMerge w:val="continue"/>
          </w:tcPr>
          <w:p>
            <w:pPr>
              <w:spacing w:after="0"/>
              <w:rPr>
                <w:sz w:val="5"/>
                <w:szCs w:val="5"/>
                <w:color w:val="auto"/>
              </w:rPr>
            </w:pPr>
          </w:p>
        </w:tc>
        <w:tc>
          <w:tcPr>
            <w:tcW w:w="1240" w:type="dxa"/>
            <w:vAlign w:val="bottom"/>
            <w:gridSpan w:val="2"/>
            <w:vMerge w:val="restart"/>
          </w:tcPr>
          <w:p>
            <w:pPr>
              <w:jc w:val="right"/>
              <w:ind w:right="459"/>
              <w:spacing w:after="0"/>
              <w:rPr>
                <w:sz w:val="20"/>
                <w:szCs w:val="20"/>
                <w:color w:val="auto"/>
              </w:rPr>
            </w:pPr>
            <w:r>
              <w:rPr>
                <w:rFonts w:ascii="Courier New" w:cs="Courier New" w:eastAsia="Courier New" w:hAnsi="Courier New"/>
                <w:sz w:val="12"/>
                <w:szCs w:val="12"/>
                <w:color w:val="auto"/>
              </w:rPr>
              <w:t>$ 1,213</w:t>
            </w:r>
          </w:p>
        </w:tc>
        <w:tc>
          <w:tcPr>
            <w:tcW w:w="2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vMerge w:val="restart"/>
          </w:tcPr>
          <w:p>
            <w:pPr>
              <w:jc w:val="right"/>
              <w:ind w:right="559"/>
              <w:spacing w:after="0"/>
              <w:rPr>
                <w:sz w:val="20"/>
                <w:szCs w:val="20"/>
                <w:color w:val="auto"/>
              </w:rPr>
            </w:pPr>
            <w:r>
              <w:rPr>
                <w:rFonts w:ascii="Courier New" w:cs="Courier New" w:eastAsia="Courier New" w:hAnsi="Courier New"/>
                <w:sz w:val="12"/>
                <w:szCs w:val="12"/>
                <w:color w:val="auto"/>
              </w:rPr>
              <w:t>623</w:t>
            </w:r>
          </w:p>
        </w:tc>
        <w:tc>
          <w:tcPr>
            <w:tcW w:w="0" w:type="dxa"/>
            <w:vAlign w:val="bottom"/>
          </w:tcPr>
          <w:p>
            <w:pPr>
              <w:spacing w:after="0"/>
              <w:rPr>
                <w:sz w:val="1"/>
                <w:szCs w:val="1"/>
                <w:color w:val="auto"/>
              </w:rPr>
            </w:pPr>
          </w:p>
        </w:tc>
      </w:tr>
      <w:tr>
        <w:trPr>
          <w:trHeight w:val="205"/>
        </w:trPr>
        <w:tc>
          <w:tcPr>
            <w:tcW w:w="5200" w:type="dxa"/>
            <w:vAlign w:val="bottom"/>
          </w:tcPr>
          <w:p>
            <w:pPr>
              <w:ind w:left="160"/>
              <w:spacing w:after="0"/>
              <w:rPr>
                <w:sz w:val="20"/>
                <w:szCs w:val="20"/>
                <w:color w:val="auto"/>
              </w:rPr>
            </w:pPr>
            <w:r>
              <w:rPr>
                <w:rFonts w:ascii="Courier New" w:cs="Courier New" w:eastAsia="Courier New" w:hAnsi="Courier New"/>
                <w:sz w:val="12"/>
                <w:szCs w:val="12"/>
                <w:color w:val="auto"/>
              </w:rPr>
              <w:t>Domestic and foreign income taxes</w:t>
            </w:r>
          </w:p>
        </w:tc>
        <w:tc>
          <w:tcPr>
            <w:tcW w:w="124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SUPPLEMENTAL DISCLOSURE OF NON-CASH INVESTING AND FINANCING ACTIVITIES:</w:t>
            </w:r>
          </w:p>
        </w:tc>
        <w:tc>
          <w:tcPr>
            <w:tcW w:w="280" w:type="dxa"/>
            <w:vAlign w:val="bottom"/>
            <w:vMerge w:val="restart"/>
          </w:tcPr>
          <w:p>
            <w:pPr>
              <w:ind w:left="200"/>
              <w:spacing w:after="0"/>
              <w:rPr>
                <w:sz w:val="20"/>
                <w:szCs w:val="20"/>
                <w:color w:val="auto"/>
              </w:rPr>
            </w:pPr>
            <w:r>
              <w:rPr>
                <w:rFonts w:ascii="Courier New" w:cs="Courier New" w:eastAsia="Courier New" w:hAnsi="Courier New"/>
                <w:sz w:val="12"/>
                <w:szCs w:val="12"/>
                <w:color w:val="auto"/>
                <w:w w:val="82"/>
              </w:rPr>
              <w:t>$</w:t>
            </w:r>
          </w:p>
        </w:tc>
        <w:tc>
          <w:tcPr>
            <w:tcW w:w="960" w:type="dxa"/>
            <w:vAlign w:val="bottom"/>
            <w:vMerge w:val="restart"/>
          </w:tcPr>
          <w:p>
            <w:pPr>
              <w:jc w:val="right"/>
              <w:ind w:right="459"/>
              <w:spacing w:after="0"/>
              <w:rPr>
                <w:sz w:val="20"/>
                <w:szCs w:val="20"/>
                <w:color w:val="auto"/>
              </w:rPr>
            </w:pPr>
            <w:r>
              <w:rPr>
                <w:rFonts w:ascii="Courier New" w:cs="Courier New" w:eastAsia="Courier New" w:hAnsi="Courier New"/>
                <w:sz w:val="12"/>
                <w:szCs w:val="12"/>
                <w:color w:val="auto"/>
              </w:rPr>
              <w:t>41</w:t>
            </w:r>
          </w:p>
        </w:tc>
        <w:tc>
          <w:tcPr>
            <w:tcW w:w="280" w:type="dxa"/>
            <w:vAlign w:val="bottom"/>
            <w:vMerge w:val="restart"/>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vMerge w:val="restart"/>
          </w:tcPr>
          <w:p>
            <w:pPr>
              <w:jc w:val="right"/>
              <w:ind w:right="559"/>
              <w:spacing w:after="0"/>
              <w:rPr>
                <w:sz w:val="20"/>
                <w:szCs w:val="20"/>
                <w:color w:val="auto"/>
              </w:rPr>
            </w:pPr>
            <w:r>
              <w:rPr>
                <w:rFonts w:ascii="Courier New" w:cs="Courier New" w:eastAsia="Courier New" w:hAnsi="Courier New"/>
                <w:sz w:val="12"/>
                <w:szCs w:val="12"/>
                <w:color w:val="auto"/>
              </w:rPr>
              <w:t>462</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20"/>
                <w:szCs w:val="20"/>
                <w:color w:val="auto"/>
              </w:rPr>
            </w:pPr>
            <w:r>
              <w:rPr>
                <w:rFonts w:ascii="Courier New" w:cs="Courier New" w:eastAsia="Courier New" w:hAnsi="Courier New"/>
                <w:sz w:val="12"/>
                <w:szCs w:val="12"/>
                <w:color w:val="auto"/>
              </w:rPr>
              <w:t>Issuance of non-vested shares of restricted stock</w:t>
            </w:r>
          </w:p>
        </w:tc>
        <w:tc>
          <w:tcPr>
            <w:tcW w:w="2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5200" w:type="dxa"/>
            <w:vAlign w:val="bottom"/>
          </w:tcPr>
          <w:p>
            <w:pPr>
              <w:spacing w:after="0"/>
              <w:rPr>
                <w:sz w:val="20"/>
                <w:szCs w:val="20"/>
                <w:color w:val="auto"/>
              </w:rPr>
            </w:pPr>
            <w:r>
              <w:rPr>
                <w:rFonts w:ascii="Courier New" w:cs="Courier New" w:eastAsia="Courier New" w:hAnsi="Courier New"/>
                <w:sz w:val="12"/>
                <w:szCs w:val="12"/>
                <w:color w:val="auto"/>
              </w:rPr>
              <w:t>Forfeiture of non-vested shares of restricted stock</w:t>
            </w:r>
          </w:p>
        </w:tc>
        <w:tc>
          <w:tcPr>
            <w:tcW w:w="280" w:type="dxa"/>
            <w:vAlign w:val="bottom"/>
          </w:tcPr>
          <w:p>
            <w:pPr>
              <w:ind w:left="200"/>
              <w:spacing w:after="0"/>
              <w:rPr>
                <w:sz w:val="20"/>
                <w:szCs w:val="20"/>
                <w:color w:val="auto"/>
              </w:rPr>
            </w:pPr>
            <w:r>
              <w:rPr>
                <w:rFonts w:ascii="Courier New" w:cs="Courier New" w:eastAsia="Courier New" w:hAnsi="Courier New"/>
                <w:sz w:val="12"/>
                <w:szCs w:val="12"/>
                <w:color w:val="auto"/>
                <w:w w:val="82"/>
              </w:rPr>
              <w:t>$</w:t>
            </w:r>
          </w:p>
        </w:tc>
        <w:tc>
          <w:tcPr>
            <w:tcW w:w="960" w:type="dxa"/>
            <w:vAlign w:val="bottom"/>
          </w:tcPr>
          <w:p>
            <w:pPr>
              <w:jc w:val="right"/>
              <w:ind w:right="399"/>
              <w:spacing w:after="0"/>
              <w:rPr>
                <w:sz w:val="20"/>
                <w:szCs w:val="20"/>
                <w:color w:val="auto"/>
              </w:rPr>
            </w:pPr>
            <w:r>
              <w:rPr>
                <w:rFonts w:ascii="Courier New" w:cs="Courier New" w:eastAsia="Courier New" w:hAnsi="Courier New"/>
                <w:sz w:val="12"/>
                <w:szCs w:val="12"/>
                <w:color w:val="auto"/>
              </w:rPr>
              <w:t>(20)</w:t>
            </w:r>
          </w:p>
        </w:tc>
        <w:tc>
          <w:tcPr>
            <w:tcW w:w="280" w:type="dxa"/>
            <w:vAlign w:val="bottom"/>
          </w:tcPr>
          <w:p>
            <w:pPr>
              <w:jc w:val="right"/>
              <w:spacing w:after="0"/>
              <w:rPr>
                <w:sz w:val="20"/>
                <w:szCs w:val="20"/>
                <w:color w:val="auto"/>
              </w:rPr>
            </w:pPr>
            <w:r>
              <w:rPr>
                <w:rFonts w:ascii="Courier New" w:cs="Courier New" w:eastAsia="Courier New" w:hAnsi="Courier New"/>
                <w:sz w:val="12"/>
                <w:szCs w:val="12"/>
                <w:color w:val="auto"/>
              </w:rPr>
              <w:t>$</w:t>
            </w:r>
          </w:p>
        </w:tc>
        <w:tc>
          <w:tcPr>
            <w:tcW w:w="1060" w:type="dxa"/>
            <w:vAlign w:val="bottom"/>
          </w:tcPr>
          <w:p>
            <w:pPr>
              <w:jc w:val="right"/>
              <w:ind w:right="559"/>
              <w:spacing w:after="0"/>
              <w:rPr>
                <w:sz w:val="20"/>
                <w:szCs w:val="20"/>
                <w:color w:val="auto"/>
              </w:rPr>
            </w:pPr>
            <w:r>
              <w:rPr>
                <w:rFonts w:ascii="Courier New" w:cs="Courier New" w:eastAsia="Courier New" w:hAnsi="Courier New"/>
                <w:sz w:val="12"/>
                <w:szCs w:val="12"/>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45" w:right="1440" w:bottom="129"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- 5</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87"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18"/>
          <w:szCs w:val="18"/>
          <w:color w:val="auto"/>
        </w:rPr>
        <w:t>We are an independent designer, manufacturer and marketer of thermal, mechanical and electrical products that are primarily used by semiconductor manufacturers in conjunction with automatic test equipment ("ATE") in the testing of integrated circuits ("ICs" or "semiconductors"). In addition, in recent years we have begun marketing our thermal products in markets outside the ATE market, such as the automotive, consumer electronics, defense/aerospace, energy, industrial and telecommunications markets.</w:t>
      </w:r>
    </w:p>
    <w:p>
      <w:pPr>
        <w:spacing w:after="0" w:line="190" w:lineRule="exact"/>
        <w:rPr>
          <w:sz w:val="20"/>
          <w:szCs w:val="20"/>
          <w:color w:val="auto"/>
        </w:rPr>
      </w:pPr>
    </w:p>
    <w:p>
      <w:pPr>
        <w:ind w:left="540" w:right="20"/>
        <w:spacing w:after="0" w:line="262" w:lineRule="auto"/>
        <w:rPr>
          <w:sz w:val="20"/>
          <w:szCs w:val="20"/>
          <w:color w:val="auto"/>
        </w:rPr>
      </w:pPr>
      <w:r>
        <w:rPr>
          <w:rFonts w:ascii="Times New Roman" w:cs="Times New Roman" w:eastAsia="Times New Roman" w:hAnsi="Times New Roman"/>
          <w:sz w:val="18"/>
          <w:szCs w:val="18"/>
          <w:color w:val="auto"/>
        </w:rPr>
        <w:t>The consolidated entity is comprised of inTEST Corporation (parent) and our wholly-owned subsidiaries. We have three reportable segments which are also our reporting units: Thermal Products, Mechanical Products and Electrical Products. We manufacture our products in the U.S. Marketing and support activities are conducted worldwide from our facilities in the U.S., Germany and Singapore.</w:t>
      </w:r>
    </w:p>
    <w:p>
      <w:pPr>
        <w:spacing w:after="0" w:line="186" w:lineRule="exact"/>
        <w:rPr>
          <w:sz w:val="20"/>
          <w:szCs w:val="20"/>
          <w:color w:val="auto"/>
        </w:rPr>
      </w:pPr>
    </w:p>
    <w:p>
      <w:pPr>
        <w:ind w:left="540"/>
        <w:spacing w:after="0" w:line="291" w:lineRule="auto"/>
        <w:rPr>
          <w:sz w:val="20"/>
          <w:szCs w:val="20"/>
          <w:color w:val="auto"/>
        </w:rPr>
      </w:pPr>
      <w:r>
        <w:rPr>
          <w:rFonts w:ascii="Times New Roman" w:cs="Times New Roman" w:eastAsia="Times New Roman" w:hAnsi="Times New Roman"/>
          <w:sz w:val="16"/>
          <w:szCs w:val="16"/>
          <w:color w:val="auto"/>
        </w:rPr>
        <w:t>The semiconductor market in which we operate is characterized by rapid technological change, competitive pricing pressures and cyclical as well as seasonal market patterns. This market is subject to significant economic downturns at various times. Our financial results are affected by a wide variety of factors, including, but not limited to, general economic conditions worldwide and in the markets in which we operate, economic conditions specific to the semiconductor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As a result of these or other factors, we may experience significant period-to-period fluctuations in future operating results.</w:t>
      </w:r>
    </w:p>
    <w:p>
      <w:pPr>
        <w:spacing w:after="0" w:line="125" w:lineRule="exact"/>
        <w:rPr>
          <w:sz w:val="20"/>
          <w:szCs w:val="20"/>
          <w:color w:val="auto"/>
        </w:rPr>
      </w:pPr>
    </w:p>
    <w:p>
      <w:pPr>
        <w:ind w:left="540" w:right="6460" w:hanging="532"/>
        <w:spacing w:after="0" w:line="478" w:lineRule="auto"/>
        <w:tabs>
          <w:tab w:leader="none" w:pos="33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u w:val="single" w:color="auto"/>
          <w:color w:val="auto"/>
        </w:rPr>
        <w:t>Basis of Presentation and Use of Estimates</w:t>
      </w:r>
    </w:p>
    <w:p>
      <w:pPr>
        <w:spacing w:after="0" w:line="1" w:lineRule="exact"/>
        <w:rPr>
          <w:sz w:val="20"/>
          <w:szCs w:val="20"/>
          <w:color w:val="auto"/>
        </w:rPr>
      </w:pPr>
    </w:p>
    <w:p>
      <w:pPr>
        <w:jc w:val="both"/>
        <w:ind w:left="540" w:right="220"/>
        <w:spacing w:after="0" w:line="293"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Reclassification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Certain prior year amounts have been reclassified to be comparable with the current year's presentation.</w:t>
      </w:r>
    </w:p>
    <w:p>
      <w:pPr>
        <w:spacing w:after="0" w:line="2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Short-term investments that have maturities of three months or less when purchased are considered to be cash equivalents and are carried at cost, which approximates market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Trade Accounts Receivable and Allowance for Doubtful Accounts</w:t>
      </w:r>
    </w:p>
    <w:p>
      <w:pPr>
        <w:spacing w:after="0" w:line="229" w:lineRule="exact"/>
        <w:rPr>
          <w:sz w:val="20"/>
          <w:szCs w:val="20"/>
          <w:color w:val="auto"/>
        </w:rPr>
      </w:pPr>
    </w:p>
    <w:p>
      <w:pPr>
        <w:ind w:left="540" w:right="80"/>
        <w:spacing w:after="0" w:line="254"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off-balance sheet credit exposure related to our customers. There was no bad debt expense recorded in either of the years ended December 31, 2014 or 2013. Cash flows from accounts receivable are recorded in operating cash flows.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- 6</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7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82"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ind w:left="540" w:right="540"/>
        <w:spacing w:after="0" w:line="275" w:lineRule="auto"/>
        <w:rPr>
          <w:sz w:val="20"/>
          <w:szCs w:val="20"/>
          <w:color w:val="auto"/>
        </w:rPr>
      </w:pPr>
      <w:r>
        <w:rPr>
          <w:rFonts w:ascii="Times New Roman" w:cs="Times New Roman" w:eastAsia="Times New Roman" w:hAnsi="Times New Roman"/>
          <w:sz w:val="18"/>
          <w:szCs w:val="18"/>
          <w:color w:val="auto"/>
        </w:rPr>
        <w:t>Our financial instruments, principally accounts receivable and accounts payable, are carried at cost which approximates fair value, due to the short maturities of the accounts.</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Inventories are valued at cost on a first-in, first-out basis, not in excess of market value. Cash flows from the sale of inventories are recorded in operating</w:t>
      </w:r>
    </w:p>
    <w:p>
      <w:pPr>
        <w:sectPr>
          <w:pgSz w:w="11900" w:h="16838" w:orient="portrait"/>
          <w:cols w:equalWidth="0" w:num="1">
            <w:col w:w="11380"/>
          </w:cols>
          <w:pgMar w:left="240" w:top="517" w:right="279" w:bottom="0" w:gutter="0" w:footer="0" w:header="0"/>
        </w:sectPr>
      </w:pPr>
    </w:p>
    <w:bookmarkStart w:id="30" w:name="page31"/>
    <w:bookmarkEnd w:id="30"/>
    <w:p>
      <w:pPr>
        <w:ind w:left="540" w:right="60"/>
        <w:spacing w:after="0" w:line="255" w:lineRule="auto"/>
        <w:rPr>
          <w:sz w:val="20"/>
          <w:szCs w:val="20"/>
          <w:color w:val="auto"/>
        </w:rPr>
      </w:pPr>
      <w:r>
        <w:rPr>
          <w:rFonts w:ascii="Times New Roman" w:cs="Times New Roman" w:eastAsia="Times New Roman" w:hAnsi="Times New Roman"/>
          <w:sz w:val="18"/>
          <w:szCs w:val="18"/>
          <w:color w:val="auto"/>
        </w:rPr>
        <w:t>cash flows. On a quarterly basis, we review our inventories and record excess and obsolete inventory charges based upon our established objective excess and obsolete inventory criteria. These criteria identify material that has not been used in a work order during the prior twelve months and the quantity of material on hand that is greater than the average annual usage of that material over the prior three years.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$344 and $311 for the years ended December 31, 2014 and 2013, respectively.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Property and Equipment</w:t>
      </w:r>
    </w:p>
    <w:p>
      <w:pPr>
        <w:spacing w:after="0" w:line="22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Machinery and equipment are stated at cost. As further discussed below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$524 and $401 for the years ended December 31, 2014 and 2013, respectively.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Intangible and Long-Lived Assets</w:t>
      </w:r>
    </w:p>
    <w:p>
      <w:pPr>
        <w:spacing w:after="0" w:line="229"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We account for goodwill and intangible assets in accordance with Accounting Standards Codification ("ASC")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we determine this is the case, we are required to perform a two-step goodwill impairment test to identify potential goodwill impairment and measure the amount of goodwill impairment loss to be recognized. The two-step test is discussed below. If we determine that it is more-likely-than-not that the fair value of the reporting unit is greater than its carrying amounts, the two-step goodwill impairment test is not required.</w:t>
      </w:r>
    </w:p>
    <w:p>
      <w:pPr>
        <w:spacing w:after="0" w:line="192" w:lineRule="exact"/>
        <w:rPr>
          <w:sz w:val="20"/>
          <w:szCs w:val="20"/>
          <w:color w:val="auto"/>
        </w:rPr>
      </w:pPr>
    </w:p>
    <w:p>
      <w:pPr>
        <w:ind w:left="540"/>
        <w:spacing w:after="0" w:line="288" w:lineRule="auto"/>
        <w:rPr>
          <w:sz w:val="20"/>
          <w:szCs w:val="20"/>
          <w:color w:val="auto"/>
        </w:rPr>
      </w:pPr>
      <w:r>
        <w:rPr>
          <w:rFonts w:ascii="Times New Roman" w:cs="Times New Roman" w:eastAsia="Times New Roman" w:hAnsi="Times New Roman"/>
          <w:sz w:val="16"/>
          <w:szCs w:val="16"/>
          <w:color w:val="auto"/>
        </w:rPr>
        <w:t>If we determine it is more-likely-than-not that the fair value of a reporting unit is less than its carrying amount as a result of our qualitative assessment, we will perform a quantitative two-step goodwill impairment test. In the Step I test, the fair value of a reporting unit is computed and compared with its book value. If the book value of a reporting unit exceeds its fair value, a Step II test is performed in which the implied fair value of goodwill is compared with the carrying amount of goodwill. If the carrying amount of goodwill exceeds the implied fair value, an impairment loss is recorded in an amount equal to that excess. The two-step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- 7</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5" w:lineRule="exact"/>
        <w:rPr>
          <w:sz w:val="20"/>
          <w:szCs w:val="20"/>
          <w:color w:val="auto"/>
        </w:rPr>
      </w:pPr>
    </w:p>
    <w:p>
      <w:pPr>
        <w:ind w:left="540" w:right="100"/>
        <w:spacing w:after="0" w:line="256" w:lineRule="auto"/>
        <w:rPr>
          <w:sz w:val="20"/>
          <w:szCs w:val="20"/>
          <w:color w:val="auto"/>
        </w:rPr>
      </w:pPr>
      <w:r>
        <w:rPr>
          <w:rFonts w:ascii="Times New Roman" w:cs="Times New Roman" w:eastAsia="Times New Roman" w:hAnsi="Times New Roman"/>
          <w:sz w:val="18"/>
          <w:szCs w:val="18"/>
          <w:color w:val="auto"/>
        </w:rPr>
        <w:t>Long-lived assets, which consist of finite-lived intangible assets and property and equipment,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Stock-Based Compensation</w:t>
      </w:r>
    </w:p>
    <w:p>
      <w:pPr>
        <w:spacing w:after="0" w:line="229" w:lineRule="exact"/>
        <w:rPr>
          <w:sz w:val="20"/>
          <w:szCs w:val="20"/>
          <w:color w:val="auto"/>
        </w:rPr>
      </w:pPr>
    </w:p>
    <w:p>
      <w:pPr>
        <w:jc w:val="both"/>
        <w:ind w:left="540" w:right="20"/>
        <w:spacing w:after="0" w:line="262" w:lineRule="auto"/>
        <w:rPr>
          <w:sz w:val="20"/>
          <w:szCs w:val="20"/>
          <w:color w:val="auto"/>
        </w:rPr>
      </w:pPr>
      <w:r>
        <w:rPr>
          <w:rFonts w:ascii="Times New Roman" w:cs="Times New Roman" w:eastAsia="Times New Roman" w:hAnsi="Times New Roman"/>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which is then amortized to expense over the service periods. See further disclosures related to our stock-based compensation plan in Note 12.</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Subsequent Events</w:t>
      </w:r>
    </w:p>
    <w:p>
      <w:pPr>
        <w:spacing w:after="0" w:line="229"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We have made an assessment of our operations and determined that there were no material subsequent events requiring adjustment to, or disclosure in, our consolidated financial statements for the year ended December 31, 2014.</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recognize revenue when persuasive evidence of an arrangement exists, delivery has occurred or services have been rendered, the price is fixed or</w:t>
      </w:r>
    </w:p>
    <w:p>
      <w:pPr>
        <w:sectPr>
          <w:pgSz w:w="11900" w:h="16838" w:orient="portrait"/>
          <w:cols w:equalWidth="0" w:num="1">
            <w:col w:w="11400"/>
          </w:cols>
          <w:pgMar w:left="240" w:top="125" w:right="259" w:bottom="0" w:gutter="0" w:footer="0" w:header="0"/>
        </w:sectPr>
      </w:pPr>
    </w:p>
    <w:bookmarkStart w:id="31" w:name="page32"/>
    <w:bookmarkEnd w:id="31"/>
    <w:p>
      <w:pPr>
        <w:ind w:left="532" w:right="80"/>
        <w:spacing w:after="0" w:line="255" w:lineRule="auto"/>
        <w:rPr>
          <w:sz w:val="20"/>
          <w:szCs w:val="20"/>
          <w:color w:val="auto"/>
        </w:rPr>
      </w:pPr>
      <w:r>
        <w:rPr>
          <w:rFonts w:ascii="Times New Roman" w:cs="Times New Roman" w:eastAsia="Times New Roman" w:hAnsi="Times New Roman"/>
          <w:sz w:val="18"/>
          <w:szCs w:val="18"/>
          <w:color w:val="auto"/>
        </w:rPr>
        <w:t>determinable, and collection of the related receivable is reasonably assured. Sales of our products are made through our sales employees, third-party sales representatives and distributors. There are no differences in revenue recognition policies based on the sales channel. We do not provide our customers with rights of return or exchanges. Revenue is generally recognized upon product shipment. Our customers' purchase orders do not typically contain any customer-specific acceptance criteria, other than that the product performs within the agreed upon specifications. We test all products manufactured as part of our quality assurance process to determine that they comply with specifications prior to shipment to a customer. To the extent that any customer purchase order contains customer-specific acceptance criteria, revenue recognition is deferred until customer acceptance.</w:t>
      </w:r>
    </w:p>
    <w:p>
      <w:pPr>
        <w:spacing w:after="0" w:line="193" w:lineRule="exact"/>
        <w:rPr>
          <w:sz w:val="20"/>
          <w:szCs w:val="20"/>
          <w:color w:val="auto"/>
        </w:rPr>
      </w:pPr>
    </w:p>
    <w:p>
      <w:pPr>
        <w:jc w:val="both"/>
        <w:ind w:left="532" w:right="80"/>
        <w:spacing w:after="0" w:line="339" w:lineRule="auto"/>
        <w:rPr>
          <w:sz w:val="20"/>
          <w:szCs w:val="20"/>
          <w:color w:val="auto"/>
        </w:rPr>
      </w:pPr>
      <w:r>
        <w:rPr>
          <w:rFonts w:ascii="Times New Roman" w:cs="Times New Roman" w:eastAsia="Times New Roman" w:hAnsi="Times New Roman"/>
          <w:sz w:val="16"/>
          <w:szCs w:val="16"/>
          <w:color w:val="auto"/>
        </w:rPr>
        <w:t>In addition, in our Thermal Products and Mechanical Products segments, we lease certain of our equipment to customers under non-cancellable operating leases. These leases generally have an initial term of six months. We recognize revenue for these leases on a straight-line basis over the term of the lease.</w:t>
      </w:r>
    </w:p>
    <w:p>
      <w:pPr>
        <w:spacing w:after="0" w:line="128" w:lineRule="exact"/>
        <w:rPr>
          <w:sz w:val="20"/>
          <w:szCs w:val="20"/>
          <w:color w:val="auto"/>
        </w:rPr>
      </w:pPr>
    </w:p>
    <w:p>
      <w:pPr>
        <w:ind w:left="532" w:right="300"/>
        <w:spacing w:after="0" w:line="275" w:lineRule="auto"/>
        <w:rPr>
          <w:sz w:val="20"/>
          <w:szCs w:val="20"/>
          <w:color w:val="auto"/>
        </w:rPr>
      </w:pPr>
      <w:r>
        <w:rPr>
          <w:rFonts w:ascii="Times New Roman" w:cs="Times New Roman" w:eastAsia="Times New Roman" w:hAnsi="Times New Roman"/>
          <w:sz w:val="18"/>
          <w:szCs w:val="18"/>
          <w:color w:val="auto"/>
        </w:rPr>
        <w:t>With respect to sales tax collected from customers and remitted to governmental authorities, we use a net presentation in our consolidated statement of operations. As a result, there are no amounts included in either our net revenues or cost of revenues related to sales tax.</w:t>
      </w:r>
    </w:p>
    <w:p>
      <w:pPr>
        <w:spacing w:after="0" w:line="170"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Warranties</w:t>
      </w:r>
    </w:p>
    <w:p>
      <w:pPr>
        <w:spacing w:after="0" w:line="229" w:lineRule="exact"/>
        <w:rPr>
          <w:sz w:val="20"/>
          <w:szCs w:val="20"/>
          <w:color w:val="auto"/>
        </w:rPr>
      </w:pPr>
    </w:p>
    <w:p>
      <w:pPr>
        <w:ind w:left="532" w:right="360"/>
        <w:spacing w:after="0" w:line="275" w:lineRule="auto"/>
        <w:rPr>
          <w:sz w:val="20"/>
          <w:szCs w:val="20"/>
          <w:color w:val="auto"/>
        </w:rPr>
      </w:pPr>
      <w:r>
        <w:rPr>
          <w:rFonts w:ascii="Times New Roman" w:cs="Times New Roman" w:eastAsia="Times New Roman" w:hAnsi="Times New Roman"/>
          <w:sz w:val="18"/>
          <w:szCs w:val="18"/>
          <w:color w:val="auto"/>
        </w:rPr>
        <w:t>We generally provide product warranties and record estimated warranty expense at the time of sale based upon historical claims experience. Warranty expense is included in selling expense in the consolidated financial statements.</w:t>
      </w:r>
    </w:p>
    <w:p>
      <w:pPr>
        <w:spacing w:after="0" w:line="13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F - 8</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70" w:lineRule="exact"/>
        <w:rPr>
          <w:sz w:val="20"/>
          <w:szCs w:val="20"/>
          <w:color w:val="auto"/>
        </w:rPr>
      </w:pPr>
    </w:p>
    <w:p>
      <w:pPr>
        <w:ind w:left="332" w:hanging="332"/>
        <w:spacing w:after="0"/>
        <w:tabs>
          <w:tab w:leader="none" w:pos="332"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(Continued)</w:t>
      </w:r>
    </w:p>
    <w:p>
      <w:pPr>
        <w:spacing w:after="0" w:line="182" w:lineRule="exact"/>
        <w:rPr>
          <w:rFonts w:ascii="Times New Roman" w:cs="Times New Roman" w:eastAsia="Times New Roman" w:hAnsi="Times New Roman"/>
          <w:sz w:val="18"/>
          <w:szCs w:val="18"/>
          <w:b w:val="1"/>
          <w:bCs w:val="1"/>
          <w:color w:val="auto"/>
        </w:rPr>
      </w:pPr>
    </w:p>
    <w:p>
      <w:pPr>
        <w:ind w:left="53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Engineering and Product Development</w:t>
      </w:r>
    </w:p>
    <w:p>
      <w:pPr>
        <w:spacing w:after="0" w:line="229" w:lineRule="exact"/>
        <w:rPr>
          <w:sz w:val="20"/>
          <w:szCs w:val="20"/>
          <w:color w:val="auto"/>
        </w:rPr>
      </w:pPr>
    </w:p>
    <w:p>
      <w:pPr>
        <w:ind w:left="532" w:right="280"/>
        <w:spacing w:after="0" w:line="275" w:lineRule="auto"/>
        <w:rPr>
          <w:sz w:val="20"/>
          <w:szCs w:val="20"/>
          <w:color w:val="auto"/>
        </w:rPr>
      </w:pPr>
      <w:r>
        <w:rPr>
          <w:rFonts w:ascii="Times New Roman" w:cs="Times New Roman" w:eastAsia="Times New Roman" w:hAnsi="Times New Roman"/>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70"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ind w:left="532" w:right="140"/>
        <w:spacing w:after="0" w:line="256" w:lineRule="auto"/>
        <w:rPr>
          <w:sz w:val="20"/>
          <w:szCs w:val="20"/>
          <w:color w:val="auto"/>
        </w:rPr>
      </w:pPr>
      <w:r>
        <w:rPr>
          <w:rFonts w:ascii="Times New Roman" w:cs="Times New Roman" w:eastAsia="Times New Roman" w:hAnsi="Times New Roman"/>
          <w:sz w:val="18"/>
          <w:szCs w:val="18"/>
          <w:color w:val="auto"/>
        </w:rPr>
        <w:t>For our foreign subsidiary whose functional currency is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2014 and 2013, foreign currency transaction losses were $44 and $4, respectively.</w:t>
      </w:r>
    </w:p>
    <w:p>
      <w:pPr>
        <w:spacing w:after="0" w:line="189"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229" w:lineRule="exact"/>
        <w:rPr>
          <w:sz w:val="20"/>
          <w:szCs w:val="20"/>
          <w:color w:val="auto"/>
        </w:rPr>
      </w:pPr>
    </w:p>
    <w:p>
      <w:pPr>
        <w:ind w:left="532"/>
        <w:spacing w:after="0" w:line="255" w:lineRule="auto"/>
        <w:rPr>
          <w:sz w:val="20"/>
          <w:szCs w:val="20"/>
          <w:color w:val="auto"/>
        </w:rPr>
      </w:pPr>
      <w:r>
        <w:rPr>
          <w:rFonts w:ascii="Times New Roman" w:cs="Times New Roman" w:eastAsia="Times New Roman" w:hAnsi="Times New Roman"/>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89" w:lineRule="exact"/>
        <w:rPr>
          <w:sz w:val="20"/>
          <w:szCs w:val="20"/>
          <w:color w:val="auto"/>
        </w:rPr>
      </w:pPr>
    </w:p>
    <w:p>
      <w:pPr>
        <w:ind w:left="532"/>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Earnings Per Common Share</w:t>
      </w:r>
    </w:p>
    <w:p>
      <w:pPr>
        <w:spacing w:after="0" w:line="229" w:lineRule="exact"/>
        <w:rPr>
          <w:sz w:val="20"/>
          <w:szCs w:val="20"/>
          <w:color w:val="auto"/>
        </w:rPr>
      </w:pPr>
    </w:p>
    <w:p>
      <w:pPr>
        <w:ind w:left="532" w:right="100"/>
        <w:spacing w:after="0" w:line="258" w:lineRule="auto"/>
        <w:rPr>
          <w:sz w:val="20"/>
          <w:szCs w:val="20"/>
          <w:color w:val="auto"/>
        </w:rPr>
      </w:pPr>
      <w:r>
        <w:rPr>
          <w:rFonts w:ascii="Times New Roman" w:cs="Times New Roman" w:eastAsia="Times New Roman" w:hAnsi="Times New Roman"/>
          <w:sz w:val="18"/>
          <w:szCs w:val="18"/>
          <w:color w:val="auto"/>
        </w:rPr>
        <w:t>Net earnings per common share - basic is computed by dividing net earnings by the weighted average number of common shares outstanding during each period. Net earnings per common share - diluted is computed by dividing net earnings by the weighted average number of common shares and common share equivalents outstanding during each period. Common share equivalents represent stock options and unvested shares of restricted stock and are calculated using the treasury stock method. Common share equivalents are excluded from the calculation if their effect is anti-dilutive.</w:t>
      </w:r>
    </w:p>
    <w:p>
      <w:pPr>
        <w:spacing w:after="0" w:line="190" w:lineRule="exact"/>
        <w:rPr>
          <w:sz w:val="20"/>
          <w:szCs w:val="20"/>
          <w:color w:val="auto"/>
        </w:rPr>
      </w:pPr>
    </w:p>
    <w:p>
      <w:pPr>
        <w:jc w:val="both"/>
        <w:ind w:left="532" w:right="640"/>
        <w:spacing w:after="0" w:line="310" w:lineRule="auto"/>
        <w:rPr>
          <w:sz w:val="20"/>
          <w:szCs w:val="20"/>
          <w:color w:val="auto"/>
        </w:rPr>
      </w:pPr>
      <w:r>
        <w:rPr>
          <w:rFonts w:ascii="Times New Roman" w:cs="Times New Roman" w:eastAsia="Times New Roman" w:hAnsi="Times New Roman"/>
          <w:sz w:val="16"/>
          <w:szCs w:val="16"/>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and their respective weighted average exercise prices that were excluded from the calculation of diluted earnings per share because their effect was anti-dilutive:</w:t>
      </w:r>
    </w:p>
    <w:p>
      <w:pPr>
        <w:spacing w:after="0" w:line="113" w:lineRule="exact"/>
        <w:rPr>
          <w:sz w:val="20"/>
          <w:szCs w:val="20"/>
          <w:color w:val="auto"/>
        </w:rPr>
      </w:pPr>
    </w:p>
    <w:tbl>
      <w:tblPr>
        <w:tblLayout w:type="fixed"/>
        <w:tblInd w:w="1092"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Years Ended December 31,</w:t>
            </w:r>
          </w:p>
        </w:tc>
        <w:tc>
          <w:tcPr>
            <w:tcW w:w="180" w:type="dxa"/>
            <w:vAlign w:val="bottom"/>
          </w:tcPr>
          <w:p>
            <w:pPr>
              <w:spacing w:after="0"/>
              <w:rPr>
                <w:sz w:val="13"/>
                <w:szCs w:val="13"/>
                <w:color w:val="auto"/>
              </w:rPr>
            </w:pPr>
          </w:p>
        </w:tc>
      </w:tr>
      <w:tr>
        <w:trPr>
          <w:trHeight w:val="223"/>
        </w:trPr>
        <w:tc>
          <w:tcPr>
            <w:tcW w:w="4840" w:type="dxa"/>
            <w:vAlign w:val="bottom"/>
          </w:tcPr>
          <w:p>
            <w:pPr>
              <w:spacing w:after="0"/>
              <w:rPr>
                <w:sz w:val="19"/>
                <w:szCs w:val="19"/>
                <w:color w:val="auto"/>
              </w:rPr>
            </w:pPr>
          </w:p>
        </w:tc>
        <w:tc>
          <w:tcPr>
            <w:tcW w:w="360" w:type="dxa"/>
            <w:vAlign w:val="bottom"/>
            <w:gridSpan w:val="3"/>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3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78"/>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10,431,743</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10,363,678</w:t>
            </w:r>
          </w:p>
        </w:tc>
      </w:tr>
      <w:tr>
        <w:trPr>
          <w:trHeight w:val="45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1"/>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stock options and unvested shares of restricted stock</w:t>
            </w:r>
          </w:p>
        </w:tc>
        <w:tc>
          <w:tcPr>
            <w:tcW w:w="160" w:type="dxa"/>
            <w:vAlign w:val="bottom"/>
          </w:tcPr>
          <w:p>
            <w:pPr>
              <w:spacing w:after="0"/>
              <w:rPr>
                <w:sz w:val="24"/>
                <w:szCs w:val="24"/>
                <w:color w:val="auto"/>
              </w:rPr>
            </w:pPr>
          </w:p>
        </w:tc>
        <w:tc>
          <w:tcPr>
            <w:tcW w:w="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34,321</w:t>
            </w:r>
          </w:p>
        </w:tc>
        <w:tc>
          <w:tcPr>
            <w:tcW w:w="160" w:type="dxa"/>
            <w:vAlign w:val="bottom"/>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55,425</w:t>
            </w:r>
          </w:p>
        </w:tc>
      </w:tr>
      <w:tr>
        <w:trPr>
          <w:trHeight w:val="43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10,466,064</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10,419,103</w:t>
            </w:r>
          </w:p>
        </w:tc>
      </w:tr>
      <w:tr>
        <w:trPr>
          <w:trHeight w:val="46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 potentially dilutive securities</w:t>
            </w:r>
          </w:p>
        </w:tc>
        <w:tc>
          <w:tcPr>
            <w:tcW w:w="1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r>
      <w:tr>
        <w:trPr>
          <w:trHeight w:val="228"/>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excluded from calculation</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48,021</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32,836</w:t>
            </w:r>
          </w:p>
        </w:tc>
      </w:tr>
    </w:tbl>
    <w:p>
      <w:pPr>
        <w:sectPr>
          <w:pgSz w:w="11900" w:h="16838" w:orient="portrait"/>
          <w:cols w:equalWidth="0" w:num="1">
            <w:col w:w="11412"/>
          </w:cols>
          <w:pgMar w:left="248" w:top="125" w:right="239" w:bottom="429" w:gutter="0" w:footer="0" w:header="0"/>
        </w:sectPr>
      </w:pPr>
    </w:p>
    <w:bookmarkStart w:id="32" w:name="page33"/>
    <w:bookmarkEnd w:id="32"/>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Recently Issued Amendments to Authoritative Accounting Guidance</w:t>
      </w:r>
    </w:p>
    <w:p>
      <w:pPr>
        <w:spacing w:after="0" w:line="229" w:lineRule="exact"/>
        <w:rPr>
          <w:sz w:val="20"/>
          <w:szCs w:val="20"/>
          <w:color w:val="auto"/>
        </w:rPr>
      </w:pPr>
    </w:p>
    <w:p>
      <w:pPr>
        <w:jc w:val="both"/>
        <w:ind w:left="540"/>
        <w:spacing w:after="0" w:line="287" w:lineRule="auto"/>
        <w:rPr>
          <w:sz w:val="20"/>
          <w:szCs w:val="20"/>
          <w:color w:val="auto"/>
        </w:rPr>
      </w:pPr>
      <w:r>
        <w:rPr>
          <w:rFonts w:ascii="Times New Roman" w:cs="Times New Roman" w:eastAsia="Times New Roman" w:hAnsi="Times New Roman"/>
          <w:sz w:val="16"/>
          <w:szCs w:val="16"/>
          <w:color w:val="auto"/>
        </w:rPr>
        <w:t>In May 2014, the FASB issued new guidance on the recognition of revenue from contracts with customers. This guidance is presented in ASC Topic 606 (Revenue from Contracts with Customers). This new guidance will replace most existing revenue recognition guidance in U.S. GAAP when it becomes effective. Companies can use either the retrospective or cumulative effect transition method. This new guidance is effective for us on January 1, 2017.</w:t>
      </w:r>
    </w:p>
    <w:p>
      <w:pPr>
        <w:spacing w:after="0" w:line="1" w:lineRule="exact"/>
        <w:rPr>
          <w:sz w:val="20"/>
          <w:szCs w:val="20"/>
          <w:color w:val="auto"/>
        </w:rPr>
      </w:pPr>
    </w:p>
    <w:p>
      <w:pPr>
        <w:ind w:left="540" w:right="100"/>
        <w:spacing w:after="0" w:line="261" w:lineRule="auto"/>
        <w:rPr>
          <w:sz w:val="20"/>
          <w:szCs w:val="20"/>
          <w:color w:val="auto"/>
        </w:rPr>
      </w:pPr>
      <w:r>
        <w:rPr>
          <w:rFonts w:ascii="Times New Roman" w:cs="Times New Roman" w:eastAsia="Times New Roman" w:hAnsi="Times New Roman"/>
          <w:sz w:val="18"/>
          <w:szCs w:val="18"/>
          <w:color w:val="auto"/>
        </w:rPr>
        <w:t>Early application is not permitted. We have not yet selected a transition method and we are still evaluating the effect that this guidance will have on our consolidated financial statements and related disclosures.</w:t>
      </w:r>
    </w:p>
    <w:p>
      <w:pPr>
        <w:spacing w:after="0" w:line="1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 - 9</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GOODWILL, INTANGIBLE AND LONG-LIVED ASSETS</w:t>
      </w:r>
    </w:p>
    <w:p>
      <w:pPr>
        <w:spacing w:after="0" w:line="187" w:lineRule="exact"/>
        <w:rPr>
          <w:sz w:val="20"/>
          <w:szCs w:val="20"/>
          <w:color w:val="auto"/>
        </w:rPr>
      </w:pPr>
    </w:p>
    <w:p>
      <w:pPr>
        <w:ind w:left="540" w:right="740"/>
        <w:spacing w:after="0" w:line="275" w:lineRule="auto"/>
        <w:rPr>
          <w:sz w:val="20"/>
          <w:szCs w:val="20"/>
          <w:color w:val="auto"/>
        </w:rPr>
      </w:pPr>
      <w:r>
        <w:rPr>
          <w:rFonts w:ascii="Times New Roman" w:cs="Times New Roman" w:eastAsia="Times New Roman" w:hAnsi="Times New Roman"/>
          <w:sz w:val="18"/>
          <w:szCs w:val="18"/>
          <w:color w:val="auto"/>
        </w:rPr>
        <w:t>Goodwill and intangible assets on our balance sheets are the result of our acquisitions of Sigma Systems Corp. ("Sigma") in October 2008 and Thermonics, Inc. ("Thermonics") in January 2012.</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w:t>
      </w:r>
    </w:p>
    <w:p>
      <w:pPr>
        <w:spacing w:after="0" w:line="229" w:lineRule="exact"/>
        <w:rPr>
          <w:sz w:val="20"/>
          <w:szCs w:val="20"/>
          <w:color w:val="auto"/>
        </w:rPr>
      </w:pPr>
    </w:p>
    <w:p>
      <w:pPr>
        <w:ind w:left="540" w:right="220"/>
        <w:spacing w:after="0" w:line="275" w:lineRule="auto"/>
        <w:rPr>
          <w:sz w:val="20"/>
          <w:szCs w:val="20"/>
          <w:color w:val="auto"/>
        </w:rPr>
      </w:pPr>
      <w:r>
        <w:rPr>
          <w:rFonts w:ascii="Times New Roman" w:cs="Times New Roman" w:eastAsia="Times New Roman" w:hAnsi="Times New Roman"/>
          <w:sz w:val="18"/>
          <w:szCs w:val="18"/>
          <w:color w:val="auto"/>
        </w:rPr>
        <w:t>All of our goodwill is allocated to our Thermal Products segment. There were no changes in the amount of the carrying value of goodwill for the year ended December 31, 2014.</w:t>
      </w:r>
    </w:p>
    <w:p>
      <w:pPr>
        <w:spacing w:after="0" w:line="1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Intangible Assets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provides further detail about our intangible assets as of December 31, 2014 and 2013:</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December 31, 2014</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7"/>
          </w:tcPr>
          <w:p>
            <w:pPr>
              <w:jc w:val="right"/>
              <w:ind w:right="18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w w:val="78"/>
              </w:rPr>
              <w:t>Net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8"/>
          </w:tcPr>
          <w:p>
            <w:pP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Carrying</w:t>
            </w:r>
          </w:p>
        </w:tc>
        <w:tc>
          <w:tcPr>
            <w:tcW w:w="120" w:type="dxa"/>
            <w:vAlign w:val="bottom"/>
          </w:tcPr>
          <w:p>
            <w:pPr>
              <w:spacing w:after="0"/>
              <w:rPr>
                <w:sz w:val="12"/>
                <w:szCs w:val="12"/>
                <w:color w:val="auto"/>
              </w:rPr>
            </w:pPr>
          </w:p>
        </w:tc>
        <w:tc>
          <w:tcPr>
            <w:tcW w:w="92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7"/>
              </w:rPr>
              <w:t>Accumulated</w:t>
            </w:r>
          </w:p>
        </w:tc>
        <w:tc>
          <w:tcPr>
            <w:tcW w:w="60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Carrying</w:t>
            </w:r>
          </w:p>
        </w:tc>
        <w:tc>
          <w:tcPr>
            <w:tcW w:w="0" w:type="dxa"/>
            <w:vAlign w:val="bottom"/>
          </w:tcPr>
          <w:p>
            <w:pPr>
              <w:spacing w:after="0"/>
              <w:rPr>
                <w:sz w:val="1"/>
                <w:szCs w:val="1"/>
                <w:color w:val="auto"/>
              </w:rPr>
            </w:pPr>
          </w:p>
        </w:tc>
      </w:tr>
      <w:tr>
        <w:trPr>
          <w:trHeight w:val="152"/>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7"/>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Amount</w:t>
            </w:r>
          </w:p>
        </w:tc>
        <w:tc>
          <w:tcPr>
            <w:tcW w:w="120" w:type="dxa"/>
            <w:vAlign w:val="bottom"/>
          </w:tcPr>
          <w:p>
            <w:pPr>
              <w:spacing w:after="0"/>
              <w:rPr>
                <w:sz w:val="13"/>
                <w:szCs w:val="13"/>
                <w:color w:val="auto"/>
              </w:rPr>
            </w:pPr>
          </w:p>
        </w:tc>
        <w:tc>
          <w:tcPr>
            <w:tcW w:w="920" w:type="dxa"/>
            <w:vAlign w:val="bottom"/>
            <w:gridSpan w:val="5"/>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7"/>
              </w:rPr>
              <w:t>Amortization</w:t>
            </w:r>
          </w:p>
        </w:tc>
        <w:tc>
          <w:tcPr>
            <w:tcW w:w="40" w:type="dxa"/>
            <w:vAlign w:val="bottom"/>
          </w:tcPr>
          <w:p>
            <w:pPr>
              <w:spacing w:after="0"/>
              <w:rPr>
                <w:sz w:val="13"/>
                <w:szCs w:val="13"/>
                <w:color w:val="auto"/>
              </w:rPr>
            </w:pPr>
          </w:p>
        </w:tc>
        <w:tc>
          <w:tcPr>
            <w:tcW w:w="560" w:type="dxa"/>
            <w:vAlign w:val="bottom"/>
            <w:gridSpan w:val="4"/>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4"/>
              </w:rPr>
              <w:t>Amount</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979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501</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Patented technology</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backlog</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1"/>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Non-compete/non-solicitation agreement</w:t>
            </w:r>
          </w:p>
        </w:tc>
        <w:tc>
          <w:tcPr>
            <w:tcW w:w="400" w:type="dxa"/>
            <w:vAlign w:val="bottom"/>
            <w:gridSpan w:val="3"/>
          </w:tcPr>
          <w:p>
            <w:pPr>
              <w:spacing w:after="0"/>
              <w:rPr>
                <w:sz w:val="24"/>
                <w:szCs w:val="24"/>
                <w:color w:val="auto"/>
              </w:rPr>
            </w:pPr>
          </w:p>
        </w:tc>
        <w:tc>
          <w:tcPr>
            <w:tcW w:w="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82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478"/>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Sigma trademark</w:t>
            </w:r>
          </w:p>
        </w:tc>
        <w:tc>
          <w:tcPr>
            <w:tcW w:w="400" w:type="dxa"/>
            <w:vAlign w:val="bottom"/>
            <w:gridSpan w:val="3"/>
          </w:tcPr>
          <w:p>
            <w:pPr>
              <w:spacing w:after="0"/>
              <w:rPr>
                <w:sz w:val="24"/>
                <w:szCs w:val="24"/>
                <w:color w:val="auto"/>
              </w:rPr>
            </w:pPr>
          </w:p>
        </w:tc>
        <w:tc>
          <w:tcPr>
            <w:tcW w:w="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4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00" w:type="dxa"/>
            <w:vAlign w:val="bottom"/>
            <w:gridSpan w:val="3"/>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w w:val="80"/>
              </w:rPr>
              <w:t>$</w:t>
            </w:r>
            <w:r>
              <w:rPr>
                <w:rFonts w:ascii="Times New Roman" w:cs="Times New Roman" w:eastAsia="Times New Roman" w:hAnsi="Times New Roman"/>
                <w:sz w:val="18"/>
                <w:szCs w:val="18"/>
                <w:color w:val="auto"/>
                <w:w w:val="80"/>
              </w:rPr>
              <w:t>3,108</w:t>
            </w:r>
          </w:p>
        </w:tc>
        <w:tc>
          <w:tcPr>
            <w:tcW w:w="2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December 31, 2013</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7"/>
          </w:tcPr>
          <w:p>
            <w:pPr>
              <w:jc w:val="right"/>
              <w:ind w:right="20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Gross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i w:val="1"/>
                <w:iCs w:val="1"/>
                <w:color w:val="auto"/>
                <w:w w:val="80"/>
              </w:rPr>
              <w:t>Net</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40" w:type="dxa"/>
            <w:vAlign w:val="bottom"/>
            <w:gridSpan w:val="9"/>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Carrying</w:t>
            </w:r>
          </w:p>
        </w:tc>
        <w:tc>
          <w:tcPr>
            <w:tcW w:w="104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7"/>
              </w:rPr>
              <w:t>Accumulated</w:t>
            </w:r>
          </w:p>
        </w:tc>
        <w:tc>
          <w:tcPr>
            <w:tcW w:w="6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Carrying</w:t>
            </w:r>
          </w:p>
        </w:tc>
        <w:tc>
          <w:tcPr>
            <w:tcW w:w="0" w:type="dxa"/>
            <w:vAlign w:val="bottom"/>
          </w:tcPr>
          <w:p>
            <w:pPr>
              <w:spacing w:after="0"/>
              <w:rPr>
                <w:sz w:val="1"/>
                <w:szCs w:val="1"/>
                <w:color w:val="auto"/>
              </w:rPr>
            </w:pPr>
          </w:p>
        </w:tc>
      </w:tr>
      <w:tr>
        <w:trPr>
          <w:trHeight w:val="152"/>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60" w:type="dxa"/>
            <w:vAlign w:val="bottom"/>
          </w:tcPr>
          <w:p>
            <w:pPr>
              <w:spacing w:after="0"/>
              <w:rPr>
                <w:sz w:val="13"/>
                <w:szCs w:val="13"/>
                <w:color w:val="auto"/>
              </w:rPr>
            </w:pPr>
          </w:p>
        </w:tc>
        <w:tc>
          <w:tcPr>
            <w:tcW w:w="58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Amount</w:t>
            </w:r>
          </w:p>
        </w:tc>
        <w:tc>
          <w:tcPr>
            <w:tcW w:w="120" w:type="dxa"/>
            <w:vAlign w:val="bottom"/>
          </w:tcPr>
          <w:p>
            <w:pPr>
              <w:spacing w:after="0"/>
              <w:rPr>
                <w:sz w:val="13"/>
                <w:szCs w:val="13"/>
                <w:color w:val="auto"/>
              </w:rPr>
            </w:pPr>
          </w:p>
        </w:tc>
        <w:tc>
          <w:tcPr>
            <w:tcW w:w="920" w:type="dxa"/>
            <w:vAlign w:val="bottom"/>
            <w:gridSpan w:val="5"/>
          </w:tcPr>
          <w:p>
            <w:pPr>
              <w:jc w:val="center"/>
              <w:ind w:right="1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7"/>
              </w:rPr>
              <w:t>Amortization</w:t>
            </w:r>
          </w:p>
        </w:tc>
        <w:tc>
          <w:tcPr>
            <w:tcW w:w="40" w:type="dxa"/>
            <w:vAlign w:val="bottom"/>
          </w:tcPr>
          <w:p>
            <w:pPr>
              <w:spacing w:after="0"/>
              <w:rPr>
                <w:sz w:val="13"/>
                <w:szCs w:val="13"/>
                <w:color w:val="auto"/>
              </w:rPr>
            </w:pPr>
          </w:p>
        </w:tc>
        <w:tc>
          <w:tcPr>
            <w:tcW w:w="560" w:type="dxa"/>
            <w:vAlign w:val="bottom"/>
            <w:gridSpan w:val="4"/>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8"/>
              </w:rPr>
              <w:t>Amount</w:t>
            </w:r>
          </w:p>
        </w:tc>
        <w:tc>
          <w:tcPr>
            <w:tcW w:w="0" w:type="dxa"/>
            <w:vAlign w:val="bottom"/>
          </w:tcPr>
          <w:p>
            <w:pPr>
              <w:spacing w:after="0"/>
              <w:rPr>
                <w:sz w:val="1"/>
                <w:szCs w:val="1"/>
                <w:color w:val="auto"/>
              </w:rPr>
            </w:pPr>
          </w:p>
        </w:tc>
      </w:tr>
      <w:tr>
        <w:trPr>
          <w:trHeight w:val="235"/>
        </w:trPr>
        <w:tc>
          <w:tcPr>
            <w:tcW w:w="32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725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755</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Patented technology</w:t>
            </w: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45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backlog</w:t>
            </w:r>
          </w:p>
        </w:tc>
        <w:tc>
          <w:tcPr>
            <w:tcW w:w="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1"/>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Non-compete/non-solicitation agreement</w:t>
            </w:r>
          </w:p>
        </w:tc>
        <w:tc>
          <w:tcPr>
            <w:tcW w:w="400" w:type="dxa"/>
            <w:vAlign w:val="bottom"/>
            <w:gridSpan w:val="3"/>
          </w:tcPr>
          <w:p>
            <w:pPr>
              <w:spacing w:after="0"/>
              <w:rPr>
                <w:sz w:val="24"/>
                <w:szCs w:val="24"/>
                <w:color w:val="auto"/>
              </w:rPr>
            </w:pPr>
          </w:p>
        </w:tc>
        <w:tc>
          <w:tcPr>
            <w:tcW w:w="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400" w:type="dxa"/>
            <w:vAlign w:val="bottom"/>
            <w:gridSpan w:val="3"/>
          </w:tcPr>
          <w:p>
            <w:pPr>
              <w:spacing w:after="0"/>
              <w:rPr>
                <w:sz w:val="24"/>
                <w:szCs w:val="24"/>
                <w:color w:val="auto"/>
              </w:rPr>
            </w:pPr>
          </w:p>
        </w:tc>
        <w:tc>
          <w:tcPr>
            <w:tcW w:w="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38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gridSpan w:val="3"/>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1,238</w:t>
            </w:r>
          </w:p>
        </w:tc>
        <w:tc>
          <w:tcPr>
            <w:tcW w:w="0" w:type="dxa"/>
            <w:vAlign w:val="bottom"/>
          </w:tcPr>
          <w:p>
            <w:pPr>
              <w:spacing w:after="0"/>
              <w:rPr>
                <w:sz w:val="1"/>
                <w:szCs w:val="1"/>
                <w:color w:val="auto"/>
              </w:rPr>
            </w:pPr>
          </w:p>
        </w:tc>
      </w:tr>
    </w:tbl>
    <w:p>
      <w:pPr>
        <w:sectPr>
          <w:pgSz w:w="11900" w:h="16838" w:orient="portrait"/>
          <w:cols w:equalWidth="0" w:num="1">
            <w:col w:w="11280"/>
          </w:cols>
          <w:pgMar w:left="240" w:top="121" w:right="379" w:bottom="22" w:gutter="0" w:footer="0" w:header="0"/>
        </w:sectPr>
      </w:pPr>
    </w:p>
    <w:bookmarkStart w:id="33" w:name="page34"/>
    <w:bookmarkEnd w:id="33"/>
    <w:p>
      <w:pPr>
        <w:spacing w:after="0" w:line="9"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21"/>
        </w:trPr>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Sigma trademark</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6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43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4"/>
              </w:rPr>
              <w:t>$</w:t>
            </w:r>
            <w:r>
              <w:rPr>
                <w:rFonts w:ascii="Times New Roman" w:cs="Times New Roman" w:eastAsia="Times New Roman" w:hAnsi="Times New Roman"/>
                <w:sz w:val="18"/>
                <w:szCs w:val="18"/>
                <w:color w:val="auto"/>
                <w:w w:val="84"/>
              </w:rPr>
              <w:t>3,108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1,748</w:t>
            </w:r>
          </w:p>
        </w:tc>
      </w:tr>
      <w:tr>
        <w:trPr>
          <w:trHeight w:val="20"/>
        </w:trPr>
        <w:tc>
          <w:tcPr>
            <w:tcW w:w="36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finite-lived assets have any residual value. The following table provides further information about the estimated useful lives of our finite-lived intangible assets as of December 31, 2014:</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- 10</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GOODWILL, INTANGIBLE AND LONG-LIVED ASSETS </w:t>
      </w:r>
      <w:r>
        <w:rPr>
          <w:rFonts w:ascii="Times New Roman" w:cs="Times New Roman" w:eastAsia="Times New Roman" w:hAnsi="Times New Roman"/>
          <w:sz w:val="18"/>
          <w:szCs w:val="18"/>
          <w:color w:val="auto"/>
        </w:rPr>
        <w:t>(Continued)</w:t>
      </w:r>
    </w:p>
    <w:p>
      <w:pPr>
        <w:spacing w:after="0" w:line="185"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7"/>
              </w:rPr>
              <w:t>Remaining</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7"/>
              </w:rPr>
              <w:t>Estimated</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Estimated</w:t>
            </w:r>
          </w:p>
        </w:tc>
        <w:tc>
          <w:tcPr>
            <w:tcW w:w="86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Useful Life at</w:t>
            </w: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62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2"/>
              </w:rPr>
              <w:t>Useful Life</w:t>
            </w:r>
          </w:p>
        </w:tc>
        <w:tc>
          <w:tcPr>
            <w:tcW w:w="80" w:type="dxa"/>
            <w:vAlign w:val="bottom"/>
          </w:tcPr>
          <w:p>
            <w:pPr>
              <w:spacing w:after="0"/>
              <w:rPr>
                <w:sz w:val="13"/>
                <w:szCs w:val="13"/>
                <w:color w:val="auto"/>
              </w:rPr>
            </w:pPr>
          </w:p>
        </w:tc>
        <w:tc>
          <w:tcPr>
            <w:tcW w:w="860" w:type="dxa"/>
            <w:vAlign w:val="bottom"/>
            <w:gridSpan w:val="2"/>
          </w:tcPr>
          <w:p>
            <w:pPr>
              <w:jc w:val="center"/>
              <w:ind w:left="16"/>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6"/>
              </w:rPr>
              <w:t>Dec. 31, 2014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Finite-lived intangible assets resulting from the acquisition of Sigma:</w:t>
            </w:r>
          </w:p>
        </w:tc>
        <w:tc>
          <w:tcPr>
            <w:tcW w:w="156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color w:val="auto"/>
              </w:rPr>
              <w:t>- - - - (in months) - - - -</w:t>
            </w:r>
          </w:p>
        </w:tc>
        <w:tc>
          <w:tcPr>
            <w:tcW w:w="0" w:type="dxa"/>
            <w:vAlign w:val="bottom"/>
          </w:tcPr>
          <w:p>
            <w:pPr>
              <w:spacing w:after="0"/>
              <w:rPr>
                <w:sz w:val="1"/>
                <w:szCs w:val="1"/>
                <w:color w:val="auto"/>
              </w:rPr>
            </w:pPr>
          </w:p>
        </w:tc>
      </w:tr>
      <w:tr>
        <w:trPr>
          <w:trHeight w:val="228"/>
        </w:trPr>
        <w:tc>
          <w:tcPr>
            <w:tcW w:w="52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Patented technology</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Finite-lived intangible assets resulting from the acquisition of</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Thermonics: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backlog</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Patented technology</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45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Non-compete/non-solicitation agreement</w:t>
            </w:r>
          </w:p>
        </w:tc>
        <w:tc>
          <w:tcPr>
            <w:tcW w:w="62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4"/>
                <w:szCs w:val="24"/>
                <w:color w:val="auto"/>
              </w:rPr>
            </w:pPr>
          </w:p>
        </w:tc>
        <w:tc>
          <w:tcPr>
            <w:tcW w:w="86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sets forth changes in the amount of the carrying value of finite-lived intangible assets for the year ended December 31, 2014:</w:t>
      </w: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 - January 1, 2014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1,238</w:t>
            </w:r>
          </w:p>
        </w:tc>
        <w:tc>
          <w:tcPr>
            <w:tcW w:w="40" w:type="dxa"/>
            <w:vAlign w:val="bottom"/>
          </w:tcPr>
          <w:p>
            <w:pPr>
              <w:spacing w:after="0"/>
              <w:rPr>
                <w:sz w:val="19"/>
                <w:szCs w:val="19"/>
                <w:color w:val="auto"/>
              </w:rPr>
            </w:pPr>
          </w:p>
        </w:tc>
      </w:tr>
      <w:tr>
        <w:trPr>
          <w:trHeight w:val="42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8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40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2014</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Total amortization expense for the years ended December 31, 2014 and 2013 was $355 and $446, respectively. The following table sets forth the estimated annual amortization expense for our finite-lived intangible assets for each of the next five years:</w:t>
      </w:r>
    </w:p>
    <w:p>
      <w:pPr>
        <w:spacing w:after="0" w:line="187" w:lineRule="exact"/>
        <w:rPr>
          <w:sz w:val="20"/>
          <w:szCs w:val="20"/>
          <w:color w:val="auto"/>
        </w:rPr>
      </w:pPr>
    </w:p>
    <w:tbl>
      <w:tblPr>
        <w:tblLayout w:type="fixed"/>
        <w:tblInd w:w="2180" w:type="dxa"/>
        <w:tblCellMar>
          <w:top w:w="0" w:type="dxa"/>
          <w:left w:w="0" w:type="dxa"/>
          <w:bottom w:w="0" w:type="dxa"/>
          <w:right w:w="0" w:type="dxa"/>
        </w:tblCellMar>
      </w:tblPr>
      <w:tr>
        <w:trPr>
          <w:trHeight w:val="228"/>
        </w:trPr>
        <w:tc>
          <w:tcPr>
            <w:tcW w:w="14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94"/>
              </w:rPr>
              <w:t>2015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459"/>
        </w:trPr>
        <w:tc>
          <w:tcPr>
            <w:tcW w:w="14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94"/>
              </w:rPr>
              <w:t>2016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459"/>
        </w:trPr>
        <w:tc>
          <w:tcPr>
            <w:tcW w:w="14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94"/>
              </w:rPr>
              <w:t>2017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459"/>
        </w:trPr>
        <w:tc>
          <w:tcPr>
            <w:tcW w:w="14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94"/>
              </w:rPr>
              <w:t>2018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$ 65</w:t>
            </w:r>
          </w:p>
        </w:tc>
      </w:tr>
      <w:tr>
        <w:trPr>
          <w:trHeight w:val="459"/>
        </w:trPr>
        <w:tc>
          <w:tcPr>
            <w:tcW w:w="14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w w:val="94"/>
              </w:rPr>
              <w:t>2019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w:t>
            </w:r>
          </w:p>
        </w:tc>
      </w:tr>
    </w:tbl>
    <w:p>
      <w:pPr>
        <w:spacing w:after="0" w:line="200" w:lineRule="exact"/>
        <w:rPr>
          <w:sz w:val="20"/>
          <w:szCs w:val="20"/>
          <w:color w:val="auto"/>
        </w:rPr>
      </w:pP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Impairment of Goodwill and Indefinite Life Intangible Assets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December 2014 and 2013, we assessed our goodwill and indefinite life intangible asset for impairment in accordance with the requirements of</w:t>
      </w:r>
    </w:p>
    <w:p>
      <w:pPr>
        <w:sectPr>
          <w:pgSz w:w="11900" w:h="16847" w:orient="portrait"/>
          <w:cols w:equalWidth="0" w:num="1">
            <w:col w:w="11420"/>
          </w:cols>
          <w:pgMar w:left="240" w:top="125" w:right="239" w:bottom="0" w:gutter="0" w:footer="0" w:header="0"/>
        </w:sectPr>
      </w:pPr>
    </w:p>
    <w:bookmarkStart w:id="34" w:name="page35"/>
    <w:bookmarkEnd w:id="34"/>
    <w:p>
      <w:pPr>
        <w:ind w:left="540" w:right="20"/>
        <w:spacing w:after="0" w:line="289" w:lineRule="auto"/>
        <w:rPr>
          <w:sz w:val="20"/>
          <w:szCs w:val="20"/>
          <w:color w:val="auto"/>
        </w:rPr>
      </w:pPr>
      <w:r>
        <w:rPr>
          <w:rFonts w:ascii="Times New Roman" w:cs="Times New Roman" w:eastAsia="Times New Roman" w:hAnsi="Times New Roman"/>
          <w:sz w:val="16"/>
          <w:szCs w:val="16"/>
          <w:color w:val="auto"/>
        </w:rPr>
        <w:t>ASC Topic 350 (Intangibles - Goodwill and Other). Our goodwill impairment assessment is based upon a combination of the income approach, which estimates the fair value of our reporting units based upon a discounted cash flow approach, and the market approach which estimates the fair value of our reporting units based upon comparable market multiples. This fair value is then reconciled to our market capitalization at year end with an appropriate control premium. The discount rates used in 2014 and 2013 for the discounted cash flows were 17% and 20%, respectively. The selection of these rates was based upon our analysis of market based estimates of capital costs and discount rates. The peer companies used in the market approach operate in our market segment. The determination of the fair value of our reporting units requires management to make significant estimates and assumptions including the selection of appropriate peer group companies, control premiums, discount rate, terminal growth rates, forecasts of revenue and expense growth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 - 11</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GOODWILL, INTANGIBLE AND LONG-LIVED ASSETS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40"/>
        <w:spacing w:after="0" w:line="262" w:lineRule="auto"/>
        <w:rPr>
          <w:sz w:val="20"/>
          <w:szCs w:val="20"/>
          <w:color w:val="auto"/>
        </w:rPr>
      </w:pPr>
      <w:r>
        <w:rPr>
          <w:rFonts w:ascii="Times New Roman" w:cs="Times New Roman" w:eastAsia="Times New Roman" w:hAnsi="Times New Roman"/>
          <w:sz w:val="18"/>
          <w:szCs w:val="18"/>
          <w:color w:val="auto"/>
        </w:rPr>
        <w:t>During the goodwill impairment assessment in both 2014 and 2013, we performed a Step I test to identify potential impairment, in which the fair value of the reporting unit was compared with its book value. This assessment indicated no impairment existed as the fair value of this reporting unit was determined to exceed its carrying value by 68% or $15,971 at December 31, 2014 and by 65% or $13,888 at December 31, 2013.</w:t>
      </w:r>
    </w:p>
    <w:p>
      <w:pPr>
        <w:spacing w:after="0" w:line="186" w:lineRule="exact"/>
        <w:rPr>
          <w:sz w:val="20"/>
          <w:szCs w:val="20"/>
          <w:color w:val="auto"/>
        </w:rPr>
      </w:pPr>
    </w:p>
    <w:p>
      <w:pPr>
        <w:ind w:left="540" w:right="220"/>
        <w:spacing w:after="0" w:line="262" w:lineRule="auto"/>
        <w:rPr>
          <w:sz w:val="20"/>
          <w:szCs w:val="20"/>
          <w:color w:val="auto"/>
        </w:rPr>
      </w:pPr>
      <w:r>
        <w:rPr>
          <w:rFonts w:ascii="Times New Roman" w:cs="Times New Roman" w:eastAsia="Times New Roman" w:hAnsi="Times New Roman"/>
          <w:sz w:val="18"/>
          <w:szCs w:val="18"/>
          <w:color w:val="auto"/>
        </w:rPr>
        <w:t>During the indefinite life intangible asset impairment assessment in both 2014 and 2013, we compared the fair value of our intangible asset with its carrying amount. This assessment indicated no impairment existed as the fair value of the intangible assets exceeded their carrying values in both 2014 and 2013.</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Impairment of Long-Lived Assets and Finite-lived Intangible Assets</w:t>
      </w:r>
    </w:p>
    <w:p>
      <w:pPr>
        <w:spacing w:after="0" w:line="229" w:lineRule="exact"/>
        <w:rPr>
          <w:sz w:val="20"/>
          <w:szCs w:val="20"/>
          <w:color w:val="auto"/>
        </w:rPr>
      </w:pPr>
    </w:p>
    <w:p>
      <w:pPr>
        <w:ind w:left="540"/>
        <w:spacing w:after="0" w:line="256" w:lineRule="auto"/>
        <w:rPr>
          <w:sz w:val="20"/>
          <w:szCs w:val="20"/>
          <w:color w:val="auto"/>
        </w:rPr>
      </w:pPr>
      <w:r>
        <w:rPr>
          <w:rFonts w:ascii="Times New Roman" w:cs="Times New Roman" w:eastAsia="Times New Roman" w:hAnsi="Times New Roman"/>
          <w:sz w:val="18"/>
          <w:szCs w:val="18"/>
          <w:color w:val="auto"/>
        </w:rPr>
        <w:t>As previously noted, our long-lived assets consist of our finite-lived intangible assets and property and equipment. During both December 2014 and 2013, due to continued operating losses experienced in our Mechanical Products segment, we assessed the long-lived assets of this segment for impairment. Our assessments indicated that the property and equipment that is allocated to this segment was not impaired. During 2014 and 2013, we did not review our Thermal and Electrical Products segment's long lived assets for impairment as there were no events or changes in business circumstances that would indicate an impairment might exist.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MAJOR CUSTOMERS</w:t>
      </w:r>
    </w:p>
    <w:p>
      <w:pPr>
        <w:spacing w:after="0" w:line="187" w:lineRule="exact"/>
        <w:rPr>
          <w:sz w:val="20"/>
          <w:szCs w:val="20"/>
          <w:color w:val="auto"/>
        </w:rPr>
      </w:pPr>
    </w:p>
    <w:p>
      <w:pPr>
        <w:ind w:left="540" w:right="180"/>
        <w:spacing w:after="0" w:line="258" w:lineRule="auto"/>
        <w:rPr>
          <w:sz w:val="20"/>
          <w:szCs w:val="20"/>
          <w:color w:val="auto"/>
        </w:rPr>
      </w:pPr>
      <w:r>
        <w:rPr>
          <w:rFonts w:ascii="Times New Roman" w:cs="Times New Roman" w:eastAsia="Times New Roman" w:hAnsi="Times New Roman"/>
          <w:sz w:val="18"/>
          <w:szCs w:val="18"/>
          <w:color w:val="auto"/>
        </w:rPr>
        <w:t>Texas Instruments Incorporated accounted for 13% of our consolidated net revenues in both 2014 and 2013. While all three of our operating segments sold products to this customer, these revenues were primarily generated by our Mechanical Products and Electrical Products segments. Hakuto Co. Ltd. accounted for 11% of our consolidated net revenues in 2014. These revenues were generated by our Thermal Products segment. During the years ended December 31, 2014 and 2013, no other customer accounted for 10% or more of our consolidated net revenues.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held at December 31 were comprised of the following:</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14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2013</w:t>
            </w:r>
          </w:p>
        </w:tc>
        <w:tc>
          <w:tcPr>
            <w:tcW w:w="140" w:type="dxa"/>
            <w:vAlign w:val="bottom"/>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5"/>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0"/>
              </w:rPr>
              <w:t>$2,505</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$2,753</w:t>
            </w:r>
          </w:p>
        </w:tc>
      </w:tr>
      <w:tr>
        <w:trPr>
          <w:trHeight w:val="45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45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consigned to others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439"/>
        </w:trPr>
        <w:tc>
          <w:tcPr>
            <w:tcW w:w="42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80"/>
              </w:rPr>
              <w:t>$</w:t>
            </w:r>
            <w:r>
              <w:rPr>
                <w:rFonts w:ascii="Times New Roman" w:cs="Times New Roman" w:eastAsia="Times New Roman" w:hAnsi="Times New Roman"/>
                <w:sz w:val="18"/>
                <w:szCs w:val="18"/>
                <w:color w:val="auto"/>
                <w:w w:val="80"/>
              </w:rPr>
              <w:t>3,769</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3,243</w:t>
            </w: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CURRENT LIABILITIES</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Other current liabilities at December 31 were comprised of the following:</w:t>
      </w:r>
    </w:p>
    <w:p>
      <w:pPr>
        <w:spacing w:after="0" w:line="227"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85"/>
              </w:rPr>
              <w:t>2014</w:t>
            </w:r>
          </w:p>
        </w:tc>
        <w:tc>
          <w:tcPr>
            <w:tcW w:w="100" w:type="dxa"/>
            <w:vAlign w:val="bottom"/>
          </w:tcPr>
          <w:p>
            <w:pPr>
              <w:spacing w:after="0"/>
              <w:rPr>
                <w:sz w:val="13"/>
                <w:szCs w:val="13"/>
                <w:color w:val="auto"/>
              </w:rPr>
            </w:pPr>
          </w:p>
        </w:tc>
        <w:tc>
          <w:tcPr>
            <w:tcW w:w="5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2013</w:t>
            </w:r>
          </w:p>
        </w:tc>
      </w:tr>
      <w:tr>
        <w:trPr>
          <w:trHeight w:val="20"/>
        </w:trPr>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2"/>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$118</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5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421"/>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4"/>
                <w:szCs w:val="2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439"/>
        </w:trPr>
        <w:tc>
          <w:tcPr>
            <w:tcW w:w="42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253</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301</w:t>
            </w:r>
          </w:p>
        </w:tc>
      </w:tr>
      <w:tr>
        <w:trPr>
          <w:trHeight w:val="20"/>
        </w:trPr>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 - 12</w:t>
      </w:r>
    </w:p>
    <w:p>
      <w:pPr>
        <w:sectPr>
          <w:pgSz w:w="11900" w:h="16838" w:orient="portrait"/>
          <w:cols w:equalWidth="0" w:num="1">
            <w:col w:w="11380"/>
          </w:cols>
          <w:pgMar w:left="240" w:top="125" w:right="279" w:bottom="0" w:gutter="0" w:footer="0" w:header="0"/>
          <w:type w:val="continuous"/>
        </w:sectPr>
      </w:pPr>
    </w:p>
    <w:bookmarkStart w:id="35" w:name="page36"/>
    <w:bookmarkEnd w:id="35"/>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Letters of Credit</w:t>
      </w:r>
    </w:p>
    <w:p>
      <w:pPr>
        <w:spacing w:after="0" w:line="229" w:lineRule="exact"/>
        <w:rPr>
          <w:sz w:val="20"/>
          <w:szCs w:val="20"/>
          <w:color w:val="auto"/>
        </w:rPr>
      </w:pPr>
    </w:p>
    <w:p>
      <w:pPr>
        <w:ind w:left="540" w:right="80"/>
        <w:spacing w:after="0" w:line="296" w:lineRule="auto"/>
        <w:rPr>
          <w:sz w:val="20"/>
          <w:szCs w:val="20"/>
          <w:color w:val="auto"/>
        </w:rPr>
      </w:pPr>
      <w:r>
        <w:rPr>
          <w:rFonts w:ascii="Times New Roman" w:cs="Times New Roman" w:eastAsia="Times New Roman" w:hAnsi="Times New Roman"/>
          <w:sz w:val="16"/>
          <w:szCs w:val="16"/>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The terms of our leases also allow us to request a reduction in the amount of these letters of credit at certain points during the lease term if there have been no events of default. As of December 31, 2014, there have been no events of default. Our outstanding letters of credit at December 31, 2014 and 2013 consisted of the following:</w:t>
      </w:r>
    </w:p>
    <w:p>
      <w:pPr>
        <w:spacing w:after="0" w:line="12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w w:val="95"/>
              </w:rPr>
              <w:t>Letters of Credit</w:t>
            </w:r>
          </w:p>
        </w:tc>
        <w:tc>
          <w:tcPr>
            <w:tcW w:w="0" w:type="dxa"/>
            <w:vAlign w:val="bottom"/>
          </w:tcPr>
          <w:p>
            <w:pPr>
              <w:spacing w:after="0"/>
              <w:rPr>
                <w:sz w:val="1"/>
                <w:szCs w:val="1"/>
                <w:color w:val="auto"/>
              </w:rPr>
            </w:pPr>
          </w:p>
        </w:tc>
      </w:tr>
      <w:tr>
        <w:trPr>
          <w:trHeight w:val="15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Facility</w:t>
            </w:r>
          </w:p>
        </w:tc>
        <w:tc>
          <w:tcPr>
            <w:tcW w:w="1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L/C</w:t>
            </w:r>
          </w:p>
        </w:tc>
        <w:tc>
          <w:tcPr>
            <w:tcW w:w="160" w:type="dxa"/>
            <w:vAlign w:val="bottom"/>
          </w:tcPr>
          <w:p>
            <w:pPr>
              <w:spacing w:after="0"/>
              <w:rPr>
                <w:sz w:val="13"/>
                <w:szCs w:val="13"/>
                <w:color w:val="auto"/>
              </w:rPr>
            </w:pPr>
          </w:p>
        </w:tc>
        <w:tc>
          <w:tcPr>
            <w:tcW w:w="90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5"/>
              </w:rPr>
              <w:t>Lease</w:t>
            </w:r>
          </w:p>
        </w:tc>
        <w:tc>
          <w:tcPr>
            <w:tcW w:w="140" w:type="dxa"/>
            <w:vAlign w:val="bottom"/>
          </w:tcPr>
          <w:p>
            <w:pPr>
              <w:spacing w:after="0"/>
              <w:rPr>
                <w:sz w:val="13"/>
                <w:szCs w:val="13"/>
                <w:color w:val="auto"/>
              </w:rPr>
            </w:pPr>
          </w:p>
        </w:tc>
        <w:tc>
          <w:tcPr>
            <w:tcW w:w="1240" w:type="dxa"/>
            <w:vAlign w:val="bottom"/>
            <w:gridSpan w:val="6"/>
          </w:tcPr>
          <w:p>
            <w:pPr>
              <w:jc w:val="right"/>
              <w:ind w:right="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3"/>
              </w:rPr>
              <w:t>Amount Outstanding</w:t>
            </w:r>
          </w:p>
        </w:tc>
        <w:tc>
          <w:tcPr>
            <w:tcW w:w="0" w:type="dxa"/>
            <w:vAlign w:val="bottom"/>
          </w:tcPr>
          <w:p>
            <w:pPr>
              <w:spacing w:after="0"/>
              <w:rPr>
                <w:sz w:val="1"/>
                <w:szCs w:val="1"/>
                <w:color w:val="auto"/>
              </w:rPr>
            </w:pPr>
          </w:p>
        </w:tc>
      </w:tr>
      <w:tr>
        <w:trPr>
          <w:trHeight w:val="20"/>
        </w:trPr>
        <w:tc>
          <w:tcPr>
            <w:tcW w:w="218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180" w:type="dxa"/>
            <w:vAlign w:val="bottom"/>
            <w:gridSpan w:val="2"/>
            <w:vMerge w:val="continue"/>
          </w:tcPr>
          <w:p>
            <w:pPr>
              <w:spacing w:after="0"/>
              <w:rPr>
                <w:sz w:val="13"/>
                <w:szCs w:val="13"/>
                <w:color w:val="auto"/>
              </w:rPr>
            </w:pPr>
          </w:p>
        </w:tc>
        <w:tc>
          <w:tcPr>
            <w:tcW w:w="20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Original L/C</w:t>
            </w:r>
          </w:p>
        </w:tc>
        <w:tc>
          <w:tcPr>
            <w:tcW w:w="10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w w:val="96"/>
              </w:rPr>
              <w:t>Expiration</w:t>
            </w:r>
          </w:p>
        </w:tc>
        <w:tc>
          <w:tcPr>
            <w:tcW w:w="10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w w:val="96"/>
              </w:rPr>
              <w:t>Expiration</w:t>
            </w:r>
          </w:p>
        </w:tc>
        <w:tc>
          <w:tcPr>
            <w:tcW w:w="520" w:type="dxa"/>
            <w:vAlign w:val="bottom"/>
            <w:gridSpan w:val="3"/>
            <w:vMerge w:val="restart"/>
          </w:tcPr>
          <w:p>
            <w:pPr>
              <w:jc w:val="center"/>
              <w:ind w:left="26"/>
              <w:spacing w:after="0"/>
              <w:rPr>
                <w:sz w:val="20"/>
                <w:szCs w:val="20"/>
                <w:color w:val="auto"/>
              </w:rPr>
            </w:pPr>
            <w:r>
              <w:rPr>
                <w:rFonts w:ascii="Times New Roman" w:cs="Times New Roman" w:eastAsia="Times New Roman" w:hAnsi="Times New Roman"/>
                <w:sz w:val="14"/>
                <w:szCs w:val="14"/>
                <w:b w:val="1"/>
                <w:bCs w:val="1"/>
                <w:i w:val="1"/>
                <w:iCs w:val="1"/>
                <w:color w:val="auto"/>
                <w:w w:val="96"/>
              </w:rPr>
              <w:t>Dec. 31</w:t>
            </w:r>
          </w:p>
        </w:tc>
        <w:tc>
          <w:tcPr>
            <w:tcW w:w="8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Dec. 31,</w:t>
            </w:r>
          </w:p>
        </w:tc>
        <w:tc>
          <w:tcPr>
            <w:tcW w:w="0" w:type="dxa"/>
            <w:vAlign w:val="bottom"/>
          </w:tcPr>
          <w:p>
            <w:pPr>
              <w:spacing w:after="0"/>
              <w:rPr>
                <w:sz w:val="1"/>
                <w:szCs w:val="1"/>
                <w:color w:val="auto"/>
              </w:rPr>
            </w:pPr>
          </w:p>
        </w:tc>
      </w:tr>
      <w:tr>
        <w:trPr>
          <w:trHeight w:val="44"/>
        </w:trPr>
        <w:tc>
          <w:tcPr>
            <w:tcW w:w="420" w:type="dxa"/>
            <w:vAlign w:val="bottom"/>
            <w:tcBorders>
              <w:top w:val="single" w:sz="8" w:color="auto"/>
            </w:tcBorders>
          </w:tcPr>
          <w:p>
            <w:pPr>
              <w:spacing w:after="0"/>
              <w:rPr>
                <w:sz w:val="3"/>
                <w:szCs w:val="3"/>
                <w:color w:val="auto"/>
              </w:rPr>
            </w:pPr>
          </w:p>
        </w:tc>
        <w:tc>
          <w:tcPr>
            <w:tcW w:w="1760" w:type="dxa"/>
            <w:vAlign w:val="bottom"/>
          </w:tcPr>
          <w:p>
            <w:pPr>
              <w:spacing w:after="0"/>
              <w:rPr>
                <w:sz w:val="3"/>
                <w:szCs w:val="3"/>
                <w:color w:val="auto"/>
              </w:rPr>
            </w:pPr>
          </w:p>
        </w:tc>
        <w:tc>
          <w:tcPr>
            <w:tcW w:w="2020" w:type="dxa"/>
            <w:vAlign w:val="bottom"/>
            <w:gridSpan w:val="3"/>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520" w:type="dxa"/>
            <w:vAlign w:val="bottom"/>
            <w:gridSpan w:val="3"/>
            <w:vMerge w:val="continue"/>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Mt. Laurel, NJ</w:t>
            </w:r>
          </w:p>
        </w:tc>
        <w:tc>
          <w:tcPr>
            <w:tcW w:w="1160" w:type="dxa"/>
            <w:vAlign w:val="bottom"/>
          </w:tcPr>
          <w:p>
            <w:pPr>
              <w:spacing w:after="0"/>
              <w:rPr>
                <w:sz w:val="13"/>
                <w:szCs w:val="13"/>
                <w:color w:val="auto"/>
              </w:rPr>
            </w:pPr>
          </w:p>
        </w:tc>
        <w:tc>
          <w:tcPr>
            <w:tcW w:w="860" w:type="dxa"/>
            <w:vAlign w:val="bottom"/>
            <w:gridSpan w:val="2"/>
          </w:tcPr>
          <w:p>
            <w:pPr>
              <w:jc w:val="right"/>
              <w:ind w:right="28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1"/>
              </w:rPr>
              <w:t>Issue Date</w:t>
            </w:r>
          </w:p>
        </w:tc>
        <w:tc>
          <w:tcPr>
            <w:tcW w:w="140" w:type="dxa"/>
            <w:vAlign w:val="bottom"/>
          </w:tcPr>
          <w:p>
            <w:pPr>
              <w:spacing w:after="0"/>
              <w:rPr>
                <w:sz w:val="13"/>
                <w:szCs w:val="13"/>
                <w:color w:val="auto"/>
              </w:rPr>
            </w:pPr>
          </w:p>
        </w:tc>
        <w:tc>
          <w:tcPr>
            <w:tcW w:w="880" w:type="dxa"/>
            <w:vAlign w:val="bottom"/>
            <w:gridSpan w:val="2"/>
          </w:tcPr>
          <w:p>
            <w:pPr>
              <w:jc w:val="center"/>
              <w:ind w:right="34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5"/>
              </w:rPr>
              <w:t>Date</w:t>
            </w:r>
          </w:p>
        </w:tc>
        <w:tc>
          <w:tcPr>
            <w:tcW w:w="160" w:type="dxa"/>
            <w:vAlign w:val="bottom"/>
          </w:tcPr>
          <w:p>
            <w:pPr>
              <w:spacing w:after="0"/>
              <w:rPr>
                <w:sz w:val="13"/>
                <w:szCs w:val="13"/>
                <w:color w:val="auto"/>
              </w:rPr>
            </w:pPr>
          </w:p>
        </w:tc>
        <w:tc>
          <w:tcPr>
            <w:tcW w:w="900" w:type="dxa"/>
            <w:vAlign w:val="bottom"/>
            <w:gridSpan w:val="2"/>
          </w:tcPr>
          <w:p>
            <w:pPr>
              <w:jc w:val="center"/>
              <w:ind w:right="36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5"/>
              </w:rPr>
              <w:t>Date</w:t>
            </w:r>
          </w:p>
        </w:tc>
        <w:tc>
          <w:tcPr>
            <w:tcW w:w="52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2014</w:t>
            </w:r>
          </w:p>
        </w:tc>
        <w:tc>
          <w:tcPr>
            <w:tcW w:w="780" w:type="dxa"/>
            <w:vAlign w:val="bottom"/>
            <w:gridSpan w:val="3"/>
          </w:tcPr>
          <w:p>
            <w:pPr>
              <w:jc w:val="right"/>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2013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gridSpan w:val="2"/>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80" w:type="dxa"/>
            <w:vAlign w:val="bottom"/>
            <w:gridSpan w:val="2"/>
            <w:vMerge w:val="continue"/>
          </w:tcPr>
          <w:p>
            <w:pPr>
              <w:spacing w:after="0"/>
              <w:rPr>
                <w:sz w:val="20"/>
                <w:szCs w:val="20"/>
                <w:color w:val="auto"/>
              </w:rPr>
            </w:pPr>
          </w:p>
        </w:tc>
        <w:tc>
          <w:tcPr>
            <w:tcW w:w="1160" w:type="dxa"/>
            <w:vAlign w:val="bottom"/>
            <w:vMerge w:val="restart"/>
          </w:tcPr>
          <w:p>
            <w:pPr>
              <w:spacing w:after="0"/>
              <w:rPr>
                <w:sz w:val="20"/>
                <w:szCs w:val="2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3/29/2010</w:t>
            </w: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3/31/2015</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4/30/2021</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Mansfield, MA</w:t>
            </w:r>
          </w:p>
        </w:tc>
        <w:tc>
          <w:tcPr>
            <w:tcW w:w="20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10/27/2010</w:t>
            </w:r>
          </w:p>
        </w:tc>
        <w:tc>
          <w:tcPr>
            <w:tcW w:w="10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11/08/2015</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8/23/2021</w:t>
            </w:r>
          </w:p>
        </w:tc>
        <w:tc>
          <w:tcPr>
            <w:tcW w:w="260" w:type="dxa"/>
            <w:vAlign w:val="bottom"/>
            <w:gridSpan w:val="2"/>
            <w:vMerge w:val="restart"/>
          </w:tcPr>
          <w:p>
            <w:pPr>
              <w:spacing w:after="0"/>
              <w:rPr>
                <w:sz w:val="21"/>
                <w:szCs w:val="2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gridSpan w:val="2"/>
            <w:vMerge w:val="restart"/>
          </w:tcPr>
          <w:p>
            <w:pPr>
              <w:spacing w:after="0"/>
              <w:rPr>
                <w:sz w:val="21"/>
                <w:szCs w:val="21"/>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3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3"/>
              </w:rPr>
              <w:t>$</w:t>
            </w:r>
            <w:r>
              <w:rPr>
                <w:rFonts w:ascii="Times New Roman" w:cs="Times New Roman" w:eastAsia="Times New Roman" w:hAnsi="Times New Roman"/>
                <w:sz w:val="18"/>
                <w:szCs w:val="18"/>
                <w:color w:val="auto"/>
                <w:w w:val="83"/>
              </w:rPr>
              <w:t>350</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EQUIPMENT LEASING</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our Thermal Products and Mechanical Products segments, we lease certain of our equipment to customers under non-cancellable operating leases.</w:t>
      </w:r>
    </w:p>
    <w:p>
      <w:pPr>
        <w:spacing w:after="0" w:line="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These leases generally have an initial term of six months. We recognize revenue for these leases on a straight-line basis over the term of the lease.</w:t>
      </w:r>
    </w:p>
    <w:p>
      <w:pPr>
        <w:spacing w:after="0" w:line="213" w:lineRule="exact"/>
        <w:rPr>
          <w:sz w:val="20"/>
          <w:szCs w:val="20"/>
          <w:color w:val="auto"/>
        </w:rPr>
      </w:pPr>
    </w:p>
    <w:p>
      <w:pPr>
        <w:ind w:left="540" w:right="80"/>
        <w:spacing w:after="0" w:line="275" w:lineRule="auto"/>
        <w:rPr>
          <w:sz w:val="20"/>
          <w:szCs w:val="20"/>
          <w:color w:val="auto"/>
        </w:rPr>
      </w:pPr>
      <w:r>
        <w:rPr>
          <w:rFonts w:ascii="Times New Roman" w:cs="Times New Roman" w:eastAsia="Times New Roman" w:hAnsi="Times New Roman"/>
          <w:sz w:val="18"/>
          <w:szCs w:val="18"/>
          <w:color w:val="auto"/>
        </w:rPr>
        <w:t>The total cost of leased equipment at December 31, 2014 and 2013 was $692 and $561, respectively, and is included in Machinery and Equipment on our balance sheet. As of December 31, 2014 and 2013, accumulated depreciation for leased equipment was $167 and $138, respectively.</w:t>
      </w:r>
    </w:p>
    <w:p>
      <w:pPr>
        <w:spacing w:after="0" w:line="174" w:lineRule="exact"/>
        <w:rPr>
          <w:sz w:val="20"/>
          <w:szCs w:val="20"/>
          <w:color w:val="auto"/>
        </w:rPr>
      </w:pPr>
    </w:p>
    <w:p>
      <w:pPr>
        <w:ind w:left="540" w:right="100"/>
        <w:spacing w:after="0" w:line="275" w:lineRule="auto"/>
        <w:rPr>
          <w:sz w:val="20"/>
          <w:szCs w:val="20"/>
          <w:color w:val="auto"/>
        </w:rPr>
      </w:pPr>
      <w:r>
        <w:rPr>
          <w:rFonts w:ascii="Times New Roman" w:cs="Times New Roman" w:eastAsia="Times New Roman" w:hAnsi="Times New Roman"/>
          <w:sz w:val="18"/>
          <w:szCs w:val="18"/>
          <w:color w:val="auto"/>
        </w:rPr>
        <w:t>As of December 31, 2014, total minimum payments receivable under non-cancellable operating leases were $151. All of these payments will be received in 2015.</w:t>
      </w:r>
    </w:p>
    <w:p>
      <w:pPr>
        <w:spacing w:after="0" w:line="347" w:lineRule="exact"/>
        <w:rPr>
          <w:sz w:val="20"/>
          <w:szCs w:val="20"/>
          <w:color w:val="auto"/>
        </w:rPr>
      </w:pPr>
    </w:p>
    <w:p>
      <w:pPr>
        <w:ind w:left="540" w:right="7700" w:hanging="532"/>
        <w:spacing w:after="0" w:line="538" w:lineRule="auto"/>
        <w:tabs>
          <w:tab w:leader="none" w:pos="336"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b w:val="1"/>
          <w:bCs w:val="1"/>
          <w:i w:val="1"/>
          <w:iCs w:val="1"/>
          <w:u w:val="single" w:color="auto"/>
          <w:color w:val="auto"/>
        </w:rPr>
        <w:t>Operating Lease Commitments</w:t>
      </w:r>
    </w:p>
    <w:p>
      <w:pPr>
        <w:spacing w:after="0" w:line="1"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We lease our offices, warehouse facilities, automobiles and certain equipment under non-cancellable operating leases which expire at various dates through 2021. Total rental expense for the years ended December 31, 2014 and 2013 was $1,307 and $1,221, respectively. Certain of our operating leases contain predetermined fixed escalations of minimum rentals and rent holidays during the original lease terms. Rent holidays are periods during which we have control of the leased facility but are not obligated to pay rent. For these leases, we recognize the related rental expense on a straight-line basis over the life of the lease, which includes any rent holiday, and record the difference between the amounts charged to operations and amounts paid as Accrued Rent on our balance sheet. In addition to the monthly rental payments due, most of our leases for our offices and warehouse facilities require us to pay our portion of the common area maintenance, property taxes and insurance charges incurred by the landlord for the facilities which we occupy. These amounts are generally included in rental expense in our statement of operations, but they are not included in the minimum rental commitments disclosed below as they are based on actual charges incurred in the periods to which they apply.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- 13</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COMMITMENTS AND CONTINGENCIES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aggregate minimum rental commitments under the non-cancellable operating leases in effect at December 31, 2014 are as follows:</w:t>
      </w:r>
    </w:p>
    <w:p>
      <w:pPr>
        <w:spacing w:after="0" w:line="198"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140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4"/>
              </w:rPr>
              <w:t>2015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459"/>
        </w:trPr>
        <w:tc>
          <w:tcPr>
            <w:tcW w:w="140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4"/>
              </w:rPr>
              <w:t>2016</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r>
      <w:tr>
        <w:trPr>
          <w:trHeight w:val="459"/>
        </w:trPr>
        <w:tc>
          <w:tcPr>
            <w:tcW w:w="140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4"/>
              </w:rPr>
              <w:t>2017</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459"/>
        </w:trPr>
        <w:tc>
          <w:tcPr>
            <w:tcW w:w="140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4"/>
              </w:rPr>
              <w:t>2018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459"/>
        </w:trPr>
        <w:tc>
          <w:tcPr>
            <w:tcW w:w="140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94"/>
              </w:rPr>
              <w:t>2019</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r>
    </w:tbl>
    <w:p>
      <w:pPr>
        <w:spacing w:after="0" w:line="200" w:lineRule="exact"/>
        <w:rPr>
          <w:sz w:val="20"/>
          <w:szCs w:val="20"/>
          <w:color w:val="auto"/>
        </w:rPr>
      </w:pPr>
    </w:p>
    <w:p>
      <w:pPr>
        <w:sectPr>
          <w:pgSz w:w="11900" w:h="16878" w:orient="portrait"/>
          <w:cols w:equalWidth="0" w:num="1">
            <w:col w:w="11400"/>
          </w:cols>
          <w:pgMar w:left="240" w:top="339" w:right="259" w:bottom="0" w:gutter="0" w:footer="0" w:header="0"/>
        </w:sectPr>
      </w:pP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u w:val="single" w:color="auto"/>
          <w:color w:val="auto"/>
        </w:rPr>
        <w:t>1,504</w:t>
      </w:r>
    </w:p>
    <w:p>
      <w:pPr>
        <w:sectPr>
          <w:pgSz w:w="11900" w:h="16878" w:orient="portrait"/>
          <w:cols w:equalWidth="0" w:num="1">
            <w:col w:w="11400"/>
          </w:cols>
          <w:pgMar w:left="240" w:top="339" w:right="259" w:bottom="0" w:gutter="0" w:footer="0" w:header="0"/>
          <w:type w:val="continuous"/>
        </w:sectPr>
      </w:pPr>
    </w:p>
    <w:bookmarkStart w:id="36" w:name="page37"/>
    <w:bookmarkEnd w:id="36"/>
    <w:p>
      <w:pPr>
        <w:ind w:left="1100"/>
        <w:spacing w:after="0"/>
        <w:rPr>
          <w:sz w:val="20"/>
          <w:szCs w:val="20"/>
          <w:color w:val="auto"/>
        </w:rPr>
      </w:pPr>
      <w:r>
        <w:rPr>
          <w:rFonts w:ascii="Times New Roman" w:cs="Times New Roman" w:eastAsia="Times New Roman" w:hAnsi="Times New Roman"/>
          <w:sz w:val="18"/>
          <w:szCs w:val="18"/>
          <w:color w:val="auto"/>
        </w:rPr>
        <w:t>Thereafter</w:t>
      </w:r>
    </w:p>
    <w:p>
      <w:pPr>
        <w:spacing w:after="0" w:line="25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u w:val="single" w:color="auto"/>
          <w:color w:val="auto"/>
        </w:rPr>
        <w:t>$6,688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7"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We are subject to Federal and certain state income taxes. In addition, we are taxed in certain foreign countries. As of December 31, 2014 and 2013, there were no cumulative undistributed earnings of our foreign subsidiaries for which U.S. income taxes have not been provided.</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Earnings before income taxes was as follows:</w:t>
      </w:r>
    </w:p>
    <w:p>
      <w:pPr>
        <w:spacing w:after="0" w:line="1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tbl>
      <w:tblPr>
        <w:tblLayout w:type="fixed"/>
        <w:tblInd w:w="110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140" w:type="dxa"/>
            <w:vAlign w:val="bottom"/>
          </w:tcPr>
          <w:p>
            <w:pPr>
              <w:spacing w:after="0"/>
              <w:rPr>
                <w:sz w:val="12"/>
                <w:szCs w:val="12"/>
                <w:color w:val="auto"/>
              </w:rPr>
            </w:pPr>
          </w:p>
        </w:tc>
        <w:tc>
          <w:tcPr>
            <w:tcW w:w="260" w:type="dxa"/>
            <w:vAlign w:val="bottom"/>
            <w:gridSpan w:val="2"/>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2"/>
              </w:rPr>
              <w:t>2013</w:t>
            </w:r>
          </w:p>
        </w:tc>
        <w:tc>
          <w:tcPr>
            <w:tcW w:w="160" w:type="dxa"/>
            <w:vAlign w:val="bottom"/>
          </w:tcPr>
          <w:p>
            <w:pPr>
              <w:spacing w:after="0"/>
              <w:rPr>
                <w:sz w:val="12"/>
                <w:szCs w:val="12"/>
                <w:color w:val="auto"/>
              </w:rPr>
            </w:pPr>
          </w:p>
        </w:tc>
      </w:tr>
      <w:tr>
        <w:trPr>
          <w:trHeight w:val="235"/>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2"/>
              </w:rPr>
              <w:t>$4,061</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$3,245</w:t>
            </w:r>
          </w:p>
        </w:tc>
      </w:tr>
      <w:tr>
        <w:trPr>
          <w:trHeight w:val="42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0" w:type="dxa"/>
            <w:vAlign w:val="bottom"/>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gridSpan w:val="2"/>
          </w:tcPr>
          <w:p>
            <w:pPr>
              <w:spacing w:after="0"/>
              <w:rPr>
                <w:sz w:val="24"/>
                <w:szCs w:val="24"/>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682"/>
        </w:trPr>
        <w:tc>
          <w:tcPr>
            <w:tcW w:w="3920" w:type="dxa"/>
            <w:vAlign w:val="bottom"/>
          </w:tcPr>
          <w:p>
            <w:pPr>
              <w:spacing w:after="0"/>
              <w:rPr>
                <w:sz w:val="24"/>
                <w:szCs w:val="24"/>
                <w:color w:val="auto"/>
              </w:rPr>
            </w:pPr>
          </w:p>
        </w:tc>
        <w:tc>
          <w:tcPr>
            <w:tcW w:w="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4,909</w:t>
            </w:r>
          </w:p>
        </w:tc>
        <w:tc>
          <w:tcPr>
            <w:tcW w:w="200" w:type="dxa"/>
            <w:vAlign w:val="bottom"/>
          </w:tcPr>
          <w:p>
            <w:pPr>
              <w:spacing w:after="0"/>
              <w:rPr>
                <w:sz w:val="24"/>
                <w:szCs w:val="24"/>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4,008</w:t>
            </w:r>
          </w:p>
        </w:tc>
      </w:tr>
    </w:tbl>
    <w:p>
      <w:pPr>
        <w:spacing w:after="0" w:line="24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Income tax expense (benefit) was as follows:</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tbl>
      <w:tblPr>
        <w:tblLayout w:type="fixed"/>
        <w:tblInd w:w="1100" w:type="dxa"/>
        <w:tblCellMar>
          <w:top w:w="0" w:type="dxa"/>
          <w:left w:w="0" w:type="dxa"/>
          <w:bottom w:w="0" w:type="dxa"/>
          <w:right w:w="0" w:type="dxa"/>
        </w:tblCellMar>
      </w:tblPr>
      <w:tr>
        <w:trPr>
          <w:trHeight w:val="149"/>
        </w:trPr>
        <w:tc>
          <w:tcPr>
            <w:tcW w:w="3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38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9"/>
              </w:rPr>
              <w:t>2013</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3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 Federal</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w w:val="92"/>
              </w:rPr>
              <w:t>$ 1,073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 state</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gridSpan w:val="4"/>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860" w:type="dxa"/>
            <w:vAlign w:val="bottom"/>
          </w:tcPr>
          <w:p>
            <w:pPr>
              <w:spacing w:after="0"/>
              <w:rPr>
                <w:sz w:val="24"/>
                <w:szCs w:val="24"/>
                <w:color w:val="auto"/>
              </w:rPr>
            </w:pPr>
          </w:p>
        </w:tc>
        <w:tc>
          <w:tcPr>
            <w:tcW w:w="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2"/>
              </w:rPr>
              <w:t>$ 1,152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 Federal</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 state</w:t>
            </w:r>
          </w:p>
        </w:tc>
        <w:tc>
          <w:tcPr>
            <w:tcW w:w="5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24"/>
                <w:szCs w:val="24"/>
                <w:color w:val="auto"/>
              </w:rPr>
            </w:pPr>
          </w:p>
        </w:tc>
        <w:tc>
          <w:tcPr>
            <w:tcW w:w="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2"/>
              </w:rPr>
              <w:t>(123)</w:t>
            </w:r>
          </w:p>
        </w:tc>
        <w:tc>
          <w:tcPr>
            <w:tcW w:w="0" w:type="dxa"/>
            <w:vAlign w:val="bottom"/>
          </w:tcPr>
          <w:p>
            <w:pPr>
              <w:spacing w:after="0"/>
              <w:rPr>
                <w:sz w:val="1"/>
                <w:szCs w:val="1"/>
                <w:color w:val="auto"/>
              </w:rPr>
            </w:pPr>
          </w:p>
        </w:tc>
      </w:tr>
      <w:tr>
        <w:trPr>
          <w:trHeight w:val="439"/>
        </w:trPr>
        <w:tc>
          <w:tcPr>
            <w:tcW w:w="386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w w:val="92"/>
              </w:rPr>
              <w:t>$ 1,470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right="360"/>
        <w:spacing w:after="0" w:line="262" w:lineRule="auto"/>
        <w:rPr>
          <w:sz w:val="20"/>
          <w:szCs w:val="20"/>
          <w:color w:val="auto"/>
        </w:rPr>
      </w:pPr>
      <w:r>
        <w:rPr>
          <w:rFonts w:ascii="Times New Roman" w:cs="Times New Roman" w:eastAsia="Times New Roman" w:hAnsi="Times New Roman"/>
          <w:sz w:val="18"/>
          <w:szCs w:val="18"/>
          <w:color w:val="auto"/>
        </w:rPr>
        <w:t>Deferred income taxes reflect the net tax effect of net operating loss and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2014 and 2013:</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 - 14</w:t>
      </w:r>
    </w:p>
    <w:p>
      <w:pPr>
        <w:spacing w:after="0" w:line="1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INCOME TAXES </w:t>
      </w:r>
      <w:r>
        <w:rPr>
          <w:rFonts w:ascii="Times New Roman" w:cs="Times New Roman" w:eastAsia="Times New Roman" w:hAnsi="Times New Roman"/>
          <w:sz w:val="18"/>
          <w:szCs w:val="18"/>
          <w:color w:val="auto"/>
        </w:rPr>
        <w:t>(Continued)</w:t>
      </w:r>
    </w:p>
    <w:p>
      <w:pPr>
        <w:spacing w:after="0" w:line="189"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i w:val="1"/>
                <w:iCs w:val="1"/>
                <w:color w:val="auto"/>
                <w:w w:val="93"/>
              </w:rPr>
              <w:t>December 31,</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vMerge w:val="restart"/>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2013</w:t>
            </w:r>
          </w:p>
        </w:tc>
        <w:tc>
          <w:tcPr>
            <w:tcW w:w="1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428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gridSpan w:val="2"/>
          </w:tcPr>
          <w:p>
            <w:pPr>
              <w:spacing w:after="0"/>
              <w:rPr>
                <w:sz w:val="5"/>
                <w:szCs w:val="5"/>
                <w:color w:val="auto"/>
              </w:rPr>
            </w:pPr>
          </w:p>
        </w:tc>
        <w:tc>
          <w:tcPr>
            <w:tcW w:w="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5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596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45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("NOL") (state and foreign)</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0" w:type="dxa"/>
            <w:vAlign w:val="bottom"/>
          </w:tcPr>
          <w:p>
            <w:pPr>
              <w:spacing w:after="0"/>
              <w:rPr>
                <w:sz w:val="1"/>
                <w:szCs w:val="1"/>
                <w:color w:val="auto"/>
              </w:rPr>
            </w:pPr>
          </w:p>
        </w:tc>
      </w:tr>
      <w:tr>
        <w:trPr>
          <w:trHeight w:val="45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5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45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vacation pay and stock-based compensation</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459"/>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 carryforwards (foreign, research and AMT)</w:t>
            </w: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bl>
    <w:p>
      <w:pPr>
        <w:sectPr>
          <w:pgSz w:w="11900" w:h="16838" w:orient="portrait"/>
          <w:cols w:equalWidth="0" w:num="1">
            <w:col w:w="11280"/>
          </w:cols>
          <w:pgMar w:left="240" w:top="125" w:right="379" w:bottom="0" w:gutter="0" w:footer="0" w:header="0"/>
        </w:sectPr>
      </w:pPr>
    </w:p>
    <w:bookmarkStart w:id="37" w:name="page38"/>
    <w:bookmarkEnd w:id="37"/>
    <w:p>
      <w:pPr>
        <w:spacing w:after="0" w:line="1" w:lineRule="exact"/>
        <w:rPr>
          <w:sz w:val="20"/>
          <w:szCs w:val="20"/>
          <w:color w:val="auto"/>
        </w:rPr>
      </w:pPr>
    </w:p>
    <w:tbl>
      <w:tblPr>
        <w:tblLayout w:type="fixed"/>
        <w:tblInd w:w="1100" w:type="dxa"/>
        <w:tblCellMar>
          <w:top w:w="0" w:type="dxa"/>
          <w:left w:w="0" w:type="dxa"/>
          <w:bottom w:w="0" w:type="dxa"/>
          <w:right w:w="0" w:type="dxa"/>
        </w:tblCellMar>
      </w:tblPr>
      <w:tr>
        <w:trPr>
          <w:trHeight w:val="228"/>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459"/>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costs</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r>
      <w:tr>
        <w:trPr>
          <w:trHeight w:val="459"/>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warranty</w:t>
            </w: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42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gridSpan w:val="3"/>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4"/>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24"/>
                <w:szCs w:val="24"/>
                <w:color w:val="auto"/>
              </w:rPr>
            </w:pPr>
          </w:p>
        </w:tc>
      </w:tr>
      <w:tr>
        <w:trPr>
          <w:trHeight w:val="478"/>
        </w:trPr>
        <w:tc>
          <w:tcPr>
            <w:tcW w:w="4540" w:type="dxa"/>
            <w:vAlign w:val="bottom"/>
          </w:tcPr>
          <w:p>
            <w:pPr>
              <w:spacing w:after="0"/>
              <w:rPr>
                <w:sz w:val="24"/>
                <w:szCs w:val="24"/>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2,385</w:t>
            </w:r>
          </w:p>
        </w:tc>
      </w:tr>
      <w:tr>
        <w:trPr>
          <w:trHeight w:val="35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0" w:type="dxa"/>
            <w:vAlign w:val="bottom"/>
            <w:gridSpan w:val="2"/>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4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gridSpan w:val="2"/>
          </w:tcPr>
          <w:p>
            <w:pPr>
              <w:spacing w:after="0"/>
              <w:rPr>
                <w:sz w:val="24"/>
                <w:szCs w:val="24"/>
                <w:color w:val="auto"/>
              </w:rPr>
            </w:pPr>
          </w:p>
        </w:tc>
        <w:tc>
          <w:tcPr>
            <w:tcW w:w="4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gridSpan w:val="3"/>
          </w:tcPr>
          <w:p>
            <w:pPr>
              <w:spacing w:after="0"/>
              <w:rPr>
                <w:sz w:val="24"/>
                <w:szCs w:val="24"/>
                <w:color w:val="auto"/>
              </w:rPr>
            </w:pPr>
          </w:p>
        </w:tc>
        <w:tc>
          <w:tcPr>
            <w:tcW w:w="52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2,098</w:t>
            </w:r>
          </w:p>
        </w:tc>
      </w:tr>
      <w:tr>
        <w:trPr>
          <w:trHeight w:val="47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intangible assets</w:t>
            </w:r>
          </w:p>
        </w:tc>
        <w:tc>
          <w:tcPr>
            <w:tcW w:w="58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421"/>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60" w:type="dxa"/>
            <w:vAlign w:val="bottom"/>
            <w:gridSpan w:val="2"/>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0" w:type="dxa"/>
            <w:vAlign w:val="bottom"/>
            <w:gridSpan w:val="2"/>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0"/>
        </w:trPr>
        <w:tc>
          <w:tcPr>
            <w:tcW w:w="45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2"/>
              </w:rPr>
              <w:t>$ 1,413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w w:val="96"/>
              </w:rPr>
              <w:t>$ 1,731</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58"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The valuation allowance for deferred tax assets as of the beginning of 2014 and 2013 was $287 and $573, respectively. The net change in the valuation allowance for the years ended December 31, 2014 and 2013 were decreases of $187 and $286,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credit carryforwards which expire in various years through 2034.</w:t>
      </w:r>
    </w:p>
    <w:p>
      <w:pPr>
        <w:spacing w:after="0" w:line="195" w:lineRule="exact"/>
        <w:rPr>
          <w:sz w:val="20"/>
          <w:szCs w:val="20"/>
          <w:color w:val="auto"/>
        </w:rPr>
      </w:pPr>
    </w:p>
    <w:p>
      <w:pPr>
        <w:ind w:left="540" w:right="220"/>
        <w:spacing w:after="0" w:line="275" w:lineRule="auto"/>
        <w:rPr>
          <w:sz w:val="20"/>
          <w:szCs w:val="20"/>
          <w:color w:val="auto"/>
        </w:rPr>
      </w:pPr>
      <w:r>
        <w:rPr>
          <w:rFonts w:ascii="Times New Roman" w:cs="Times New Roman" w:eastAsia="Times New Roman" w:hAnsi="Times New Roman"/>
          <w:sz w:val="18"/>
          <w:szCs w:val="18"/>
          <w:color w:val="auto"/>
        </w:rPr>
        <w:t>An analysis of the effective tax rate for the years ended December 31, 2014 and 2013 and a reconciliation from the expected statutory rate of 34% is as follows:</w:t>
      </w:r>
    </w:p>
    <w:p>
      <w:pPr>
        <w:spacing w:after="0" w:line="18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tbl>
      <w:tblPr>
        <w:tblLayout w:type="fixed"/>
        <w:tblInd w:w="560" w:type="dxa"/>
        <w:tblCellMar>
          <w:top w:w="0" w:type="dxa"/>
          <w:left w:w="0" w:type="dxa"/>
          <w:bottom w:w="0" w:type="dxa"/>
          <w:right w:w="0" w:type="dxa"/>
        </w:tblCellMar>
      </w:tblPr>
      <w:tr>
        <w:trPr>
          <w:trHeight w:val="149"/>
        </w:trPr>
        <w:tc>
          <w:tcPr>
            <w:tcW w:w="4300" w:type="dxa"/>
            <w:vAlign w:val="bottom"/>
          </w:tcPr>
          <w:p>
            <w:pPr>
              <w:spacing w:after="0"/>
              <w:rPr>
                <w:sz w:val="12"/>
                <w:szCs w:val="12"/>
                <w:color w:val="auto"/>
              </w:rPr>
            </w:pPr>
          </w:p>
        </w:tc>
        <w:tc>
          <w:tcPr>
            <w:tcW w:w="1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2014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4"/>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2013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Expected income tax provision at U.S. statutory rate</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1,363</w:t>
            </w:r>
          </w:p>
        </w:tc>
        <w:tc>
          <w:tcPr>
            <w:tcW w:w="40" w:type="dxa"/>
            <w:vAlign w:val="bottom"/>
          </w:tcPr>
          <w:p>
            <w:pPr>
              <w:spacing w:after="0"/>
              <w:rPr>
                <w:sz w:val="20"/>
                <w:szCs w:val="20"/>
                <w:color w:val="auto"/>
              </w:rPr>
            </w:pP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 from:</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9"/>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year tax credits (foreign and research)</w:t>
            </w:r>
          </w:p>
        </w:tc>
        <w:tc>
          <w:tcPr>
            <w:tcW w:w="1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income tax rate differences</w:t>
            </w:r>
          </w:p>
        </w:tc>
        <w:tc>
          <w:tcPr>
            <w:tcW w:w="18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Deemed dividend from foreign subsidiaries</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21"/>
                <w:szCs w:val="21"/>
                <w:color w:val="auto"/>
              </w:rPr>
            </w:pP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NOL carryforwards utilized</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21"/>
                <w:szCs w:val="21"/>
                <w:color w:val="auto"/>
              </w:rPr>
            </w:pP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tax expense, net of Federal benefit</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21"/>
                <w:szCs w:val="21"/>
                <w:color w:val="auto"/>
              </w:rPr>
            </w:pPr>
          </w:p>
        </w:tc>
      </w:tr>
      <w:tr>
        <w:trPr>
          <w:trHeight w:val="243"/>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Nondeductible expenses</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1"/>
                <w:szCs w:val="21"/>
                <w:color w:val="auto"/>
              </w:rPr>
            </w:pPr>
          </w:p>
        </w:tc>
      </w:tr>
      <w:tr>
        <w:trPr>
          <w:trHeight w:val="205"/>
        </w:trPr>
        <w:tc>
          <w:tcPr>
            <w:tcW w:w="430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Other</w:t>
            </w:r>
          </w:p>
        </w:tc>
        <w:tc>
          <w:tcPr>
            <w:tcW w:w="1260" w:type="dxa"/>
            <w:vAlign w:val="bottom"/>
          </w:tcPr>
          <w:p>
            <w:pPr>
              <w:spacing w:after="0"/>
              <w:rPr>
                <w:sz w:val="17"/>
                <w:szCs w:val="17"/>
                <w:color w:val="auto"/>
              </w:rPr>
            </w:pPr>
          </w:p>
        </w:tc>
        <w:tc>
          <w:tcPr>
            <w:tcW w:w="580" w:type="dxa"/>
            <w:vAlign w:val="bottom"/>
            <w:gridSpan w:val="4"/>
          </w:tcPr>
          <w:p>
            <w:pPr>
              <w:jc w:val="right"/>
              <w:ind w:right="60"/>
              <w:spacing w:after="0" w:line="205" w:lineRule="exact"/>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8"/>
                <w:szCs w:val="18"/>
                <w:color w:val="auto"/>
              </w:rPr>
              <w:t>(121)</w:t>
            </w:r>
          </w:p>
        </w:tc>
      </w:tr>
      <w:tr>
        <w:trPr>
          <w:trHeight w:val="20"/>
        </w:trPr>
        <w:tc>
          <w:tcPr>
            <w:tcW w:w="4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tcPr>
          <w:p>
            <w:pPr>
              <w:spacing w:after="0"/>
              <w:rPr>
                <w:sz w:val="19"/>
                <w:szCs w:val="19"/>
                <w:color w:val="auto"/>
              </w:rPr>
            </w:pPr>
          </w:p>
        </w:tc>
      </w:tr>
      <w:tr>
        <w:trPr>
          <w:trHeight w:val="856"/>
        </w:trPr>
        <w:tc>
          <w:tcPr>
            <w:tcW w:w="4300" w:type="dxa"/>
            <w:vAlign w:val="bottom"/>
          </w:tcPr>
          <w:p>
            <w:pPr>
              <w:spacing w:after="0"/>
              <w:rPr>
                <w:sz w:val="24"/>
                <w:szCs w:val="24"/>
                <w:color w:val="auto"/>
              </w:rPr>
            </w:pP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 - 15</w:t>
            </w:r>
          </w:p>
        </w:tc>
        <w:tc>
          <w:tcPr>
            <w:tcW w:w="48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INCOME TAXES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80"/>
        <w:spacing w:after="0" w:line="256" w:lineRule="auto"/>
        <w:rPr>
          <w:sz w:val="20"/>
          <w:szCs w:val="20"/>
          <w:color w:val="auto"/>
        </w:rPr>
      </w:pPr>
      <w:r>
        <w:rPr>
          <w:rFonts w:ascii="Times New Roman" w:cs="Times New Roman" w:eastAsia="Times New Roman" w:hAnsi="Times New Roman"/>
          <w:sz w:val="18"/>
          <w:szCs w:val="18"/>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2014 and 2013, we did not have an accrual for uncertain tax positions.</w:t>
      </w:r>
    </w:p>
    <w:p>
      <w:pPr>
        <w:spacing w:after="0" w:line="193" w:lineRule="exact"/>
        <w:rPr>
          <w:sz w:val="20"/>
          <w:szCs w:val="20"/>
          <w:color w:val="auto"/>
        </w:rPr>
      </w:pPr>
    </w:p>
    <w:p>
      <w:pPr>
        <w:ind w:left="540" w:right="40"/>
        <w:spacing w:after="0" w:line="275" w:lineRule="auto"/>
        <w:rPr>
          <w:sz w:val="20"/>
          <w:szCs w:val="20"/>
          <w:color w:val="auto"/>
        </w:rPr>
      </w:pPr>
      <w:r>
        <w:rPr>
          <w:rFonts w:ascii="Times New Roman" w:cs="Times New Roman" w:eastAsia="Times New Roman" w:hAnsi="Times New Roman"/>
          <w:sz w:val="18"/>
          <w:szCs w:val="18"/>
          <w:color w:val="auto"/>
        </w:rPr>
        <w:t>We file U.S. income tax returns and multiple state and foreign income tax returns. With few exceptions, the U.S. and state income tax returns filed for the tax years ending on December 31, 2011 and thereafter are subject to examination by the relevant taxing authorities.</w:t>
      </w:r>
    </w:p>
    <w:p>
      <w:pPr>
        <w:sectPr>
          <w:pgSz w:w="11900" w:h="16838" w:orient="portrait"/>
          <w:cols w:equalWidth="0" w:num="1">
            <w:col w:w="11380"/>
          </w:cols>
          <w:pgMar w:left="240" w:top="152" w:right="279" w:bottom="0" w:gutter="0" w:footer="0" w:header="0"/>
        </w:sectPr>
      </w:pPr>
    </w:p>
    <w:bookmarkStart w:id="38" w:name="page39"/>
    <w:bookmarkEnd w:id="38"/>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LEGAL PROCEEDINGS</w:t>
      </w:r>
    </w:p>
    <w:p>
      <w:pPr>
        <w:spacing w:after="0" w:line="187" w:lineRule="exact"/>
        <w:rPr>
          <w:sz w:val="20"/>
          <w:szCs w:val="20"/>
          <w:color w:val="auto"/>
        </w:rPr>
      </w:pPr>
    </w:p>
    <w:p>
      <w:pPr>
        <w:ind w:left="540"/>
        <w:spacing w:after="0" w:line="339" w:lineRule="auto"/>
        <w:rPr>
          <w:sz w:val="20"/>
          <w:szCs w:val="20"/>
          <w:color w:val="auto"/>
        </w:rPr>
      </w:pPr>
      <w:r>
        <w:rPr>
          <w:rFonts w:ascii="Times New Roman" w:cs="Times New Roman" w:eastAsia="Times New Roman" w:hAnsi="Times New Roman"/>
          <w:sz w:val="16"/>
          <w:szCs w:val="16"/>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STOCK-BASED COMPENSATION PLAN</w:t>
      </w:r>
    </w:p>
    <w:p>
      <w:pPr>
        <w:spacing w:after="0" w:line="187" w:lineRule="exact"/>
        <w:rPr>
          <w:sz w:val="20"/>
          <w:szCs w:val="20"/>
          <w:color w:val="auto"/>
        </w:rPr>
      </w:pPr>
    </w:p>
    <w:p>
      <w:pPr>
        <w:jc w:val="both"/>
        <w:ind w:left="540" w:right="40"/>
        <w:spacing w:after="0" w:line="258" w:lineRule="auto"/>
        <w:rPr>
          <w:sz w:val="20"/>
          <w:szCs w:val="20"/>
          <w:color w:val="auto"/>
        </w:rPr>
      </w:pPr>
      <w:r>
        <w:rPr>
          <w:rFonts w:ascii="Times New Roman" w:cs="Times New Roman" w:eastAsia="Times New Roman" w:hAnsi="Times New Roman"/>
          <w:sz w:val="18"/>
          <w:szCs w:val="18"/>
          <w:color w:val="auto"/>
        </w:rPr>
        <w:t>As of December 31, 2014, we have unvested restricted stock awards granted under the inTEST Corporation 2007 Stock Plan (the "2007 Stock Plan"). The 2007 Stock Plan was approved at our annual meeting of stockholders held on June 13, 2007. The 2007 Stock Plan permits the granting of stock options or restricted stock, for up to 500,000 shares of our common stock, to officers, other key employees and consultants. As of December 31, 2014, 57,500 shares remain available to grant under the 2007 Stock Plan.</w:t>
      </w:r>
    </w:p>
    <w:p>
      <w:pPr>
        <w:spacing w:after="0" w:line="190" w:lineRule="exact"/>
        <w:rPr>
          <w:sz w:val="20"/>
          <w:szCs w:val="20"/>
          <w:color w:val="auto"/>
        </w:rPr>
      </w:pPr>
    </w:p>
    <w:p>
      <w:pPr>
        <w:jc w:val="both"/>
        <w:ind w:left="540" w:right="180"/>
        <w:spacing w:after="0" w:line="258" w:lineRule="auto"/>
        <w:rPr>
          <w:sz w:val="20"/>
          <w:szCs w:val="20"/>
          <w:color w:val="auto"/>
        </w:rPr>
      </w:pPr>
      <w:r>
        <w:rPr>
          <w:rFonts w:ascii="Times New Roman" w:cs="Times New Roman" w:eastAsia="Times New Roman" w:hAnsi="Times New Roman"/>
          <w:sz w:val="18"/>
          <w:szCs w:val="18"/>
          <w:color w:val="auto"/>
        </w:rPr>
        <w:t>In addition, at our annual meeting on June 25, 2014, our stockholders approved the inTEST Corporation 2014 Stock Plan (the "2014 Stock Plan"). The 2014 Stock Plan permits the granting of stock options, restricted stock, stock appreciation rights or restricted stock units for up to 500,000 shares of our common stock to directors, officers, other key employees and consultants. As of December 31, 2014, no stock awards have been granted under the 2014 Stock Plan.</w:t>
      </w:r>
    </w:p>
    <w:p>
      <w:pPr>
        <w:spacing w:after="0" w:line="190" w:lineRule="exact"/>
        <w:rPr>
          <w:sz w:val="20"/>
          <w:szCs w:val="20"/>
          <w:color w:val="auto"/>
        </w:rPr>
      </w:pPr>
    </w:p>
    <w:p>
      <w:pPr>
        <w:jc w:val="both"/>
        <w:ind w:left="540" w:right="100"/>
        <w:spacing w:after="0" w:line="262" w:lineRule="auto"/>
        <w:rPr>
          <w:sz w:val="20"/>
          <w:szCs w:val="20"/>
          <w:color w:val="auto"/>
        </w:rPr>
      </w:pPr>
      <w:r>
        <w:rPr>
          <w:rFonts w:ascii="Times New Roman" w:cs="Times New Roman" w:eastAsia="Times New Roman" w:hAnsi="Times New Roman"/>
          <w:sz w:val="18"/>
          <w:szCs w:val="18"/>
          <w:color w:val="auto"/>
        </w:rPr>
        <w:t>We have not granted any stock options during 2014 or 2013. Our unvested restricted stock awards outstanding are accounted for based on their grant date fair value. As of December 31, 2014, total compensation expense to be recognized in future periods was $326. All of this expense is related to nonvested shares of restricted stock. The weighted average period over which this expense is expected to be recognized is 2.7 years.</w:t>
      </w:r>
    </w:p>
    <w:p>
      <w:pPr>
        <w:spacing w:after="0" w:line="1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two years ended December 31, 2014:</w:t>
      </w:r>
    </w:p>
    <w:p>
      <w:pPr>
        <w:spacing w:after="0" w:line="183"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5"/>
              </w:rPr>
              <w:t>Weighted</w:t>
            </w:r>
          </w:p>
        </w:tc>
      </w:tr>
      <w:tr>
        <w:trPr>
          <w:trHeight w:val="149"/>
        </w:trPr>
        <w:tc>
          <w:tcPr>
            <w:tcW w:w="5320" w:type="dxa"/>
            <w:vAlign w:val="bottom"/>
          </w:tcPr>
          <w:p>
            <w:pPr>
              <w:spacing w:after="0"/>
              <w:rPr>
                <w:sz w:val="12"/>
                <w:szCs w:val="12"/>
                <w:color w:val="auto"/>
              </w:rPr>
            </w:pPr>
          </w:p>
        </w:tc>
        <w:tc>
          <w:tcPr>
            <w:tcW w:w="80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Number</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2"/>
              </w:rPr>
              <w:t>Average</w:t>
            </w:r>
          </w:p>
        </w:tc>
      </w:tr>
      <w:tr>
        <w:trPr>
          <w:trHeight w:val="152"/>
        </w:trPr>
        <w:tc>
          <w:tcPr>
            <w:tcW w:w="5320" w:type="dxa"/>
            <w:vAlign w:val="bottom"/>
          </w:tcPr>
          <w:p>
            <w:pPr>
              <w:spacing w:after="0"/>
              <w:rPr>
                <w:sz w:val="13"/>
                <w:szCs w:val="13"/>
                <w:color w:val="auto"/>
              </w:rPr>
            </w:pPr>
          </w:p>
        </w:tc>
        <w:tc>
          <w:tcPr>
            <w:tcW w:w="540" w:type="dxa"/>
            <w:vAlign w:val="bottom"/>
            <w:tcBorders>
              <w:bottom w:val="single" w:sz="8" w:color="auto"/>
            </w:tcBorders>
            <w:gridSpan w:val="2"/>
          </w:tcPr>
          <w:p>
            <w:pPr>
              <w:jc w:val="cente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8"/>
              </w:rPr>
              <w:t>of Shares</w:t>
            </w:r>
          </w:p>
        </w:tc>
        <w:tc>
          <w:tcPr>
            <w:tcW w:w="260" w:type="dxa"/>
            <w:vAlign w:val="bottom"/>
            <w:gridSpan w:val="3"/>
          </w:tcPr>
          <w:p>
            <w:pPr>
              <w:spacing w:after="0"/>
              <w:rPr>
                <w:sz w:val="13"/>
                <w:szCs w:val="13"/>
                <w:color w:val="auto"/>
              </w:rPr>
            </w:pPr>
          </w:p>
        </w:tc>
        <w:tc>
          <w:tcPr>
            <w:tcW w:w="80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5"/>
              </w:rPr>
              <w:t>Exercise Price</w:t>
            </w:r>
          </w:p>
        </w:tc>
      </w:tr>
      <w:tr>
        <w:trPr>
          <w:trHeight w:val="235"/>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January 1, 2013 (219,000 exercisable)</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219,000</w:t>
            </w:r>
          </w:p>
        </w:tc>
        <w:tc>
          <w:tcPr>
            <w:tcW w:w="140" w:type="dxa"/>
            <w:vAlign w:val="bottom"/>
          </w:tcPr>
          <w:p>
            <w:pPr>
              <w:spacing w:after="0"/>
              <w:rPr>
                <w:sz w:val="20"/>
                <w:szCs w:val="20"/>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$3.17</w:t>
            </w:r>
          </w:p>
        </w:tc>
      </w:tr>
      <w:tr>
        <w:trPr>
          <w:trHeight w:val="45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3.04</w:t>
            </w:r>
          </w:p>
        </w:tc>
      </w:tr>
      <w:tr>
        <w:trPr>
          <w:trHeight w:val="42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8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6"/>
              </w:rPr>
              <w:t>(199,000)</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3.05</w:t>
            </w:r>
          </w:p>
        </w:tc>
      </w:tr>
      <w:tr>
        <w:trPr>
          <w:trHeight w:val="20"/>
        </w:trPr>
        <w:tc>
          <w:tcPr>
            <w:tcW w:w="5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78"/>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December 31, 2013 (10,000 exercisable)</w:t>
            </w:r>
          </w:p>
        </w:tc>
        <w:tc>
          <w:tcPr>
            <w:tcW w:w="120" w:type="dxa"/>
            <w:vAlign w:val="bottom"/>
          </w:tcPr>
          <w:p>
            <w:pPr>
              <w:spacing w:after="0"/>
              <w:rPr>
                <w:sz w:val="24"/>
                <w:szCs w:val="24"/>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5.66</w:t>
            </w:r>
          </w:p>
        </w:tc>
      </w:tr>
      <w:tr>
        <w:trPr>
          <w:trHeight w:val="45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459"/>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421"/>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20" w:type="dxa"/>
            <w:vAlign w:val="bottom"/>
          </w:tcPr>
          <w:p>
            <w:pPr>
              <w:spacing w:after="0"/>
              <w:rPr>
                <w:sz w:val="24"/>
                <w:szCs w:val="24"/>
                <w:color w:val="auto"/>
              </w:rPr>
            </w:pPr>
          </w:p>
        </w:tc>
        <w:tc>
          <w:tcPr>
            <w:tcW w:w="6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w w:val="90"/>
              </w:rPr>
              <w:t>(10,000)</w:t>
            </w: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53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Options outstanding, December 31, 2014</w:t>
            </w:r>
          </w:p>
        </w:tc>
        <w:tc>
          <w:tcPr>
            <w:tcW w:w="120" w:type="dxa"/>
            <w:vAlign w:val="bottom"/>
          </w:tcPr>
          <w:p>
            <w:pPr>
              <w:spacing w:after="0"/>
              <w:rPr>
                <w:sz w:val="24"/>
                <w:szCs w:val="24"/>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STOCK-BASED COMPENSATION PLAN </w:t>
      </w:r>
      <w:r>
        <w:rPr>
          <w:rFonts w:ascii="Times New Roman" w:cs="Times New Roman" w:eastAsia="Times New Roman" w:hAnsi="Times New Roman"/>
          <w:sz w:val="18"/>
          <w:szCs w:val="18"/>
          <w:color w:val="auto"/>
        </w:rPr>
        <w:t>(Continued)</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Awards</w:t>
      </w:r>
    </w:p>
    <w:p>
      <w:pPr>
        <w:spacing w:after="0" w:line="25" w:lineRule="exact"/>
        <w:rPr>
          <w:sz w:val="20"/>
          <w:szCs w:val="20"/>
          <w:color w:val="auto"/>
        </w:rPr>
      </w:pPr>
    </w:p>
    <w:p>
      <w:pPr>
        <w:ind w:left="540" w:right="220"/>
        <w:spacing w:after="0" w:line="255" w:lineRule="auto"/>
        <w:rPr>
          <w:sz w:val="20"/>
          <w:szCs w:val="20"/>
          <w:color w:val="auto"/>
        </w:rPr>
      </w:pPr>
      <w:r>
        <w:rPr>
          <w:rFonts w:ascii="Times New Roman" w:cs="Times New Roman" w:eastAsia="Times New Roman" w:hAnsi="Times New Roman"/>
          <w:sz w:val="18"/>
          <w:szCs w:val="18"/>
          <w:color w:val="auto"/>
        </w:rPr>
        <w:t>We record compensation expense for restricted stock awards (nonvested shares) based on the quoted market price of our stock at the grant date and amortize the expense over the vesting period. Restricted stock awards generally vest over four years. The following table summarizes the compensation expense we recorded during 2014 and 2013, related to nonvested shares:</w:t>
      </w:r>
    </w:p>
    <w:p>
      <w:pPr>
        <w:spacing w:after="0" w:line="16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65" w:lineRule="exact"/>
        <w:rPr>
          <w:sz w:val="20"/>
          <w:szCs w:val="20"/>
          <w:color w:val="auto"/>
        </w:rPr>
      </w:pPr>
    </w:p>
    <w:p>
      <w:pPr>
        <w:ind w:left="4880"/>
        <w:spacing w:after="0"/>
        <w:tabs>
          <w:tab w:leader="none" w:pos="540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1" w:lineRule="exact"/>
        <w:rPr>
          <w:sz w:val="20"/>
          <w:szCs w:val="20"/>
          <w:color w:val="auto"/>
        </w:rPr>
      </w:pPr>
    </w:p>
    <w:p>
      <w:pPr>
        <w:ind w:left="4860"/>
        <w:spacing w:after="0"/>
        <w:tabs>
          <w:tab w:leader="none" w:pos="5660" w:val="left"/>
        </w:tabs>
        <w:rPr>
          <w:sz w:val="20"/>
          <w:szCs w:val="20"/>
          <w:color w:val="auto"/>
        </w:rPr>
      </w:pPr>
      <w:r>
        <w:rPr>
          <w:rFonts w:ascii="Times New Roman" w:cs="Times New Roman" w:eastAsia="Times New Roman" w:hAnsi="Times New Roman"/>
          <w:sz w:val="18"/>
          <w:szCs w:val="18"/>
          <w:color w:val="auto"/>
        </w:rPr>
        <w:t>$  11  $</w:t>
      </w:r>
      <w:r>
        <w:rPr>
          <w:sz w:val="20"/>
          <w:szCs w:val="20"/>
          <w:color w:val="auto"/>
        </w:rPr>
        <w:tab/>
      </w:r>
      <w:r>
        <w:rPr>
          <w:rFonts w:ascii="Times New Roman" w:cs="Times New Roman" w:eastAsia="Times New Roman" w:hAnsi="Times New Roman"/>
          <w:sz w:val="16"/>
          <w:szCs w:val="16"/>
          <w:color w:val="auto"/>
        </w:rPr>
        <w:t>8</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Selling expense</w:t>
      </w:r>
    </w:p>
    <w:p>
      <w:pPr>
        <w:spacing w:after="0" w:line="21" w:lineRule="exact"/>
        <w:rPr>
          <w:sz w:val="20"/>
          <w:szCs w:val="20"/>
          <w:color w:val="auto"/>
        </w:rPr>
      </w:pPr>
    </w:p>
    <w:p>
      <w:pPr>
        <w:ind w:left="5580" w:hanging="423"/>
        <w:spacing w:after="0"/>
        <w:tabs>
          <w:tab w:leader="none" w:pos="55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Engineering and product development expense</w:t>
      </w:r>
    </w:p>
    <w:p>
      <w:pPr>
        <w:spacing w:after="0" w:line="21" w:lineRule="exact"/>
        <w:rPr>
          <w:sz w:val="20"/>
          <w:szCs w:val="20"/>
          <w:color w:val="auto"/>
        </w:rPr>
      </w:pPr>
    </w:p>
    <w:p>
      <w:pPr>
        <w:ind w:left="5060"/>
        <w:spacing w:after="0"/>
        <w:tabs>
          <w:tab w:leader="none" w:pos="55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28</w:t>
      </w:r>
    </w:p>
    <w:p>
      <w:pPr>
        <w:spacing w:after="0" w:line="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and administrative expense</w:t>
      </w:r>
    </w:p>
    <w:p>
      <w:pPr>
        <w:spacing w:after="0" w:line="21" w:lineRule="exact"/>
        <w:rPr>
          <w:sz w:val="20"/>
          <w:szCs w:val="20"/>
          <w:color w:val="auto"/>
        </w:rPr>
      </w:pPr>
    </w:p>
    <w:p>
      <w:pPr>
        <w:jc w:val="right"/>
        <w:ind w:left="4900" w:right="5660" w:firstLine="81"/>
        <w:spacing w:after="0" w:line="538" w:lineRule="auto"/>
        <w:tabs>
          <w:tab w:leader="none" w:pos="5589" w:val="left"/>
        </w:tabs>
        <w:numPr>
          <w:ilvl w:val="0"/>
          <w:numId w:val="15"/>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$134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-410210</wp:posOffset>
            </wp:positionV>
            <wp:extent cx="222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ind w:left="540" w:right="400"/>
        <w:spacing w:after="0" w:line="275" w:lineRule="auto"/>
        <w:rPr>
          <w:sz w:val="20"/>
          <w:szCs w:val="20"/>
          <w:color w:val="auto"/>
        </w:rPr>
      </w:pPr>
      <w:r>
        <w:rPr>
          <w:rFonts w:ascii="Times New Roman" w:cs="Times New Roman" w:eastAsia="Times New Roman" w:hAnsi="Times New Roman"/>
          <w:sz w:val="18"/>
          <w:szCs w:val="18"/>
          <w:color w:val="auto"/>
        </w:rPr>
        <w:t>There was no compensation expense capitalized in 2014 or 2013. The following table summarizes the activity related to nonvested shares for the two years ended December 31, 2014:</w:t>
      </w:r>
    </w:p>
    <w:p>
      <w:pPr>
        <w:sectPr>
          <w:pgSz w:w="11900" w:h="16912" w:orient="portrait"/>
          <w:cols w:equalWidth="0" w:num="1">
            <w:col w:w="11420"/>
          </w:cols>
          <w:pgMar w:left="240" w:top="339" w:right="239" w:bottom="0" w:gutter="0" w:footer="0" w:header="0"/>
        </w:sectPr>
      </w:pPr>
    </w:p>
    <w:bookmarkStart w:id="39" w:name="page40"/>
    <w:bookmarkEnd w:id="39"/>
    <w:tbl>
      <w:tblPr>
        <w:tblLayout w:type="fixed"/>
        <w:tblInd w:w="110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4"/>
              </w:rPr>
              <w:t>Weighted Average</w:t>
            </w:r>
          </w:p>
        </w:tc>
      </w:tr>
      <w:tr>
        <w:trPr>
          <w:trHeight w:val="149"/>
        </w:trPr>
        <w:tc>
          <w:tcPr>
            <w:tcW w:w="4240" w:type="dxa"/>
            <w:vAlign w:val="bottom"/>
          </w:tcPr>
          <w:p>
            <w:pPr>
              <w:spacing w:after="0"/>
              <w:rPr>
                <w:sz w:val="12"/>
                <w:szCs w:val="12"/>
                <w:color w:val="auto"/>
              </w:rPr>
            </w:pPr>
          </w:p>
        </w:tc>
        <w:tc>
          <w:tcPr>
            <w:tcW w:w="780" w:type="dxa"/>
            <w:vAlign w:val="bottom"/>
            <w:gridSpan w:val="6"/>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Number</w:t>
            </w:r>
          </w:p>
        </w:tc>
        <w:tc>
          <w:tcPr>
            <w:tcW w:w="10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5"/>
              </w:rPr>
              <w:t>Grant Date</w:t>
            </w:r>
          </w:p>
        </w:tc>
      </w:tr>
      <w:tr>
        <w:trPr>
          <w:trHeight w:val="152"/>
        </w:trPr>
        <w:tc>
          <w:tcPr>
            <w:tcW w:w="4240" w:type="dxa"/>
            <w:vAlign w:val="bottom"/>
          </w:tcPr>
          <w:p>
            <w:pPr>
              <w:spacing w:after="0"/>
              <w:rPr>
                <w:sz w:val="13"/>
                <w:szCs w:val="13"/>
                <w:color w:val="auto"/>
              </w:rPr>
            </w:pPr>
          </w:p>
        </w:tc>
        <w:tc>
          <w:tcPr>
            <w:tcW w:w="780" w:type="dxa"/>
            <w:vAlign w:val="bottom"/>
            <w:gridSpan w:val="6"/>
          </w:tcPr>
          <w:p>
            <w:pPr>
              <w:jc w:val="right"/>
              <w:ind w:right="26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1"/>
              </w:rPr>
              <w:t>of Shares</w:t>
            </w:r>
          </w:p>
        </w:tc>
        <w:tc>
          <w:tcPr>
            <w:tcW w:w="260" w:type="dxa"/>
            <w:vAlign w:val="bottom"/>
          </w:tcPr>
          <w:p>
            <w:pPr>
              <w:spacing w:after="0"/>
              <w:rPr>
                <w:sz w:val="13"/>
                <w:szCs w:val="13"/>
                <w:color w:val="auto"/>
              </w:rPr>
            </w:pPr>
          </w:p>
        </w:tc>
        <w:tc>
          <w:tcPr>
            <w:tcW w:w="800" w:type="dxa"/>
            <w:vAlign w:val="bottom"/>
            <w:gridSpan w:val="2"/>
          </w:tcPr>
          <w:p>
            <w:pPr>
              <w:jc w:val="center"/>
              <w:ind w:right="20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4"/>
              </w:rPr>
              <w:t>Fair Value</w:t>
            </w:r>
          </w:p>
        </w:tc>
      </w:tr>
      <w:tr>
        <w:trPr>
          <w:trHeight w:val="20"/>
        </w:trPr>
        <w:tc>
          <w:tcPr>
            <w:tcW w:w="4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Nonvested shares outstanding, January 1, 2013</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108,750</w:t>
            </w:r>
          </w:p>
        </w:tc>
        <w:tc>
          <w:tcPr>
            <w:tcW w:w="1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45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1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3.62</w:t>
            </w:r>
          </w:p>
        </w:tc>
      </w:tr>
      <w:tr>
        <w:trPr>
          <w:trHeight w:val="45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(56,250)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1.70</w:t>
            </w:r>
          </w:p>
        </w:tc>
      </w:tr>
      <w:tr>
        <w:trPr>
          <w:trHeight w:val="421"/>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0" w:type="dxa"/>
            <w:vAlign w:val="bottom"/>
            <w:gridSpan w:val="3"/>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78"/>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Nonvested shares outstanding, December 31, 2013</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1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r>
      <w:tr>
        <w:trPr>
          <w:trHeight w:val="45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4.14</w:t>
            </w:r>
          </w:p>
        </w:tc>
      </w:tr>
      <w:tr>
        <w:trPr>
          <w:trHeight w:val="459"/>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(83,125)</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r>
      <w:tr>
        <w:trPr>
          <w:trHeight w:val="421"/>
        </w:trPr>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0" w:type="dxa"/>
            <w:vAlign w:val="bottom"/>
          </w:tcPr>
          <w:p>
            <w:pPr>
              <w:spacing w:after="0"/>
              <w:rPr>
                <w:sz w:val="24"/>
                <w:szCs w:val="24"/>
                <w:color w:val="auto"/>
              </w:rPr>
            </w:pPr>
          </w:p>
        </w:tc>
        <w:tc>
          <w:tcPr>
            <w:tcW w:w="7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3.97</w:t>
            </w:r>
          </w:p>
        </w:tc>
      </w:tr>
      <w:tr>
        <w:trPr>
          <w:trHeight w:val="43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Nonvested shares outstanding, December 31, 2014</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101,875</w:t>
            </w:r>
          </w:p>
        </w:tc>
        <w:tc>
          <w:tcPr>
            <w:tcW w:w="10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r>
    </w:tbl>
    <w:p>
      <w:pPr>
        <w:spacing w:after="0" w:line="200" w:lineRule="exact"/>
        <w:rPr>
          <w:sz w:val="20"/>
          <w:szCs w:val="20"/>
          <w:color w:val="auto"/>
        </w:rPr>
      </w:pPr>
    </w:p>
    <w:p>
      <w:pPr>
        <w:spacing w:after="0" w:line="258" w:lineRule="exact"/>
        <w:rPr>
          <w:sz w:val="20"/>
          <w:szCs w:val="20"/>
          <w:color w:val="auto"/>
        </w:rPr>
      </w:pPr>
    </w:p>
    <w:p>
      <w:pPr>
        <w:ind w:left="540"/>
        <w:spacing w:after="0" w:line="275" w:lineRule="auto"/>
        <w:rPr>
          <w:sz w:val="20"/>
          <w:szCs w:val="20"/>
          <w:color w:val="auto"/>
        </w:rPr>
      </w:pPr>
      <w:r>
        <w:rPr>
          <w:rFonts w:ascii="Times New Roman" w:cs="Times New Roman" w:eastAsia="Times New Roman" w:hAnsi="Times New Roman"/>
          <w:sz w:val="18"/>
          <w:szCs w:val="18"/>
          <w:color w:val="auto"/>
        </w:rPr>
        <w:t>The total fair value of the shares that vested during the years ended December 31, 2014 and 2013 was $351 and $176, respectively, as of the vesting dates of these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EMPLOYEE BENEFIT PLANS</w:t>
      </w:r>
    </w:p>
    <w:p>
      <w:pPr>
        <w:spacing w:after="0" w:line="187" w:lineRule="exact"/>
        <w:rPr>
          <w:sz w:val="20"/>
          <w:szCs w:val="20"/>
          <w:color w:val="auto"/>
        </w:rPr>
      </w:pPr>
    </w:p>
    <w:p>
      <w:pPr>
        <w:jc w:val="both"/>
        <w:ind w:left="540" w:right="120"/>
        <w:spacing w:after="0" w:line="256" w:lineRule="auto"/>
        <w:rPr>
          <w:sz w:val="20"/>
          <w:szCs w:val="20"/>
          <w:color w:val="auto"/>
        </w:rPr>
      </w:pPr>
      <w:r>
        <w:rPr>
          <w:rFonts w:ascii="Times New Roman" w:cs="Times New Roman" w:eastAsia="Times New Roman" w:hAnsi="Times New Roman"/>
          <w:sz w:val="18"/>
          <w:szCs w:val="18"/>
          <w:color w:val="auto"/>
        </w:rPr>
        <w:t>We have a defined contribution 401(k) plan for our employees who work in the U.S. (the "inTEST 401(k) Plan"). All permanent employees of inTEST Corporation, Temptronic Corporation and inTEST Silicon Valley Corporation who are at least 18 years of age are eligible to participate in the plan. We match employee contributions dollar for dollar up to 10% of the employee's annual compensation, with a maximum limit of $5. Employer contributions vest ratably over four years. Matching contributions are discretionary. For the years ended December 31, 2014 and 2013, we recorded $317 and $320 of expense for matching contributions,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We have three reportable segments, which are also our reporting units: Thermal Products, Mechanical Products and Electrical Products.</w:t>
      </w:r>
    </w:p>
    <w:p>
      <w:pPr>
        <w:spacing w:after="0" w:line="225" w:lineRule="exact"/>
        <w:rPr>
          <w:sz w:val="20"/>
          <w:szCs w:val="20"/>
          <w:color w:val="auto"/>
        </w:rPr>
      </w:pPr>
    </w:p>
    <w:p>
      <w:pPr>
        <w:jc w:val="both"/>
        <w:ind w:left="540" w:right="160"/>
        <w:spacing w:after="0" w:line="310" w:lineRule="auto"/>
        <w:rPr>
          <w:sz w:val="20"/>
          <w:szCs w:val="20"/>
          <w:color w:val="auto"/>
        </w:rPr>
      </w:pPr>
      <w:r>
        <w:rPr>
          <w:rFonts w:ascii="Times New Roman" w:cs="Times New Roman" w:eastAsia="Times New Roman" w:hAnsi="Times New Roman"/>
          <w:sz w:val="16"/>
          <w:szCs w:val="16"/>
          <w:color w:val="auto"/>
        </w:rPr>
        <w:t>The Thermal Products segment includes the operations of Temptronic Corporation, Thermonics, Sigma, inTEST Thermal Solutions GmbH (Germany), and inTEST Pte, Limited (Singapore). Sales of this segment consist primarily of temperature management systems which we design, manufacture and market under our Temptronic, Thermonics and Sigma product lines. In addition, this segment provides post warranty service and support.</w:t>
      </w:r>
    </w:p>
    <w:p>
      <w:pPr>
        <w:spacing w:after="0" w:line="1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 - 17</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SEGMENT INFORMATION </w:t>
      </w:r>
      <w:r>
        <w:rPr>
          <w:rFonts w:ascii="Times New Roman" w:cs="Times New Roman" w:eastAsia="Times New Roman" w:hAnsi="Times New Roman"/>
          <w:sz w:val="18"/>
          <w:szCs w:val="18"/>
          <w:color w:val="auto"/>
        </w:rPr>
        <w:t>(Continued)</w:t>
      </w:r>
    </w:p>
    <w:p>
      <w:pPr>
        <w:spacing w:after="0" w:line="187" w:lineRule="exact"/>
        <w:rPr>
          <w:sz w:val="20"/>
          <w:szCs w:val="20"/>
          <w:color w:val="auto"/>
        </w:rPr>
      </w:pPr>
    </w:p>
    <w:p>
      <w:pPr>
        <w:ind w:left="540" w:right="100"/>
        <w:spacing w:after="0" w:line="262" w:lineRule="auto"/>
        <w:rPr>
          <w:sz w:val="20"/>
          <w:szCs w:val="20"/>
          <w:color w:val="auto"/>
        </w:rPr>
      </w:pPr>
      <w:r>
        <w:rPr>
          <w:rFonts w:ascii="Times New Roman" w:cs="Times New Roman" w:eastAsia="Times New Roman" w:hAnsi="Times New Roman"/>
          <w:sz w:val="18"/>
          <w:szCs w:val="18"/>
          <w:color w:val="auto"/>
        </w:rPr>
        <w:t>The Mechanical Products segment includes the operations of our Mt. Laurel, New Jersey manufacturing facility. Sales of our Mechanical Products segment consist primarily of manipulator and docking hardware products, which we design, manufacture and market. In addition, this segment provides post warranty service and support for various ATE equipment.</w:t>
      </w:r>
    </w:p>
    <w:p>
      <w:pPr>
        <w:spacing w:after="0" w:line="186" w:lineRule="exact"/>
        <w:rPr>
          <w:sz w:val="20"/>
          <w:szCs w:val="20"/>
          <w:color w:val="auto"/>
        </w:rPr>
      </w:pPr>
    </w:p>
    <w:p>
      <w:pPr>
        <w:ind w:left="540" w:right="60"/>
        <w:spacing w:after="0" w:line="275" w:lineRule="auto"/>
        <w:rPr>
          <w:sz w:val="20"/>
          <w:szCs w:val="20"/>
          <w:color w:val="auto"/>
        </w:rPr>
      </w:pPr>
      <w:r>
        <w:rPr>
          <w:rFonts w:ascii="Times New Roman" w:cs="Times New Roman" w:eastAsia="Times New Roman" w:hAnsi="Times New Roman"/>
          <w:sz w:val="18"/>
          <w:szCs w:val="18"/>
          <w:color w:val="auto"/>
        </w:rPr>
        <w:t>The Electrical Products segment includes the operations of inTEST Silicon Valley Corporation. Sales of this segment consist primarily of tester interface products which we design, manufacture and market.</w:t>
      </w:r>
    </w:p>
    <w:p>
      <w:pPr>
        <w:spacing w:after="0" w:line="174" w:lineRule="exact"/>
        <w:rPr>
          <w:sz w:val="20"/>
          <w:szCs w:val="20"/>
          <w:color w:val="auto"/>
        </w:rPr>
      </w:pPr>
    </w:p>
    <w:p>
      <w:pPr>
        <w:ind w:left="540" w:right="220"/>
        <w:spacing w:after="0" w:line="301" w:lineRule="auto"/>
        <w:rPr>
          <w:sz w:val="20"/>
          <w:szCs w:val="20"/>
          <w:color w:val="auto"/>
        </w:rPr>
      </w:pPr>
      <w:r>
        <w:rPr>
          <w:rFonts w:ascii="Times New Roman" w:cs="Times New Roman" w:eastAsia="Times New Roman" w:hAnsi="Times New Roman"/>
          <w:sz w:val="16"/>
          <w:szCs w:val="16"/>
          <w:color w:val="auto"/>
        </w:rPr>
        <w:t>We operate our business worldwide, and all three segments sell their products both domestically and internationally. All three segments sell to semiconductor manufacturers, third-party test and assembly houses and ATE manufacturers. Our Thermal Products segment also sells into a variety of markets outside of the ATE market, including the automotive, consumer electronics, defense/aerospace, energy, industrial and telecommunications markets. Intercompany pricing between segments is either a multiple of cost for component parts or list price for finished goods.</w:t>
      </w:r>
    </w:p>
    <w:p>
      <w:pPr>
        <w:spacing w:after="0" w:line="1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65" w:lineRule="exact"/>
        <w:rPr>
          <w:sz w:val="20"/>
          <w:szCs w:val="20"/>
          <w:color w:val="auto"/>
        </w:rPr>
      </w:pPr>
    </w:p>
    <w:p>
      <w:pPr>
        <w:ind w:left="5540"/>
        <w:spacing w:after="0"/>
        <w:tabs>
          <w:tab w:leader="none" w:pos="62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Net revenues from unaffiliated customers:</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Thermal Products</w:t>
      </w:r>
    </w:p>
    <w:p>
      <w:pPr>
        <w:spacing w:after="0" w:line="21" w:lineRule="exact"/>
        <w:rPr>
          <w:sz w:val="20"/>
          <w:szCs w:val="20"/>
          <w:color w:val="auto"/>
        </w:rPr>
      </w:pPr>
    </w:p>
    <w:p>
      <w:pPr>
        <w:ind w:left="5440"/>
        <w:spacing w:after="0"/>
        <w:tabs>
          <w:tab w:leader="none" w:pos="6160" w:val="left"/>
        </w:tabs>
        <w:rPr>
          <w:sz w:val="20"/>
          <w:szCs w:val="20"/>
          <w:color w:val="auto"/>
        </w:rPr>
      </w:pPr>
      <w:r>
        <w:rPr>
          <w:rFonts w:ascii="Times New Roman" w:cs="Times New Roman" w:eastAsia="Times New Roman" w:hAnsi="Times New Roman"/>
          <w:sz w:val="18"/>
          <w:szCs w:val="18"/>
          <w:color w:val="auto"/>
        </w:rPr>
        <w:t>$23,446</w:t>
      </w:r>
      <w:r>
        <w:rPr>
          <w:sz w:val="20"/>
          <w:szCs w:val="20"/>
          <w:color w:val="auto"/>
        </w:rPr>
        <w:tab/>
      </w:r>
      <w:r>
        <w:rPr>
          <w:rFonts w:ascii="Times New Roman" w:cs="Times New Roman" w:eastAsia="Times New Roman" w:hAnsi="Times New Roman"/>
          <w:sz w:val="16"/>
          <w:szCs w:val="16"/>
          <w:color w:val="auto"/>
        </w:rPr>
        <w:t>$22,962</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Mechanical Products</w:t>
      </w:r>
    </w:p>
    <w:p>
      <w:pPr>
        <w:spacing w:after="0" w:line="21" w:lineRule="exact"/>
        <w:rPr>
          <w:sz w:val="20"/>
          <w:szCs w:val="20"/>
          <w:color w:val="auto"/>
        </w:rPr>
      </w:pPr>
    </w:p>
    <w:p>
      <w:pPr>
        <w:ind w:left="5540"/>
        <w:spacing w:after="0"/>
        <w:tabs>
          <w:tab w:leader="none" w:pos="6340" w:val="left"/>
        </w:tabs>
        <w:rPr>
          <w:sz w:val="20"/>
          <w:szCs w:val="20"/>
          <w:color w:val="auto"/>
        </w:rPr>
      </w:pPr>
      <w:r>
        <w:rPr>
          <w:rFonts w:ascii="Times New Roman" w:cs="Times New Roman" w:eastAsia="Times New Roman" w:hAnsi="Times New Roman"/>
          <w:sz w:val="18"/>
          <w:szCs w:val="18"/>
          <w:color w:val="auto"/>
        </w:rPr>
        <w:t>11,245</w:t>
      </w:r>
      <w:r>
        <w:rPr>
          <w:sz w:val="20"/>
          <w:szCs w:val="20"/>
          <w:color w:val="auto"/>
        </w:rPr>
        <w:tab/>
      </w:r>
      <w:r>
        <w:rPr>
          <w:rFonts w:ascii="Times New Roman" w:cs="Times New Roman" w:eastAsia="Times New Roman" w:hAnsi="Times New Roman"/>
          <w:sz w:val="18"/>
          <w:szCs w:val="18"/>
          <w:color w:val="auto"/>
        </w:rPr>
        <w:t>9,962</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Electrical Products</w:t>
      </w:r>
    </w:p>
    <w:p>
      <w:pPr>
        <w:spacing w:after="0" w:line="21"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7,105</w:t>
      </w:r>
      <w:r>
        <w:rPr>
          <w:sz w:val="20"/>
          <w:szCs w:val="20"/>
          <w:color w:val="auto"/>
        </w:rPr>
        <w:tab/>
      </w:r>
      <w:r>
        <w:rPr>
          <w:rFonts w:ascii="Times New Roman" w:cs="Times New Roman" w:eastAsia="Times New Roman" w:hAnsi="Times New Roman"/>
          <w:sz w:val="18"/>
          <w:szCs w:val="18"/>
          <w:color w:val="auto"/>
        </w:rPr>
        <w:t>6,502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-17780</wp:posOffset>
            </wp:positionV>
            <wp:extent cx="8058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20" w:lineRule="exact"/>
        <w:rPr>
          <w:sz w:val="20"/>
          <w:szCs w:val="20"/>
          <w:color w:val="auto"/>
        </w:rPr>
      </w:pPr>
    </w:p>
    <w:p>
      <w:pPr>
        <w:ind w:left="5440"/>
        <w:spacing w:after="0"/>
        <w:tabs>
          <w:tab w:leader="none" w:pos="6160" w:val="left"/>
        </w:tabs>
        <w:rPr>
          <w:sz w:val="20"/>
          <w:szCs w:val="20"/>
          <w:color w:val="auto"/>
        </w:rPr>
      </w:pPr>
      <w:r>
        <w:rPr>
          <w:rFonts w:ascii="Times New Roman" w:cs="Times New Roman" w:eastAsia="Times New Roman" w:hAnsi="Times New Roman"/>
          <w:sz w:val="18"/>
          <w:szCs w:val="18"/>
          <w:u w:val="single" w:color="auto"/>
          <w:color w:val="auto"/>
        </w:rPr>
        <w:t>$41,796</w:t>
      </w:r>
      <w:r>
        <w:rPr>
          <w:sz w:val="20"/>
          <w:szCs w:val="20"/>
          <w:color w:val="auto"/>
        </w:rPr>
        <w:tab/>
      </w:r>
      <w:r>
        <w:rPr>
          <w:rFonts w:ascii="Times New Roman" w:cs="Times New Roman" w:eastAsia="Times New Roman" w:hAnsi="Times New Roman"/>
          <w:sz w:val="16"/>
          <w:szCs w:val="16"/>
          <w:u w:val="single" w:color="auto"/>
          <w:color w:val="auto"/>
        </w:rPr>
        <w:t>$39,426</w:t>
      </w:r>
    </w:p>
    <w:p>
      <w:pPr>
        <w:spacing w:after="0" w:line="3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Depreciation/amortization:</w:t>
      </w:r>
    </w:p>
    <w:p>
      <w:pPr>
        <w:sectPr>
          <w:pgSz w:w="11900" w:h="16838" w:orient="portrait"/>
          <w:cols w:equalWidth="0" w:num="1">
            <w:col w:w="11340"/>
          </w:cols>
          <w:pgMar w:left="240" w:top="272" w:right="319" w:bottom="0" w:gutter="0" w:footer="0" w:header="0"/>
        </w:sectPr>
      </w:pPr>
    </w:p>
    <w:bookmarkStart w:id="40" w:name="page41"/>
    <w:bookmarkEnd w:id="40"/>
    <w:p>
      <w:pPr>
        <w:spacing w:after="0" w:line="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4600" w:type="dxa"/>
            <w:vAlign w:val="bottom"/>
            <w:gridSpan w:val="4"/>
          </w:tcPr>
          <w:p>
            <w:pPr>
              <w:spacing w:after="0"/>
              <w:rPr>
                <w:sz w:val="16"/>
                <w:szCs w:val="16"/>
                <w:color w:val="auto"/>
              </w:rPr>
            </w:pPr>
          </w:p>
        </w:tc>
        <w:tc>
          <w:tcPr>
            <w:tcW w:w="32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gridSpan w:val="3"/>
          </w:tcPr>
          <w:p>
            <w:pPr>
              <w:spacing w:after="0"/>
              <w:rPr>
                <w:sz w:val="16"/>
                <w:szCs w:val="16"/>
                <w:color w:val="auto"/>
              </w:rPr>
            </w:pPr>
          </w:p>
        </w:tc>
        <w:tc>
          <w:tcPr>
            <w:tcW w:w="2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6"/>
                <w:szCs w:val="16"/>
                <w:color w:val="auto"/>
              </w:rPr>
            </w:pPr>
          </w:p>
        </w:tc>
      </w:tr>
      <w:tr>
        <w:trPr>
          <w:trHeight w:val="439"/>
        </w:trPr>
        <w:tc>
          <w:tcPr>
            <w:tcW w:w="4560" w:type="dxa"/>
            <w:vAlign w:val="bottom"/>
            <w:gridSpan w:val="3"/>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879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847</w:t>
            </w:r>
          </w:p>
        </w:tc>
        <w:tc>
          <w:tcPr>
            <w:tcW w:w="60" w:type="dxa"/>
            <w:vAlign w:val="bottom"/>
          </w:tcPr>
          <w:p>
            <w:pPr>
              <w:spacing w:after="0"/>
              <w:rPr>
                <w:sz w:val="24"/>
                <w:szCs w:val="24"/>
                <w:color w:val="auto"/>
              </w:rPr>
            </w:pPr>
          </w:p>
        </w:tc>
      </w:tr>
      <w:tr>
        <w:trPr>
          <w:trHeight w:val="262"/>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 (loss):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447"/>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4520" w:type="dxa"/>
            <w:vAlign w:val="bottom"/>
            <w:gridSpan w:val="2"/>
          </w:tcPr>
          <w:p>
            <w:pPr>
              <w:spacing w:after="0"/>
              <w:rPr>
                <w:sz w:val="16"/>
                <w:szCs w:val="16"/>
                <w:color w:val="auto"/>
              </w:rPr>
            </w:pPr>
          </w:p>
        </w:tc>
        <w:tc>
          <w:tcPr>
            <w:tcW w:w="460" w:type="dxa"/>
            <w:vAlign w:val="bottom"/>
            <w:gridSpan w:val="4"/>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(587)</w:t>
            </w:r>
          </w:p>
        </w:tc>
        <w:tc>
          <w:tcPr>
            <w:tcW w:w="160" w:type="dxa"/>
            <w:vAlign w:val="bottom"/>
          </w:tcPr>
          <w:p>
            <w:pPr>
              <w:spacing w:after="0"/>
              <w:rPr>
                <w:sz w:val="16"/>
                <w:szCs w:val="16"/>
                <w:color w:val="auto"/>
              </w:rPr>
            </w:pPr>
          </w:p>
        </w:tc>
        <w:tc>
          <w:tcPr>
            <w:tcW w:w="560" w:type="dxa"/>
            <w:vAlign w:val="bottom"/>
            <w:gridSpan w:val="5"/>
          </w:tcPr>
          <w:p>
            <w:pPr>
              <w:jc w:val="right"/>
              <w:spacing w:after="0" w:line="190"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43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3,962</w:t>
            </w:r>
          </w:p>
        </w:tc>
        <w:tc>
          <w:tcPr>
            <w:tcW w:w="60" w:type="dxa"/>
            <w:vAlign w:val="bottom"/>
          </w:tcPr>
          <w:p>
            <w:pPr>
              <w:spacing w:after="0"/>
              <w:rPr>
                <w:sz w:val="24"/>
                <w:szCs w:val="24"/>
                <w:color w:val="auto"/>
              </w:rPr>
            </w:pPr>
          </w:p>
        </w:tc>
      </w:tr>
      <w:tr>
        <w:trPr>
          <w:trHeight w:val="26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before income tax expense (benefit):</w:t>
            </w:r>
          </w:p>
        </w:tc>
        <w:tc>
          <w:tcPr>
            <w:tcW w:w="400" w:type="dxa"/>
            <w:vAlign w:val="bottom"/>
            <w:tcBorders>
              <w:top w:val="single" w:sz="8" w:color="auto"/>
            </w:tcBorders>
            <w:gridSpan w:val="3"/>
          </w:tcPr>
          <w:p>
            <w:pPr>
              <w:spacing w:after="0"/>
              <w:rPr>
                <w:sz w:val="22"/>
                <w:szCs w:val="22"/>
                <w:color w:val="auto"/>
              </w:rPr>
            </w:pPr>
          </w:p>
        </w:tc>
        <w:tc>
          <w:tcPr>
            <w:tcW w:w="220" w:type="dxa"/>
            <w:vAlign w:val="bottom"/>
            <w:gridSpan w:val="2"/>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47"/>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$4,327</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514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4520" w:type="dxa"/>
            <w:vAlign w:val="bottom"/>
            <w:gridSpan w:val="2"/>
          </w:tcPr>
          <w:p>
            <w:pPr>
              <w:spacing w:after="0"/>
              <w:rPr>
                <w:sz w:val="16"/>
                <w:szCs w:val="16"/>
                <w:color w:val="auto"/>
              </w:rPr>
            </w:pPr>
          </w:p>
        </w:tc>
        <w:tc>
          <w:tcPr>
            <w:tcW w:w="620" w:type="dxa"/>
            <w:vAlign w:val="bottom"/>
            <w:gridSpan w:val="5"/>
          </w:tcPr>
          <w:p>
            <w:pPr>
              <w:jc w:val="right"/>
              <w:ind w:right="120"/>
              <w:spacing w:after="0" w:line="190" w:lineRule="exact"/>
              <w:rPr>
                <w:sz w:val="20"/>
                <w:szCs w:val="20"/>
                <w:color w:val="auto"/>
              </w:rPr>
            </w:pPr>
            <w:r>
              <w:rPr>
                <w:rFonts w:ascii="Times New Roman" w:cs="Times New Roman" w:eastAsia="Times New Roman" w:hAnsi="Times New Roman"/>
                <w:sz w:val="18"/>
                <w:szCs w:val="18"/>
                <w:color w:val="auto"/>
              </w:rPr>
              <w:t>(587)</w:t>
            </w:r>
          </w:p>
        </w:tc>
        <w:tc>
          <w:tcPr>
            <w:tcW w:w="560" w:type="dxa"/>
            <w:vAlign w:val="bottom"/>
            <w:gridSpan w:val="5"/>
          </w:tcPr>
          <w:p>
            <w:pPr>
              <w:jc w:val="right"/>
              <w:spacing w:after="0" w:line="190"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4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98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4,909</w:t>
            </w: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4,008</w:t>
            </w:r>
          </w:p>
        </w:tc>
        <w:tc>
          <w:tcPr>
            <w:tcW w:w="60" w:type="dxa"/>
            <w:vAlign w:val="bottom"/>
          </w:tcPr>
          <w:p>
            <w:pPr>
              <w:spacing w:after="0"/>
              <w:rPr>
                <w:sz w:val="24"/>
                <w:szCs w:val="24"/>
                <w:color w:val="auto"/>
              </w:rPr>
            </w:pPr>
          </w:p>
        </w:tc>
      </w:tr>
      <w:tr>
        <w:trPr>
          <w:trHeight w:val="26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tc>
        <w:tc>
          <w:tcPr>
            <w:tcW w:w="460" w:type="dxa"/>
            <w:vAlign w:val="bottom"/>
            <w:tcBorders>
              <w:top w:val="single" w:sz="8" w:color="auto"/>
            </w:tcBorders>
            <w:gridSpan w:val="4"/>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447"/>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Thermal Products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Mechanical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Electrical Products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8"/>
        </w:trPr>
        <w:tc>
          <w:tcPr>
            <w:tcW w:w="4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0" w:type="dxa"/>
            <w:vAlign w:val="bottom"/>
          </w:tcPr>
          <w:p>
            <w:pPr>
              <w:spacing w:after="0"/>
              <w:rPr>
                <w:sz w:val="19"/>
                <w:szCs w:val="19"/>
                <w:color w:val="auto"/>
              </w:rPr>
            </w:pPr>
          </w:p>
        </w:tc>
      </w:tr>
      <w:tr>
        <w:trPr>
          <w:trHeight w:val="231"/>
        </w:trPr>
        <w:tc>
          <w:tcPr>
            <w:tcW w:w="5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0"/>
        </w:trPr>
        <w:tc>
          <w:tcPr>
            <w:tcW w:w="4320" w:type="dxa"/>
            <w:vAlign w:val="bottom"/>
          </w:tcPr>
          <w:p>
            <w:pPr>
              <w:spacing w:after="0"/>
              <w:rPr>
                <w:sz w:val="16"/>
                <w:szCs w:val="16"/>
                <w:color w:val="auto"/>
              </w:rPr>
            </w:pPr>
          </w:p>
        </w:tc>
        <w:tc>
          <w:tcPr>
            <w:tcW w:w="660" w:type="dxa"/>
            <w:vAlign w:val="bottom"/>
            <w:gridSpan w:val="5"/>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6"/>
                <w:szCs w:val="16"/>
                <w:color w:val="auto"/>
              </w:rPr>
            </w:pPr>
          </w:p>
        </w:tc>
        <w:tc>
          <w:tcPr>
            <w:tcW w:w="560" w:type="dxa"/>
            <w:vAlign w:val="bottom"/>
            <w:gridSpan w:val="5"/>
          </w:tcPr>
          <w:p>
            <w:pPr>
              <w:jc w:val="right"/>
              <w:spacing w:after="0" w:line="190"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432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4320" w:type="dxa"/>
            <w:vAlign w:val="bottom"/>
          </w:tcPr>
          <w:p>
            <w:pPr>
              <w:spacing w:after="0"/>
              <w:rPr>
                <w:sz w:val="24"/>
                <w:szCs w:val="24"/>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  1,470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931</w:t>
            </w:r>
          </w:p>
        </w:tc>
        <w:tc>
          <w:tcPr>
            <w:tcW w:w="60" w:type="dxa"/>
            <w:vAlign w:val="bottom"/>
          </w:tcPr>
          <w:p>
            <w:pPr>
              <w:spacing w:after="0"/>
              <w:rPr>
                <w:sz w:val="24"/>
                <w:szCs w:val="24"/>
                <w:color w:val="auto"/>
              </w:rPr>
            </w:pPr>
          </w:p>
        </w:tc>
      </w:tr>
      <w:tr>
        <w:trPr>
          <w:trHeight w:val="20"/>
        </w:trPr>
        <w:tc>
          <w:tcPr>
            <w:tcW w:w="4320" w:type="dxa"/>
            <w:vAlign w:val="bottom"/>
            <w:tcBorders>
              <w:right w:val="single" w:sz="8" w:color="auto"/>
            </w:tcBorders>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 - 18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(14) SEGMENT INFORMATION </w:t>
      </w: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65" w:lineRule="exact"/>
        <w:rPr>
          <w:sz w:val="20"/>
          <w:szCs w:val="20"/>
          <w:color w:val="auto"/>
        </w:rPr>
      </w:pPr>
    </w:p>
    <w:p>
      <w:pPr>
        <w:ind w:left="5540"/>
        <w:spacing w:after="0"/>
        <w:tabs>
          <w:tab w:leader="none" w:pos="62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Net earnings (loss):</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Thermal Products</w:t>
      </w:r>
    </w:p>
    <w:p>
      <w:pPr>
        <w:spacing w:after="0" w:line="21" w:lineRule="exact"/>
        <w:rPr>
          <w:sz w:val="20"/>
          <w:szCs w:val="20"/>
          <w:color w:val="auto"/>
        </w:rPr>
      </w:pPr>
    </w:p>
    <w:p>
      <w:pPr>
        <w:ind w:left="5540"/>
        <w:spacing w:after="0"/>
        <w:tabs>
          <w:tab w:leader="none" w:pos="6260" w:val="left"/>
        </w:tabs>
        <w:rPr>
          <w:sz w:val="20"/>
          <w:szCs w:val="20"/>
          <w:color w:val="auto"/>
        </w:rPr>
      </w:pPr>
      <w:r>
        <w:rPr>
          <w:rFonts w:ascii="Times New Roman" w:cs="Times New Roman" w:eastAsia="Times New Roman" w:hAnsi="Times New Roman"/>
          <w:sz w:val="18"/>
          <w:szCs w:val="18"/>
          <w:color w:val="auto"/>
        </w:rPr>
        <w:t>$3,292</w:t>
      </w:r>
      <w:r>
        <w:rPr>
          <w:sz w:val="20"/>
          <w:szCs w:val="20"/>
          <w:color w:val="auto"/>
        </w:rPr>
        <w:tab/>
      </w:r>
      <w:r>
        <w:rPr>
          <w:rFonts w:ascii="Times New Roman" w:cs="Times New Roman" w:eastAsia="Times New Roman" w:hAnsi="Times New Roman"/>
          <w:sz w:val="16"/>
          <w:szCs w:val="16"/>
          <w:color w:val="auto"/>
        </w:rPr>
        <w:t>$3,322</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Mechanical Products</w:t>
      </w:r>
    </w:p>
    <w:p>
      <w:pPr>
        <w:spacing w:after="0" w:line="21"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(593)</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Electrical Products</w:t>
      </w:r>
    </w:p>
    <w:p>
      <w:pPr>
        <w:spacing w:after="0" w:line="21" w:lineRule="exact"/>
        <w:rPr>
          <w:sz w:val="20"/>
          <w:szCs w:val="20"/>
          <w:color w:val="auto"/>
        </w:rPr>
      </w:pPr>
    </w:p>
    <w:p>
      <w:pPr>
        <w:ind w:left="5760"/>
        <w:spacing w:after="0"/>
        <w:tabs>
          <w:tab w:leader="none" w:pos="6480" w:val="left"/>
        </w:tabs>
        <w:rPr>
          <w:sz w:val="20"/>
          <w:szCs w:val="20"/>
          <w:color w:val="auto"/>
        </w:rPr>
      </w:pPr>
      <w:r>
        <w:rPr>
          <w:rFonts w:ascii="Times New Roman" w:cs="Times New Roman" w:eastAsia="Times New Roman" w:hAnsi="Times New Roman"/>
          <w:sz w:val="18"/>
          <w:szCs w:val="18"/>
          <w:color w:val="auto"/>
        </w:rPr>
        <w:t>562</w:t>
      </w:r>
      <w:r>
        <w:rPr>
          <w:sz w:val="20"/>
          <w:szCs w:val="20"/>
          <w:color w:val="auto"/>
        </w:rPr>
        <w:tab/>
      </w:r>
      <w:r>
        <w:rPr>
          <w:rFonts w:ascii="Times New Roman" w:cs="Times New Roman" w:eastAsia="Times New Roman" w:hAnsi="Times New Roman"/>
          <w:sz w:val="18"/>
          <w:szCs w:val="18"/>
          <w:color w:val="auto"/>
        </w:rPr>
        <w:t>577</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Corporate</w:t>
      </w:r>
    </w:p>
    <w:p>
      <w:pPr>
        <w:spacing w:after="0" w:line="21" w:lineRule="exact"/>
        <w:rPr>
          <w:sz w:val="20"/>
          <w:szCs w:val="20"/>
          <w:color w:val="auto"/>
        </w:rPr>
      </w:pPr>
    </w:p>
    <w:p>
      <w:pPr>
        <w:ind w:left="5680"/>
        <w:spacing w:after="0"/>
        <w:tabs>
          <w:tab w:leader="none" w:pos="64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-17780</wp:posOffset>
            </wp:positionV>
            <wp:extent cx="78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87400" cy="8890"/>
                    </a:xfrm>
                    <a:prstGeom prst="rect">
                      <a:avLst/>
                    </a:prstGeom>
                    <a:noFill/>
                  </pic:spPr>
                </pic:pic>
              </a:graphicData>
            </a:graphic>
          </wp:anchor>
        </w:drawing>
      </w:r>
    </w:p>
    <w:p>
      <w:pPr>
        <w:sectPr>
          <w:pgSz w:w="11900" w:h="16859" w:orient="portrait"/>
          <w:cols w:equalWidth="0" w:num="1">
            <w:col w:w="10219"/>
          </w:cols>
          <w:pgMar w:left="240" w:top="152" w:right="1440" w:bottom="0" w:gutter="0" w:footer="0" w:header="0"/>
        </w:sectPr>
      </w:pPr>
    </w:p>
    <w:bookmarkStart w:id="41" w:name="page42"/>
    <w:bookmarkEnd w:id="41"/>
    <w:p>
      <w:pPr>
        <w:ind w:left="5540"/>
        <w:spacing w:after="0"/>
        <w:tabs>
          <w:tab w:leader="none" w:pos="6260" w:val="left"/>
        </w:tabs>
        <w:rPr>
          <w:sz w:val="20"/>
          <w:szCs w:val="20"/>
          <w:color w:val="auto"/>
        </w:rPr>
      </w:pPr>
      <w:r>
        <w:rPr>
          <w:rFonts w:ascii="Times New Roman" w:cs="Times New Roman" w:eastAsia="Times New Roman" w:hAnsi="Times New Roman"/>
          <w:sz w:val="18"/>
          <w:szCs w:val="18"/>
          <w:u w:val="single" w:color="auto"/>
          <w:color w:val="auto"/>
        </w:rPr>
        <w:t>$3,439</w:t>
      </w:r>
      <w:r>
        <w:rPr>
          <w:sz w:val="20"/>
          <w:szCs w:val="20"/>
          <w:color w:val="auto"/>
        </w:rPr>
        <w:tab/>
      </w:r>
      <w:r>
        <w:rPr>
          <w:rFonts w:ascii="Times New Roman" w:cs="Times New Roman" w:eastAsia="Times New Roman" w:hAnsi="Times New Roman"/>
          <w:sz w:val="16"/>
          <w:szCs w:val="16"/>
          <w:u w:val="single" w:color="auto"/>
          <w:color w:val="auto"/>
        </w:rPr>
        <w:t>$3,077</w:t>
      </w:r>
    </w:p>
    <w:p>
      <w:pPr>
        <w:spacing w:after="0" w:line="2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5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Thermal Products</w:t>
      </w:r>
    </w:p>
    <w:p>
      <w:pPr>
        <w:spacing w:after="0" w:line="21"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color w:val="auto"/>
        </w:rPr>
        <w:t>$595</w:t>
      </w:r>
      <w:r>
        <w:rPr>
          <w:sz w:val="20"/>
          <w:szCs w:val="20"/>
          <w:color w:val="auto"/>
        </w:rPr>
        <w:tab/>
      </w:r>
      <w:r>
        <w:rPr>
          <w:rFonts w:ascii="Times New Roman" w:cs="Times New Roman" w:eastAsia="Times New Roman" w:hAnsi="Times New Roman"/>
          <w:sz w:val="18"/>
          <w:szCs w:val="18"/>
          <w:color w:val="auto"/>
        </w:rPr>
        <w:t>$349</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Mechanical Products</w:t>
      </w:r>
    </w:p>
    <w:p>
      <w:pPr>
        <w:spacing w:after="0" w:line="21" w:lineRule="exact"/>
        <w:rPr>
          <w:sz w:val="20"/>
          <w:szCs w:val="20"/>
          <w:color w:val="auto"/>
        </w:rPr>
      </w:pPr>
    </w:p>
    <w:p>
      <w:pPr>
        <w:ind w:left="5840"/>
        <w:spacing w:after="0"/>
        <w:tabs>
          <w:tab w:leader="none" w:pos="65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16</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Electrical Products</w:t>
      </w:r>
    </w:p>
    <w:p>
      <w:pPr>
        <w:spacing w:after="0" w:line="21" w:lineRule="exact"/>
        <w:rPr>
          <w:sz w:val="20"/>
          <w:szCs w:val="20"/>
          <w:color w:val="auto"/>
        </w:rPr>
      </w:pPr>
    </w:p>
    <w:p>
      <w:pPr>
        <w:ind w:left="5760"/>
        <w:spacing w:after="0"/>
        <w:tabs>
          <w:tab w:leader="none" w:pos="6560" w:val="left"/>
        </w:tabs>
        <w:rPr>
          <w:sz w:val="20"/>
          <w:szCs w:val="20"/>
          <w:color w:val="auto"/>
        </w:rPr>
      </w:pPr>
      <w:r>
        <w:rPr>
          <w:rFonts w:ascii="Times New Roman" w:cs="Times New Roman" w:eastAsia="Times New Roman" w:hAnsi="Times New Roman"/>
          <w:sz w:val="18"/>
          <w:szCs w:val="18"/>
          <w:color w:val="auto"/>
        </w:rPr>
        <w:t>140</w:t>
      </w:r>
      <w:r>
        <w:rPr>
          <w:sz w:val="20"/>
          <w:szCs w:val="20"/>
          <w:color w:val="auto"/>
        </w:rPr>
        <w:tab/>
      </w: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-17780</wp:posOffset>
            </wp:positionV>
            <wp:extent cx="2508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0825"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-17780</wp:posOffset>
            </wp:positionV>
            <wp:extent cx="2228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20" w:lineRule="exact"/>
        <w:rPr>
          <w:sz w:val="20"/>
          <w:szCs w:val="20"/>
          <w:color w:val="auto"/>
        </w:rPr>
      </w:pPr>
    </w:p>
    <w:p>
      <w:pPr>
        <w:ind w:left="5660"/>
        <w:spacing w:after="0"/>
        <w:tabs>
          <w:tab w:leader="none" w:pos="6380" w:val="left"/>
        </w:tabs>
        <w:rPr>
          <w:sz w:val="20"/>
          <w:szCs w:val="20"/>
          <w:color w:val="auto"/>
        </w:rPr>
      </w:pPr>
      <w:r>
        <w:rPr>
          <w:rFonts w:ascii="Times New Roman" w:cs="Times New Roman" w:eastAsia="Times New Roman" w:hAnsi="Times New Roman"/>
          <w:sz w:val="18"/>
          <w:szCs w:val="18"/>
          <w:u w:val="single" w:color="auto"/>
          <w:color w:val="auto"/>
        </w:rPr>
        <w:t>$831</w:t>
      </w:r>
      <w:r>
        <w:rPr>
          <w:sz w:val="20"/>
          <w:szCs w:val="20"/>
          <w:color w:val="auto"/>
        </w:rPr>
        <w:tab/>
      </w:r>
      <w:r>
        <w:rPr>
          <w:rFonts w:ascii="Times New Roman" w:cs="Times New Roman" w:eastAsia="Times New Roman" w:hAnsi="Times New Roman"/>
          <w:sz w:val="18"/>
          <w:szCs w:val="18"/>
          <w:u w:val="single" w:color="auto"/>
          <w:color w:val="auto"/>
        </w:rPr>
        <w:t>$424</w:t>
      </w:r>
    </w:p>
    <w:p>
      <w:pPr>
        <w:spacing w:after="0" w:line="3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82" w:lineRule="exact"/>
        <w:rPr>
          <w:sz w:val="20"/>
          <w:szCs w:val="20"/>
          <w:color w:val="auto"/>
        </w:rPr>
      </w:pPr>
    </w:p>
    <w:p>
      <w:pPr>
        <w:ind w:left="5540"/>
        <w:spacing w:after="0"/>
        <w:tabs>
          <w:tab w:leader="none" w:pos="62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Thermal Products</w:t>
      </w:r>
    </w:p>
    <w:p>
      <w:pPr>
        <w:spacing w:after="0" w:line="21" w:lineRule="exact"/>
        <w:rPr>
          <w:sz w:val="20"/>
          <w:szCs w:val="20"/>
          <w:color w:val="auto"/>
        </w:rPr>
      </w:pPr>
    </w:p>
    <w:p>
      <w:pPr>
        <w:ind w:left="5460"/>
        <w:spacing w:after="0"/>
        <w:tabs>
          <w:tab w:leader="none" w:pos="6160" w:val="left"/>
        </w:tabs>
        <w:rPr>
          <w:sz w:val="20"/>
          <w:szCs w:val="20"/>
          <w:color w:val="auto"/>
        </w:rPr>
      </w:pPr>
      <w:r>
        <w:rPr>
          <w:rFonts w:ascii="Times New Roman" w:cs="Times New Roman" w:eastAsia="Times New Roman" w:hAnsi="Times New Roman"/>
          <w:sz w:val="18"/>
          <w:szCs w:val="18"/>
          <w:color w:val="auto"/>
        </w:rPr>
        <w:t>$26,211</w:t>
      </w:r>
      <w:r>
        <w:rPr>
          <w:sz w:val="20"/>
          <w:szCs w:val="20"/>
          <w:color w:val="auto"/>
        </w:rPr>
        <w:tab/>
      </w:r>
      <w:r>
        <w:rPr>
          <w:rFonts w:ascii="Times New Roman" w:cs="Times New Roman" w:eastAsia="Times New Roman" w:hAnsi="Times New Roman"/>
          <w:sz w:val="16"/>
          <w:szCs w:val="16"/>
          <w:color w:val="auto"/>
        </w:rPr>
        <w:t>$23,934</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Mechanical Products</w:t>
      </w:r>
    </w:p>
    <w:p>
      <w:pPr>
        <w:spacing w:after="0" w:line="21"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7,801</w:t>
      </w:r>
      <w:r>
        <w:rPr>
          <w:sz w:val="20"/>
          <w:szCs w:val="20"/>
          <w:color w:val="auto"/>
        </w:rPr>
        <w:tab/>
      </w:r>
      <w:r>
        <w:rPr>
          <w:rFonts w:ascii="Times New Roman" w:cs="Times New Roman" w:eastAsia="Times New Roman" w:hAnsi="Times New Roman"/>
          <w:sz w:val="18"/>
          <w:szCs w:val="18"/>
          <w:color w:val="auto"/>
        </w:rPr>
        <w:t>7,093</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Electrical Products</w:t>
      </w:r>
    </w:p>
    <w:p>
      <w:pPr>
        <w:spacing w:after="0" w:line="21" w:lineRule="exact"/>
        <w:rPr>
          <w:sz w:val="20"/>
          <w:szCs w:val="20"/>
          <w:color w:val="auto"/>
        </w:rPr>
      </w:pPr>
    </w:p>
    <w:p>
      <w:pPr>
        <w:ind w:left="5620"/>
        <w:spacing w:after="0"/>
        <w:tabs>
          <w:tab w:leader="none" w:pos="6340" w:val="left"/>
        </w:tabs>
        <w:rPr>
          <w:sz w:val="20"/>
          <w:szCs w:val="20"/>
          <w:color w:val="auto"/>
        </w:rPr>
      </w:pPr>
      <w:r>
        <w:rPr>
          <w:rFonts w:ascii="Times New Roman" w:cs="Times New Roman" w:eastAsia="Times New Roman" w:hAnsi="Times New Roman"/>
          <w:sz w:val="18"/>
          <w:szCs w:val="18"/>
          <w:color w:val="auto"/>
        </w:rPr>
        <w:t>4,726</w:t>
      </w:r>
      <w:r>
        <w:rPr>
          <w:sz w:val="20"/>
          <w:szCs w:val="20"/>
          <w:color w:val="auto"/>
        </w:rPr>
        <w:tab/>
      </w:r>
      <w:r>
        <w:rPr>
          <w:rFonts w:ascii="Times New Roman" w:cs="Times New Roman" w:eastAsia="Times New Roman" w:hAnsi="Times New Roman"/>
          <w:sz w:val="18"/>
          <w:szCs w:val="18"/>
          <w:color w:val="auto"/>
        </w:rPr>
        <w:t>4,454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-17780</wp:posOffset>
            </wp:positionV>
            <wp:extent cx="8058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20" w:lineRule="exact"/>
        <w:rPr>
          <w:sz w:val="20"/>
          <w:szCs w:val="20"/>
          <w:color w:val="auto"/>
        </w:rPr>
      </w:pPr>
    </w:p>
    <w:p>
      <w:pPr>
        <w:jc w:val="center"/>
        <w:ind w:left="780"/>
        <w:spacing w:after="0"/>
        <w:tabs>
          <w:tab w:leader="none" w:pos="140" w:val="left"/>
        </w:tabs>
        <w:rPr>
          <w:sz w:val="20"/>
          <w:szCs w:val="20"/>
          <w:color w:val="auto"/>
        </w:rPr>
      </w:pPr>
      <w:r>
        <w:rPr>
          <w:rFonts w:ascii="Times New Roman" w:cs="Times New Roman" w:eastAsia="Times New Roman" w:hAnsi="Times New Roman"/>
          <w:sz w:val="18"/>
          <w:szCs w:val="18"/>
          <w:u w:val="single" w:color="auto"/>
          <w:color w:val="auto"/>
        </w:rPr>
        <w:t>$38,738</w:t>
      </w:r>
      <w:r>
        <w:rPr>
          <w:sz w:val="20"/>
          <w:szCs w:val="20"/>
          <w:color w:val="auto"/>
        </w:rPr>
        <w:tab/>
      </w:r>
      <w:r>
        <w:rPr>
          <w:rFonts w:ascii="Times New Roman" w:cs="Times New Roman" w:eastAsia="Times New Roman" w:hAnsi="Times New Roman"/>
          <w:sz w:val="16"/>
          <w:szCs w:val="16"/>
          <w:u w:val="single" w:color="auto"/>
          <w:color w:val="auto"/>
        </w:rPr>
        <w:t>$35,481</w:t>
      </w:r>
    </w:p>
    <w:p>
      <w:pPr>
        <w:spacing w:after="0" w:line="239" w:lineRule="exact"/>
        <w:rPr>
          <w:sz w:val="20"/>
          <w:szCs w:val="20"/>
          <w:color w:val="auto"/>
        </w:rPr>
      </w:pPr>
    </w:p>
    <w:p>
      <w:pPr>
        <w:ind w:left="540" w:right="16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about our geographic areas of operation. Net revenues from unaffiliated customers are based on the location to which the goods are shipped.</w:t>
      </w:r>
    </w:p>
    <w:p>
      <w:pPr>
        <w:spacing w:after="0" w:line="18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4"/>
          <w:szCs w:val="14"/>
          <w:b w:val="1"/>
          <w:bCs w:val="1"/>
          <w:i w:val="1"/>
          <w:iCs w:val="1"/>
          <w:color w:val="auto"/>
        </w:rPr>
        <w:t>Years Ended</w:t>
      </w:r>
    </w:p>
    <w:p>
      <w:pPr>
        <w:spacing w:after="0" w:line="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65" w:lineRule="exact"/>
        <w:rPr>
          <w:sz w:val="20"/>
          <w:szCs w:val="20"/>
          <w:color w:val="auto"/>
        </w:rPr>
      </w:pPr>
    </w:p>
    <w:p>
      <w:pPr>
        <w:ind w:left="5540"/>
        <w:spacing w:after="0"/>
        <w:tabs>
          <w:tab w:leader="none" w:pos="62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Net revenues from unaffiliated customers:</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U.S.</w:t>
      </w:r>
    </w:p>
    <w:p>
      <w:pPr>
        <w:spacing w:after="0" w:line="21" w:lineRule="exact"/>
        <w:rPr>
          <w:sz w:val="20"/>
          <w:szCs w:val="20"/>
          <w:color w:val="auto"/>
        </w:rPr>
      </w:pPr>
    </w:p>
    <w:p>
      <w:pPr>
        <w:ind w:left="5440"/>
        <w:spacing w:after="0"/>
        <w:tabs>
          <w:tab w:leader="none" w:pos="6160" w:val="left"/>
        </w:tabs>
        <w:rPr>
          <w:sz w:val="20"/>
          <w:szCs w:val="20"/>
          <w:color w:val="auto"/>
        </w:rPr>
      </w:pPr>
      <w:r>
        <w:rPr>
          <w:rFonts w:ascii="Times New Roman" w:cs="Times New Roman" w:eastAsia="Times New Roman" w:hAnsi="Times New Roman"/>
          <w:sz w:val="18"/>
          <w:szCs w:val="18"/>
          <w:color w:val="auto"/>
        </w:rPr>
        <w:t>$14,363</w:t>
      </w:r>
      <w:r>
        <w:rPr>
          <w:sz w:val="20"/>
          <w:szCs w:val="20"/>
          <w:color w:val="auto"/>
        </w:rPr>
        <w:tab/>
      </w:r>
      <w:r>
        <w:rPr>
          <w:rFonts w:ascii="Times New Roman" w:cs="Times New Roman" w:eastAsia="Times New Roman" w:hAnsi="Times New Roman"/>
          <w:sz w:val="16"/>
          <w:szCs w:val="16"/>
          <w:color w:val="auto"/>
        </w:rPr>
        <w:t>$13,337</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Foreign</w:t>
      </w:r>
    </w:p>
    <w:p>
      <w:pPr>
        <w:spacing w:after="0" w:line="21" w:lineRule="exact"/>
        <w:rPr>
          <w:sz w:val="20"/>
          <w:szCs w:val="20"/>
          <w:color w:val="auto"/>
        </w:rPr>
      </w:pPr>
    </w:p>
    <w:p>
      <w:pPr>
        <w:ind w:left="5540"/>
        <w:spacing w:after="0"/>
        <w:tabs>
          <w:tab w:leader="none" w:pos="6260" w:val="left"/>
        </w:tabs>
        <w:rPr>
          <w:sz w:val="20"/>
          <w:szCs w:val="20"/>
          <w:color w:val="auto"/>
        </w:rPr>
      </w:pPr>
      <w:r>
        <w:rPr>
          <w:rFonts w:ascii="Times New Roman" w:cs="Times New Roman" w:eastAsia="Times New Roman" w:hAnsi="Times New Roman"/>
          <w:sz w:val="18"/>
          <w:szCs w:val="18"/>
          <w:u w:val="single" w:color="auto"/>
          <w:color w:val="auto"/>
        </w:rPr>
        <w:t>27,433</w:t>
        <w:tab/>
        <w:t>26,089</w:t>
      </w:r>
    </w:p>
    <w:p>
      <w:pPr>
        <w:spacing w:after="0" w:line="172" w:lineRule="exact"/>
        <w:rPr>
          <w:sz w:val="20"/>
          <w:szCs w:val="20"/>
          <w:color w:val="auto"/>
        </w:rPr>
      </w:pPr>
    </w:p>
    <w:p>
      <w:pPr>
        <w:ind w:left="5440"/>
        <w:spacing w:after="0"/>
        <w:tabs>
          <w:tab w:leader="none" w:pos="6160" w:val="left"/>
        </w:tabs>
        <w:rPr>
          <w:sz w:val="20"/>
          <w:szCs w:val="20"/>
          <w:color w:val="auto"/>
        </w:rPr>
      </w:pPr>
      <w:r>
        <w:rPr>
          <w:rFonts w:ascii="Times New Roman" w:cs="Times New Roman" w:eastAsia="Times New Roman" w:hAnsi="Times New Roman"/>
          <w:sz w:val="18"/>
          <w:szCs w:val="18"/>
          <w:u w:val="single" w:color="auto"/>
          <w:color w:val="auto"/>
        </w:rPr>
        <w:t>$41.796</w:t>
      </w:r>
      <w:r>
        <w:rPr>
          <w:sz w:val="20"/>
          <w:szCs w:val="20"/>
          <w:color w:val="auto"/>
        </w:rPr>
        <w:tab/>
      </w:r>
      <w:r>
        <w:rPr>
          <w:rFonts w:ascii="Times New Roman" w:cs="Times New Roman" w:eastAsia="Times New Roman" w:hAnsi="Times New Roman"/>
          <w:sz w:val="16"/>
          <w:szCs w:val="16"/>
          <w:u w:val="single" w:color="auto"/>
          <w:color w:val="auto"/>
        </w:rPr>
        <w:t>$39,426</w:t>
      </w:r>
    </w:p>
    <w:p>
      <w:pPr>
        <w:spacing w:after="0" w:line="3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December 31,</w:t>
      </w:r>
    </w:p>
    <w:p>
      <w:pPr>
        <w:spacing w:after="0" w:line="82" w:lineRule="exact"/>
        <w:rPr>
          <w:sz w:val="20"/>
          <w:szCs w:val="20"/>
          <w:color w:val="auto"/>
        </w:rPr>
      </w:pPr>
    </w:p>
    <w:p>
      <w:pPr>
        <w:ind w:left="5540"/>
        <w:spacing w:after="0"/>
        <w:tabs>
          <w:tab w:leader="none" w:pos="6280" w:val="left"/>
        </w:tabs>
        <w:rPr>
          <w:sz w:val="20"/>
          <w:szCs w:val="20"/>
          <w:color w:val="auto"/>
        </w:rPr>
      </w:pPr>
      <w:r>
        <w:rPr>
          <w:rFonts w:ascii="Times New Roman" w:cs="Times New Roman" w:eastAsia="Times New Roman" w:hAnsi="Times New Roman"/>
          <w:sz w:val="14"/>
          <w:szCs w:val="14"/>
          <w:b w:val="1"/>
          <w:bCs w:val="1"/>
          <w:i w:val="1"/>
          <w:iCs w:val="1"/>
          <w:u w:val="single" w:color="auto"/>
          <w:color w:val="auto"/>
        </w:rPr>
        <w:t>2014</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2013</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U.S.</w:t>
      </w:r>
    </w:p>
    <w:p>
      <w:pPr>
        <w:spacing w:after="0" w:line="21" w:lineRule="exact"/>
        <w:rPr>
          <w:sz w:val="20"/>
          <w:szCs w:val="20"/>
          <w:color w:val="auto"/>
        </w:rPr>
      </w:pPr>
    </w:p>
    <w:p>
      <w:pPr>
        <w:ind w:left="5540"/>
        <w:spacing w:after="0"/>
        <w:tabs>
          <w:tab w:leader="none" w:pos="6260" w:val="left"/>
        </w:tabs>
        <w:rPr>
          <w:sz w:val="20"/>
          <w:szCs w:val="20"/>
          <w:color w:val="auto"/>
        </w:rPr>
      </w:pPr>
      <w:r>
        <w:rPr>
          <w:rFonts w:ascii="Times New Roman" w:cs="Times New Roman" w:eastAsia="Times New Roman" w:hAnsi="Times New Roman"/>
          <w:sz w:val="18"/>
          <w:szCs w:val="18"/>
          <w:color w:val="auto"/>
        </w:rPr>
        <w:t>$  621</w:t>
        <w:tab/>
        <w:t>$  700</w:t>
      </w:r>
    </w:p>
    <w:p>
      <w:pPr>
        <w:spacing w:after="0" w:line="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Foreign</w:t>
      </w:r>
    </w:p>
    <w:p>
      <w:pPr>
        <w:spacing w:after="0" w:line="21" w:lineRule="exact"/>
        <w:rPr>
          <w:sz w:val="20"/>
          <w:szCs w:val="20"/>
          <w:color w:val="auto"/>
        </w:rPr>
      </w:pPr>
    </w:p>
    <w:p>
      <w:pPr>
        <w:ind w:left="5760"/>
        <w:spacing w:after="0"/>
        <w:tabs>
          <w:tab w:leader="none" w:pos="6480" w:val="left"/>
        </w:tabs>
        <w:rPr>
          <w:sz w:val="20"/>
          <w:szCs w:val="20"/>
          <w:color w:val="auto"/>
        </w:rPr>
      </w:pPr>
      <w:r>
        <w:rPr>
          <w:rFonts w:ascii="Times New Roman" w:cs="Times New Roman" w:eastAsia="Times New Roman" w:hAnsi="Times New Roman"/>
          <w:sz w:val="18"/>
          <w:szCs w:val="18"/>
          <w:color w:val="auto"/>
        </w:rPr>
        <w:t>647</w:t>
      </w:r>
      <w:r>
        <w:rPr>
          <w:sz w:val="20"/>
          <w:szCs w:val="20"/>
          <w:color w:val="auto"/>
        </w:rPr>
        <w:tab/>
      </w:r>
      <w:r>
        <w:rPr>
          <w:rFonts w:ascii="Times New Roman" w:cs="Times New Roman" w:eastAsia="Times New Roman" w:hAnsi="Times New Roman"/>
          <w:sz w:val="18"/>
          <w:szCs w:val="18"/>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3512820</wp:posOffset>
            </wp:positionH>
            <wp:positionV relativeFrom="paragraph">
              <wp:posOffset>-17780</wp:posOffset>
            </wp:positionV>
            <wp:extent cx="7785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8510" cy="8890"/>
                    </a:xfrm>
                    <a:prstGeom prst="rect">
                      <a:avLst/>
                    </a:prstGeom>
                    <a:noFill/>
                  </pic:spPr>
                </pic:pic>
              </a:graphicData>
            </a:graphic>
          </wp:anchor>
        </w:drawing>
      </w:r>
    </w:p>
    <w:p>
      <w:pPr>
        <w:spacing w:after="0" w:line="152" w:lineRule="exact"/>
        <w:rPr>
          <w:sz w:val="20"/>
          <w:szCs w:val="20"/>
          <w:color w:val="auto"/>
        </w:rPr>
      </w:pPr>
    </w:p>
    <w:p>
      <w:pPr>
        <w:ind w:left="5540"/>
        <w:spacing w:after="0"/>
        <w:tabs>
          <w:tab w:leader="none" w:pos="6260" w:val="left"/>
        </w:tabs>
        <w:rPr>
          <w:sz w:val="20"/>
          <w:szCs w:val="20"/>
          <w:color w:val="auto"/>
        </w:rPr>
      </w:pPr>
      <w:r>
        <w:rPr>
          <w:rFonts w:ascii="Times New Roman" w:cs="Times New Roman" w:eastAsia="Times New Roman" w:hAnsi="Times New Roman"/>
          <w:sz w:val="18"/>
          <w:szCs w:val="18"/>
          <w:u w:val="single" w:color="auto"/>
          <w:color w:val="auto"/>
        </w:rPr>
        <w:t>$1,268</w:t>
      </w:r>
      <w:r>
        <w:rPr>
          <w:sz w:val="20"/>
          <w:szCs w:val="20"/>
          <w:color w:val="auto"/>
        </w:rPr>
        <w:tab/>
      </w:r>
      <w:r>
        <w:rPr>
          <w:rFonts w:ascii="Times New Roman" w:cs="Times New Roman" w:eastAsia="Times New Roman" w:hAnsi="Times New Roman"/>
          <w:sz w:val="16"/>
          <w:szCs w:val="16"/>
          <w:u w:val="single" w:color="auto"/>
          <w:color w:val="auto"/>
        </w:rPr>
        <w:t>$1,254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 - 19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QUARTERLY CONSOLIDATED FINANCIAL DATA (Unaudited)</w:t>
      </w:r>
    </w:p>
    <w:p>
      <w:pPr>
        <w:spacing w:after="0" w:line="187"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unaudited consolidated quarterly financial information for each of the eight quarters ended December 31, 2014.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Year-over-year quarterly comparisons of our results of operations may not be as meaningful as the sequential quarterly comparisons set forth below that</w:t>
      </w:r>
    </w:p>
    <w:p>
      <w:pPr>
        <w:sectPr>
          <w:pgSz w:w="11900" w:h="16838" w:orient="portrait"/>
          <w:cols w:equalWidth="0" w:num="1">
            <w:col w:w="11420"/>
          </w:cols>
          <w:pgMar w:left="240" w:top="112" w:right="239" w:bottom="0" w:gutter="0" w:footer="0" w:header="0"/>
        </w:sectPr>
      </w:pPr>
    </w:p>
    <w:bookmarkStart w:id="42" w:name="page43"/>
    <w:bookmarkEnd w:id="42"/>
    <w:p>
      <w:pPr>
        <w:spacing w:after="0" w:line="7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tend to reflect the cyclical activity of the semiconductor and ATE markets. Quarterly fluctuations in expenses are related directly to sales activity and volume and may also reflect the timing of operating expenses incurred throughout the year.</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w w:val="95"/>
              </w:rPr>
              <w:t>Quarters Ended</w:t>
            </w:r>
          </w:p>
        </w:tc>
        <w:tc>
          <w:tcPr>
            <w:tcW w:w="48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23"/>
        </w:trPr>
        <w:tc>
          <w:tcPr>
            <w:tcW w:w="4300" w:type="dxa"/>
            <w:vAlign w:val="bottom"/>
          </w:tcPr>
          <w:p>
            <w:pPr>
              <w:spacing w:after="0"/>
              <w:rPr>
                <w:sz w:val="19"/>
                <w:szCs w:val="19"/>
                <w:color w:val="auto"/>
              </w:rPr>
            </w:pPr>
          </w:p>
        </w:tc>
        <w:tc>
          <w:tcPr>
            <w:tcW w:w="8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i w:val="1"/>
                <w:iCs w:val="1"/>
                <w:color w:val="auto"/>
                <w:w w:val="93"/>
              </w:rPr>
              <w:t>3/31/14</w:t>
            </w:r>
          </w:p>
        </w:tc>
        <w:tc>
          <w:tcPr>
            <w:tcW w:w="260" w:type="dxa"/>
            <w:vAlign w:val="bottom"/>
          </w:tcPr>
          <w:p>
            <w:pPr>
              <w:spacing w:after="0"/>
              <w:rPr>
                <w:sz w:val="19"/>
                <w:szCs w:val="19"/>
                <w:color w:val="auto"/>
              </w:rPr>
            </w:pPr>
          </w:p>
        </w:tc>
        <w:tc>
          <w:tcPr>
            <w:tcW w:w="84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i w:val="1"/>
                <w:iCs w:val="1"/>
                <w:color w:val="auto"/>
              </w:rPr>
              <w:t>6/30/14</w:t>
            </w:r>
          </w:p>
        </w:tc>
        <w:tc>
          <w:tcPr>
            <w:tcW w:w="5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9/30/14</w:t>
            </w:r>
          </w:p>
        </w:tc>
        <w:tc>
          <w:tcPr>
            <w:tcW w:w="2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i w:val="1"/>
                <w:iCs w:val="1"/>
                <w:color w:val="auto"/>
              </w:rPr>
              <w:t>12/31/14</w:t>
            </w:r>
          </w:p>
        </w:tc>
        <w:tc>
          <w:tcPr>
            <w:tcW w:w="180" w:type="dxa"/>
            <w:vAlign w:val="bottom"/>
          </w:tcPr>
          <w:p>
            <w:pPr>
              <w:spacing w:after="0"/>
              <w:rPr>
                <w:sz w:val="19"/>
                <w:szCs w:val="19"/>
                <w:color w:val="auto"/>
              </w:rPr>
            </w:pPr>
          </w:p>
        </w:tc>
        <w:tc>
          <w:tcPr>
            <w:tcW w:w="7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Total</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60" w:type="dxa"/>
            <w:vAlign w:val="bottom"/>
            <w:gridSpan w:val="2"/>
          </w:tcPr>
          <w:p>
            <w:pPr>
              <w:spacing w:after="0"/>
              <w:rPr>
                <w:sz w:val="20"/>
                <w:szCs w:val="20"/>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$ 8,797</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$12,343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$10,794</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$ 9,862</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$41,796</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4,185</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6,082</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5,168</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5,027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411</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2,054</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1,268</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1,176</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4,909</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697</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431</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1,470</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1,357</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837</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3,439</w:t>
            </w:r>
          </w:p>
        </w:tc>
      </w:tr>
      <w:tr>
        <w:trPr>
          <w:trHeight w:val="85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basic</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140" w:type="dxa"/>
            <w:vAlign w:val="bottom"/>
            <w:gridSpan w:val="5"/>
          </w:tcPr>
          <w:p>
            <w:pPr>
              <w:ind w:left="440"/>
              <w:spacing w:after="0"/>
              <w:rPr>
                <w:sz w:val="20"/>
                <w:szCs w:val="20"/>
                <w:color w:val="auto"/>
              </w:rPr>
            </w:pPr>
            <w:r>
              <w:rPr>
                <w:rFonts w:ascii="Times New Roman" w:cs="Times New Roman" w:eastAsia="Times New Roman" w:hAnsi="Times New Roman"/>
                <w:sz w:val="14"/>
                <w:szCs w:val="14"/>
                <w:color w:val="auto"/>
              </w:rPr>
              <w:t>10,393,956</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10,436,730</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10,440,803</w:t>
            </w: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w w:val="95"/>
              </w:rPr>
              <w:t>10,454,716</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10,431,743</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$0.13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140" w:type="dxa"/>
            <w:vAlign w:val="bottom"/>
            <w:gridSpan w:val="5"/>
          </w:tcPr>
          <w:p>
            <w:pPr>
              <w:ind w:left="460"/>
              <w:spacing w:after="0"/>
              <w:rPr>
                <w:sz w:val="20"/>
                <w:szCs w:val="20"/>
                <w:color w:val="auto"/>
              </w:rPr>
            </w:pPr>
            <w:r>
              <w:rPr>
                <w:rFonts w:ascii="Times New Roman" w:cs="Times New Roman" w:eastAsia="Times New Roman" w:hAnsi="Times New Roman"/>
                <w:sz w:val="14"/>
                <w:szCs w:val="14"/>
                <w:color w:val="auto"/>
              </w:rPr>
              <w:t>10,448,911</w:t>
            </w:r>
          </w:p>
        </w:tc>
        <w:tc>
          <w:tcPr>
            <w:tcW w:w="840" w:type="dxa"/>
            <w:vAlign w:val="bottom"/>
            <w:gridSpan w:val="6"/>
          </w:tcPr>
          <w:p>
            <w:pPr>
              <w:jc w:val="right"/>
              <w:ind w:right="160"/>
              <w:spacing w:after="0"/>
              <w:rPr>
                <w:sz w:val="20"/>
                <w:szCs w:val="20"/>
                <w:color w:val="auto"/>
              </w:rPr>
            </w:pPr>
            <w:r>
              <w:rPr>
                <w:rFonts w:ascii="Times New Roman" w:cs="Times New Roman" w:eastAsia="Times New Roman" w:hAnsi="Times New Roman"/>
                <w:sz w:val="14"/>
                <w:szCs w:val="14"/>
                <w:color w:val="auto"/>
              </w:rPr>
              <w:t>10,456,183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10,477,814</w:t>
            </w: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color w:val="auto"/>
                <w:w w:val="95"/>
              </w:rPr>
              <w:t>10,480,867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10,466,064</w:t>
            </w:r>
          </w:p>
        </w:tc>
      </w:tr>
      <w:tr>
        <w:trPr>
          <w:trHeight w:val="380"/>
        </w:trPr>
        <w:tc>
          <w:tcPr>
            <w:tcW w:w="4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w w:val="95"/>
              </w:rPr>
              <w:t>Quarters Ended</w:t>
            </w:r>
          </w:p>
        </w:tc>
        <w:tc>
          <w:tcPr>
            <w:tcW w:w="5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3"/>
        </w:trPr>
        <w:tc>
          <w:tcPr>
            <w:tcW w:w="43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3/31/13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6/30/13</w:t>
            </w:r>
          </w:p>
        </w:tc>
        <w:tc>
          <w:tcPr>
            <w:tcW w:w="300" w:type="dxa"/>
            <w:vAlign w:val="bottom"/>
          </w:tcPr>
          <w:p>
            <w:pPr>
              <w:spacing w:after="0"/>
              <w:rPr>
                <w:sz w:val="19"/>
                <w:szCs w:val="19"/>
                <w:color w:val="auto"/>
              </w:rPr>
            </w:pPr>
          </w:p>
        </w:tc>
        <w:tc>
          <w:tcPr>
            <w:tcW w:w="84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i w:val="1"/>
                <w:iCs w:val="1"/>
                <w:color w:val="auto"/>
              </w:rPr>
              <w:t>9/30/13</w:t>
            </w:r>
          </w:p>
        </w:tc>
        <w:tc>
          <w:tcPr>
            <w:tcW w:w="7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w w:val="96"/>
              </w:rPr>
              <w:t>12/31/13</w:t>
            </w:r>
          </w:p>
        </w:tc>
        <w:tc>
          <w:tcPr>
            <w:tcW w:w="220" w:type="dxa"/>
            <w:vAlign w:val="bottom"/>
          </w:tcPr>
          <w:p>
            <w:pPr>
              <w:spacing w:after="0"/>
              <w:rPr>
                <w:sz w:val="19"/>
                <w:szCs w:val="19"/>
                <w:color w:val="auto"/>
              </w:rPr>
            </w:pP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i w:val="1"/>
                <w:iCs w:val="1"/>
                <w:color w:val="auto"/>
                <w:w w:val="85"/>
              </w:rPr>
              <w:t>Total</w:t>
            </w:r>
          </w:p>
        </w:tc>
      </w:tr>
      <w:tr>
        <w:trPr>
          <w:trHeight w:val="20"/>
        </w:trPr>
        <w:tc>
          <w:tcPr>
            <w:tcW w:w="4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00" w:type="dxa"/>
            <w:vAlign w:val="bottom"/>
          </w:tcPr>
          <w:p>
            <w:pPr>
              <w:spacing w:after="0"/>
              <w:rPr>
                <w:sz w:val="20"/>
                <w:szCs w:val="20"/>
                <w:color w:val="auto"/>
              </w:rPr>
            </w:pP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$ 8,973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$11,218</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$ 9,900</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$ 9,335</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$39,426</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4,105</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5,465</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4,756</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4,689</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19,015</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Earnings before income tax expense</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1,487</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1,114</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1,037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4,008</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484</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345</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1,003</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1,090</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3,077</w:t>
            </w:r>
          </w:p>
        </w:tc>
      </w:tr>
      <w:tr>
        <w:trPr>
          <w:trHeight w:val="85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basic</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$0.11</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10,327,428</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10,371,716</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color w:val="auto"/>
              </w:rPr>
              <w:t>10,377,189</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10,377,678</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10,363,678</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common share - diluted</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$0.07</w:t>
            </w: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r>
      <w:tr>
        <w:trPr>
          <w:trHeight w:val="45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color w:val="auto"/>
              </w:rPr>
              <w:t>10,366,312</w:t>
            </w:r>
          </w:p>
        </w:tc>
        <w:tc>
          <w:tcPr>
            <w:tcW w:w="84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10,394,094</w:t>
            </w:r>
          </w:p>
        </w:tc>
        <w:tc>
          <w:tcPr>
            <w:tcW w:w="840" w:type="dxa"/>
            <w:vAlign w:val="bottom"/>
            <w:gridSpan w:val="6"/>
          </w:tcPr>
          <w:p>
            <w:pPr>
              <w:jc w:val="right"/>
              <w:ind w:right="80"/>
              <w:spacing w:after="0"/>
              <w:rPr>
                <w:sz w:val="20"/>
                <w:szCs w:val="20"/>
                <w:color w:val="auto"/>
              </w:rPr>
            </w:pPr>
            <w:r>
              <w:rPr>
                <w:rFonts w:ascii="Times New Roman" w:cs="Times New Roman" w:eastAsia="Times New Roman" w:hAnsi="Times New Roman"/>
                <w:sz w:val="14"/>
                <w:szCs w:val="14"/>
                <w:color w:val="auto"/>
              </w:rPr>
              <w:t>10,404,095</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10,435,096</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10,419,103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 - 20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inTEST CORPORATION</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940" w:type="dxa"/>
            <w:vAlign w:val="bottom"/>
            <w:gridSpan w:val="3"/>
          </w:tcPr>
          <w:p>
            <w:pPr>
              <w:jc w:val="center"/>
              <w:ind w:left="747"/>
              <w:spacing w:after="0"/>
              <w:rPr>
                <w:sz w:val="20"/>
                <w:szCs w:val="20"/>
                <w:color w:val="auto"/>
              </w:rPr>
            </w:pPr>
            <w:r>
              <w:rPr>
                <w:rFonts w:ascii="Times New Roman" w:cs="Times New Roman" w:eastAsia="Times New Roman" w:hAnsi="Times New Roman"/>
                <w:sz w:val="14"/>
                <w:szCs w:val="14"/>
                <w:b w:val="1"/>
                <w:bCs w:val="1"/>
                <w:i w:val="1"/>
                <w:iCs w:val="1"/>
                <w:color w:val="auto"/>
                <w:w w:val="96"/>
              </w:rPr>
              <w:t>Balance at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i w:val="1"/>
                <w:iCs w:val="1"/>
                <w:color w:val="auto"/>
                <w:w w:val="96"/>
              </w:rPr>
              <w:t>Balance at</w:t>
            </w:r>
          </w:p>
        </w:tc>
      </w:tr>
      <w:tr>
        <w:trPr>
          <w:trHeight w:val="149"/>
        </w:trPr>
        <w:tc>
          <w:tcPr>
            <w:tcW w:w="3420" w:type="dxa"/>
            <w:vAlign w:val="bottom"/>
          </w:tcPr>
          <w:p>
            <w:pPr>
              <w:spacing w:after="0"/>
              <w:rPr>
                <w:sz w:val="12"/>
                <w:szCs w:val="12"/>
                <w:color w:val="auto"/>
              </w:rPr>
            </w:pPr>
          </w:p>
        </w:tc>
        <w:tc>
          <w:tcPr>
            <w:tcW w:w="1940" w:type="dxa"/>
            <w:vAlign w:val="bottom"/>
            <w:gridSpan w:val="3"/>
          </w:tcPr>
          <w:p>
            <w:pPr>
              <w:jc w:val="center"/>
              <w:ind w:left="747"/>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8"/>
              </w:rPr>
              <w:t>Beginning</w:t>
            </w: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rPr>
              <w:t>Expense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left="66"/>
              <w:spacing w:after="0" w:line="149" w:lineRule="exact"/>
              <w:rPr>
                <w:sz w:val="20"/>
                <w:szCs w:val="20"/>
                <w:color w:val="auto"/>
              </w:rPr>
            </w:pPr>
            <w:r>
              <w:rPr>
                <w:rFonts w:ascii="Times New Roman" w:cs="Times New Roman" w:eastAsia="Times New Roman" w:hAnsi="Times New Roman"/>
                <w:sz w:val="14"/>
                <w:szCs w:val="14"/>
                <w:b w:val="1"/>
                <w:bCs w:val="1"/>
                <w:i w:val="1"/>
                <w:iCs w:val="1"/>
                <w:color w:val="auto"/>
                <w:w w:val="96"/>
              </w:rPr>
              <w:t>End of</w:t>
            </w:r>
          </w:p>
        </w:tc>
      </w:tr>
      <w:tr>
        <w:trPr>
          <w:trHeight w:val="152"/>
        </w:trPr>
        <w:tc>
          <w:tcPr>
            <w:tcW w:w="3420" w:type="dxa"/>
            <w:vAlign w:val="bottom"/>
          </w:tcPr>
          <w:p>
            <w:pPr>
              <w:spacing w:after="0"/>
              <w:rPr>
                <w:sz w:val="13"/>
                <w:szCs w:val="13"/>
                <w:color w:val="auto"/>
              </w:rPr>
            </w:pPr>
          </w:p>
        </w:tc>
        <w:tc>
          <w:tcPr>
            <w:tcW w:w="1940" w:type="dxa"/>
            <w:vAlign w:val="bottom"/>
            <w:gridSpan w:val="3"/>
          </w:tcPr>
          <w:p>
            <w:pPr>
              <w:jc w:val="center"/>
              <w:ind w:left="747"/>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7"/>
              </w:rPr>
              <w:t>of Period</w:t>
            </w:r>
          </w:p>
        </w:tc>
        <w:tc>
          <w:tcPr>
            <w:tcW w:w="72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(Recovery)</w:t>
            </w:r>
          </w:p>
        </w:tc>
        <w:tc>
          <w:tcPr>
            <w:tcW w:w="880" w:type="dxa"/>
            <w:vAlign w:val="bottom"/>
            <w:gridSpan w:val="3"/>
          </w:tcPr>
          <w:p>
            <w:pPr>
              <w:ind w:left="14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rPr>
              <w:t>Deductions</w:t>
            </w:r>
          </w:p>
        </w:tc>
        <w:tc>
          <w:tcPr>
            <w:tcW w:w="240" w:type="dxa"/>
            <w:vAlign w:val="bottom"/>
          </w:tcPr>
          <w:p>
            <w:pPr>
              <w:spacing w:after="0"/>
              <w:rPr>
                <w:sz w:val="13"/>
                <w:szCs w:val="13"/>
                <w:color w:val="auto"/>
              </w:rPr>
            </w:pPr>
          </w:p>
        </w:tc>
        <w:tc>
          <w:tcPr>
            <w:tcW w:w="480" w:type="dxa"/>
            <w:vAlign w:val="bottom"/>
            <w:gridSpan w:val="2"/>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i w:val="1"/>
                <w:iCs w:val="1"/>
                <w:color w:val="auto"/>
                <w:w w:val="94"/>
              </w:rPr>
              <w:t>Period</w:t>
            </w:r>
          </w:p>
        </w:tc>
      </w:tr>
      <w:tr>
        <w:trPr>
          <w:trHeight w:val="41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bl>
    <w:p>
      <w:pPr>
        <w:sectPr>
          <w:pgSz w:w="11900" w:h="16909" w:orient="portrait"/>
          <w:cols w:equalWidth="0" w:num="1">
            <w:col w:w="10480"/>
          </w:cols>
          <w:pgMar w:left="780" w:top="125" w:right="639" w:bottom="0" w:gutter="0" w:footer="0" w:header="0"/>
        </w:sectPr>
      </w:pPr>
    </w:p>
    <w:bookmarkStart w:id="43" w:name="page44"/>
    <w:bookmarkEnd w:id="43"/>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123</w:t>
            </w: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96</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41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147</w:t>
            </w: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Warranty reserve</w:t>
            </w:r>
          </w:p>
        </w:tc>
        <w:tc>
          <w:tcPr>
            <w:tcW w:w="18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197</w:t>
            </w: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w:t>
            </w:r>
          </w:p>
        </w:tc>
        <w:tc>
          <w:tcPr>
            <w:tcW w:w="9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(111)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-21</w:t>
      </w:r>
    </w:p>
    <w:p>
      <w:pPr>
        <w:sectPr>
          <w:pgSz w:w="11900" w:h="16838" w:orient="portrait"/>
          <w:cols w:equalWidth="0" w:num="1">
            <w:col w:w="9019"/>
          </w:cols>
          <w:pgMar w:left="1440" w:top="152" w:right="1440" w:bottom="1440" w:gutter="0" w:footer="0" w:header="0"/>
        </w:sectPr>
      </w:pPr>
    </w:p>
    <w:bookmarkStart w:id="44" w:name="page45"/>
    <w:bookmarkEnd w:id="44"/>
    <w:p>
      <w:pPr>
        <w:ind w:left="996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COMPENSATORY ARRANGEMENTS OF EXECUTIVE OFFICERS AND DIRECTORS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executive officers is employed on an at will basis. The current annual salaries of our executive officers are set forth in the chart below:</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344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tcPr>
          <w:p>
            <w:pPr>
              <w:spacing w:after="0"/>
              <w:rPr>
                <w:sz w:val="13"/>
                <w:szCs w:val="13"/>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Incentive Component</w:t>
            </w:r>
          </w:p>
        </w:tc>
      </w:tr>
      <w:tr>
        <w:trPr>
          <w:trHeight w:val="20"/>
        </w:trPr>
        <w:tc>
          <w:tcPr>
            <w:tcW w:w="10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2"/>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E. Matthiessen</w:t>
            </w: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CEO and Director</w:t>
            </w:r>
          </w:p>
        </w:tc>
        <w:tc>
          <w:tcPr>
            <w:tcW w:w="4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w w:val="99"/>
              </w:rPr>
              <w:t>$317,242 1.5% of consolidated pre-tax profits plus 1.5%</w:t>
            </w:r>
          </w:p>
        </w:tc>
      </w:tr>
      <w:tr>
        <w:trPr>
          <w:trHeight w:val="228"/>
        </w:trPr>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of each product segment's pre-tax profits.</w:t>
            </w:r>
          </w:p>
        </w:tc>
      </w:tr>
      <w:tr>
        <w:trPr>
          <w:trHeight w:val="48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Hugh T. Regan, Jr.</w:t>
            </w: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Secretary, Treasurer and CFO</w:t>
            </w:r>
          </w:p>
        </w:tc>
        <w:tc>
          <w:tcPr>
            <w:tcW w:w="422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$224,422 Discretionary (1)</w:t>
            </w:r>
          </w:p>
        </w:tc>
      </w:tr>
      <w:tr>
        <w:trPr>
          <w:trHeight w:val="47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J. Graham</w:t>
            </w: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Sr. Vice President, General Manager -</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$220,000</w:t>
            </w: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2.5% of pre-tax profits of the Mechanical</w:t>
            </w:r>
          </w:p>
        </w:tc>
      </w:tr>
      <w:tr>
        <w:trPr>
          <w:trHeight w:val="216"/>
        </w:trPr>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Mechanical Products Segment and General</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6"/>
              </w:rPr>
              <w:t>Products segment and 2.5% of pre-tax profits of</w:t>
            </w:r>
          </w:p>
        </w:tc>
      </w:tr>
      <w:tr>
        <w:trPr>
          <w:trHeight w:val="228"/>
        </w:trPr>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Manager-Electrical Products Segment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the Electrical Products segment</w:t>
            </w:r>
          </w:p>
        </w:tc>
      </w:tr>
      <w:tr>
        <w:trPr>
          <w:trHeight w:val="474"/>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Pelrin</w:t>
            </w: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Vice President and General Manager-</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$220,000</w:t>
            </w: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7"/>
              </w:rPr>
              <w:t>2.5% of pre-tax profits of the Thermal Products</w:t>
            </w:r>
          </w:p>
        </w:tc>
      </w:tr>
      <w:tr>
        <w:trPr>
          <w:trHeight w:val="228"/>
        </w:trPr>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Thermal Products Segment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segment.</w:t>
            </w:r>
          </w:p>
        </w:tc>
      </w:tr>
      <w:tr>
        <w:trPr>
          <w:trHeight w:val="486"/>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Alyn R. Holt</w:t>
            </w:r>
          </w:p>
        </w:tc>
        <w:tc>
          <w:tcPr>
            <w:tcW w:w="34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Executive Chairman</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$180,180</w:t>
            </w:r>
          </w:p>
        </w:tc>
        <w:tc>
          <w:tcPr>
            <w:tcW w:w="3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85" w:lineRule="exact"/>
        <w:rPr>
          <w:sz w:val="20"/>
          <w:szCs w:val="20"/>
          <w:color w:val="auto"/>
        </w:rPr>
      </w:pPr>
    </w:p>
    <w:p>
      <w:pPr>
        <w:ind w:left="500" w:right="2080" w:hanging="478"/>
        <w:spacing w:after="0" w:line="275"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company having consolidated pre-tax profits and subject to the recommendation of the Chief Executive Officer and the approval of the Compensation Committee of the Board of Directors.</w:t>
      </w:r>
    </w:p>
    <w:p>
      <w:pPr>
        <w:spacing w:after="0" w:line="147"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Each of the foregoing officers receives our standard benefits package. Messrs. Matthiessen, Regan, Graham and Pelrin are parties to Change of Control Agreements with us that provide for the payment of certain benefits upon the executive's termination of employment following a change of control, as defined therein.</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Directors who are not also our officers (each a "non-employee director") currently receive an annual retainer of $25,000 (Steven J. Abrams, Esq., Joseph W. Dews IV and William Kraut). Non-employee members of the Executive Committee are paid an additional annual retainer of $15,000 (Mssrs. Abrams and Dews) and the Lead Independent Director is paid an additional annual retainer of $10,000 (Mr. Kraut). The chairmen of the committees of the Board are paid an additional annual fee as follows: the Chairman of the Audit Committee is paid an additional annual fee of $20,000 (Mr. Kraut); the Chairman of the Compensation Committee is paid an additional annual fee of $10,000 (Mr. Dews); and the Chairman of the Nominating and Corporate Governance Committee is paid an additional annual fee of $10,000 (Mr. Abrams).</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directors, executive officers and other key employees may be eligible to receive stock options or restricted stock awards from time to time pursuant to the Company's 2014 Stock Plan and 2007 Stock Plan (incorporated by reference as Exhibit 10.5 and Exhibit 10.6, respectively to this Report). No awards of restricted stock were made during 2014 to our executive officers, but there was an award of restricted stock made during 2014 to a new director upon his election on April 10, 2014. There are no agreements obligating the Company to make any such award at any time, so future awards remain at the discretion of the Compensation Committee.</w:t>
      </w:r>
    </w:p>
    <w:p>
      <w:pPr>
        <w:sectPr>
          <w:pgSz w:w="11900" w:h="16838" w:orient="portrait"/>
          <w:cols w:equalWidth="0" w:num="1">
            <w:col w:w="11420"/>
          </w:cols>
          <w:pgMar w:left="240" w:top="108" w:right="2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146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8"/>
              </w:rPr>
              <w:t>Jurisdiction</w:t>
            </w:r>
          </w:p>
        </w:tc>
      </w:tr>
      <w:tr>
        <w:trPr>
          <w:trHeight w:val="194"/>
        </w:trPr>
        <w:tc>
          <w:tcPr>
            <w:tcW w:w="320" w:type="dxa"/>
            <w:vAlign w:val="bottom"/>
          </w:tcPr>
          <w:p>
            <w:pPr>
              <w:spacing w:after="0"/>
              <w:rPr>
                <w:sz w:val="16"/>
                <w:szCs w:val="16"/>
                <w:color w:val="auto"/>
              </w:rPr>
            </w:pPr>
          </w:p>
        </w:tc>
        <w:tc>
          <w:tcPr>
            <w:tcW w:w="37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Name of Subsidiaries</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w w:val="97"/>
              </w:rPr>
              <w:t>of Incorporation</w:t>
            </w:r>
          </w:p>
        </w:tc>
      </w:tr>
      <w:tr>
        <w:trPr>
          <w:trHeight w:val="20"/>
        </w:trPr>
        <w:tc>
          <w:tcPr>
            <w:tcW w:w="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560"/>
        </w:trPr>
        <w:tc>
          <w:tcPr>
            <w:tcW w:w="4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inTEST Silicon Valley Corporation</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r>
      <w:tr>
        <w:trPr>
          <w:trHeight w:val="270"/>
        </w:trPr>
        <w:tc>
          <w:tcPr>
            <w:tcW w:w="4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Temptronic Corporation (a)</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r>
      <w:tr>
        <w:trPr>
          <w:trHeight w:val="270"/>
        </w:trPr>
        <w:tc>
          <w:tcPr>
            <w:tcW w:w="4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inTEST PTE, Ltd.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Singapore</w:t>
            </w:r>
          </w:p>
        </w:tc>
      </w:tr>
      <w:tr>
        <w:trPr>
          <w:trHeight w:val="283"/>
        </w:trPr>
        <w:tc>
          <w:tcPr>
            <w:tcW w:w="40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inTEST Thermal Solutions GmbH</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Germany</w:t>
            </w:r>
          </w:p>
        </w:tc>
      </w:tr>
    </w:tbl>
    <w:p>
      <w:pPr>
        <w:spacing w:after="0" w:line="258" w:lineRule="exact"/>
        <w:rPr>
          <w:sz w:val="20"/>
          <w:szCs w:val="20"/>
          <w:color w:val="auto"/>
        </w:rPr>
      </w:pPr>
    </w:p>
    <w:p>
      <w:pPr>
        <w:ind w:left="1460"/>
        <w:spacing w:after="0"/>
        <w:tabs>
          <w:tab w:leader="none" w:pos="18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Doing business as inTEST Thermal Solutions Corp.</w:t>
      </w:r>
    </w:p>
    <w:p>
      <w:pPr>
        <w:sectPr>
          <w:pgSz w:w="11900" w:h="16838" w:orient="portrait"/>
          <w:cols w:equalWidth="0" w:num="1">
            <w:col w:w="10220"/>
          </w:cols>
          <w:pgMar w:left="1440" w:top="108" w:right="2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22"/>
          <w:szCs w:val="22"/>
          <w:color w:val="auto"/>
        </w:rPr>
        <w:t>We consent to the incorporation by reference in Registration Statements (No. 333-145176 and No. 333-197858) on Form S-8 and Registration Statement (No. 333-195834) on Form S-3 of inTEST Corporation of our report dated March 26, 2015, relating to our audits of the consolidated financial statements and the financial statement schedule, which appear in this Annual Report on Form 10-K of inTEST Corporation for the year ended December 31,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McGLADREY LLP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Blue Bell, Pennsylvania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26, 2015</w:t>
      </w:r>
    </w:p>
    <w:p>
      <w:pPr>
        <w:sectPr>
          <w:pgSz w:w="11900" w:h="16838" w:orient="portrait"/>
          <w:cols w:equalWidth="0" w:num="1">
            <w:col w:w="11420"/>
          </w:cols>
          <w:pgMar w:left="240" w:top="108" w:right="2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Robert E. Matthiessen, certify that:</w:t>
      </w:r>
    </w:p>
    <w:p>
      <w:pPr>
        <w:spacing w:after="0" w:line="185" w:lineRule="exact"/>
        <w:rPr>
          <w:sz w:val="20"/>
          <w:szCs w:val="20"/>
          <w:color w:val="auto"/>
        </w:rPr>
      </w:pPr>
    </w:p>
    <w:p>
      <w:pPr>
        <w:ind w:left="760" w:hanging="313"/>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inTEST Corporation;</w:t>
      </w:r>
    </w:p>
    <w:p>
      <w:pPr>
        <w:spacing w:after="0" w:line="184" w:lineRule="exact"/>
        <w:rPr>
          <w:rFonts w:ascii="Times New Roman" w:cs="Times New Roman" w:eastAsia="Times New Roman" w:hAnsi="Times New Roman"/>
          <w:sz w:val="18"/>
          <w:szCs w:val="18"/>
          <w:color w:val="auto"/>
        </w:rPr>
      </w:pPr>
    </w:p>
    <w:p>
      <w:pPr>
        <w:ind w:right="460" w:firstLine="447"/>
        <w:spacing w:after="0" w:line="339" w:lineRule="auto"/>
        <w:tabs>
          <w:tab w:leader="none" w:pos="74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6"/>
          <w:szCs w:val="16"/>
          <w:color w:val="auto"/>
        </w:rPr>
      </w:pPr>
    </w:p>
    <w:p>
      <w:pPr>
        <w:ind w:right="420" w:firstLine="447"/>
        <w:spacing w:after="0" w:line="275" w:lineRule="auto"/>
        <w:tabs>
          <w:tab w:leader="none" w:pos="7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8"/>
          <w:szCs w:val="18"/>
          <w:color w:val="auto"/>
        </w:rPr>
      </w:pPr>
    </w:p>
    <w:p>
      <w:pPr>
        <w:ind w:right="280" w:firstLine="447"/>
        <w:spacing w:after="0" w:line="262" w:lineRule="auto"/>
        <w:tabs>
          <w:tab w:leader="none" w:pos="7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8"/>
          <w:szCs w:val="18"/>
          <w:color w:val="auto"/>
        </w:rPr>
      </w:pPr>
    </w:p>
    <w:p>
      <w:pPr>
        <w:ind w:left="540" w:right="280" w:firstLine="359"/>
        <w:spacing w:after="0" w:line="262" w:lineRule="auto"/>
        <w:tabs>
          <w:tab w:leader="none" w:pos="11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8"/>
          <w:szCs w:val="18"/>
          <w:color w:val="auto"/>
        </w:rPr>
      </w:pPr>
    </w:p>
    <w:p>
      <w:pPr>
        <w:jc w:val="both"/>
        <w:ind w:left="540" w:right="600" w:firstLine="359"/>
        <w:spacing w:after="0" w:line="262" w:lineRule="auto"/>
        <w:tabs>
          <w:tab w:leader="none" w:pos="11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8"/>
          <w:szCs w:val="18"/>
          <w:color w:val="auto"/>
        </w:rPr>
      </w:pPr>
    </w:p>
    <w:p>
      <w:pPr>
        <w:ind w:left="540" w:right="780" w:firstLine="359"/>
        <w:spacing w:after="0" w:line="275" w:lineRule="auto"/>
        <w:tabs>
          <w:tab w:leader="none" w:pos="11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8"/>
          <w:szCs w:val="18"/>
          <w:color w:val="auto"/>
        </w:rPr>
      </w:pPr>
    </w:p>
    <w:p>
      <w:pPr>
        <w:ind w:left="540" w:right="160" w:firstLine="359"/>
        <w:spacing w:after="0" w:line="262" w:lineRule="auto"/>
        <w:tabs>
          <w:tab w:leader="none" w:pos="118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8"/>
          <w:szCs w:val="18"/>
          <w:color w:val="auto"/>
        </w:rPr>
      </w:pPr>
    </w:p>
    <w:p>
      <w:pPr>
        <w:ind w:right="360" w:firstLine="447"/>
        <w:spacing w:after="0" w:line="275" w:lineRule="auto"/>
        <w:tabs>
          <w:tab w:leader="none" w:pos="7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8"/>
          <w:szCs w:val="18"/>
          <w:color w:val="auto"/>
        </w:rPr>
      </w:pPr>
    </w:p>
    <w:p>
      <w:pPr>
        <w:ind w:left="540" w:right="180" w:firstLine="359"/>
        <w:spacing w:after="0" w:line="275" w:lineRule="auto"/>
        <w:tabs>
          <w:tab w:leader="none" w:pos="11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8"/>
          <w:szCs w:val="18"/>
          <w:color w:val="auto"/>
        </w:rPr>
      </w:pPr>
    </w:p>
    <w:p>
      <w:pPr>
        <w:ind w:left="540" w:right="160" w:firstLine="359"/>
        <w:spacing w:after="0" w:line="275" w:lineRule="auto"/>
        <w:tabs>
          <w:tab w:leader="none" w:pos="11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March 26, 2015</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Robert E. Matthiessen</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Robert E. Matthiessen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108"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Hugh T. Regan, Jr., certify that:</w:t>
      </w:r>
    </w:p>
    <w:p>
      <w:pPr>
        <w:spacing w:after="0" w:line="185" w:lineRule="exact"/>
        <w:rPr>
          <w:sz w:val="20"/>
          <w:szCs w:val="20"/>
          <w:color w:val="auto"/>
        </w:rPr>
      </w:pPr>
    </w:p>
    <w:p>
      <w:pPr>
        <w:ind w:left="760" w:hanging="313"/>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inTEST Corporation;</w:t>
      </w:r>
    </w:p>
    <w:p>
      <w:pPr>
        <w:spacing w:after="0" w:line="184" w:lineRule="exact"/>
        <w:rPr>
          <w:rFonts w:ascii="Times New Roman" w:cs="Times New Roman" w:eastAsia="Times New Roman" w:hAnsi="Times New Roman"/>
          <w:sz w:val="18"/>
          <w:szCs w:val="18"/>
          <w:color w:val="auto"/>
        </w:rPr>
      </w:pPr>
    </w:p>
    <w:p>
      <w:pPr>
        <w:ind w:right="460" w:firstLine="447"/>
        <w:spacing w:after="0" w:line="339" w:lineRule="auto"/>
        <w:tabs>
          <w:tab w:leader="none" w:pos="746"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6"/>
          <w:szCs w:val="16"/>
          <w:color w:val="auto"/>
        </w:rPr>
      </w:pPr>
    </w:p>
    <w:p>
      <w:pPr>
        <w:ind w:right="420" w:firstLine="447"/>
        <w:spacing w:after="0" w:line="275" w:lineRule="auto"/>
        <w:tabs>
          <w:tab w:leader="none" w:pos="7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8"/>
          <w:szCs w:val="18"/>
          <w:color w:val="auto"/>
        </w:rPr>
      </w:pPr>
    </w:p>
    <w:p>
      <w:pPr>
        <w:ind w:right="280" w:firstLine="447"/>
        <w:spacing w:after="0" w:line="262" w:lineRule="auto"/>
        <w:tabs>
          <w:tab w:leader="none" w:pos="7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8"/>
          <w:szCs w:val="18"/>
          <w:color w:val="auto"/>
        </w:rPr>
      </w:pPr>
    </w:p>
    <w:p>
      <w:pPr>
        <w:ind w:left="540" w:right="280" w:firstLine="359"/>
        <w:spacing w:after="0" w:line="262" w:lineRule="auto"/>
        <w:tabs>
          <w:tab w:leader="none" w:pos="11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8"/>
          <w:szCs w:val="18"/>
          <w:color w:val="auto"/>
        </w:rPr>
      </w:pPr>
    </w:p>
    <w:p>
      <w:pPr>
        <w:jc w:val="both"/>
        <w:ind w:left="540" w:right="600" w:firstLine="359"/>
        <w:spacing w:after="0" w:line="262" w:lineRule="auto"/>
        <w:tabs>
          <w:tab w:leader="none" w:pos="11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8"/>
          <w:szCs w:val="18"/>
          <w:color w:val="auto"/>
        </w:rPr>
      </w:pPr>
    </w:p>
    <w:p>
      <w:pPr>
        <w:ind w:left="540" w:right="780" w:firstLine="359"/>
        <w:spacing w:after="0" w:line="275" w:lineRule="auto"/>
        <w:tabs>
          <w:tab w:leader="none" w:pos="11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8"/>
          <w:szCs w:val="18"/>
          <w:color w:val="auto"/>
        </w:rPr>
      </w:pPr>
    </w:p>
    <w:p>
      <w:pPr>
        <w:ind w:left="540" w:right="160" w:firstLine="359"/>
        <w:spacing w:after="0" w:line="262" w:lineRule="auto"/>
        <w:tabs>
          <w:tab w:leader="none" w:pos="118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8"/>
          <w:szCs w:val="18"/>
          <w:color w:val="auto"/>
        </w:rPr>
      </w:pPr>
    </w:p>
    <w:p>
      <w:pPr>
        <w:ind w:right="360" w:firstLine="447"/>
        <w:spacing w:after="0" w:line="275" w:lineRule="auto"/>
        <w:tabs>
          <w:tab w:leader="none" w:pos="7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8"/>
          <w:szCs w:val="18"/>
          <w:color w:val="auto"/>
        </w:rPr>
      </w:pPr>
    </w:p>
    <w:p>
      <w:pPr>
        <w:ind w:left="540" w:right="180" w:firstLine="359"/>
        <w:spacing w:after="0" w:line="275" w:lineRule="auto"/>
        <w:tabs>
          <w:tab w:leader="none" w:pos="11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8"/>
          <w:szCs w:val="18"/>
          <w:color w:val="auto"/>
        </w:rPr>
      </w:pPr>
    </w:p>
    <w:p>
      <w:pPr>
        <w:ind w:left="540" w:right="160" w:firstLine="359"/>
        <w:spacing w:after="0" w:line="275" w:lineRule="auto"/>
        <w:tabs>
          <w:tab w:leader="none" w:pos="11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March 26, 2015</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u w:val="single" w:color="auto"/>
          <w:color w:val="auto"/>
        </w:rPr>
        <w:t>/s/ Hugh T. Regan, Jr.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Hugh T. Regan, Jr.</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Secretary, Treasurer and Chief Financial Officer</w:t>
      </w:r>
    </w:p>
    <w:p>
      <w:pPr>
        <w:sectPr>
          <w:pgSz w:w="11900" w:h="16838" w:orient="portrait"/>
          <w:cols w:equalWidth="0" w:num="1">
            <w:col w:w="11420"/>
          </w:cols>
          <w:pgMar w:left="240" w:top="108"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4"/>
          <w:szCs w:val="24"/>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inTEST CORPORATION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4"/>
          <w:szCs w:val="24"/>
          <w:color w:val="auto"/>
        </w:rPr>
        <w:t>In connection with the Annual Report of inTEST Corporation (the "Company") on Form 10-K for the year ended December 31, 2014 as filed with the Securities and Exchange Commission on the date hereof (the "Report"), I, Robert E. Matthiessen, President and Chief Executive Officer of the Company, certify, pursuant to 18 U.S.C. Section 1350, as adopted pursuant to Section 906 of the Sarbanes-Oxley Act of 2002, that:</w:t>
      </w:r>
    </w:p>
    <w:p>
      <w:pPr>
        <w:spacing w:after="0" w:line="231" w:lineRule="exact"/>
        <w:rPr>
          <w:sz w:val="20"/>
          <w:szCs w:val="20"/>
          <w:color w:val="auto"/>
        </w:rPr>
      </w:pPr>
    </w:p>
    <w:p>
      <w:pPr>
        <w:ind w:right="560" w:firstLine="8"/>
        <w:spacing w:after="0" w:line="283" w:lineRule="auto"/>
        <w:tabs>
          <w:tab w:leader="none" w:pos="344"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24"/>
          <w:szCs w:val="24"/>
          <w:color w:val="auto"/>
        </w:rPr>
      </w:pPr>
    </w:p>
    <w:p>
      <w:pPr>
        <w:ind w:right="660" w:firstLine="8"/>
        <w:spacing w:after="0" w:line="283" w:lineRule="auto"/>
        <w:tabs>
          <w:tab w:leader="none" w:pos="344" w:val="left"/>
        </w:tabs>
        <w:numPr>
          <w:ilvl w:val="0"/>
          <w:numId w:val="19"/>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26, 2015</w:t>
      </w:r>
    </w:p>
    <w:p>
      <w:pPr>
        <w:spacing w:after="0" w:line="25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u w:val="single" w:color="auto"/>
          <w:color w:val="auto"/>
        </w:rPr>
        <w:t>/s/ Robert E. Matthiessen</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color w:val="auto"/>
        </w:rPr>
        <w:t>Robert E. Matthiessen</w:t>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color w:val="auto"/>
        </w:rPr>
        <w:t>President and Chief Executive Officer</w:t>
      </w:r>
    </w:p>
    <w:p>
      <w:pPr>
        <w:sectPr>
          <w:pgSz w:w="11900" w:h="16838" w:orient="portrait"/>
          <w:cols w:equalWidth="0" w:num="1">
            <w:col w:w="11420"/>
          </w:cols>
          <w:pgMar w:left="240" w:top="108"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4"/>
          <w:szCs w:val="24"/>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inTEST CORPORATION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4"/>
          <w:szCs w:val="24"/>
          <w:color w:val="auto"/>
        </w:rPr>
        <w:t>In connection with the Annual Report of inTEST Corporation (the "Company") on Form 10-K for the year ended December 31, 2014 as filed with the Securities and Exchange Commission on the date hereof (the "Report"), I, Hugh T. Regan, Jr., Secretary, Treasurer and Chief Financial Officer of the Company, certify, pursuant to 18 U.S.C. Section 1350, as adopted pursuant to Section 906 of the Sarbanes-Oxley Act of 2002, that:</w:t>
      </w:r>
    </w:p>
    <w:p>
      <w:pPr>
        <w:spacing w:after="0" w:line="231" w:lineRule="exact"/>
        <w:rPr>
          <w:sz w:val="20"/>
          <w:szCs w:val="20"/>
          <w:color w:val="auto"/>
        </w:rPr>
      </w:pPr>
    </w:p>
    <w:p>
      <w:pPr>
        <w:ind w:right="560" w:firstLine="8"/>
        <w:spacing w:after="0" w:line="283" w:lineRule="auto"/>
        <w:tabs>
          <w:tab w:leader="none" w:pos="344"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Report fully complies with the requirements of section 13(a) or 15(d) of the Securities Exchange Act of 1934; and</w:t>
      </w:r>
    </w:p>
    <w:p>
      <w:pPr>
        <w:spacing w:after="0" w:line="199" w:lineRule="exact"/>
        <w:rPr>
          <w:rFonts w:ascii="Times New Roman" w:cs="Times New Roman" w:eastAsia="Times New Roman" w:hAnsi="Times New Roman"/>
          <w:sz w:val="24"/>
          <w:szCs w:val="24"/>
          <w:color w:val="auto"/>
        </w:rPr>
      </w:pPr>
    </w:p>
    <w:p>
      <w:pPr>
        <w:ind w:right="660" w:firstLine="8"/>
        <w:spacing w:after="0" w:line="283" w:lineRule="auto"/>
        <w:tabs>
          <w:tab w:leader="none" w:pos="344" w:val="left"/>
        </w:tabs>
        <w:numPr>
          <w:ilvl w:val="0"/>
          <w:numId w:val="20"/>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March 26, 2015</w:t>
      </w:r>
    </w:p>
    <w:p>
      <w:pPr>
        <w:spacing w:after="0" w:line="25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u w:val="single" w:color="auto"/>
          <w:color w:val="auto"/>
        </w:rPr>
        <w:t>/s/ Hugh T. Regan, Jr.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color w:val="auto"/>
        </w:rPr>
        <w:t>Hugh T. Regan, Jr.</w:t>
      </w:r>
    </w:p>
    <w:p>
      <w:pPr>
        <w:spacing w:after="0" w:line="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4"/>
          <w:szCs w:val="24"/>
          <w:color w:val="auto"/>
        </w:rPr>
        <w:t>Secretary, Treasurer and Chief Financial Officer</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Letter"/>
      <w:start w:val="1"/>
    </w:lvl>
    <w:lvl w:ilvl="1">
      <w:lvlJc w:val="left"/>
      <w:lvlText w:val="(%2)"/>
      <w:numFmt w:val="lowerRoman"/>
      <w:start w:val="1"/>
    </w:lvl>
  </w:abstractNum>
  <w:abstractNum w:abstractNumId="5">
    <w:nsid w:val="3352255A"/>
    <w:multiLevelType w:val="hybridMultilevel"/>
    <w:lvl w:ilvl="0">
      <w:lvlJc w:val="left"/>
      <w:lvlText w:val="%1"/>
      <w:numFmt w:val="decimal"/>
      <w:start w:val="21"/>
    </w:lvl>
  </w:abstractNum>
  <w:abstractNum w:abstractNumId="6">
    <w:nsid w:val="109CF92E"/>
    <w:multiLevelType w:val="hybridMultilevel"/>
    <w:lvl w:ilvl="0">
      <w:lvlJc w:val="left"/>
      <w:lvlText w:val="%1"/>
      <w:numFmt w:val="decimal"/>
      <w:start w:val="23"/>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9"/>
    </w:lvl>
  </w:abstractNum>
  <w:abstractNum w:abstractNumId="13">
    <w:nsid w:val="25E45D32"/>
    <w:multiLevelType w:val="hybridMultilevel"/>
    <w:lvl w:ilvl="0">
      <w:lvlJc w:val="left"/>
      <w:lvlText w:val="6"/>
      <w:numFmt w:val="bullet"/>
      <w:start w:val="1"/>
    </w:lvl>
  </w:abstractNum>
  <w:abstractNum w:abstractNumId="14">
    <w:nsid w:val="519B500D"/>
    <w:multiLevelType w:val="hybridMultilevel"/>
    <w:lvl w:ilvl="0">
      <w:lvlJc w:val="left"/>
      <w:lvlText w:val="%1"/>
      <w:numFmt w:val="decimal"/>
      <w:start w:val="10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2019-12-06T21:37:57Z</dcterms:created>
  <dcterms:modified xsi:type="dcterms:W3CDTF">2019-12-06T21:37:57Z</dcterms:modified>
</cp:coreProperties>
</file>