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2160" w:right="2060" w:hanging="2152"/>
        <w:spacing w:after="0" w:line="489" w:lineRule="auto"/>
        <w:tabs>
          <w:tab w:leader="none" w:pos="2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2015</w:t>
      </w:r>
      <w:r>
        <w:rPr>
          <w:rFonts w:ascii="Arial" w:cs="Arial" w:eastAsia="Arial" w:hAnsi="Arial"/>
          <w:sz w:val="18"/>
          <w:szCs w:val="18"/>
          <w:color w:val="auto"/>
        </w:rPr>
        <w:t xml:space="preserve"> or</w:t>
      </w:r>
    </w:p>
    <w:p>
      <w:pPr>
        <w:spacing w:after="0" w:line="1" w:lineRule="exact"/>
        <w:rPr>
          <w:sz w:val="24"/>
          <w:szCs w:val="24"/>
          <w:color w:val="auto"/>
        </w:rPr>
      </w:pPr>
    </w:p>
    <w:p>
      <w:pPr>
        <w:ind w:left="2160" w:right="2040" w:hanging="2152"/>
        <w:spacing w:after="0" w:line="478" w:lineRule="auto"/>
        <w:tabs>
          <w:tab w:leader="none" w:pos="18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ind w:left="49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tbl>
      <w:tblPr>
        <w:tblLayout w:type="fixed"/>
        <w:tblInd w:w="10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420" w:type="dxa"/>
            <w:vAlign w:val="bottom"/>
          </w:tcPr>
          <w:p>
            <w:pPr>
              <w:jc w:val="right"/>
              <w:ind w:right="3012"/>
              <w:spacing w:after="0"/>
              <w:rPr>
                <w:sz w:val="20"/>
                <w:szCs w:val="20"/>
                <w:color w:val="auto"/>
              </w:rPr>
            </w:pPr>
            <w:r>
              <w:rPr>
                <w:rFonts w:ascii="Arial" w:cs="Arial" w:eastAsia="Arial" w:hAnsi="Arial"/>
                <w:sz w:val="18"/>
                <w:szCs w:val="18"/>
                <w:color w:val="auto"/>
                <w:w w:val="99"/>
              </w:rPr>
              <w:t>___</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Accelerated filer ___</w:t>
            </w:r>
          </w:p>
        </w:tc>
      </w:tr>
      <w:tr>
        <w:trPr>
          <w:trHeight w:val="367"/>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3420" w:type="dxa"/>
            <w:vAlign w:val="bottom"/>
          </w:tcPr>
          <w:p>
            <w:pPr>
              <w:jc w:val="right"/>
              <w:ind w:right="492"/>
              <w:spacing w:after="0"/>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2015:</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10,562,678</w:t>
      </w:r>
    </w:p>
    <w:p>
      <w:pPr>
        <w:spacing w:after="0" w:line="18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4"/>
          <w:szCs w:val="24"/>
          <w:color w:val="auto"/>
        </w:rPr>
      </w:pPr>
    </w:p>
    <w:p>
      <w:pPr>
        <w:spacing w:after="0" w:line="37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8760" w:type="dxa"/>
            <w:vAlign w:val="bottom"/>
          </w:tcPr>
          <w:p>
            <w:pPr>
              <w:spacing w:after="0"/>
              <w:rPr>
                <w:sz w:val="17"/>
                <w:szCs w:val="17"/>
                <w:color w:val="auto"/>
              </w:rPr>
            </w:pPr>
          </w:p>
        </w:tc>
        <w:tc>
          <w:tcPr>
            <w:tcW w:w="64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83"/>
              </w:rPr>
              <w:t>Page</w:t>
            </w:r>
          </w:p>
        </w:tc>
      </w:tr>
      <w:tr>
        <w:trPr>
          <w:trHeight w:val="262"/>
        </w:trPr>
        <w:tc>
          <w:tcPr>
            <w:tcW w:w="876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8760" w:type="dxa"/>
            <w:vAlign w:val="bottom"/>
          </w:tcPr>
          <w:p>
            <w:pPr>
              <w:ind w:left="780"/>
              <w:spacing w:after="0"/>
              <w:rPr>
                <w:sz w:val="20"/>
                <w:szCs w:val="20"/>
                <w:color w:val="auto"/>
              </w:rPr>
            </w:pPr>
            <w:r>
              <w:rPr>
                <w:rFonts w:ascii="Arial" w:cs="Arial" w:eastAsia="Arial" w:hAnsi="Arial"/>
                <w:sz w:val="18"/>
                <w:szCs w:val="18"/>
                <w:color w:val="auto"/>
              </w:rPr>
              <w:t>Consolidated Balance Sheets as of September 30, 2015 (Unaudited) and December 31, 2014</w:t>
            </w:r>
          </w:p>
        </w:tc>
        <w:tc>
          <w:tcPr>
            <w:tcW w:w="640" w:type="dxa"/>
            <w:vAlign w:val="bottom"/>
            <w:gridSpan w:val="2"/>
          </w:tcPr>
          <w:p>
            <w:pPr>
              <w:jc w:val="center"/>
              <w:ind w:left="192"/>
              <w:spacing w:after="0"/>
              <w:rPr>
                <w:sz w:val="20"/>
                <w:szCs w:val="20"/>
                <w:color w:val="auto"/>
              </w:rPr>
            </w:pPr>
            <w:r>
              <w:rPr>
                <w:rFonts w:ascii="Arial" w:cs="Arial" w:eastAsia="Arial" w:hAnsi="Arial"/>
                <w:sz w:val="18"/>
                <w:szCs w:val="18"/>
                <w:color w:val="auto"/>
                <w:w w:val="79"/>
              </w:rPr>
              <w:t>1</w:t>
            </w:r>
          </w:p>
        </w:tc>
      </w:tr>
      <w:tr>
        <w:trPr>
          <w:trHeight w:val="237"/>
        </w:trPr>
        <w:tc>
          <w:tcPr>
            <w:tcW w:w="8760" w:type="dxa"/>
            <w:vAlign w:val="bottom"/>
          </w:tcPr>
          <w:p>
            <w:pPr>
              <w:ind w:left="780"/>
              <w:spacing w:after="0"/>
              <w:rPr>
                <w:sz w:val="20"/>
                <w:szCs w:val="20"/>
                <w:color w:val="auto"/>
              </w:rPr>
            </w:pPr>
            <w:r>
              <w:rPr>
                <w:rFonts w:ascii="Arial" w:cs="Arial" w:eastAsia="Arial" w:hAnsi="Arial"/>
                <w:sz w:val="18"/>
                <w:szCs w:val="18"/>
                <w:color w:val="auto"/>
                <w:w w:val="90"/>
              </w:rPr>
              <w:t>Unaudited Consolidated Statements of Operations for the three months and nine months ended September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760" w:type="dxa"/>
            <w:vAlign w:val="bottom"/>
          </w:tcPr>
          <w:p>
            <w:pPr>
              <w:ind w:left="900"/>
              <w:spacing w:after="0"/>
              <w:rPr>
                <w:sz w:val="20"/>
                <w:szCs w:val="20"/>
                <w:color w:val="auto"/>
              </w:rPr>
            </w:pPr>
            <w:r>
              <w:rPr>
                <w:rFonts w:ascii="Arial" w:cs="Arial" w:eastAsia="Arial" w:hAnsi="Arial"/>
                <w:sz w:val="18"/>
                <w:szCs w:val="18"/>
                <w:color w:val="auto"/>
              </w:rPr>
              <w:t>2015 and 2014</w:t>
            </w:r>
          </w:p>
        </w:tc>
        <w:tc>
          <w:tcPr>
            <w:tcW w:w="640" w:type="dxa"/>
            <w:vAlign w:val="bottom"/>
            <w:gridSpan w:val="2"/>
          </w:tcPr>
          <w:p>
            <w:pPr>
              <w:jc w:val="center"/>
              <w:ind w:left="192"/>
              <w:spacing w:after="0"/>
              <w:rPr>
                <w:sz w:val="20"/>
                <w:szCs w:val="20"/>
                <w:color w:val="auto"/>
              </w:rPr>
            </w:pPr>
            <w:r>
              <w:rPr>
                <w:rFonts w:ascii="Arial" w:cs="Arial" w:eastAsia="Arial" w:hAnsi="Arial"/>
                <w:sz w:val="18"/>
                <w:szCs w:val="18"/>
                <w:color w:val="auto"/>
                <w:w w:val="79"/>
              </w:rPr>
              <w:t>2</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3"/>
              </w:rPr>
              <w:t>Unaudited Consolidated Statements of Comprehensive Earnings for the three months and nine months</w:t>
            </w:r>
          </w:p>
        </w:tc>
        <w:tc>
          <w:tcPr>
            <w:tcW w:w="100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ended September 30, 2015 and 2014</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Unaudited Consolidated Statement of Stockholders' Equity for the nine months ended</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September 30, 2015</w:t>
            </w:r>
          </w:p>
        </w:tc>
        <w:tc>
          <w:tcPr>
            <w:tcW w:w="100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Unaudited Consolidated Statements of Cash Flows for the nine months ended</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September 30, 2015 and 2014</w:t>
            </w:r>
          </w:p>
        </w:tc>
        <w:tc>
          <w:tcPr>
            <w:tcW w:w="100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86"/>
              </w:rPr>
              <w:t>5 - 13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85"/>
              </w:rPr>
              <w:t>14 - 21</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21</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21</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74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00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7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22</w:t>
            </w: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23</w:t>
            </w: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000" w:type="dxa"/>
            <w:vAlign w:val="bottom"/>
          </w:tcPr>
          <w:p>
            <w:pPr>
              <w:jc w:val="center"/>
              <w:ind w:left="432"/>
              <w:spacing w:after="0"/>
              <w:rPr>
                <w:sz w:val="20"/>
                <w:szCs w:val="20"/>
                <w:color w:val="auto"/>
              </w:rPr>
            </w:pPr>
            <w:r>
              <w:rPr>
                <w:rFonts w:ascii="Arial" w:cs="Arial" w:eastAsia="Arial" w:hAnsi="Arial"/>
                <w:sz w:val="18"/>
                <w:szCs w:val="18"/>
                <w:color w:val="auto"/>
                <w:w w:val="79"/>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Sept.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$25,383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$23,126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5,539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5,034</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3,802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3,769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399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473</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35,732</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32,931</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4,365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4,322</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4,968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4,915</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(3,787)</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(3,647)</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1,181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1,268</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635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884</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1,176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1,393</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206</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$40,973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$38,738</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STOCKHOLDERS' EQUITY</w:t>
      </w:r>
    </w:p>
    <w:p>
      <w:pPr>
        <w:sectPr>
          <w:pgSz w:w="11900" w:h="16909" w:orient="portrait"/>
          <w:cols w:equalWidth="0" w:num="1">
            <w:col w:w="10219"/>
          </w:cols>
          <w:pgMar w:left="240" w:top="131"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260" w:type="dxa"/>
            <w:vAlign w:val="bottom"/>
          </w:tcPr>
          <w:p>
            <w:pPr>
              <w:spacing w:after="0"/>
              <w:rPr>
                <w:sz w:val="17"/>
                <w:szCs w:val="17"/>
                <w:color w:val="auto"/>
              </w:rPr>
            </w:pPr>
          </w:p>
        </w:tc>
        <w:tc>
          <w:tcPr>
            <w:tcW w:w="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1,234</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393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253</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4,897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Courier New" w:cs="Courier New" w:eastAsia="Courier New" w:hAnsi="Courier New"/>
                <w:sz w:val="18"/>
                <w:szCs w:val="18"/>
                <w:color w:val="auto"/>
              </w:rPr>
              <w:t>4,370</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10,595,755 and 10,595,755 shares issued, respectively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26,412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26,321</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8,980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7,152</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36,076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34,368</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40,973</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38,738</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480" w:type="dxa"/>
            <w:vAlign w:val="bottom"/>
          </w:tcPr>
          <w:p>
            <w:pPr>
              <w:spacing w:after="0"/>
              <w:rPr>
                <w:sz w:val="17"/>
                <w:szCs w:val="17"/>
                <w:color w:val="auto"/>
              </w:rPr>
            </w:pPr>
          </w:p>
        </w:tc>
        <w:tc>
          <w:tcPr>
            <w:tcW w:w="2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Sept. 30,</w:t>
            </w:r>
          </w:p>
        </w:tc>
        <w:tc>
          <w:tcPr>
            <w:tcW w:w="2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480" w:type="dxa"/>
            <w:vAlign w:val="bottom"/>
          </w:tcPr>
          <w:p>
            <w:pPr>
              <w:spacing w:after="0"/>
              <w:rPr>
                <w:sz w:val="17"/>
                <w:szCs w:val="17"/>
                <w:color w:val="auto"/>
              </w:rPr>
            </w:pPr>
          </w:p>
        </w:tc>
        <w:tc>
          <w:tcPr>
            <w:tcW w:w="2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$ 9,203</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$10,794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$30,950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$31,934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15,863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16,499</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4,323</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5,168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15,087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15,435</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4,318</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4,681</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3,884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12,366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11,703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401</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1,284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2,721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3,732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407</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1,268</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2,737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3,733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310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837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$ 1,828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$ 2,480</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$0.03</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$0.08</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$0.24</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10,473,928 10,440,803 10,470,410 10,424,001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$0.03</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$0.08</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$0.24</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10,498,911 10,477,814 10,492,317 10,461,075</w:t>
            </w:r>
          </w:p>
        </w:tc>
      </w:tr>
    </w:tbl>
    <w:p>
      <w:pPr>
        <w:sectPr>
          <w:pgSz w:w="11900" w:h="16838" w:orient="portrait"/>
          <w:cols w:equalWidth="0" w:num="1">
            <w:col w:w="10219"/>
          </w:cols>
          <w:pgMar w:left="240" w:top="136" w:right="1440" w:bottom="726" w:gutter="0" w:footer="0" w:header="0"/>
        </w:sectPr>
      </w:pPr>
    </w:p>
    <w:bookmarkStart w:id="3" w:name="page4"/>
    <w:bookmarkEnd w:id="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gridSpan w:val="7"/>
          </w:tcPr>
          <w:p>
            <w:pPr>
              <w:jc w:val="center"/>
              <w:ind w:left="281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432"/>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center"/>
              <w:ind w:left="152"/>
              <w:spacing w:after="0"/>
              <w:rPr>
                <w:sz w:val="20"/>
                <w:szCs w:val="20"/>
                <w:color w:val="auto"/>
              </w:rPr>
            </w:pPr>
            <w:r>
              <w:rPr>
                <w:rFonts w:ascii="Arial" w:cs="Arial" w:eastAsia="Arial" w:hAnsi="Arial"/>
                <w:sz w:val="18"/>
                <w:szCs w:val="18"/>
                <w:color w:val="auto"/>
                <w:w w:val="93"/>
              </w:rPr>
              <w:t>- 2 -</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71"/>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4"/>
          </w:tcPr>
          <w:p>
            <w:pPr>
              <w:jc w:val="center"/>
              <w:ind w:right="712"/>
              <w:spacing w:after="0"/>
              <w:rPr>
                <w:sz w:val="20"/>
                <w:szCs w:val="20"/>
                <w:color w:val="auto"/>
              </w:rPr>
            </w:pPr>
            <w:r>
              <w:rPr>
                <w:rFonts w:ascii="Arial" w:cs="Arial" w:eastAsia="Arial" w:hAnsi="Arial"/>
                <w:sz w:val="18"/>
                <w:szCs w:val="18"/>
                <w:b w:val="1"/>
                <w:bCs w:val="1"/>
                <w:color w:val="auto"/>
                <w:w w:val="96"/>
              </w:rPr>
              <w:t>inTEST CORPORATION</w:t>
            </w:r>
          </w:p>
        </w:tc>
        <w:tc>
          <w:tcPr>
            <w:tcW w:w="940" w:type="dxa"/>
            <w:vAlign w:val="bottom"/>
          </w:tcPr>
          <w:p>
            <w:pPr>
              <w:spacing w:after="0"/>
              <w:rPr>
                <w:sz w:val="24"/>
                <w:szCs w:val="24"/>
                <w:color w:val="auto"/>
              </w:rPr>
            </w:pPr>
          </w:p>
        </w:tc>
      </w:tr>
      <w:tr>
        <w:trPr>
          <w:trHeight w:val="222"/>
        </w:trPr>
        <w:tc>
          <w:tcPr>
            <w:tcW w:w="8540" w:type="dxa"/>
            <w:vAlign w:val="bottom"/>
            <w:gridSpan w:val="7"/>
          </w:tcPr>
          <w:p>
            <w:pPr>
              <w:jc w:val="center"/>
              <w:ind w:left="279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(In thousands)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gridSpan w:val="2"/>
          </w:tcPr>
          <w:p>
            <w:pPr>
              <w:jc w:val="center"/>
              <w:ind w:right="312"/>
              <w:spacing w:after="0"/>
              <w:rPr>
                <w:sz w:val="20"/>
                <w:szCs w:val="20"/>
                <w:color w:val="auto"/>
              </w:rPr>
            </w:pPr>
            <w:r>
              <w:rPr>
                <w:rFonts w:ascii="Arial" w:cs="Arial" w:eastAsia="Arial" w:hAnsi="Arial"/>
                <w:sz w:val="18"/>
                <w:szCs w:val="18"/>
                <w:color w:val="auto"/>
                <w:w w:val="91"/>
              </w:rPr>
              <w:t>(Unaudited)</w:t>
            </w: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783"/>
        </w:trPr>
        <w:tc>
          <w:tcPr>
            <w:tcW w:w="4320" w:type="dxa"/>
            <w:vAlign w:val="bottom"/>
          </w:tcPr>
          <w:p>
            <w:pPr>
              <w:spacing w:after="0"/>
              <w:rPr>
                <w:sz w:val="24"/>
                <w:szCs w:val="24"/>
                <w:color w:val="auto"/>
              </w:rPr>
            </w:pPr>
          </w:p>
        </w:tc>
        <w:tc>
          <w:tcPr>
            <w:tcW w:w="222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 30,</w:t>
            </w:r>
          </w:p>
        </w:tc>
        <w:tc>
          <w:tcPr>
            <w:tcW w:w="64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2015</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2014</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2015</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3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310</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$ 1,828</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$ 2,480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c>
          <w:tcPr>
            <w:tcW w:w="62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(223)</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(234)</w:t>
            </w:r>
          </w:p>
        </w:tc>
      </w:tr>
      <w:tr>
        <w:trPr>
          <w:trHeight w:val="203"/>
        </w:trPr>
        <w:tc>
          <w:tcPr>
            <w:tcW w:w="43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324</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$ 1,617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$ 2,246</w:t>
            </w:r>
          </w:p>
        </w:tc>
      </w:tr>
      <w:tr>
        <w:trPr>
          <w:trHeight w:val="203"/>
        </w:trPr>
        <w:tc>
          <w:tcPr>
            <w:tcW w:w="43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40" w:type="dxa"/>
            <w:vAlign w:val="bottom"/>
            <w:gridSpan w:val="4"/>
          </w:tcPr>
          <w:p>
            <w:pPr>
              <w:jc w:val="center"/>
              <w:ind w:left="434"/>
              <w:spacing w:after="0"/>
              <w:rPr>
                <w:sz w:val="20"/>
                <w:szCs w:val="20"/>
                <w:color w:val="auto"/>
              </w:rPr>
            </w:pPr>
            <w:r>
              <w:rPr>
                <w:rFonts w:ascii="Arial" w:cs="Arial" w:eastAsia="Arial" w:hAnsi="Arial"/>
                <w:sz w:val="18"/>
                <w:szCs w:val="18"/>
                <w:b w:val="1"/>
                <w:bCs w:val="1"/>
                <w:color w:val="auto"/>
                <w:w w:val="96"/>
              </w:rPr>
              <w:t>inTEST CORPORATION</w:t>
            </w:r>
          </w:p>
        </w:tc>
        <w:tc>
          <w:tcPr>
            <w:tcW w:w="1540" w:type="dxa"/>
            <w:vAlign w:val="bottom"/>
          </w:tcPr>
          <w:p>
            <w:pPr>
              <w:spacing w:after="0"/>
              <w:rPr>
                <w:sz w:val="18"/>
                <w:szCs w:val="18"/>
                <w:color w:val="auto"/>
              </w:rPr>
            </w:pPr>
          </w:p>
        </w:tc>
      </w:tr>
      <w:tr>
        <w:trPr>
          <w:trHeight w:val="222"/>
        </w:trPr>
        <w:tc>
          <w:tcPr>
            <w:tcW w:w="1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60" w:type="dxa"/>
            <w:vAlign w:val="bottom"/>
            <w:gridSpan w:val="7"/>
          </w:tcPr>
          <w:p>
            <w:pPr>
              <w:jc w:val="center"/>
              <w:ind w:left="176"/>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80" w:type="dxa"/>
            <w:vAlign w:val="bottom"/>
            <w:gridSpan w:val="5"/>
          </w:tcPr>
          <w:p>
            <w:pPr>
              <w:jc w:val="center"/>
              <w:ind w:right="99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1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539"/>
              <w:spacing w:after="0"/>
              <w:rPr>
                <w:sz w:val="20"/>
                <w:szCs w:val="20"/>
                <w:color w:val="auto"/>
              </w:rPr>
            </w:pPr>
            <w:r>
              <w:rPr>
                <w:rFonts w:ascii="Arial" w:cs="Arial" w:eastAsia="Arial" w:hAnsi="Arial"/>
                <w:sz w:val="18"/>
                <w:szCs w:val="18"/>
                <w:color w:val="auto"/>
                <w:w w:val="91"/>
              </w:rPr>
              <w:t>(Unaudited)</w:t>
            </w:r>
          </w:p>
        </w:tc>
        <w:tc>
          <w:tcPr>
            <w:tcW w:w="1540" w:type="dxa"/>
            <w:vAlign w:val="bottom"/>
          </w:tcPr>
          <w:p>
            <w:pPr>
              <w:spacing w:after="0"/>
              <w:rPr>
                <w:sz w:val="19"/>
                <w:szCs w:val="19"/>
                <w:color w:val="auto"/>
              </w:rPr>
            </w:pPr>
          </w:p>
        </w:tc>
      </w:tr>
      <w:tr>
        <w:trPr>
          <w:trHeight w:val="711"/>
        </w:trPr>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55"/>
              <w:spacing w:after="0"/>
              <w:rPr>
                <w:sz w:val="20"/>
                <w:szCs w:val="20"/>
                <w:color w:val="auto"/>
              </w:rPr>
            </w:pPr>
            <w:r>
              <w:rPr>
                <w:rFonts w:ascii="Courier New" w:cs="Courier New" w:eastAsia="Courier New" w:hAnsi="Courier New"/>
                <w:sz w:val="12"/>
                <w:szCs w:val="12"/>
                <w:color w:val="auto"/>
              </w:rPr>
              <w:t>Accumulated</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1940" w:type="dxa"/>
            <w:vAlign w:val="bottom"/>
          </w:tcPr>
          <w:p>
            <w:pPr>
              <w:spacing w:after="0"/>
              <w:rPr>
                <w:sz w:val="11"/>
                <w:szCs w:val="11"/>
                <w:color w:val="auto"/>
              </w:rPr>
            </w:pPr>
          </w:p>
        </w:tc>
        <w:tc>
          <w:tcPr>
            <w:tcW w:w="1460" w:type="dxa"/>
            <w:vAlign w:val="bottom"/>
            <w:gridSpan w:val="2"/>
          </w:tcPr>
          <w:p>
            <w:pPr>
              <w:jc w:val="right"/>
              <w:ind w:right="116"/>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700" w:type="dxa"/>
            <w:vAlign w:val="bottom"/>
          </w:tcPr>
          <w:p>
            <w:pPr>
              <w:spacing w:after="0"/>
              <w:rPr>
                <w:sz w:val="11"/>
                <w:szCs w:val="11"/>
                <w:color w:val="auto"/>
              </w:rPr>
            </w:pPr>
          </w:p>
        </w:tc>
        <w:tc>
          <w:tcPr>
            <w:tcW w:w="980" w:type="dxa"/>
            <w:vAlign w:val="bottom"/>
            <w:gridSpan w:val="2"/>
          </w:tcPr>
          <w:p>
            <w:pPr>
              <w:jc w:val="right"/>
              <w:ind w:right="335"/>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1940" w:type="dxa"/>
            <w:vAlign w:val="bottom"/>
          </w:tcPr>
          <w:p>
            <w:pPr>
              <w:spacing w:after="0"/>
              <w:rPr>
                <w:sz w:val="11"/>
                <w:szCs w:val="11"/>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5"/>
          </w:tcPr>
          <w:p>
            <w:pPr>
              <w:jc w:val="right"/>
              <w:ind w:right="6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1940" w:type="dxa"/>
            <w:vAlign w:val="bottom"/>
          </w:tcPr>
          <w:p>
            <w:pPr>
              <w:spacing w:after="0"/>
              <w:rPr>
                <w:sz w:val="11"/>
                <w:szCs w:val="11"/>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4"/>
              <w:spacing w:after="0"/>
              <w:rPr>
                <w:sz w:val="20"/>
                <w:szCs w:val="20"/>
                <w:color w:val="auto"/>
              </w:rPr>
            </w:pPr>
            <w:r>
              <w:rPr>
                <w:rFonts w:ascii="Courier New" w:cs="Courier New" w:eastAsia="Courier New" w:hAnsi="Courier New"/>
                <w:sz w:val="12"/>
                <w:szCs w:val="12"/>
                <w:color w:val="auto"/>
              </w:rPr>
              <w:t>Earnings</w:t>
            </w:r>
          </w:p>
        </w:tc>
        <w:tc>
          <w:tcPr>
            <w:tcW w:w="980" w:type="dxa"/>
            <w:vAlign w:val="bottom"/>
            <w:gridSpan w:val="2"/>
          </w:tcPr>
          <w:p>
            <w:pPr>
              <w:jc w:val="right"/>
              <w:ind w:right="195"/>
              <w:spacing w:after="0"/>
              <w:rPr>
                <w:sz w:val="20"/>
                <w:szCs w:val="20"/>
                <w:color w:val="auto"/>
              </w:rPr>
            </w:pPr>
            <w:r>
              <w:rPr>
                <w:rFonts w:ascii="Courier New" w:cs="Courier New" w:eastAsia="Courier New" w:hAnsi="Courier New"/>
                <w:sz w:val="12"/>
                <w:szCs w:val="12"/>
                <w:color w:val="auto"/>
              </w:rPr>
              <w:t>Earnings</w:t>
            </w: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Stock</w:t>
            </w: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1940" w:type="dxa"/>
            <w:vAlign w:val="bottom"/>
          </w:tcPr>
          <w:p>
            <w:pPr>
              <w:spacing w:after="0"/>
              <w:rPr>
                <w:sz w:val="11"/>
                <w:szCs w:val="11"/>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4880" w:type="dxa"/>
            <w:vAlign w:val="bottom"/>
            <w:gridSpan w:val="6"/>
          </w:tcPr>
          <w:p>
            <w:pPr>
              <w:jc w:val="right"/>
              <w:ind w:right="6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1940" w:type="dxa"/>
            <w:vAlign w:val="bottom"/>
          </w:tcPr>
          <w:p>
            <w:pPr>
              <w:spacing w:after="0"/>
              <w:rPr>
                <w:sz w:val="20"/>
                <w:szCs w:val="20"/>
                <w:color w:val="auto"/>
              </w:rPr>
            </w:pPr>
            <w:r>
              <w:rPr>
                <w:rFonts w:ascii="Courier New" w:cs="Courier New" w:eastAsia="Courier New" w:hAnsi="Courier New"/>
                <w:sz w:val="12"/>
                <w:szCs w:val="12"/>
                <w:color w:val="auto"/>
              </w:rPr>
              <w:t>Balance, January 1, 2015</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10,595,755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$26,321</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$7,152</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12"/>
                <w:szCs w:val="12"/>
                <w:color w:val="auto"/>
              </w:rPr>
              <w:t>993</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$34,368</w:t>
            </w:r>
          </w:p>
        </w:tc>
      </w:tr>
      <w:tr>
        <w:trPr>
          <w:trHeight w:val="270"/>
        </w:trPr>
        <w:tc>
          <w:tcPr>
            <w:tcW w:w="194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1,828</w:t>
            </w:r>
          </w:p>
        </w:tc>
        <w:tc>
          <w:tcPr>
            <w:tcW w:w="380" w:type="dxa"/>
            <w:vAlign w:val="bottom"/>
          </w:tcPr>
          <w:p>
            <w:pPr>
              <w:spacing w:after="0"/>
              <w:rPr>
                <w:sz w:val="23"/>
                <w:szCs w:val="23"/>
                <w:color w:val="auto"/>
              </w:rPr>
            </w:pPr>
          </w:p>
        </w:tc>
        <w:tc>
          <w:tcPr>
            <w:tcW w:w="600" w:type="dxa"/>
            <w:vAlign w:val="bottom"/>
          </w:tcPr>
          <w:p>
            <w:pPr>
              <w:jc w:val="right"/>
              <w:ind w:right="195"/>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1,828</w:t>
            </w: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2"/>
                <w:szCs w:val="12"/>
                <w:color w:val="auto"/>
              </w:rPr>
              <w:t>Other comprehensive</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1940" w:type="dxa"/>
            <w:vAlign w:val="bottom"/>
          </w:tcPr>
          <w:p>
            <w:pPr>
              <w:ind w:left="160"/>
              <w:spacing w:after="0"/>
              <w:rPr>
                <w:sz w:val="20"/>
                <w:szCs w:val="20"/>
                <w:color w:val="auto"/>
              </w:rPr>
            </w:pPr>
            <w:r>
              <w:rPr>
                <w:rFonts w:ascii="Courier New" w:cs="Courier New" w:eastAsia="Courier New" w:hAnsi="Courier New"/>
                <w:sz w:val="12"/>
                <w:szCs w:val="12"/>
                <w:color w:val="auto"/>
              </w:rPr>
              <w:t>loss</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(211)</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(211)</w:t>
            </w: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194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5"/>
        </w:trPr>
        <w:tc>
          <w:tcPr>
            <w:tcW w:w="1940" w:type="dxa"/>
            <w:vAlign w:val="bottom"/>
          </w:tcPr>
          <w:p>
            <w:pPr>
              <w:ind w:left="160"/>
              <w:spacing w:after="0"/>
              <w:rPr>
                <w:sz w:val="20"/>
                <w:szCs w:val="20"/>
                <w:color w:val="auto"/>
              </w:rPr>
            </w:pPr>
            <w:r>
              <w:rPr>
                <w:rFonts w:ascii="Courier New" w:cs="Courier New" w:eastAsia="Courier New" w:hAnsi="Courier New"/>
                <w:sz w:val="12"/>
                <w:szCs w:val="12"/>
                <w:color w:val="auto"/>
              </w:rPr>
              <w:t>to restricted stock</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91</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5"/>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91</w:t>
            </w:r>
          </w:p>
        </w:tc>
      </w:tr>
      <w:tr>
        <w:trPr>
          <w:trHeight w:val="137"/>
        </w:trPr>
        <w:tc>
          <w:tcPr>
            <w:tcW w:w="19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5"/>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2"/>
                <w:szCs w:val="12"/>
                <w:color w:val="auto"/>
              </w:rPr>
              <w:t>Balance, Sept. 30, 2015</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10,595,755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$26,412</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$8,980</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12"/>
                <w:szCs w:val="12"/>
                <w:color w:val="auto"/>
              </w:rPr>
              <w:t>782</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$36,076</w:t>
            </w:r>
          </w:p>
        </w:tc>
      </w:tr>
      <w:tr>
        <w:trPr>
          <w:trHeight w:val="137"/>
        </w:trPr>
        <w:tc>
          <w:tcPr>
            <w:tcW w:w="19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4"/>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5"/>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4" w:lineRule="exact"/>
        <w:rPr>
          <w:sz w:val="20"/>
          <w:szCs w:val="20"/>
          <w:color w:val="auto"/>
        </w:rPr>
      </w:pPr>
    </w:p>
    <w:p>
      <w:pPr>
        <w:ind w:left="5920"/>
        <w:spacing w:after="0"/>
        <w:rPr>
          <w:sz w:val="20"/>
          <w:szCs w:val="20"/>
          <w:color w:val="auto"/>
        </w:rPr>
      </w:pPr>
      <w:r>
        <w:rPr>
          <w:rFonts w:ascii="Courier New" w:cs="Courier New" w:eastAsia="Courier New" w:hAnsi="Courier New"/>
          <w:sz w:val="12"/>
          <w:szCs w:val="12"/>
          <w:color w:val="auto"/>
        </w:rPr>
        <w:t>Nine Months Ended</w:t>
      </w:r>
    </w:p>
    <w:p>
      <w:pPr>
        <w:ind w:left="6280"/>
        <w:spacing w:after="0"/>
        <w:rPr>
          <w:sz w:val="20"/>
          <w:szCs w:val="20"/>
          <w:color w:val="auto"/>
        </w:rPr>
      </w:pPr>
      <w:r>
        <w:rPr>
          <w:rFonts w:ascii="Courier New" w:cs="Courier New" w:eastAsia="Courier New" w:hAnsi="Courier New"/>
          <w:sz w:val="12"/>
          <w:szCs w:val="12"/>
          <w:color w:val="auto"/>
        </w:rPr>
        <w:t>Sept. 30,</w:t>
      </w:r>
    </w:p>
    <w:p>
      <w:pPr>
        <w:ind w:left="5920"/>
        <w:spacing w:after="0"/>
        <w:rPr>
          <w:sz w:val="20"/>
          <w:szCs w:val="20"/>
          <w:color w:val="auto"/>
        </w:rPr>
      </w:pPr>
      <w:r>
        <w:rPr>
          <w:rFonts w:ascii="Courier New" w:cs="Courier New" w:eastAsia="Courier New" w:hAnsi="Courier New"/>
          <w:sz w:val="12"/>
          <w:szCs w:val="12"/>
          <w:color w:val="auto"/>
        </w:rPr>
        <w:t>------------------</w:t>
      </w:r>
    </w:p>
    <w:p>
      <w:pPr>
        <w:ind w:left="6060"/>
        <w:spacing w:after="0"/>
        <w:tabs>
          <w:tab w:leader="none" w:pos="6840" w:val="left"/>
        </w:tabs>
        <w:rPr>
          <w:sz w:val="20"/>
          <w:szCs w:val="20"/>
          <w:color w:val="auto"/>
        </w:rPr>
      </w:pPr>
      <w:r>
        <w:rPr>
          <w:rFonts w:ascii="Courier New" w:cs="Courier New" w:eastAsia="Courier New" w:hAnsi="Courier New"/>
          <w:sz w:val="12"/>
          <w:szCs w:val="12"/>
          <w:color w:val="auto"/>
        </w:rPr>
        <w:t>2015</w:t>
      </w:r>
      <w:r>
        <w:rPr>
          <w:sz w:val="20"/>
          <w:szCs w:val="20"/>
          <w:color w:val="auto"/>
        </w:rPr>
        <w:tab/>
      </w:r>
      <w:r>
        <w:rPr>
          <w:rFonts w:ascii="Courier New" w:cs="Courier New" w:eastAsia="Courier New" w:hAnsi="Courier New"/>
          <w:sz w:val="12"/>
          <w:szCs w:val="12"/>
          <w:color w:val="auto"/>
        </w:rPr>
        <w:t>2014</w:t>
      </w:r>
    </w:p>
    <w:p>
      <w:pPr>
        <w:sectPr>
          <w:pgSz w:w="11900" w:h="16851" w:orient="portrait"/>
          <w:cols w:equalWidth="0" w:num="1">
            <w:col w:w="10219"/>
          </w:cols>
          <w:pgMar w:left="240" w:top="1306"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7"/>
        </w:trPr>
        <w:tc>
          <w:tcPr>
            <w:tcW w:w="556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$ 1,828</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$ 2,480</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575</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663</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232</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loss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112</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169</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282</w:t>
            </w:r>
          </w:p>
        </w:tc>
        <w:tc>
          <w:tcPr>
            <w:tcW w:w="0" w:type="dxa"/>
            <w:vAlign w:val="bottom"/>
          </w:tcPr>
          <w:p>
            <w:pPr>
              <w:spacing w:after="0"/>
              <w:rPr>
                <w:sz w:val="1"/>
                <w:szCs w:val="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(553)</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(1,879)</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(282)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(791)</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67</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(45)</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491</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101</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(42)</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116</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(51)</w:t>
            </w:r>
          </w:p>
        </w:tc>
        <w:tc>
          <w:tcPr>
            <w:tcW w:w="0" w:type="dxa"/>
            <w:vAlign w:val="bottom"/>
          </w:tcPr>
          <w:p>
            <w:pPr>
              <w:spacing w:after="0"/>
              <w:rPr>
                <w:sz w:val="1"/>
                <w:szCs w:val="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2,919</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1,787</w:t>
            </w: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(545)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(536)</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(545)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(528)</w:t>
            </w: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42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(117)</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(130)</w:t>
            </w: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42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2,257</w:t>
            </w:r>
          </w:p>
        </w:tc>
        <w:tc>
          <w:tcPr>
            <w:tcW w:w="200" w:type="dxa"/>
            <w:vAlign w:val="bottom"/>
          </w:tcPr>
          <w:p>
            <w:pPr>
              <w:spacing w:after="0"/>
              <w:rPr>
                <w:sz w:val="23"/>
                <w:szCs w:val="23"/>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1,129</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23,126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19,018</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$25,383</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$20,147</w:t>
            </w: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749</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$ 1,023</w:t>
            </w:r>
          </w:p>
        </w:tc>
        <w:tc>
          <w:tcPr>
            <w:tcW w:w="0" w:type="dxa"/>
            <w:vAlign w:val="bottom"/>
          </w:tcPr>
          <w:p>
            <w:pPr>
              <w:spacing w:after="0"/>
              <w:rPr>
                <w:sz w:val="1"/>
                <w:szCs w:val="1"/>
                <w:color w:val="auto"/>
              </w:rPr>
            </w:pP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Issuance of unvested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w:t>
            </w:r>
          </w:p>
        </w:tc>
        <w:tc>
          <w:tcPr>
            <w:tcW w:w="0" w:type="dxa"/>
            <w:vAlign w:val="bottom"/>
          </w:tcPr>
          <w:p>
            <w:pPr>
              <w:spacing w:after="0"/>
              <w:rPr>
                <w:sz w:val="1"/>
                <w:szCs w:val="1"/>
                <w:color w:val="auto"/>
              </w:rPr>
            </w:pPr>
          </w:p>
        </w:tc>
      </w:tr>
      <w:tr>
        <w:trPr>
          <w:trHeight w:val="137"/>
        </w:trPr>
        <w:tc>
          <w:tcPr>
            <w:tcW w:w="556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200" w:lineRule="exact"/>
        <w:rPr>
          <w:sz w:val="20"/>
          <w:szCs w:val="20"/>
          <w:color w:val="auto"/>
        </w:rPr>
      </w:pPr>
    </w:p>
    <w:p>
      <w:pPr>
        <w:spacing w:after="0" w:line="318" w:lineRule="exact"/>
        <w:rPr>
          <w:sz w:val="20"/>
          <w:szCs w:val="20"/>
          <w:color w:val="auto"/>
        </w:rPr>
      </w:pPr>
    </w:p>
    <w:p>
      <w:pPr>
        <w:ind w:left="540" w:right="6500" w:hanging="532"/>
        <w:spacing w:after="0" w:line="568" w:lineRule="auto"/>
        <w:tabs>
          <w:tab w:leader="none" w:pos="29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sectPr>
          <w:pgSz w:w="11900" w:h="16838" w:orient="portrait"/>
          <w:cols w:equalWidth="0" w:num="1">
            <w:col w:w="11380"/>
          </w:cols>
          <w:pgMar w:left="240" w:top="134" w:right="279" w:bottom="0" w:gutter="0" w:footer="0" w:header="0"/>
        </w:sectPr>
      </w:pPr>
    </w:p>
    <w:bookmarkStart w:id="5" w:name="page6"/>
    <w:bookmarkEnd w:id="5"/>
    <w:p>
      <w:pPr>
        <w:ind w:left="532"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74"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2014 filed with the Securities and Exchange Commission on March 26, 2015 (the "2014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$232 in each of the nine months ended September 30, 2015 and 2014.</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32"/>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200" w:lineRule="exact"/>
        <w:rPr>
          <w:sz w:val="20"/>
          <w:szCs w:val="20"/>
          <w:color w:val="auto"/>
        </w:rPr>
      </w:pPr>
    </w:p>
    <w:p>
      <w:pPr>
        <w:spacing w:after="0" w:line="3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92"/>
          </w:cols>
          <w:pgMar w:left="248" w:top="131" w:right="259" w:bottom="269"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which is determined using a discounted cash flow analysis.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2015, other than the authorization by our Board of Directors of a stock repurchase plan (the "2015 Repurchase Plan") on October 27, 2015, as discussed further in Note 10.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jc w:val="both"/>
        <w:ind w:left="540" w:right="60"/>
        <w:spacing w:after="0" w:line="370" w:lineRule="auto"/>
        <w:rPr>
          <w:sz w:val="20"/>
          <w:szCs w:val="20"/>
          <w:color w:val="auto"/>
        </w:rPr>
      </w:pPr>
      <w:r>
        <w:rPr>
          <w:rFonts w:ascii="Arial" w:cs="Arial" w:eastAsia="Arial" w:hAnsi="Arial"/>
          <w:sz w:val="15"/>
          <w:szCs w:val="15"/>
          <w:color w:val="auto"/>
        </w:rPr>
        <w:t>In addition, in our Thermal Products and Mechanical Products segments, we lease certain of our equipment to customers under non-cancellable operating leases. These leases generally have an initial term of six months. We recognize revenue for these leases on a straight-line basis over the term of the lease.</w:t>
      </w:r>
    </w:p>
    <w:p>
      <w:pPr>
        <w:spacing w:after="0" w:line="116"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include unvested shares of restricted stock and are calculated using the treasury stock method. Common share equivalents are excluded from the calculation if their effect is anti-dilutive.</w:t>
      </w:r>
    </w:p>
    <w:p>
      <w:pPr>
        <w:sectPr>
          <w:pgSz w:w="11900" w:h="16838" w:orient="portrait"/>
          <w:cols w:equalWidth="0" w:num="1">
            <w:col w:w="11400"/>
          </w:cols>
          <w:pgMar w:left="240" w:top="125" w:right="259" w:bottom="0" w:gutter="0" w:footer="0" w:header="0"/>
        </w:sectPr>
      </w:pPr>
    </w:p>
    <w:bookmarkStart w:id="7" w:name="page8"/>
    <w:bookmarkEnd w:id="7"/>
    <w:p>
      <w:pPr>
        <w:spacing w:after="0" w:line="4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9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Three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4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bottom w:val="single" w:sz="8" w:color="auto"/>
            </w:tcBorders>
            <w:gridSpan w:val="6"/>
          </w:tcPr>
          <w:p>
            <w:pPr>
              <w:ind w:left="160"/>
              <w:spacing w:after="0" w:line="146" w:lineRule="exact"/>
              <w:rPr>
                <w:sz w:val="20"/>
                <w:szCs w:val="20"/>
                <w:color w:val="auto"/>
              </w:rPr>
            </w:pPr>
            <w:r>
              <w:rPr>
                <w:rFonts w:ascii="Arial" w:cs="Arial" w:eastAsia="Arial" w:hAnsi="Arial"/>
                <w:sz w:val="14"/>
                <w:szCs w:val="14"/>
                <w:b w:val="1"/>
                <w:bCs w:val="1"/>
                <w:i w:val="1"/>
                <w:iCs w:val="1"/>
                <w:color w:val="auto"/>
                <w:w w:val="98"/>
              </w:rPr>
              <w:t>September 30,</w:t>
            </w:r>
          </w:p>
        </w:tc>
        <w:tc>
          <w:tcPr>
            <w:tcW w:w="3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bottom w:val="single" w:sz="8" w:color="auto"/>
            </w:tcBorders>
            <w:gridSpan w:val="6"/>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360" w:type="dxa"/>
            <w:vAlign w:val="bottom"/>
            <w:gridSpan w:val="2"/>
          </w:tcPr>
          <w:p>
            <w:pPr>
              <w:spacing w:after="0"/>
              <w:rPr>
                <w:sz w:val="12"/>
                <w:szCs w:val="12"/>
                <w:color w:val="auto"/>
              </w:rPr>
            </w:pPr>
          </w:p>
        </w:tc>
      </w:tr>
      <w:tr>
        <w:trPr>
          <w:trHeight w:val="156"/>
        </w:trPr>
        <w:tc>
          <w:tcPr>
            <w:tcW w:w="4480" w:type="dxa"/>
            <w:vAlign w:val="bottom"/>
          </w:tcPr>
          <w:p>
            <w:pPr>
              <w:spacing w:after="0"/>
              <w:rPr>
                <w:sz w:val="13"/>
                <w:szCs w:val="13"/>
                <w:color w:val="auto"/>
              </w:rPr>
            </w:pPr>
          </w:p>
        </w:tc>
        <w:tc>
          <w:tcPr>
            <w:tcW w:w="840" w:type="dxa"/>
            <w:vAlign w:val="bottom"/>
            <w:gridSpan w:val="5"/>
          </w:tcPr>
          <w:p>
            <w:pPr>
              <w:ind w:left="580"/>
              <w:spacing w:after="0" w:line="155" w:lineRule="exact"/>
              <w:rPr>
                <w:sz w:val="20"/>
                <w:szCs w:val="20"/>
                <w:color w:val="auto"/>
              </w:rPr>
            </w:pPr>
            <w:r>
              <w:rPr>
                <w:rFonts w:ascii="Arial" w:cs="Arial" w:eastAsia="Arial" w:hAnsi="Arial"/>
                <w:sz w:val="14"/>
                <w:szCs w:val="14"/>
                <w:b w:val="1"/>
                <w:bCs w:val="1"/>
                <w:i w:val="1"/>
                <w:iCs w:val="1"/>
                <w:color w:val="auto"/>
                <w:w w:val="76"/>
              </w:rPr>
              <w:t>2015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320" w:type="dxa"/>
            <w:vAlign w:val="bottom"/>
          </w:tcPr>
          <w:p>
            <w:pPr>
              <w:spacing w:after="0"/>
              <w:rPr>
                <w:sz w:val="13"/>
                <w:szCs w:val="13"/>
                <w:color w:val="auto"/>
              </w:rPr>
            </w:pPr>
          </w:p>
        </w:tc>
        <w:tc>
          <w:tcPr>
            <w:tcW w:w="920" w:type="dxa"/>
            <w:vAlign w:val="bottom"/>
            <w:gridSpan w:val="6"/>
          </w:tcPr>
          <w:p>
            <w:pPr>
              <w:jc w:val="right"/>
              <w:ind w:right="30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6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300" w:type="dxa"/>
            <w:vAlign w:val="bottom"/>
          </w:tcPr>
          <w:p>
            <w:pPr>
              <w:spacing w:after="0"/>
              <w:rPr>
                <w:sz w:val="13"/>
                <w:szCs w:val="13"/>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300" w:type="dxa"/>
            <w:vAlign w:val="bottom"/>
            <w:gridSpan w:val="7"/>
          </w:tcPr>
          <w:p>
            <w:pPr>
              <w:jc w:val="right"/>
              <w:ind w:right="140"/>
              <w:spacing w:after="0"/>
              <w:rPr>
                <w:sz w:val="20"/>
                <w:szCs w:val="20"/>
                <w:color w:val="auto"/>
              </w:rPr>
            </w:pPr>
            <w:r>
              <w:rPr>
                <w:rFonts w:ascii="Arial" w:cs="Arial" w:eastAsia="Arial" w:hAnsi="Arial"/>
                <w:sz w:val="18"/>
                <w:szCs w:val="18"/>
                <w:color w:val="auto"/>
              </w:rPr>
              <w:t>10,473,928</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86"/>
              </w:rPr>
              <w:t>10,440,803</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10,470,410</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10,424,001</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5"/>
        </w:trPr>
        <w:tc>
          <w:tcPr>
            <w:tcW w:w="448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w:t>
            </w:r>
          </w:p>
        </w:tc>
        <w:tc>
          <w:tcPr>
            <w:tcW w:w="1300" w:type="dxa"/>
            <w:vAlign w:val="bottom"/>
            <w:gridSpan w:val="7"/>
          </w:tcPr>
          <w:p>
            <w:pPr>
              <w:jc w:val="right"/>
              <w:ind w:right="140"/>
              <w:spacing w:after="0" w:line="205" w:lineRule="exact"/>
              <w:rPr>
                <w:sz w:val="20"/>
                <w:szCs w:val="20"/>
                <w:color w:val="auto"/>
              </w:rPr>
            </w:pPr>
            <w:r>
              <w:rPr>
                <w:rFonts w:ascii="Arial" w:cs="Arial" w:eastAsia="Arial" w:hAnsi="Arial"/>
                <w:sz w:val="18"/>
                <w:szCs w:val="18"/>
                <w:color w:val="auto"/>
              </w:rPr>
              <w:t>24,983</w:t>
            </w:r>
          </w:p>
        </w:tc>
        <w:tc>
          <w:tcPr>
            <w:tcW w:w="80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37,011</w:t>
            </w:r>
          </w:p>
        </w:tc>
        <w:tc>
          <w:tcPr>
            <w:tcW w:w="9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21,907</w:t>
            </w:r>
          </w:p>
        </w:tc>
        <w:tc>
          <w:tcPr>
            <w:tcW w:w="9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37,074</w:t>
            </w:r>
          </w:p>
        </w:tc>
      </w:tr>
      <w:tr>
        <w:trPr>
          <w:trHeight w:val="25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184"/>
        </w:trPr>
        <w:tc>
          <w:tcPr>
            <w:tcW w:w="448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300" w:type="dxa"/>
            <w:vAlign w:val="bottom"/>
            <w:gridSpan w:val="7"/>
          </w:tcPr>
          <w:p>
            <w:pPr>
              <w:jc w:val="right"/>
              <w:ind w:right="140"/>
              <w:spacing w:after="0" w:line="184" w:lineRule="exact"/>
              <w:rPr>
                <w:sz w:val="20"/>
                <w:szCs w:val="20"/>
                <w:color w:val="auto"/>
              </w:rPr>
            </w:pPr>
            <w:r>
              <w:rPr>
                <w:rFonts w:ascii="Arial" w:cs="Arial" w:eastAsia="Arial" w:hAnsi="Arial"/>
                <w:sz w:val="18"/>
                <w:szCs w:val="18"/>
                <w:color w:val="auto"/>
              </w:rPr>
              <w:t>10,498,911</w:t>
            </w:r>
          </w:p>
        </w:tc>
        <w:tc>
          <w:tcPr>
            <w:tcW w:w="80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6"/>
              </w:rPr>
              <w:t>10,477,814</w:t>
            </w:r>
          </w:p>
        </w:tc>
        <w:tc>
          <w:tcPr>
            <w:tcW w:w="92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9"/>
              </w:rPr>
              <w:t>10,492,317</w:t>
            </w:r>
          </w:p>
        </w:tc>
        <w:tc>
          <w:tcPr>
            <w:tcW w:w="92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9"/>
              </w:rPr>
              <w:t>10,461,075</w:t>
            </w:r>
          </w:p>
        </w:tc>
      </w:tr>
      <w:tr>
        <w:trPr>
          <w:trHeight w:val="498"/>
        </w:trPr>
        <w:tc>
          <w:tcPr>
            <w:tcW w:w="4480" w:type="dxa"/>
            <w:vAlign w:val="bottom"/>
          </w:tcPr>
          <w:p>
            <w:pPr>
              <w:spacing w:after="0"/>
              <w:rPr>
                <w:sz w:val="20"/>
                <w:szCs w:val="20"/>
                <w:color w:val="auto"/>
              </w:rPr>
            </w:pPr>
            <w:r>
              <w:rPr>
                <w:rFonts w:ascii="Arial" w:cs="Arial" w:eastAsia="Arial" w:hAnsi="Arial"/>
                <w:sz w:val="18"/>
                <w:szCs w:val="18"/>
                <w:color w:val="auto"/>
                <w:w w:val="97"/>
              </w:rPr>
              <w:t>Average number of potentially dilutive securities excluded</w:t>
            </w:r>
          </w:p>
        </w:tc>
        <w:tc>
          <w:tcPr>
            <w:tcW w:w="3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22"/>
        </w:trPr>
        <w:tc>
          <w:tcPr>
            <w:tcW w:w="448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300" w:type="dxa"/>
            <w:vAlign w:val="bottom"/>
            <w:gridSpan w:val="7"/>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4,505</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172"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on January 1, 2018. Early application is only permitted as of the prior effective date, which in our case would be as of January 1, 2017. We have not yet selected a transition method and we are still evaluating the effect that this guidance will have on our consolidated financial statements and related disclosures.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nine months ended September 30,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September 30, 2015 and December 31, 2014:</w:t>
      </w:r>
    </w:p>
    <w:p>
      <w:pPr>
        <w:spacing w:after="0" w:line="22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i w:val="1"/>
                <w:iCs w:val="1"/>
                <w:color w:val="auto"/>
                <w:w w:val="82"/>
              </w:rPr>
              <w:t>September 30,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3"/>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Net</w:t>
            </w:r>
          </w:p>
        </w:tc>
      </w:tr>
      <w:tr>
        <w:trPr>
          <w:trHeight w:val="149"/>
        </w:trPr>
        <w:tc>
          <w:tcPr>
            <w:tcW w:w="3940" w:type="dxa"/>
            <w:vAlign w:val="bottom"/>
          </w:tcPr>
          <w:p>
            <w:pPr>
              <w:spacing w:after="0"/>
              <w:rPr>
                <w:sz w:val="12"/>
                <w:szCs w:val="12"/>
                <w:color w:val="auto"/>
              </w:rPr>
            </w:pPr>
          </w:p>
        </w:tc>
        <w:tc>
          <w:tcPr>
            <w:tcW w:w="2140" w:type="dxa"/>
            <w:vAlign w:val="bottom"/>
            <w:gridSpan w:val="4"/>
          </w:tcPr>
          <w:p>
            <w:pPr>
              <w:jc w:val="center"/>
              <w:ind w:left="139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2140" w:type="dxa"/>
            <w:vAlign w:val="bottom"/>
            <w:gridSpan w:val="4"/>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5"/>
          </w:tcPr>
          <w:p>
            <w:pPr>
              <w:jc w:val="right"/>
              <w:ind w:right="160"/>
              <w:spacing w:after="0" w:line="146" w:lineRule="exact"/>
              <w:rPr>
                <w:sz w:val="20"/>
                <w:szCs w:val="20"/>
                <w:color w:val="auto"/>
              </w:rPr>
            </w:pPr>
            <w:r>
              <w:rPr>
                <w:rFonts w:ascii="Arial" w:cs="Arial" w:eastAsia="Arial" w:hAnsi="Arial"/>
                <w:sz w:val="14"/>
                <w:szCs w:val="14"/>
                <w:b w:val="1"/>
                <w:bCs w:val="1"/>
                <w:i w:val="1"/>
                <w:iCs w:val="1"/>
                <w:color w:val="auto"/>
                <w:w w:val="79"/>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$1,119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361</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81</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720" w:type="dxa"/>
            <w:vAlign w:val="bottom"/>
            <w:gridSpan w:val="2"/>
          </w:tcPr>
          <w:p>
            <w:pPr>
              <w:spacing w:after="0"/>
              <w:rPr>
                <w:sz w:val="17"/>
                <w:szCs w:val="17"/>
                <w:color w:val="auto"/>
              </w:rPr>
            </w:pPr>
          </w:p>
        </w:tc>
        <w:tc>
          <w:tcPr>
            <w:tcW w:w="4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140</w:t>
            </w:r>
          </w:p>
        </w:tc>
        <w:tc>
          <w:tcPr>
            <w:tcW w:w="320" w:type="dxa"/>
            <w:vAlign w:val="bottom"/>
            <w:gridSpan w:val="3"/>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2,480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1,814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666</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720" w:type="dxa"/>
            <w:vAlign w:val="bottom"/>
            <w:gridSpan w:val="2"/>
          </w:tcPr>
          <w:p>
            <w:pPr>
              <w:spacing w:after="0"/>
              <w:rPr>
                <w:sz w:val="17"/>
                <w:szCs w:val="17"/>
                <w:color w:val="auto"/>
              </w:rPr>
            </w:pPr>
          </w:p>
        </w:tc>
        <w:tc>
          <w:tcPr>
            <w:tcW w:w="4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3"/>
          </w:tcPr>
          <w:p>
            <w:pPr>
              <w:ind w:left="16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1,176</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80"/>
        <w:spacing w:after="0"/>
        <w:rPr>
          <w:sz w:val="20"/>
          <w:szCs w:val="20"/>
          <w:color w:val="auto"/>
        </w:rPr>
      </w:pPr>
      <w:r>
        <w:rPr>
          <w:rFonts w:ascii="Arial" w:cs="Arial" w:eastAsia="Arial" w:hAnsi="Arial"/>
          <w:sz w:val="14"/>
          <w:szCs w:val="14"/>
          <w:b w:val="1"/>
          <w:bCs w:val="1"/>
          <w:i w:val="1"/>
          <w:i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-8890</wp:posOffset>
            </wp:positionV>
            <wp:extent cx="8928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2810" cy="8890"/>
                    </a:xfrm>
                    <a:prstGeom prst="rect">
                      <a:avLst/>
                    </a:prstGeom>
                    <a:noFill/>
                  </pic:spPr>
                </pic:pic>
              </a:graphicData>
            </a:graphic>
          </wp:anchor>
        </w:drawing>
      </w:r>
    </w:p>
    <w:p>
      <w:pPr>
        <w:sectPr>
          <w:pgSz w:w="11900" w:h="16884" w:orient="portrait"/>
          <w:cols w:equalWidth="0" w:num="1">
            <w:col w:w="11360"/>
          </w:cols>
          <w:pgMar w:left="240" w:top="131" w:right="299" w:bottom="0" w:gutter="0" w:footer="0" w:header="0"/>
        </w:sectPr>
      </w:pPr>
    </w:p>
    <w:p>
      <w:pPr>
        <w:spacing w:after="0" w:line="2" w:lineRule="exact"/>
        <w:rPr>
          <w:sz w:val="20"/>
          <w:szCs w:val="20"/>
          <w:color w:val="auto"/>
        </w:rPr>
      </w:pPr>
    </w:p>
    <w:tbl>
      <w:tblPr>
        <w:tblLayout w:type="fixed"/>
        <w:tblInd w:w="7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78"/>
              </w:rPr>
              <w:t>Gross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5"/>
              </w:rPr>
              <w:t>Net Carrying</w:t>
            </w:r>
          </w:p>
        </w:tc>
      </w:tr>
      <w:tr>
        <w:trPr>
          <w:trHeight w:val="146"/>
        </w:trPr>
        <w:tc>
          <w:tcPr>
            <w:tcW w:w="60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6"/>
              </w:rPr>
              <w:t>Carrying</w:t>
            </w:r>
          </w:p>
        </w:tc>
        <w:tc>
          <w:tcPr>
            <w:tcW w:w="900" w:type="dxa"/>
            <w:vAlign w:val="bottom"/>
            <w:gridSpan w:val="3"/>
          </w:tcPr>
          <w:p>
            <w:pPr>
              <w:ind w:left="100"/>
              <w:spacing w:after="0" w:line="146" w:lineRule="exact"/>
              <w:rPr>
                <w:sz w:val="20"/>
                <w:szCs w:val="20"/>
                <w:color w:val="auto"/>
              </w:rPr>
            </w:pPr>
            <w:r>
              <w:rPr>
                <w:rFonts w:ascii="Arial" w:cs="Arial" w:eastAsia="Arial" w:hAnsi="Arial"/>
                <w:sz w:val="14"/>
                <w:szCs w:val="14"/>
                <w:b w:val="1"/>
                <w:bCs w:val="1"/>
                <w:i w:val="1"/>
                <w:iCs w:val="1"/>
                <w:color w:val="auto"/>
                <w:w w:val="88"/>
              </w:rPr>
              <w:t>Accumulated</w:t>
            </w:r>
          </w:p>
        </w:tc>
        <w:tc>
          <w:tcPr>
            <w:tcW w:w="200" w:type="dxa"/>
            <w:vAlign w:val="bottom"/>
          </w:tcPr>
          <w:p>
            <w:pPr>
              <w:spacing w:after="0"/>
              <w:rPr>
                <w:sz w:val="12"/>
                <w:szCs w:val="12"/>
                <w:color w:val="auto"/>
              </w:rPr>
            </w:pPr>
          </w:p>
        </w:tc>
        <w:tc>
          <w:tcPr>
            <w:tcW w:w="580" w:type="dxa"/>
            <w:vAlign w:val="bottom"/>
            <w:gridSpan w:val="2"/>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129"/>
        </w:trPr>
        <w:tc>
          <w:tcPr>
            <w:tcW w:w="2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i w:val="1"/>
                <w:iCs w:val="1"/>
                <w:color w:val="auto"/>
                <w:w w:val="83"/>
              </w:rPr>
              <w:t>Amount</w:t>
            </w:r>
          </w:p>
        </w:tc>
        <w:tc>
          <w:tcPr>
            <w:tcW w:w="900" w:type="dxa"/>
            <w:vAlign w:val="bottom"/>
            <w:gridSpan w:val="3"/>
          </w:tcPr>
          <w:p>
            <w:pPr>
              <w:ind w:left="100"/>
              <w:spacing w:after="0" w:line="129" w:lineRule="exact"/>
              <w:rPr>
                <w:sz w:val="20"/>
                <w:szCs w:val="20"/>
                <w:color w:val="auto"/>
              </w:rPr>
            </w:pPr>
            <w:r>
              <w:rPr>
                <w:rFonts w:ascii="Arial" w:cs="Arial" w:eastAsia="Arial" w:hAnsi="Arial"/>
                <w:sz w:val="14"/>
                <w:szCs w:val="14"/>
                <w:b w:val="1"/>
                <w:bCs w:val="1"/>
                <w:i w:val="1"/>
                <w:iCs w:val="1"/>
                <w:color w:val="auto"/>
                <w:w w:val="91"/>
              </w:rPr>
              <w:t>Amortization</w:t>
            </w:r>
          </w:p>
        </w:tc>
        <w:tc>
          <w:tcPr>
            <w:tcW w:w="2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84" w:orient="portrait"/>
          <w:cols w:equalWidth="0" w:num="1">
            <w:col w:w="11360"/>
          </w:cols>
          <w:pgMar w:left="240" w:top="131" w:right="299" w:bottom="0" w:gutter="0" w:footer="0" w:header="0"/>
          <w:type w:val="continuous"/>
        </w:sectPr>
      </w:pPr>
    </w:p>
    <w:bookmarkStart w:id="8" w:name="page9"/>
    <w:bookmarkEnd w:id="8"/>
    <w:p>
      <w:pPr>
        <w:spacing w:after="0" w:line="1" w:lineRule="exact"/>
        <w:rPr>
          <w:sz w:val="20"/>
          <w:szCs w:val="20"/>
          <w:color w:val="auto"/>
        </w:rPr>
      </w:pPr>
    </w:p>
    <w:tbl>
      <w:tblPr>
        <w:tblLayout w:type="fixed"/>
        <w:tblInd w:w="182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480" w:type="dxa"/>
            <w:vAlign w:val="bottom"/>
          </w:tcPr>
          <w:p>
            <w:pPr>
              <w:jc w:val="right"/>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Software</w:t>
            </w: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5"/>
        </w:trPr>
        <w:tc>
          <w:tcPr>
            <w:tcW w:w="560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103</w:t>
            </w:r>
          </w:p>
        </w:tc>
        <w:tc>
          <w:tcPr>
            <w:tcW w:w="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37</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1,597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62"/>
        </w:trPr>
        <w:tc>
          <w:tcPr>
            <w:tcW w:w="56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05"/>
        </w:trPr>
        <w:tc>
          <w:tcPr>
            <w:tcW w:w="560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2,990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1,597</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1,393</w:t>
            </w:r>
          </w:p>
        </w:tc>
      </w:tr>
      <w:tr>
        <w:trPr>
          <w:trHeight w:val="20"/>
        </w:trPr>
        <w:tc>
          <w:tcPr>
            <w:tcW w:w="5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both"/>
        <w:ind w:left="540" w:right="10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Total amortization expense for the nine months ended September 30, 2015 and 2014 was $217 and $278, respectively. The following table sets forth the estimated annual amortization expense for our finite-lived intangible assets for each of the next five years: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46"/>
        </w:trPr>
        <w:tc>
          <w:tcPr>
            <w:tcW w:w="6240" w:type="dxa"/>
            <w:vAlign w:val="bottom"/>
          </w:tcPr>
          <w:p>
            <w:pPr>
              <w:ind w:left="3100"/>
              <w:spacing w:after="0"/>
              <w:rPr>
                <w:sz w:val="20"/>
                <w:szCs w:val="20"/>
                <w:color w:val="auto"/>
              </w:rPr>
            </w:pPr>
            <w:r>
              <w:rPr>
                <w:rFonts w:ascii="Arial" w:cs="Arial" w:eastAsia="Arial" w:hAnsi="Arial"/>
                <w:sz w:val="18"/>
                <w:szCs w:val="18"/>
                <w:color w:val="auto"/>
              </w:rPr>
              <w:t>2015 (remainder)</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240" w:type="dxa"/>
            <w:vAlign w:val="bottom"/>
          </w:tcPr>
          <w:p>
            <w:pPr>
              <w:ind w:left="3100"/>
              <w:spacing w:after="0"/>
              <w:rPr>
                <w:sz w:val="20"/>
                <w:szCs w:val="20"/>
                <w:color w:val="auto"/>
              </w:rPr>
            </w:pPr>
            <w:r>
              <w:rPr>
                <w:rFonts w:ascii="Arial" w:cs="Arial" w:eastAsia="Arial" w:hAnsi="Arial"/>
                <w:sz w:val="18"/>
                <w:szCs w:val="18"/>
                <w:color w:val="auto"/>
              </w:rPr>
              <w:t>2016</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229</w:t>
            </w:r>
          </w:p>
        </w:tc>
      </w:tr>
      <w:tr>
        <w:trPr>
          <w:trHeight w:val="243"/>
        </w:trPr>
        <w:tc>
          <w:tcPr>
            <w:tcW w:w="6240" w:type="dxa"/>
            <w:vAlign w:val="bottom"/>
          </w:tcPr>
          <w:p>
            <w:pPr>
              <w:ind w:left="3100"/>
              <w:spacing w:after="0"/>
              <w:rPr>
                <w:sz w:val="20"/>
                <w:szCs w:val="20"/>
                <w:color w:val="auto"/>
              </w:rPr>
            </w:pPr>
            <w:r>
              <w:rPr>
                <w:rFonts w:ascii="Arial" w:cs="Arial" w:eastAsia="Arial" w:hAnsi="Arial"/>
                <w:sz w:val="18"/>
                <w:szCs w:val="18"/>
                <w:color w:val="auto"/>
              </w:rPr>
              <w:t>2017</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212</w:t>
            </w:r>
          </w:p>
        </w:tc>
      </w:tr>
      <w:tr>
        <w:trPr>
          <w:trHeight w:val="243"/>
        </w:trPr>
        <w:tc>
          <w:tcPr>
            <w:tcW w:w="6240" w:type="dxa"/>
            <w:vAlign w:val="bottom"/>
          </w:tcPr>
          <w:p>
            <w:pPr>
              <w:ind w:left="3100"/>
              <w:spacing w:after="0"/>
              <w:rPr>
                <w:sz w:val="20"/>
                <w:szCs w:val="20"/>
                <w:color w:val="auto"/>
              </w:rPr>
            </w:pPr>
            <w:r>
              <w:rPr>
                <w:rFonts w:ascii="Arial" w:cs="Arial" w:eastAsia="Arial" w:hAnsi="Arial"/>
                <w:sz w:val="18"/>
                <w:szCs w:val="18"/>
                <w:color w:val="auto"/>
              </w:rPr>
              <w:t>2018</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9"/>
        </w:trPr>
        <w:tc>
          <w:tcPr>
            <w:tcW w:w="6240" w:type="dxa"/>
            <w:vAlign w:val="bottom"/>
          </w:tcPr>
          <w:p>
            <w:pPr>
              <w:ind w:left="3100"/>
              <w:spacing w:after="0"/>
              <w:rPr>
                <w:sz w:val="20"/>
                <w:szCs w:val="20"/>
                <w:color w:val="auto"/>
              </w:rPr>
            </w:pPr>
            <w:r>
              <w:rPr>
                <w:rFonts w:ascii="Arial" w:cs="Arial" w:eastAsia="Arial" w:hAnsi="Arial"/>
                <w:sz w:val="18"/>
                <w:szCs w:val="18"/>
                <w:color w:val="auto"/>
              </w:rPr>
              <w:t>2019</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During the nine months ended September 30, 2015 and 2014, Hakuto Co., Ltd., one of our distributors, accounted for 13% and 11% of our consolidated net revenues, respectively. These revenues were generated by our Thermal Products segment. During the nine months ended September 30, 2014, Texas Instruments Incorporated accounted for 11% of our consolidated net revenues. While all three of our operating segments sold products to this customer, these revenues were primarily generated by our Mechanical Products and our Electrical Products segments. No other customers accounted for 10% or more of our consolidated net revenues during the nine months ended September 30, 2015 and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2015 and December 31, 2014 were comprised of the following:</w:t>
      </w:r>
    </w:p>
    <w:p>
      <w:pPr>
        <w:spacing w:after="0" w:line="224"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980" w:type="dxa"/>
            <w:vAlign w:val="bottom"/>
            <w:gridSpan w:val="5"/>
          </w:tcPr>
          <w:p>
            <w:pPr>
              <w:jc w:val="center"/>
              <w:ind w:left="836"/>
              <w:spacing w:after="0"/>
              <w:rPr>
                <w:sz w:val="20"/>
                <w:szCs w:val="20"/>
                <w:color w:val="auto"/>
              </w:rPr>
            </w:pPr>
            <w:r>
              <w:rPr>
                <w:rFonts w:ascii="Arial" w:cs="Arial" w:eastAsia="Arial" w:hAnsi="Arial"/>
                <w:sz w:val="14"/>
                <w:szCs w:val="14"/>
                <w:b w:val="1"/>
                <w:bCs w:val="1"/>
                <w:i w:val="1"/>
                <w:iCs w:val="1"/>
                <w:color w:val="auto"/>
                <w:w w:val="79"/>
              </w:rPr>
              <w:t>Sept. 30,</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60" w:type="dxa"/>
            <w:vAlign w:val="bottom"/>
          </w:tcPr>
          <w:p>
            <w:pPr>
              <w:spacing w:after="0"/>
              <w:rPr>
                <w:sz w:val="12"/>
                <w:szCs w:val="12"/>
                <w:color w:val="auto"/>
              </w:rPr>
            </w:pP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Raw materials</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$2,505</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Work in process</w:t>
            </w: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406</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129</w:t>
            </w:r>
          </w:p>
        </w:tc>
      </w:tr>
      <w:tr>
        <w:trPr>
          <w:trHeight w:val="205"/>
        </w:trPr>
        <w:tc>
          <w:tcPr>
            <w:tcW w:w="332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1280" w:type="dxa"/>
            <w:vAlign w:val="bottom"/>
            <w:gridSpan w:val="2"/>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562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729</w:t>
            </w:r>
          </w:p>
        </w:tc>
      </w:tr>
      <w:tr>
        <w:trPr>
          <w:trHeight w:val="466"/>
        </w:trPr>
        <w:tc>
          <w:tcPr>
            <w:tcW w:w="3320" w:type="dxa"/>
            <w:vAlign w:val="bottom"/>
          </w:tcPr>
          <w:p>
            <w:pPr>
              <w:spacing w:after="0"/>
              <w:rPr>
                <w:sz w:val="20"/>
                <w:szCs w:val="20"/>
                <w:color w:val="auto"/>
              </w:rPr>
            </w:pPr>
            <w:r>
              <w:rPr>
                <w:rFonts w:ascii="Arial" w:cs="Arial" w:eastAsia="Arial" w:hAnsi="Arial"/>
                <w:sz w:val="18"/>
                <w:szCs w:val="18"/>
                <w:color w:val="auto"/>
              </w:rPr>
              <w:t>Total inventories</w:t>
            </w:r>
          </w:p>
        </w:tc>
        <w:tc>
          <w:tcPr>
            <w:tcW w:w="17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3,802</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3,769</w:t>
            </w:r>
          </w:p>
        </w:tc>
      </w:tr>
      <w:tr>
        <w:trPr>
          <w:trHeight w:val="20"/>
        </w:trPr>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The terms of our leases also allow us to request a reduction in the amount of these letters of credit at certain points during the lease term if there have been no events of default. As of September 30, 2015, there have been no events of default. Our outstanding letters of credit at September 30, 2015 and December 31, 2014 consisted of the following:</w:t>
      </w:r>
    </w:p>
    <w:p>
      <w:pPr>
        <w:spacing w:after="0" w:line="15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6"/>
          </w:tcPr>
          <w:p>
            <w:pPr>
              <w:jc w:val="right"/>
              <w:ind w:right="280"/>
              <w:spacing w:after="0"/>
              <w:rPr>
                <w:sz w:val="20"/>
                <w:szCs w:val="20"/>
                <w:color w:val="auto"/>
              </w:rPr>
            </w:pPr>
            <w:r>
              <w:rPr>
                <w:rFonts w:ascii="Arial" w:cs="Arial" w:eastAsia="Arial" w:hAnsi="Arial"/>
                <w:sz w:val="14"/>
                <w:szCs w:val="14"/>
                <w:b w:val="1"/>
                <w:bCs w:val="1"/>
                <w:i w:val="1"/>
                <w:iCs w:val="1"/>
                <w:color w:val="auto"/>
                <w:w w:val="88"/>
              </w:rPr>
              <w:t>Letters of Credit</w:t>
            </w:r>
          </w:p>
        </w:tc>
      </w:tr>
      <w:tr>
        <w:trPr>
          <w:trHeight w:val="146"/>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Lease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gridSpan w:val="5"/>
          </w:tcPr>
          <w:p>
            <w:pPr>
              <w:ind w:left="60"/>
              <w:spacing w:after="0" w:line="146" w:lineRule="exact"/>
              <w:rPr>
                <w:sz w:val="20"/>
                <w:szCs w:val="20"/>
                <w:color w:val="auto"/>
              </w:rPr>
            </w:pPr>
            <w:r>
              <w:rPr>
                <w:rFonts w:ascii="Arial" w:cs="Arial" w:eastAsia="Arial" w:hAnsi="Arial"/>
                <w:sz w:val="14"/>
                <w:szCs w:val="14"/>
                <w:b w:val="1"/>
                <w:bCs w:val="1"/>
                <w:i w:val="1"/>
                <w:iCs w:val="1"/>
                <w:color w:val="auto"/>
                <w:w w:val="89"/>
              </w:rPr>
              <w:t>Amount Outstanding</w:t>
            </w:r>
          </w:p>
        </w:tc>
        <w:tc>
          <w:tcPr>
            <w:tcW w:w="60" w:type="dxa"/>
            <w:vAlign w:val="bottom"/>
            <w:gridSpan w:val="2"/>
          </w:tcPr>
          <w:p>
            <w:pPr>
              <w:spacing w:after="0"/>
              <w:rPr>
                <w:sz w:val="12"/>
                <w:szCs w:val="12"/>
                <w:color w:val="auto"/>
              </w:rPr>
            </w:pPr>
          </w:p>
        </w:tc>
      </w:tr>
      <w:tr>
        <w:trPr>
          <w:trHeight w:val="158"/>
        </w:trPr>
        <w:tc>
          <w:tcPr>
            <w:tcW w:w="2120" w:type="dxa"/>
            <w:vAlign w:val="bottom"/>
          </w:tcPr>
          <w:p>
            <w:pPr>
              <w:spacing w:after="0"/>
              <w:rPr>
                <w:sz w:val="13"/>
                <w:szCs w:val="13"/>
                <w:color w:val="auto"/>
              </w:rPr>
            </w:pPr>
          </w:p>
        </w:tc>
        <w:tc>
          <w:tcPr>
            <w:tcW w:w="202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i w:val="1"/>
                <w:iCs w:val="1"/>
                <w:color w:val="auto"/>
              </w:rPr>
              <w:t>Original L/C</w:t>
            </w:r>
          </w:p>
        </w:tc>
        <w:tc>
          <w:tcPr>
            <w:tcW w:w="12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140" w:type="dxa"/>
            <w:vAlign w:val="bottom"/>
            <w:gridSpan w:val="3"/>
          </w:tcPr>
          <w:p>
            <w:pPr>
              <w:ind w:left="240"/>
              <w:spacing w:after="0" w:line="158" w:lineRule="exact"/>
              <w:rPr>
                <w:sz w:val="20"/>
                <w:szCs w:val="20"/>
                <w:color w:val="auto"/>
              </w:rPr>
            </w:pPr>
            <w:r>
              <w:rPr>
                <w:rFonts w:ascii="Arial" w:cs="Arial" w:eastAsia="Arial" w:hAnsi="Arial"/>
                <w:sz w:val="14"/>
                <w:szCs w:val="14"/>
                <w:b w:val="1"/>
                <w:bCs w:val="1"/>
                <w:i w:val="1"/>
                <w:iCs w:val="1"/>
                <w:color w:val="auto"/>
              </w:rPr>
              <w:t>Expiration</w:t>
            </w:r>
          </w:p>
        </w:tc>
        <w:tc>
          <w:tcPr>
            <w:tcW w:w="1120" w:type="dxa"/>
            <w:vAlign w:val="bottom"/>
            <w:gridSpan w:val="5"/>
          </w:tcPr>
          <w:p>
            <w:pPr>
              <w:ind w:left="200"/>
              <w:spacing w:after="0" w:line="158" w:lineRule="exact"/>
              <w:rPr>
                <w:sz w:val="20"/>
                <w:szCs w:val="20"/>
                <w:color w:val="auto"/>
              </w:rPr>
            </w:pPr>
            <w:r>
              <w:rPr>
                <w:rFonts w:ascii="Arial" w:cs="Arial" w:eastAsia="Arial" w:hAnsi="Arial"/>
                <w:sz w:val="14"/>
                <w:szCs w:val="14"/>
                <w:b w:val="1"/>
                <w:bCs w:val="1"/>
                <w:i w:val="1"/>
                <w:iCs w:val="1"/>
                <w:color w:val="auto"/>
              </w:rPr>
              <w:t>Sept. 30,</w:t>
            </w:r>
          </w:p>
        </w:tc>
        <w:tc>
          <w:tcPr>
            <w:tcW w:w="500" w:type="dxa"/>
            <w:vAlign w:val="bottom"/>
            <w:gridSpan w:val="4"/>
          </w:tcPr>
          <w:p>
            <w:pPr>
              <w:jc w:val="right"/>
              <w:ind w:right="4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gridSpan w:val="2"/>
          </w:tcPr>
          <w:p>
            <w:pPr>
              <w:jc w:val="right"/>
              <w:ind w:right="24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320" w:type="dxa"/>
            <w:vAlign w:val="bottom"/>
          </w:tcPr>
          <w:p>
            <w:pPr>
              <w:spacing w:after="0"/>
              <w:rPr>
                <w:sz w:val="12"/>
                <w:szCs w:val="12"/>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680" w:type="dxa"/>
            <w:vAlign w:val="bottom"/>
            <w:gridSpan w:val="4"/>
          </w:tcPr>
          <w:p>
            <w:pPr>
              <w:ind w:left="300"/>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440" w:type="dxa"/>
            <w:vAlign w:val="bottom"/>
          </w:tcPr>
          <w:p>
            <w:pPr>
              <w:spacing w:after="0"/>
              <w:rPr>
                <w:sz w:val="12"/>
                <w:szCs w:val="12"/>
                <w:color w:val="auto"/>
              </w:rPr>
            </w:pPr>
          </w:p>
        </w:tc>
        <w:tc>
          <w:tcPr>
            <w:tcW w:w="440" w:type="dxa"/>
            <w:vAlign w:val="bottom"/>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120" w:type="dxa"/>
            <w:vAlign w:val="bottom"/>
          </w:tcPr>
          <w:p>
            <w:pPr>
              <w:spacing w:after="0"/>
              <w:rPr>
                <w:sz w:val="20"/>
                <w:szCs w:val="20"/>
                <w:color w:val="auto"/>
              </w:rPr>
            </w:pPr>
            <w:r>
              <w:rPr>
                <w:rFonts w:ascii="Arial" w:cs="Arial" w:eastAsia="Arial" w:hAnsi="Arial"/>
                <w:sz w:val="18"/>
                <w:szCs w:val="18"/>
                <w:color w:val="auto"/>
              </w:rPr>
              <w:t>Mt. Laurel, NJ</w:t>
            </w:r>
          </w:p>
        </w:tc>
        <w:tc>
          <w:tcPr>
            <w:tcW w:w="2020" w:type="dxa"/>
            <w:vAlign w:val="bottom"/>
            <w:gridSpan w:val="3"/>
          </w:tcPr>
          <w:p>
            <w:pPr>
              <w:jc w:val="right"/>
              <w:ind w:right="180"/>
              <w:spacing w:after="0"/>
              <w:rPr>
                <w:sz w:val="20"/>
                <w:szCs w:val="20"/>
                <w:color w:val="auto"/>
              </w:rPr>
            </w:pPr>
            <w:r>
              <w:rPr>
                <w:rFonts w:ascii="Arial" w:cs="Arial" w:eastAsia="Arial" w:hAnsi="Arial"/>
                <w:sz w:val="18"/>
                <w:szCs w:val="18"/>
                <w:color w:val="auto"/>
              </w:rPr>
              <w:t>3/29/2010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4/01/2016</w:t>
            </w:r>
          </w:p>
        </w:tc>
        <w:tc>
          <w:tcPr>
            <w:tcW w:w="1140" w:type="dxa"/>
            <w:vAlign w:val="bottom"/>
            <w:gridSpan w:val="3"/>
          </w:tcPr>
          <w:p>
            <w:pPr>
              <w:ind w:left="220"/>
              <w:spacing w:after="0"/>
              <w:rPr>
                <w:sz w:val="20"/>
                <w:szCs w:val="20"/>
                <w:color w:val="auto"/>
              </w:rPr>
            </w:pPr>
            <w:r>
              <w:rPr>
                <w:rFonts w:ascii="Arial" w:cs="Arial" w:eastAsia="Arial" w:hAnsi="Arial"/>
                <w:sz w:val="18"/>
                <w:szCs w:val="18"/>
                <w:color w:val="auto"/>
              </w:rPr>
              <w:t>4/30/2021</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20"/>
                <w:szCs w:val="20"/>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12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2020" w:type="dxa"/>
            <w:vAlign w:val="bottom"/>
            <w:gridSpan w:val="3"/>
          </w:tcPr>
          <w:p>
            <w:pPr>
              <w:jc w:val="right"/>
              <w:ind w:right="180"/>
              <w:spacing w:after="0" w:line="205" w:lineRule="exact"/>
              <w:rPr>
                <w:sz w:val="20"/>
                <w:szCs w:val="20"/>
                <w:color w:val="auto"/>
              </w:rPr>
            </w:pPr>
            <w:r>
              <w:rPr>
                <w:rFonts w:ascii="Arial" w:cs="Arial" w:eastAsia="Arial" w:hAnsi="Arial"/>
                <w:sz w:val="18"/>
                <w:szCs w:val="18"/>
                <w:color w:val="auto"/>
              </w:rPr>
              <w:t>10/27/2010</w:t>
            </w:r>
          </w:p>
        </w:tc>
        <w:tc>
          <w:tcPr>
            <w:tcW w:w="1200" w:type="dxa"/>
            <w:vAlign w:val="bottom"/>
            <w:gridSpan w:val="3"/>
          </w:tcPr>
          <w:p>
            <w:pPr>
              <w:jc w:val="right"/>
              <w:ind w:right="220"/>
              <w:spacing w:after="0" w:line="205" w:lineRule="exact"/>
              <w:rPr>
                <w:sz w:val="20"/>
                <w:szCs w:val="20"/>
                <w:color w:val="auto"/>
              </w:rPr>
            </w:pPr>
            <w:r>
              <w:rPr>
                <w:rFonts w:ascii="Arial" w:cs="Arial" w:eastAsia="Arial" w:hAnsi="Arial"/>
                <w:sz w:val="18"/>
                <w:szCs w:val="18"/>
                <w:color w:val="auto"/>
              </w:rPr>
              <w:t>11/08/2016</w:t>
            </w:r>
          </w:p>
        </w:tc>
        <w:tc>
          <w:tcPr>
            <w:tcW w:w="1140" w:type="dxa"/>
            <w:vAlign w:val="bottom"/>
            <w:gridSpan w:val="3"/>
          </w:tcPr>
          <w:p>
            <w:pPr>
              <w:ind w:left="220"/>
              <w:spacing w:after="0" w:line="205" w:lineRule="exact"/>
              <w:rPr>
                <w:sz w:val="20"/>
                <w:szCs w:val="20"/>
                <w:color w:val="auto"/>
              </w:rPr>
            </w:pPr>
            <w:r>
              <w:rPr>
                <w:rFonts w:ascii="Arial" w:cs="Arial" w:eastAsia="Arial" w:hAnsi="Arial"/>
                <w:sz w:val="18"/>
                <w:szCs w:val="18"/>
                <w:color w:val="auto"/>
              </w:rPr>
              <w:t>8/23/2021</w:t>
            </w:r>
          </w:p>
        </w:tc>
        <w:tc>
          <w:tcPr>
            <w:tcW w:w="360" w:type="dxa"/>
            <w:vAlign w:val="bottom"/>
            <w:gridSpan w:val="3"/>
          </w:tcPr>
          <w:p>
            <w:pPr>
              <w:spacing w:after="0"/>
              <w:rPr>
                <w:sz w:val="17"/>
                <w:szCs w:val="17"/>
                <w:color w:val="auto"/>
              </w:rPr>
            </w:pPr>
          </w:p>
        </w:tc>
        <w:tc>
          <w:tcPr>
            <w:tcW w:w="3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c>
          <w:tcPr>
            <w:tcW w:w="44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20"/>
        </w:trPr>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40" w:top="131" w:right="279" w:bottom="9"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As of September 30, 2015, we have unvested restricted stock awards granted under stock-based employee compensation plans that are described more fully in Note 12 to the consolidated financial statements in our 2014 Form 10-K. We did not grant any stock options during 2015 or 2014.</w:t>
      </w:r>
    </w:p>
    <w:p>
      <w:pPr>
        <w:spacing w:after="0" w:line="139"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 As of September 30, 2015, total compensation expense to be recognized in future periods was $235. The weighted average period over which this expense is expected to be recognized is 2.0 years. The following table shows the allocation of the compensation expense we recorded during the three and nine months ended September 30, 2015 and 2014, respectively, related to unvested shares:</w:t>
      </w:r>
    </w:p>
    <w:p>
      <w:pPr>
        <w:spacing w:after="0" w:line="19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80" w:type="dxa"/>
            <w:vAlign w:val="bottom"/>
            <w:gridSpan w:val="7"/>
          </w:tcPr>
          <w:p>
            <w:pPr>
              <w:jc w:val="center"/>
              <w:ind w:right="46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240" w:type="dxa"/>
            <w:vAlign w:val="bottom"/>
            <w:gridSpan w:val="8"/>
          </w:tcPr>
          <w:p>
            <w:pPr>
              <w:jc w:val="right"/>
              <w:ind w:right="100"/>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6"/>
          </w:tcPr>
          <w:p>
            <w:pPr>
              <w:jc w:val="center"/>
              <w:ind w:right="600"/>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80" w:type="dxa"/>
            <w:vAlign w:val="bottom"/>
          </w:tcPr>
          <w:p>
            <w:pPr>
              <w:spacing w:after="0"/>
              <w:rPr>
                <w:sz w:val="12"/>
                <w:szCs w:val="12"/>
                <w:color w:val="auto"/>
              </w:rPr>
            </w:pPr>
          </w:p>
        </w:tc>
        <w:tc>
          <w:tcPr>
            <w:tcW w:w="1160" w:type="dxa"/>
            <w:vAlign w:val="bottom"/>
            <w:gridSpan w:val="7"/>
          </w:tcPr>
          <w:p>
            <w:pPr>
              <w:jc w:val="right"/>
              <w:ind w:right="300"/>
              <w:spacing w:after="0" w:line="146" w:lineRule="exact"/>
              <w:rPr>
                <w:sz w:val="20"/>
                <w:szCs w:val="20"/>
                <w:color w:val="auto"/>
              </w:rPr>
            </w:pPr>
            <w:r>
              <w:rPr>
                <w:rFonts w:ascii="Arial" w:cs="Arial" w:eastAsia="Arial" w:hAnsi="Arial"/>
                <w:sz w:val="14"/>
                <w:szCs w:val="14"/>
                <w:b w:val="1"/>
                <w:bCs w:val="1"/>
                <w:i w:val="1"/>
                <w:iCs w:val="1"/>
                <w:color w:val="auto"/>
                <w:w w:val="87"/>
              </w:rPr>
              <w:t>September 30,</w:t>
            </w:r>
          </w:p>
        </w:tc>
      </w:tr>
      <w:tr>
        <w:trPr>
          <w:trHeight w:val="156"/>
        </w:trPr>
        <w:tc>
          <w:tcPr>
            <w:tcW w:w="4380" w:type="dxa"/>
            <w:vAlign w:val="bottom"/>
          </w:tcPr>
          <w:p>
            <w:pPr>
              <w:spacing w:after="0"/>
              <w:rPr>
                <w:sz w:val="13"/>
                <w:szCs w:val="13"/>
                <w:color w:val="auto"/>
              </w:rPr>
            </w:pPr>
          </w:p>
        </w:tc>
        <w:tc>
          <w:tcPr>
            <w:tcW w:w="48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82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380" w:type="dxa"/>
            <w:vAlign w:val="bottom"/>
          </w:tcPr>
          <w:p>
            <w:pPr>
              <w:spacing w:after="0"/>
              <w:rPr>
                <w:sz w:val="13"/>
                <w:szCs w:val="13"/>
                <w:color w:val="auto"/>
              </w:rPr>
            </w:pPr>
          </w:p>
        </w:tc>
        <w:tc>
          <w:tcPr>
            <w:tcW w:w="3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9"/>
              </w:rPr>
              <w:t>2015</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80" w:type="dxa"/>
            <w:vAlign w:val="bottom"/>
          </w:tcPr>
          <w:p>
            <w:pPr>
              <w:spacing w:after="0"/>
              <w:rPr>
                <w:sz w:val="13"/>
                <w:szCs w:val="13"/>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$ 3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$ 2</w:t>
            </w:r>
          </w:p>
        </w:tc>
        <w:tc>
          <w:tcPr>
            <w:tcW w:w="380" w:type="dxa"/>
            <w:vAlign w:val="bottom"/>
          </w:tcPr>
          <w:p>
            <w:pPr>
              <w:spacing w:after="0"/>
              <w:rPr>
                <w:sz w:val="20"/>
                <w:szCs w:val="20"/>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$ 8</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$ 8</w:t>
            </w: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Selling expense</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4</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7</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05"/>
        </w:trPr>
        <w:tc>
          <w:tcPr>
            <w:tcW w:w="438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7"/>
                <w:szCs w:val="17"/>
                <w:color w:val="auto"/>
              </w:rPr>
            </w:pPr>
          </w:p>
        </w:tc>
        <w:tc>
          <w:tcPr>
            <w:tcW w:w="3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24</w:t>
            </w:r>
          </w:p>
        </w:tc>
        <w:tc>
          <w:tcPr>
            <w:tcW w:w="460" w:type="dxa"/>
            <w:vAlign w:val="bottom"/>
          </w:tcPr>
          <w:p>
            <w:pPr>
              <w:spacing w:after="0"/>
              <w:rPr>
                <w:sz w:val="17"/>
                <w:szCs w:val="17"/>
                <w:color w:val="auto"/>
              </w:rPr>
            </w:pPr>
          </w:p>
        </w:tc>
        <w:tc>
          <w:tcPr>
            <w:tcW w:w="3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220"/>
              <w:spacing w:after="0" w:line="205" w:lineRule="exact"/>
              <w:rPr>
                <w:sz w:val="20"/>
                <w:szCs w:val="20"/>
                <w:color w:val="auto"/>
              </w:rPr>
            </w:pPr>
            <w:r>
              <w:rPr>
                <w:rFonts w:ascii="Arial" w:cs="Arial" w:eastAsia="Arial" w:hAnsi="Arial"/>
                <w:sz w:val="18"/>
                <w:szCs w:val="18"/>
                <w:color w:val="auto"/>
              </w:rPr>
              <w:t>72</w:t>
            </w:r>
          </w:p>
        </w:tc>
        <w:tc>
          <w:tcPr>
            <w:tcW w:w="6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77</w:t>
            </w: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r>
      <w:tr>
        <w:trPr>
          <w:trHeight w:val="223"/>
        </w:trPr>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$ 30</w:t>
            </w:r>
          </w:p>
        </w:tc>
        <w:tc>
          <w:tcPr>
            <w:tcW w:w="4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$ 30</w:t>
            </w:r>
          </w:p>
        </w:tc>
        <w:tc>
          <w:tcPr>
            <w:tcW w:w="380" w:type="dxa"/>
            <w:vAlign w:val="bottom"/>
          </w:tcPr>
          <w:p>
            <w:pPr>
              <w:spacing w:after="0"/>
              <w:rPr>
                <w:sz w:val="19"/>
                <w:szCs w:val="19"/>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$ 91</w:t>
            </w: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w:t>
            </w: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nine months ended September 30, 2015 or 2014.</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for the nine months ended September 30, 2015:</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840" w:type="dxa"/>
            <w:vAlign w:val="bottom"/>
          </w:tcPr>
          <w:p>
            <w:pPr>
              <w:spacing w:after="0"/>
              <w:rPr>
                <w:sz w:val="12"/>
                <w:szCs w:val="12"/>
                <w:color w:val="auto"/>
              </w:rPr>
            </w:pPr>
          </w:p>
        </w:tc>
        <w:tc>
          <w:tcPr>
            <w:tcW w:w="7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840" w:type="dxa"/>
            <w:vAlign w:val="bottom"/>
          </w:tcPr>
          <w:p>
            <w:pPr>
              <w:spacing w:after="0"/>
              <w:rPr>
                <w:sz w:val="12"/>
                <w:szCs w:val="12"/>
                <w:color w:val="auto"/>
              </w:rPr>
            </w:pPr>
          </w:p>
        </w:tc>
        <w:tc>
          <w:tcPr>
            <w:tcW w:w="700" w:type="dxa"/>
            <w:vAlign w:val="bottom"/>
            <w:gridSpan w:val="3"/>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58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5840" w:type="dxa"/>
            <w:vAlign w:val="bottom"/>
          </w:tcPr>
          <w:p>
            <w:pPr>
              <w:spacing w:after="0"/>
              <w:rPr>
                <w:sz w:val="20"/>
                <w:szCs w:val="20"/>
                <w:color w:val="auto"/>
              </w:rPr>
            </w:pPr>
            <w:r>
              <w:rPr>
                <w:rFonts w:ascii="Arial" w:cs="Arial" w:eastAsia="Arial" w:hAnsi="Arial"/>
                <w:sz w:val="18"/>
                <w:szCs w:val="18"/>
                <w:color w:val="auto"/>
              </w:rPr>
              <w:t>Unvested shares outstanding, January 1, 2015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101,875</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5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140"/>
              <w:spacing w:after="0"/>
              <w:rPr>
                <w:sz w:val="20"/>
                <w:szCs w:val="20"/>
                <w:color w:val="auto"/>
              </w:rPr>
            </w:pPr>
            <w:r>
              <w:rPr>
                <w:rFonts w:ascii="Arial" w:cs="Arial" w:eastAsia="Arial" w:hAnsi="Arial"/>
                <w:sz w:val="18"/>
                <w:szCs w:val="18"/>
                <w:color w:val="auto"/>
              </w:rPr>
              <w:t>Vested</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(13,125)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205"/>
        </w:trPr>
        <w:tc>
          <w:tcPr>
            <w:tcW w:w="584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5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Unvested shares outstanding, September 30, 2015</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88,750</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nine months ended September 30, 2015 and 2014, we recorded $297 and $280 of expense for matching contributions,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20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 warranty service and support.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w:t>
      </w:r>
    </w:p>
    <w:p>
      <w:pPr>
        <w:spacing w:after="0" w:line="194"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ectPr>
          <w:pgSz w:w="11900" w:h="16838" w:orient="portrait"/>
          <w:cols w:equalWidth="0" w:num="1">
            <w:col w:w="11380"/>
          </w:cols>
          <w:pgMar w:left="240" w:top="131" w:right="279" w:bottom="0" w:gutter="0" w:footer="0" w:header="0"/>
        </w:sectPr>
      </w:pPr>
    </w:p>
    <w:bookmarkStart w:id="10" w:name="page11"/>
    <w:bookmarkEnd w:id="10"/>
    <w:p>
      <w:pPr>
        <w:spacing w:after="0" w:line="106"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40" w:type="dxa"/>
            <w:vAlign w:val="bottom"/>
            <w:gridSpan w:val="13"/>
          </w:tcPr>
          <w:p>
            <w:pPr>
              <w:jc w:val="center"/>
              <w:ind w:left="194"/>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240" w:type="dxa"/>
            <w:vAlign w:val="bottom"/>
          </w:tcPr>
          <w:p>
            <w:pPr>
              <w:spacing w:after="0"/>
              <w:rPr>
                <w:sz w:val="14"/>
                <w:szCs w:val="14"/>
                <w:color w:val="auto"/>
              </w:rPr>
            </w:pPr>
          </w:p>
        </w:tc>
        <w:tc>
          <w:tcPr>
            <w:tcW w:w="1220" w:type="dxa"/>
            <w:vAlign w:val="bottom"/>
            <w:gridSpan w:val="9"/>
          </w:tcPr>
          <w:p>
            <w:pPr>
              <w:jc w:val="center"/>
              <w:ind w:right="220"/>
              <w:spacing w:after="0"/>
              <w:rPr>
                <w:sz w:val="20"/>
                <w:szCs w:val="20"/>
                <w:color w:val="auto"/>
              </w:rPr>
            </w:pPr>
            <w:r>
              <w:rPr>
                <w:rFonts w:ascii="Arial" w:cs="Arial" w:eastAsia="Arial" w:hAnsi="Arial"/>
                <w:sz w:val="14"/>
                <w:szCs w:val="14"/>
                <w:b w:val="1"/>
                <w:bCs w:val="1"/>
                <w:i w:val="1"/>
                <w:iCs w:val="1"/>
                <w:color w:val="auto"/>
                <w:w w:val="76"/>
              </w:rPr>
              <w:t>Nine Months Ended</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7"/>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36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gridSpan w:val="6"/>
          </w:tcPr>
          <w:p>
            <w:pPr>
              <w:jc w:val="center"/>
              <w:ind w:right="72"/>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2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80" w:type="dxa"/>
            <w:vAlign w:val="bottom"/>
            <w:gridSpan w:val="2"/>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2014</w:t>
            </w:r>
          </w:p>
        </w:tc>
        <w:tc>
          <w:tcPr>
            <w:tcW w:w="8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2014</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4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$6,259</w:t>
            </w:r>
          </w:p>
        </w:tc>
        <w:tc>
          <w:tcPr>
            <w:tcW w:w="14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$ 5,908</w:t>
            </w: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2"/>
              </w:rPr>
              <w:t>$18,635</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9"/>
              </w:rPr>
              <w:t>$17,267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1,273</w:t>
            </w:r>
          </w:p>
        </w:tc>
        <w:tc>
          <w:tcPr>
            <w:tcW w:w="14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3,077</w:t>
            </w: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6,195</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9,261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40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80" w:type="dxa"/>
            <w:vAlign w:val="bottom"/>
            <w:gridSpan w:val="2"/>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1,809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79"/>
              </w:rPr>
              <w:t>6,120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7"/>
              </w:rPr>
              <w:t>5,406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9,203</w:t>
            </w:r>
          </w:p>
        </w:tc>
        <w:tc>
          <w:tcPr>
            <w:tcW w:w="14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10,794</w:t>
            </w: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30,950</w:t>
            </w:r>
          </w:p>
        </w:tc>
        <w:tc>
          <w:tcPr>
            <w:tcW w:w="20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w w:val="97"/>
              </w:rPr>
              <w:t>Earnings (loss) before income tax expense (benefit):</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$3,731</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$3,322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(759)</w:t>
            </w:r>
          </w:p>
        </w:tc>
        <w:tc>
          <w:tcPr>
            <w:tcW w:w="840" w:type="dxa"/>
            <w:vAlign w:val="bottom"/>
            <w:gridSpan w:val="7"/>
          </w:tcPr>
          <w:p>
            <w:pPr>
              <w:jc w:val="right"/>
              <w:ind w:right="140"/>
              <w:spacing w:after="0"/>
              <w:rPr>
                <w:sz w:val="20"/>
                <w:szCs w:val="20"/>
                <w:color w:val="auto"/>
              </w:rPr>
            </w:pPr>
            <w:r>
              <w:rPr>
                <w:rFonts w:ascii="Arial" w:cs="Arial" w:eastAsia="Arial" w:hAnsi="Arial"/>
                <w:sz w:val="18"/>
                <w:szCs w:val="18"/>
                <w:color w:val="auto"/>
              </w:rPr>
              <w:t>(109)</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(1,240)</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Electrical Products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40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800" w:type="dxa"/>
            <w:vAlign w:val="bottom"/>
            <w:gridSpan w:val="3"/>
          </w:tcPr>
          <w:p>
            <w:pPr>
              <w:spacing w:after="0"/>
              <w:rPr>
                <w:sz w:val="17"/>
                <w:szCs w:val="17"/>
                <w:color w:val="auto"/>
              </w:rPr>
            </w:pPr>
          </w:p>
        </w:tc>
        <w:tc>
          <w:tcPr>
            <w:tcW w:w="50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(78)</w:t>
            </w:r>
          </w:p>
        </w:tc>
        <w:tc>
          <w:tcPr>
            <w:tcW w:w="840" w:type="dxa"/>
            <w:vAlign w:val="bottom"/>
            <w:gridSpan w:val="7"/>
          </w:tcPr>
          <w:p>
            <w:pPr>
              <w:jc w:val="right"/>
              <w:ind w:right="140"/>
              <w:spacing w:after="0" w:line="205" w:lineRule="exact"/>
              <w:rPr>
                <w:sz w:val="20"/>
                <w:szCs w:val="20"/>
                <w:color w:val="auto"/>
              </w:rPr>
            </w:pPr>
            <w:r>
              <w:rPr>
                <w:rFonts w:ascii="Arial" w:cs="Arial" w:eastAsia="Arial" w:hAnsi="Arial"/>
                <w:sz w:val="18"/>
                <w:szCs w:val="18"/>
                <w:color w:val="auto"/>
              </w:rPr>
              <w:t>(130)</w:t>
            </w:r>
          </w:p>
        </w:tc>
        <w:tc>
          <w:tcPr>
            <w:tcW w:w="80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rPr>
              <w:t>(629)</w:t>
            </w:r>
          </w:p>
        </w:tc>
        <w:tc>
          <w:tcPr>
            <w:tcW w:w="66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Borders>
              <w:right w:val="single" w:sz="8" w:color="auto"/>
            </w:tcBorders>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407</w:t>
            </w:r>
          </w:p>
        </w:tc>
        <w:tc>
          <w:tcPr>
            <w:tcW w:w="14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1,268</w:t>
            </w: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2,737</w:t>
            </w:r>
          </w:p>
        </w:tc>
        <w:tc>
          <w:tcPr>
            <w:tcW w:w="20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$ 886</w:t>
            </w:r>
          </w:p>
        </w:tc>
        <w:tc>
          <w:tcPr>
            <w:tcW w:w="14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$ 861</w:t>
            </w: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$2,222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(577)</w:t>
            </w:r>
          </w:p>
        </w:tc>
        <w:tc>
          <w:tcPr>
            <w:tcW w:w="840" w:type="dxa"/>
            <w:vAlign w:val="bottom"/>
            <w:gridSpan w:val="7"/>
          </w:tcPr>
          <w:p>
            <w:pPr>
              <w:jc w:val="right"/>
              <w:ind w:right="140"/>
              <w:spacing w:after="0"/>
              <w:rPr>
                <w:sz w:val="20"/>
                <w:szCs w:val="20"/>
                <w:color w:val="auto"/>
              </w:rPr>
            </w:pPr>
            <w:r>
              <w:rPr>
                <w:rFonts w:ascii="Arial" w:cs="Arial" w:eastAsia="Arial" w:hAnsi="Arial"/>
                <w:sz w:val="18"/>
                <w:szCs w:val="18"/>
                <w:color w:val="auto"/>
              </w:rPr>
              <w:t>(72)</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(891)</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Electrical Products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40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800" w:type="dxa"/>
            <w:vAlign w:val="bottom"/>
            <w:gridSpan w:val="3"/>
          </w:tcPr>
          <w:p>
            <w:pPr>
              <w:spacing w:after="0"/>
              <w:rPr>
                <w:sz w:val="17"/>
                <w:szCs w:val="17"/>
                <w:color w:val="auto"/>
              </w:rPr>
            </w:pPr>
          </w:p>
        </w:tc>
        <w:tc>
          <w:tcPr>
            <w:tcW w:w="50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(59)</w:t>
            </w:r>
          </w:p>
        </w:tc>
        <w:tc>
          <w:tcPr>
            <w:tcW w:w="840" w:type="dxa"/>
            <w:vAlign w:val="bottom"/>
            <w:gridSpan w:val="7"/>
          </w:tcPr>
          <w:p>
            <w:pPr>
              <w:jc w:val="right"/>
              <w:ind w:right="140"/>
              <w:spacing w:after="0" w:line="205" w:lineRule="exact"/>
              <w:rPr>
                <w:sz w:val="20"/>
                <w:szCs w:val="20"/>
                <w:color w:val="auto"/>
              </w:rPr>
            </w:pPr>
            <w:r>
              <w:rPr>
                <w:rFonts w:ascii="Arial" w:cs="Arial" w:eastAsia="Arial" w:hAnsi="Arial"/>
                <w:sz w:val="18"/>
                <w:szCs w:val="18"/>
                <w:color w:val="auto"/>
              </w:rPr>
              <w:t>(86)</w:t>
            </w:r>
          </w:p>
        </w:tc>
        <w:tc>
          <w:tcPr>
            <w:tcW w:w="80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rPr>
              <w:t>(419)</w:t>
            </w:r>
          </w:p>
        </w:tc>
        <w:tc>
          <w:tcPr>
            <w:tcW w:w="66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Borders>
              <w:right w:val="single" w:sz="8" w:color="auto"/>
            </w:tcBorders>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Pr>
          <w:p>
            <w:pPr>
              <w:spacing w:after="0"/>
              <w:rPr>
                <w:sz w:val="19"/>
                <w:szCs w:val="19"/>
                <w:color w:val="auto"/>
              </w:rPr>
            </w:pPr>
          </w:p>
        </w:tc>
        <w:tc>
          <w:tcPr>
            <w:tcW w:w="800" w:type="dxa"/>
            <w:vAlign w:val="bottom"/>
            <w:gridSpan w:val="3"/>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$ 310</w:t>
            </w:r>
          </w:p>
        </w:tc>
        <w:tc>
          <w:tcPr>
            <w:tcW w:w="14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$ 837</w:t>
            </w: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1,828</w:t>
            </w:r>
          </w:p>
        </w:tc>
        <w:tc>
          <w:tcPr>
            <w:tcW w:w="20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i w:val="1"/>
                <w:iCs w:val="1"/>
                <w:color w:val="auto"/>
                <w:w w:val="79"/>
              </w:rPr>
              <w:t>Sept. 30,</w:t>
            </w:r>
          </w:p>
        </w:tc>
        <w:tc>
          <w:tcPr>
            <w:tcW w:w="140" w:type="dxa"/>
            <w:vAlign w:val="bottom"/>
          </w:tcPr>
          <w:p>
            <w:pPr>
              <w:spacing w:after="0"/>
              <w:rPr>
                <w:sz w:val="24"/>
                <w:szCs w:val="24"/>
                <w:color w:val="auto"/>
              </w:rPr>
            </w:pPr>
          </w:p>
        </w:tc>
        <w:tc>
          <w:tcPr>
            <w:tcW w:w="520" w:type="dxa"/>
            <w:vAlign w:val="bottom"/>
            <w:gridSpan w:val="5"/>
          </w:tcPr>
          <w:p>
            <w:pPr>
              <w:jc w:val="center"/>
              <w:ind w:right="160"/>
              <w:spacing w:after="0"/>
              <w:rPr>
                <w:sz w:val="20"/>
                <w:szCs w:val="20"/>
                <w:color w:val="auto"/>
              </w:rPr>
            </w:pPr>
            <w:r>
              <w:rPr>
                <w:rFonts w:ascii="Arial" w:cs="Arial" w:eastAsia="Arial" w:hAnsi="Arial"/>
                <w:sz w:val="12"/>
                <w:szCs w:val="12"/>
                <w:b w:val="1"/>
                <w:bCs w:val="1"/>
                <w:i w:val="1"/>
                <w:iCs w:val="1"/>
                <w:color w:val="auto"/>
                <w:w w:val="79"/>
              </w:rPr>
              <w:t>Dec. 31,</w:t>
            </w: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i w:val="1"/>
                <w:iCs w:val="1"/>
                <w:color w:val="auto"/>
              </w:rPr>
              <w:t>2015</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2"/>
              </w:rPr>
              <w:t>$16,645</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9"/>
              </w:rPr>
              <w:t>$26,211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20,481</w:t>
            </w:r>
          </w:p>
        </w:tc>
        <w:tc>
          <w:tcPr>
            <w:tcW w:w="20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7,801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40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79"/>
              </w:rPr>
              <w:t>3,847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7"/>
              </w:rPr>
              <w:t>4,726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71"/>
              </w:rPr>
              <w:t>$</w:t>
            </w:r>
            <w:r>
              <w:rPr>
                <w:rFonts w:ascii="Arial" w:cs="Arial" w:eastAsia="Arial" w:hAnsi="Arial"/>
                <w:sz w:val="14"/>
                <w:szCs w:val="14"/>
                <w:color w:val="auto"/>
                <w:w w:val="71"/>
              </w:rPr>
              <w:t>40,973</w:t>
            </w:r>
          </w:p>
        </w:tc>
        <w:tc>
          <w:tcPr>
            <w:tcW w:w="20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960" w:type="dxa"/>
            <w:vAlign w:val="bottom"/>
            <w:gridSpan w:val="10"/>
          </w:tcPr>
          <w:p>
            <w:pPr>
              <w:jc w:val="right"/>
              <w:ind w:right="160"/>
              <w:spacing w:after="0"/>
              <w:rPr>
                <w:sz w:val="20"/>
                <w:szCs w:val="20"/>
                <w:color w:val="auto"/>
              </w:rPr>
            </w:pPr>
            <w:r>
              <w:rPr>
                <w:rFonts w:ascii="Arial" w:cs="Arial" w:eastAsia="Arial" w:hAnsi="Arial"/>
                <w:sz w:val="14"/>
                <w:szCs w:val="14"/>
                <w:b w:val="1"/>
                <w:bCs w:val="1"/>
                <w:i w:val="1"/>
                <w:iCs w:val="1"/>
                <w:color w:val="auto"/>
              </w:rPr>
              <w:t>Three Months Ended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15"/>
          </w:tcPr>
          <w:p>
            <w:pPr>
              <w:jc w:val="center"/>
              <w:ind w:right="100"/>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3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ind w:left="20"/>
              <w:spacing w:after="0" w:line="146" w:lineRule="exact"/>
              <w:rPr>
                <w:sz w:val="20"/>
                <w:szCs w:val="20"/>
                <w:color w:val="auto"/>
              </w:rPr>
            </w:pPr>
            <w:r>
              <w:rPr>
                <w:rFonts w:ascii="Arial" w:cs="Arial" w:eastAsia="Arial" w:hAnsi="Arial"/>
                <w:sz w:val="14"/>
                <w:szCs w:val="14"/>
                <w:b w:val="1"/>
                <w:bCs w:val="1"/>
                <w:i w:val="1"/>
                <w:iCs w:val="1"/>
                <w:color w:val="auto"/>
                <w:w w:val="98"/>
              </w:rPr>
              <w:t>September 30,</w:t>
            </w:r>
          </w:p>
        </w:tc>
        <w:tc>
          <w:tcPr>
            <w:tcW w:w="1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8"/>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200" w:type="dxa"/>
            <w:vAlign w:val="bottom"/>
            <w:gridSpan w:val="3"/>
          </w:tcPr>
          <w:p>
            <w:pPr>
              <w:spacing w:after="0"/>
              <w:rPr>
                <w:sz w:val="12"/>
                <w:szCs w:val="12"/>
                <w:color w:val="auto"/>
              </w:rPr>
            </w:pPr>
          </w:p>
        </w:tc>
      </w:tr>
      <w:tr>
        <w:trPr>
          <w:trHeight w:val="156"/>
        </w:trPr>
        <w:tc>
          <w:tcPr>
            <w:tcW w:w="3400" w:type="dxa"/>
            <w:vAlign w:val="bottom"/>
          </w:tcPr>
          <w:p>
            <w:pPr>
              <w:spacing w:after="0"/>
              <w:rPr>
                <w:sz w:val="13"/>
                <w:szCs w:val="13"/>
                <w:color w:val="auto"/>
              </w:rPr>
            </w:pPr>
          </w:p>
        </w:tc>
        <w:tc>
          <w:tcPr>
            <w:tcW w:w="2060" w:type="dxa"/>
            <w:vAlign w:val="bottom"/>
            <w:gridSpan w:val="4"/>
          </w:tcPr>
          <w:p>
            <w:pPr>
              <w:ind w:left="1800"/>
              <w:spacing w:after="0" w:line="155" w:lineRule="exact"/>
              <w:rPr>
                <w:sz w:val="20"/>
                <w:szCs w:val="20"/>
                <w:color w:val="auto"/>
              </w:rPr>
            </w:pPr>
            <w:r>
              <w:rPr>
                <w:rFonts w:ascii="Arial" w:cs="Arial" w:eastAsia="Arial" w:hAnsi="Arial"/>
                <w:sz w:val="14"/>
                <w:szCs w:val="14"/>
                <w:b w:val="1"/>
                <w:bCs w:val="1"/>
                <w:i w:val="1"/>
                <w:iCs w:val="1"/>
                <w:color w:val="auto"/>
                <w:w w:val="76"/>
              </w:rPr>
              <w:t>2015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100" w:type="dxa"/>
            <w:vAlign w:val="bottom"/>
          </w:tcPr>
          <w:p>
            <w:pPr>
              <w:spacing w:after="0"/>
              <w:rPr>
                <w:sz w:val="13"/>
                <w:szCs w:val="13"/>
                <w:color w:val="auto"/>
              </w:rPr>
            </w:pPr>
          </w:p>
        </w:tc>
        <w:tc>
          <w:tcPr>
            <w:tcW w:w="700" w:type="dxa"/>
            <w:vAlign w:val="bottom"/>
            <w:gridSpan w:val="7"/>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6"/>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5"/>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U.S.</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$3,713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3,343</w:t>
            </w:r>
          </w:p>
        </w:tc>
        <w:tc>
          <w:tcPr>
            <w:tcW w:w="800" w:type="dxa"/>
            <w:vAlign w:val="bottom"/>
            <w:gridSpan w:val="9"/>
          </w:tcPr>
          <w:p>
            <w:pPr>
              <w:jc w:val="right"/>
              <w:spacing w:after="0"/>
              <w:rPr>
                <w:sz w:val="20"/>
                <w:szCs w:val="20"/>
                <w:color w:val="auto"/>
              </w:rPr>
            </w:pPr>
            <w:r>
              <w:rPr>
                <w:rFonts w:ascii="Arial" w:cs="Arial" w:eastAsia="Arial" w:hAnsi="Arial"/>
                <w:sz w:val="18"/>
                <w:szCs w:val="18"/>
                <w:color w:val="auto"/>
              </w:rPr>
              <w:t>$11,032</w:t>
            </w:r>
          </w:p>
        </w:tc>
        <w:tc>
          <w:tcPr>
            <w:tcW w:w="780" w:type="dxa"/>
            <w:vAlign w:val="bottom"/>
            <w:gridSpan w:val="8"/>
          </w:tcPr>
          <w:p>
            <w:pPr>
              <w:jc w:val="right"/>
              <w:spacing w:after="0"/>
              <w:rPr>
                <w:sz w:val="20"/>
                <w:szCs w:val="20"/>
                <w:color w:val="auto"/>
              </w:rPr>
            </w:pPr>
            <w:r>
              <w:rPr>
                <w:rFonts w:ascii="Arial" w:cs="Arial" w:eastAsia="Arial" w:hAnsi="Arial"/>
                <w:sz w:val="18"/>
                <w:szCs w:val="18"/>
                <w:color w:val="auto"/>
              </w:rPr>
              <w:t>$10,215</w:t>
            </w:r>
          </w:p>
        </w:tc>
      </w:tr>
      <w:tr>
        <w:trPr>
          <w:trHeight w:val="205"/>
        </w:trPr>
        <w:tc>
          <w:tcPr>
            <w:tcW w:w="34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680" w:type="dxa"/>
            <w:vAlign w:val="bottom"/>
            <w:gridSpan w:val="2"/>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5,490</w:t>
            </w:r>
          </w:p>
        </w:tc>
        <w:tc>
          <w:tcPr>
            <w:tcW w:w="320" w:type="dxa"/>
            <w:vAlign w:val="bottom"/>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7,451</w:t>
            </w:r>
          </w:p>
        </w:tc>
        <w:tc>
          <w:tcPr>
            <w:tcW w:w="220" w:type="dxa"/>
            <w:vAlign w:val="bottom"/>
            <w:gridSpan w:val="2"/>
          </w:tcPr>
          <w:p>
            <w:pPr>
              <w:spacing w:after="0"/>
              <w:rPr>
                <w:sz w:val="17"/>
                <w:szCs w:val="17"/>
                <w:color w:val="auto"/>
              </w:rPr>
            </w:pPr>
          </w:p>
        </w:tc>
        <w:tc>
          <w:tcPr>
            <w:tcW w:w="58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19,918</w:t>
            </w:r>
          </w:p>
        </w:tc>
        <w:tc>
          <w:tcPr>
            <w:tcW w:w="220" w:type="dxa"/>
            <w:vAlign w:val="bottom"/>
            <w:gridSpan w:val="2"/>
          </w:tcPr>
          <w:p>
            <w:pPr>
              <w:spacing w:after="0"/>
              <w:rPr>
                <w:sz w:val="17"/>
                <w:szCs w:val="17"/>
                <w:color w:val="auto"/>
              </w:rPr>
            </w:pPr>
          </w:p>
        </w:tc>
        <w:tc>
          <w:tcPr>
            <w:tcW w:w="56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w w:val="98"/>
              </w:rPr>
              <w:t>21,719</w:t>
            </w:r>
          </w:p>
        </w:tc>
      </w:tr>
      <w:tr>
        <w:trPr>
          <w:trHeight w:val="223"/>
        </w:trPr>
        <w:tc>
          <w:tcPr>
            <w:tcW w:w="3400" w:type="dxa"/>
            <w:vAlign w:val="bottom"/>
          </w:tcPr>
          <w:p>
            <w:pPr>
              <w:spacing w:after="0"/>
              <w:rPr>
                <w:sz w:val="19"/>
                <w:szCs w:val="19"/>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9,203</w:t>
            </w:r>
          </w:p>
        </w:tc>
        <w:tc>
          <w:tcPr>
            <w:tcW w:w="3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10,794</w:t>
            </w:r>
          </w:p>
        </w:tc>
        <w:tc>
          <w:tcPr>
            <w:tcW w:w="80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30,950</w:t>
            </w:r>
          </w:p>
        </w:tc>
        <w:tc>
          <w:tcPr>
            <w:tcW w:w="78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31,934</w:t>
            </w:r>
          </w:p>
        </w:tc>
      </w:tr>
      <w:tr>
        <w:trPr>
          <w:trHeight w:val="20"/>
        </w:trPr>
        <w:tc>
          <w:tcPr>
            <w:tcW w:w="3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452"/>
        </w:trPr>
        <w:tc>
          <w:tcPr>
            <w:tcW w:w="3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8"/>
          </w:tcPr>
          <w:p>
            <w:pPr>
              <w:jc w:val="center"/>
              <w:ind w:right="80"/>
              <w:spacing w:after="0"/>
              <w:rPr>
                <w:sz w:val="20"/>
                <w:szCs w:val="20"/>
                <w:color w:val="auto"/>
              </w:rPr>
            </w:pPr>
            <w:r>
              <w:rPr>
                <w:rFonts w:ascii="Arial" w:cs="Arial" w:eastAsia="Arial" w:hAnsi="Arial"/>
                <w:sz w:val="14"/>
                <w:szCs w:val="14"/>
                <w:b w:val="1"/>
                <w:bCs w:val="1"/>
                <w:i w:val="1"/>
                <w:iCs w:val="1"/>
                <w:color w:val="auto"/>
                <w:w w:val="79"/>
              </w:rPr>
              <w:t>Sept. 30,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6"/>
          </w:tcPr>
          <w:p>
            <w:pPr>
              <w:jc w:val="center"/>
              <w:ind w:right="10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3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7"/>
          </w:tcPr>
          <w:p>
            <w:pPr>
              <w:jc w:val="right"/>
              <w:ind w:right="52"/>
              <w:spacing w:after="0"/>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6"/>
          </w:tcPr>
          <w:p>
            <w:pPr>
              <w:jc w:val="right"/>
              <w:ind w:right="120"/>
              <w:spacing w:after="0"/>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U.S.</w:t>
            </w: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9"/>
          </w:tcPr>
          <w:p>
            <w:pPr>
              <w:jc w:val="right"/>
              <w:spacing w:after="0"/>
              <w:rPr>
                <w:sz w:val="20"/>
                <w:szCs w:val="20"/>
                <w:color w:val="auto"/>
              </w:rPr>
            </w:pPr>
            <w:r>
              <w:rPr>
                <w:rFonts w:ascii="Arial" w:cs="Arial" w:eastAsia="Arial" w:hAnsi="Arial"/>
                <w:sz w:val="18"/>
                <w:szCs w:val="18"/>
                <w:color w:val="auto"/>
              </w:rPr>
              <w:t>$  833</w:t>
            </w:r>
          </w:p>
        </w:tc>
        <w:tc>
          <w:tcPr>
            <w:tcW w:w="780" w:type="dxa"/>
            <w:vAlign w:val="bottom"/>
            <w:gridSpan w:val="8"/>
          </w:tcPr>
          <w:p>
            <w:pPr>
              <w:jc w:val="right"/>
              <w:spacing w:after="0"/>
              <w:rPr>
                <w:sz w:val="20"/>
                <w:szCs w:val="20"/>
                <w:color w:val="auto"/>
              </w:rPr>
            </w:pPr>
            <w:r>
              <w:rPr>
                <w:rFonts w:ascii="Arial" w:cs="Arial" w:eastAsia="Arial" w:hAnsi="Arial"/>
                <w:sz w:val="18"/>
                <w:szCs w:val="18"/>
                <w:color w:val="auto"/>
              </w:rPr>
              <w:t>$  621</w:t>
            </w:r>
          </w:p>
        </w:tc>
      </w:tr>
      <w:tr>
        <w:trPr>
          <w:trHeight w:val="205"/>
        </w:trPr>
        <w:tc>
          <w:tcPr>
            <w:tcW w:w="34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5"/>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348</w:t>
            </w:r>
          </w:p>
        </w:tc>
        <w:tc>
          <w:tcPr>
            <w:tcW w:w="300" w:type="dxa"/>
            <w:vAlign w:val="bottom"/>
            <w:gridSpan w:val="3"/>
          </w:tcPr>
          <w:p>
            <w:pPr>
              <w:spacing w:after="0"/>
              <w:rPr>
                <w:sz w:val="17"/>
                <w:szCs w:val="17"/>
                <w:color w:val="auto"/>
              </w:rPr>
            </w:pPr>
          </w:p>
        </w:tc>
        <w:tc>
          <w:tcPr>
            <w:tcW w:w="48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647</w:t>
            </w:r>
          </w:p>
        </w:tc>
      </w:tr>
      <w:tr>
        <w:trPr>
          <w:trHeight w:val="223"/>
        </w:trPr>
        <w:tc>
          <w:tcPr>
            <w:tcW w:w="3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1,181</w:t>
            </w:r>
          </w:p>
        </w:tc>
        <w:tc>
          <w:tcPr>
            <w:tcW w:w="300" w:type="dxa"/>
            <w:vAlign w:val="bottom"/>
            <w:gridSpan w:val="3"/>
          </w:tcPr>
          <w:p>
            <w:pPr>
              <w:spacing w:after="0"/>
              <w:rPr>
                <w:sz w:val="19"/>
                <w:szCs w:val="19"/>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1,268</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91"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pursuant to a newly authorized stock repurchase plan. Repurchases may also be made under a Rule 10b5-1 plan to be entered into with RW Baird &amp; Co, which would permit shares to be</w:t>
      </w:r>
    </w:p>
    <w:p>
      <w:pPr>
        <w:sectPr>
          <w:pgSz w:w="11900" w:h="16945" w:orient="portrait"/>
          <w:cols w:equalWidth="0" w:num="1">
            <w:col w:w="11260"/>
          </w:cols>
          <w:pgMar w:left="240" w:top="131" w:right="399" w:bottom="0" w:gutter="0" w:footer="0" w:header="0"/>
        </w:sectPr>
      </w:pPr>
    </w:p>
    <w:bookmarkStart w:id="11" w:name="page12"/>
    <w:bookmarkEnd w:id="11"/>
    <w:p>
      <w:pPr>
        <w:ind w:left="520"/>
        <w:spacing w:after="0" w:line="298" w:lineRule="auto"/>
        <w:rPr>
          <w:sz w:val="20"/>
          <w:szCs w:val="20"/>
          <w:color w:val="auto"/>
        </w:rPr>
      </w:pPr>
      <w:r>
        <w:rPr>
          <w:rFonts w:ascii="Arial" w:cs="Arial" w:eastAsia="Arial" w:hAnsi="Arial"/>
          <w:sz w:val="16"/>
          <w:szCs w:val="16"/>
          <w:color w:val="auto"/>
        </w:rPr>
        <w:t>repurchased when we might otherwise be precluded from doing so under insider trading laws. The timing and amount of any shares repurchased under the 2015 Repurchase Plan will be determined by our management, based on our evaluation of market conditions and other factors. The 2015 Repurchase Plan does not obligate us to purchase any particular amount of common stock and may be suspended or discontinued at any time without prior notice. The 2015 Repurchase Plan will be funded using our operating cash flow or available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2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2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2014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2014 Form 10-K. Material changes to such risk factors may be reported in subsequent Quarterly Reports on Form 10-Q in Part II, Item 1A. There have been no such changes from the risk factors set forth in our 2014 Form 10-K, except as detailed in Part II, Item 1A of this Report.</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2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20"/>
        <w:spacing w:after="0" w:line="307"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520" w:right="340"/>
        <w:spacing w:after="0" w:line="294" w:lineRule="auto"/>
        <w:rPr>
          <w:sz w:val="20"/>
          <w:szCs w:val="20"/>
          <w:color w:val="auto"/>
        </w:rPr>
      </w:pPr>
      <w:r>
        <w:rPr>
          <w:rFonts w:ascii="Arial" w:cs="Arial" w:eastAsia="Arial" w:hAnsi="Arial"/>
          <w:sz w:val="16"/>
          <w:szCs w:val="16"/>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However, because we are a relatively new market entrant in these markets, we have not yet developed meaningful market shares in these non-ATE markets. Consequently, we are continuing to evaluate customer buying patterns and market trends in these non-ATE markets.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80"/>
          </w:cols>
          <w:pgMar w:left="260" w:top="131" w:right="259"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inTEST CORPORATION</w:t>
      </w:r>
    </w:p>
    <w:p>
      <w:pPr>
        <w:sectPr>
          <w:pgSz w:w="11900" w:h="16838" w:orient="portrait"/>
          <w:cols w:equalWidth="0" w:num="1">
            <w:col w:w="11380"/>
          </w:cols>
          <w:pgMar w:left="260" w:top="131" w:right="259" w:bottom="0" w:gutter="0" w:footer="0" w:header="0"/>
          <w:type w:val="continuous"/>
        </w:sectPr>
      </w:pPr>
    </w:p>
    <w:bookmarkStart w:id="12" w:name="page13"/>
    <w:bookmarkEnd w:id="12"/>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In addition, our orders and net revenues in any given period in these markets do not necessarily reflect the overall trends in these non-ATE markets due to our limited market shares. The level of our orders and net revenues from these non-ATE markets has varied in the past, and we expect will vary significantly in the future, as we work to build our presence in these markets and establish new markets for our products.</w:t>
      </w:r>
    </w:p>
    <w:p>
      <w:pPr>
        <w:spacing w:after="0" w:line="16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as well as to manufacture in-house certain products we have historically sold to them, including manipulators and docking hardware,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78"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9"/>
              </w:rPr>
              <w:t>Three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center"/>
              <w:ind w:right="600"/>
              <w:spacing w:after="0"/>
              <w:rPr>
                <w:sz w:val="20"/>
                <w:szCs w:val="20"/>
                <w:color w:val="auto"/>
              </w:rPr>
            </w:pPr>
            <w:r>
              <w:rPr>
                <w:rFonts w:ascii="Arial" w:cs="Arial" w:eastAsia="Arial" w:hAnsi="Arial"/>
                <w:sz w:val="14"/>
                <w:szCs w:val="14"/>
                <w:b w:val="1"/>
                <w:bCs w:val="1"/>
                <w:i w:val="1"/>
                <w:iCs w:val="1"/>
                <w:color w:val="auto"/>
                <w:w w:val="89"/>
              </w:rPr>
              <w:t>Three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540" w:type="dxa"/>
            <w:vAlign w:val="bottom"/>
          </w:tcPr>
          <w:p>
            <w:pPr>
              <w:spacing w:after="0"/>
              <w:rPr>
                <w:sz w:val="12"/>
                <w:szCs w:val="12"/>
                <w:color w:val="auto"/>
              </w:rPr>
            </w:pPr>
          </w:p>
        </w:tc>
        <w:tc>
          <w:tcPr>
            <w:tcW w:w="1320" w:type="dxa"/>
            <w:vAlign w:val="bottom"/>
            <w:gridSpan w:val="9"/>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540" w:type="dxa"/>
            <w:vAlign w:val="bottom"/>
          </w:tcPr>
          <w:p>
            <w:pPr>
              <w:spacing w:after="0"/>
              <w:rPr>
                <w:sz w:val="12"/>
                <w:szCs w:val="12"/>
                <w:color w:val="auto"/>
              </w:rPr>
            </w:pPr>
          </w:p>
        </w:tc>
        <w:tc>
          <w:tcPr>
            <w:tcW w:w="960" w:type="dxa"/>
            <w:vAlign w:val="bottom"/>
            <w:tcBorders>
              <w:bottom w:val="single" w:sz="8" w:color="auto"/>
            </w:tcBorders>
            <w:gridSpan w:val="7"/>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3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4"/>
          </w:tcPr>
          <w:p>
            <w:pPr>
              <w:ind w:left="16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3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5"/>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80" w:type="dxa"/>
            <w:vAlign w:val="bottom"/>
          </w:tcPr>
          <w:p>
            <w:pPr>
              <w:spacing w:after="0"/>
              <w:rPr>
                <w:sz w:val="12"/>
                <w:szCs w:val="12"/>
                <w:color w:val="auto"/>
              </w:rPr>
            </w:pPr>
          </w:p>
        </w:tc>
        <w:tc>
          <w:tcPr>
            <w:tcW w:w="700" w:type="dxa"/>
            <w:vAlign w:val="bottom"/>
            <w:tcBorders>
              <w:bottom w:val="single" w:sz="8" w:color="auto"/>
            </w:tcBorders>
            <w:gridSpan w:val="4"/>
          </w:tcPr>
          <w:p>
            <w:pPr>
              <w:ind w:left="1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40" w:type="dxa"/>
            <w:vAlign w:val="bottom"/>
            <w:gridSpan w:val="2"/>
          </w:tcPr>
          <w:p>
            <w:pPr>
              <w:spacing w:after="0"/>
              <w:rPr>
                <w:sz w:val="12"/>
                <w:szCs w:val="12"/>
                <w:color w:val="auto"/>
              </w:rPr>
            </w:pPr>
          </w:p>
        </w:tc>
      </w:tr>
      <w:tr>
        <w:trPr>
          <w:trHeight w:val="223"/>
        </w:trPr>
        <w:tc>
          <w:tcPr>
            <w:tcW w:w="3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9"/>
              </w:rPr>
              <w:t>2014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3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9"/>
                <w:szCs w:val="19"/>
                <w:color w:val="auto"/>
              </w:rPr>
            </w:pPr>
          </w:p>
        </w:tc>
        <w:tc>
          <w:tcPr>
            <w:tcW w:w="52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center"/>
              <w:ind w:right="100"/>
              <w:spacing w:after="0"/>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ind w:right="177"/>
              <w:spacing w:after="0"/>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spacing w:after="0"/>
              <w:rPr>
                <w:sz w:val="19"/>
                <w:szCs w:val="19"/>
                <w:color w:val="auto"/>
              </w:rPr>
            </w:pPr>
          </w:p>
        </w:tc>
      </w:tr>
      <w:tr>
        <w:trPr>
          <w:trHeight w:val="235"/>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$5,634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6,504</w:t>
            </w: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w w:val="93"/>
              </w:rPr>
              <w:t>$  (870) (13)%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6,064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77"/>
              </w:rPr>
              <w:t>$ (430)</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1,323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2,307</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(984)</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1"/>
              </w:rPr>
              <w:t>(30)%</w:t>
            </w:r>
          </w:p>
        </w:tc>
      </w:tr>
      <w:tr>
        <w:trPr>
          <w:trHeight w:val="205"/>
        </w:trPr>
        <w:tc>
          <w:tcPr>
            <w:tcW w:w="35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7"/>
              </w:rPr>
              <w:t>1,448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1,836</w:t>
            </w:r>
          </w:p>
        </w:tc>
        <w:tc>
          <w:tcPr>
            <w:tcW w:w="200" w:type="dxa"/>
            <w:vAlign w:val="bottom"/>
          </w:tcPr>
          <w:p>
            <w:pPr>
              <w:spacing w:after="0"/>
              <w:rPr>
                <w:sz w:val="17"/>
                <w:szCs w:val="17"/>
                <w:color w:val="auto"/>
              </w:rPr>
            </w:pPr>
          </w:p>
        </w:tc>
        <w:tc>
          <w:tcPr>
            <w:tcW w:w="6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(388)</w:t>
            </w:r>
          </w:p>
        </w:tc>
        <w:tc>
          <w:tcPr>
            <w:tcW w:w="52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2,337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(889)</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1"/>
              </w:rPr>
              <w:t>(38)%</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23"/>
        </w:trPr>
        <w:tc>
          <w:tcPr>
            <w:tcW w:w="3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8,405</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10,647</w:t>
            </w:r>
          </w:p>
        </w:tc>
        <w:tc>
          <w:tcPr>
            <w:tcW w:w="200" w:type="dxa"/>
            <w:vAlign w:val="bottom"/>
          </w:tcPr>
          <w:p>
            <w:pPr>
              <w:spacing w:after="0"/>
              <w:rPr>
                <w:sz w:val="19"/>
                <w:szCs w:val="19"/>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(2,242) (21)%</w:t>
            </w:r>
          </w:p>
        </w:tc>
        <w:tc>
          <w:tcPr>
            <w:tcW w:w="2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10,286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(1,881) (18)%</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505"/>
        </w:trPr>
        <w:tc>
          <w:tcPr>
            <w:tcW w:w="3540" w:type="dxa"/>
            <w:vAlign w:val="bottom"/>
          </w:tcPr>
          <w:p>
            <w:pPr>
              <w:spacing w:after="0"/>
              <w:rPr>
                <w:sz w:val="20"/>
                <w:szCs w:val="20"/>
                <w:color w:val="auto"/>
              </w:rPr>
            </w:pPr>
            <w:r>
              <w:rPr>
                <w:rFonts w:ascii="Arial" w:cs="Arial" w:eastAsia="Arial" w:hAnsi="Arial"/>
                <w:sz w:val="18"/>
                <w:szCs w:val="18"/>
                <w:color w:val="auto"/>
              </w:rPr>
              <w:t>ATE market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$5,053</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6,640</w:t>
            </w:r>
          </w:p>
        </w:tc>
        <w:tc>
          <w:tcPr>
            <w:tcW w:w="200" w:type="dxa"/>
            <w:vAlign w:val="bottom"/>
          </w:tcPr>
          <w:p>
            <w:pPr>
              <w:spacing w:after="0"/>
              <w:rPr>
                <w:sz w:val="24"/>
                <w:szCs w:val="24"/>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w w:val="89"/>
              </w:rPr>
              <w:t>$(1,587) (24)%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7,646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color w:val="auto"/>
                <w:w w:val="76"/>
              </w:rPr>
              <w:t>$(2,593) (34)%</w:t>
            </w:r>
          </w:p>
        </w:tc>
      </w:tr>
      <w:tr>
        <w:trPr>
          <w:trHeight w:val="205"/>
        </w:trPr>
        <w:tc>
          <w:tcPr>
            <w:tcW w:w="35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4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7"/>
              </w:rPr>
              <w:t>3,352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4,007</w:t>
            </w:r>
          </w:p>
        </w:tc>
        <w:tc>
          <w:tcPr>
            <w:tcW w:w="200" w:type="dxa"/>
            <w:vAlign w:val="bottom"/>
          </w:tcPr>
          <w:p>
            <w:pPr>
              <w:spacing w:after="0"/>
              <w:rPr>
                <w:sz w:val="17"/>
                <w:szCs w:val="17"/>
                <w:color w:val="auto"/>
              </w:rPr>
            </w:pPr>
          </w:p>
        </w:tc>
        <w:tc>
          <w:tcPr>
            <w:tcW w:w="1140" w:type="dxa"/>
            <w:vAlign w:val="bottom"/>
            <w:gridSpan w:val="7"/>
          </w:tcPr>
          <w:p>
            <w:pPr>
              <w:jc w:val="right"/>
              <w:ind w:right="40"/>
              <w:spacing w:after="0" w:line="205" w:lineRule="exact"/>
              <w:rPr>
                <w:sz w:val="20"/>
                <w:szCs w:val="20"/>
                <w:color w:val="auto"/>
              </w:rPr>
            </w:pPr>
            <w:r>
              <w:rPr>
                <w:rFonts w:ascii="Arial" w:cs="Arial" w:eastAsia="Arial" w:hAnsi="Arial"/>
                <w:sz w:val="18"/>
                <w:szCs w:val="18"/>
                <w:color w:val="auto"/>
              </w:rPr>
              <w:t>(655) (16)%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2,640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712</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27 %</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23"/>
        </w:trPr>
        <w:tc>
          <w:tcPr>
            <w:tcW w:w="3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8,405</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10,647</w:t>
            </w:r>
          </w:p>
        </w:tc>
        <w:tc>
          <w:tcPr>
            <w:tcW w:w="200" w:type="dxa"/>
            <w:vAlign w:val="bottom"/>
          </w:tcPr>
          <w:p>
            <w:pPr>
              <w:spacing w:after="0"/>
              <w:rPr>
                <w:sz w:val="19"/>
                <w:szCs w:val="19"/>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(2,242) (21)%</w:t>
            </w:r>
          </w:p>
        </w:tc>
        <w:tc>
          <w:tcPr>
            <w:tcW w:w="2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10,286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(1,881) (18)%</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6"/>
          </w:tcPr>
          <w:p>
            <w:pPr>
              <w:jc w:val="center"/>
              <w:ind w:right="760"/>
              <w:spacing w:after="0"/>
              <w:rPr>
                <w:sz w:val="20"/>
                <w:szCs w:val="20"/>
                <w:color w:val="auto"/>
              </w:rPr>
            </w:pPr>
            <w:r>
              <w:rPr>
                <w:rFonts w:ascii="Arial" w:cs="Arial" w:eastAsia="Arial" w:hAnsi="Arial"/>
                <w:sz w:val="14"/>
                <w:szCs w:val="14"/>
                <w:b w:val="1"/>
                <w:bCs w:val="1"/>
                <w:i w:val="1"/>
                <w:iCs w:val="1"/>
                <w:color w:val="auto"/>
                <w:w w:val="92"/>
              </w:rPr>
              <w:t>Nine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1420" w:type="dxa"/>
            <w:vAlign w:val="bottom"/>
            <w:gridSpan w:val="7"/>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6"/>
        </w:trPr>
        <w:tc>
          <w:tcPr>
            <w:tcW w:w="3720" w:type="dxa"/>
            <w:vAlign w:val="bottom"/>
          </w:tcPr>
          <w:p>
            <w:pPr>
              <w:spacing w:after="0"/>
              <w:rPr>
                <w:sz w:val="12"/>
                <w:szCs w:val="12"/>
                <w:color w:val="auto"/>
              </w:rPr>
            </w:pPr>
          </w:p>
        </w:tc>
        <w:tc>
          <w:tcPr>
            <w:tcW w:w="92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5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gridSpan w:val="3"/>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23"/>
        </w:trPr>
        <w:tc>
          <w:tcPr>
            <w:tcW w:w="3720" w:type="dxa"/>
            <w:vAlign w:val="bottom"/>
          </w:tcPr>
          <w:p>
            <w:pPr>
              <w:spacing w:after="0"/>
              <w:rPr>
                <w:sz w:val="19"/>
                <w:szCs w:val="19"/>
                <w:color w:val="auto"/>
              </w:rPr>
            </w:pPr>
          </w:p>
        </w:tc>
        <w:tc>
          <w:tcPr>
            <w:tcW w:w="440" w:type="dxa"/>
            <w:vAlign w:val="bottom"/>
            <w:gridSpan w:val="2"/>
          </w:tcPr>
          <w:p>
            <w:pPr>
              <w:jc w:val="right"/>
              <w:ind w:right="112"/>
              <w:spacing w:after="0"/>
              <w:rPr>
                <w:sz w:val="20"/>
                <w:szCs w:val="20"/>
                <w:color w:val="auto"/>
              </w:rPr>
            </w:pPr>
            <w:r>
              <w:rPr>
                <w:rFonts w:ascii="Arial" w:cs="Arial" w:eastAsia="Arial" w:hAnsi="Arial"/>
                <w:sz w:val="14"/>
                <w:szCs w:val="14"/>
                <w:b w:val="1"/>
                <w:bCs w:val="1"/>
                <w:i w:val="1"/>
                <w:iCs w:val="1"/>
                <w:color w:val="auto"/>
                <w:w w:val="76"/>
              </w:rPr>
              <w:t>2015</w:t>
            </w:r>
          </w:p>
        </w:tc>
        <w:tc>
          <w:tcPr>
            <w:tcW w:w="700" w:type="dxa"/>
            <w:vAlign w:val="bottom"/>
            <w:gridSpan w:val="4"/>
          </w:tcPr>
          <w:p>
            <w:pPr>
              <w:jc w:val="right"/>
              <w:ind w:right="200"/>
              <w:spacing w:after="0"/>
              <w:rPr>
                <w:sz w:val="20"/>
                <w:szCs w:val="20"/>
                <w:color w:val="auto"/>
              </w:rPr>
            </w:pPr>
            <w:r>
              <w:rPr>
                <w:rFonts w:ascii="Arial" w:cs="Arial" w:eastAsia="Arial" w:hAnsi="Arial"/>
                <w:sz w:val="14"/>
                <w:szCs w:val="14"/>
                <w:b w:val="1"/>
                <w:bCs w:val="1"/>
                <w:i w:val="1"/>
                <w:iCs w:val="1"/>
                <w:color w:val="auto"/>
              </w:rPr>
              <w:t>2014</w:t>
            </w:r>
          </w:p>
        </w:tc>
        <w:tc>
          <w:tcPr>
            <w:tcW w:w="280" w:type="dxa"/>
            <w:vAlign w:val="bottom"/>
          </w:tcPr>
          <w:p>
            <w:pPr>
              <w:spacing w:after="0"/>
              <w:rPr>
                <w:sz w:val="19"/>
                <w:szCs w:val="19"/>
                <w:color w:val="auto"/>
              </w:rPr>
            </w:pPr>
          </w:p>
        </w:tc>
        <w:tc>
          <w:tcPr>
            <w:tcW w:w="520" w:type="dxa"/>
            <w:vAlign w:val="bottom"/>
            <w:gridSpan w:val="2"/>
          </w:tcPr>
          <w:p>
            <w:pPr>
              <w:jc w:val="right"/>
              <w:ind w:right="25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4"/>
          </w:tcPr>
          <w:p>
            <w:pPr>
              <w:jc w:val="right"/>
              <w:ind w:right="20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Thermal Products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72"/>
              </w:rPr>
              <w:t>$18,131</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rPr>
              <w:t>$18,244</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  (113)</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Mechanical Products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5,742</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rPr>
              <w:t>9,449</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(3,707)</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1"/>
              </w:rPr>
              <w:t>(39)%</w:t>
            </w:r>
          </w:p>
        </w:tc>
      </w:tr>
      <w:tr>
        <w:trPr>
          <w:trHeight w:val="205"/>
        </w:trPr>
        <w:tc>
          <w:tcPr>
            <w:tcW w:w="37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3"/>
              </w:rPr>
              <w:t>6,249</w:t>
            </w:r>
          </w:p>
        </w:tc>
        <w:tc>
          <w:tcPr>
            <w:tcW w:w="220" w:type="dxa"/>
            <w:vAlign w:val="bottom"/>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5,755</w:t>
            </w:r>
          </w:p>
        </w:tc>
        <w:tc>
          <w:tcPr>
            <w:tcW w:w="280" w:type="dxa"/>
            <w:vAlign w:val="bottom"/>
          </w:tcPr>
          <w:p>
            <w:pPr>
              <w:spacing w:after="0"/>
              <w:rPr>
                <w:sz w:val="17"/>
                <w:szCs w:val="17"/>
                <w:color w:val="auto"/>
              </w:rPr>
            </w:pPr>
          </w:p>
        </w:tc>
        <w:tc>
          <w:tcPr>
            <w:tcW w:w="5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494</w:t>
            </w:r>
          </w:p>
        </w:tc>
        <w:tc>
          <w:tcPr>
            <w:tcW w:w="100" w:type="dxa"/>
            <w:vAlign w:val="bottom"/>
          </w:tcPr>
          <w:p>
            <w:pPr>
              <w:spacing w:after="0"/>
              <w:rPr>
                <w:sz w:val="17"/>
                <w:szCs w:val="17"/>
                <w:color w:val="auto"/>
              </w:rPr>
            </w:pP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9 %</w:t>
            </w:r>
          </w:p>
        </w:tc>
      </w:tr>
      <w:tr>
        <w:trPr>
          <w:trHeight w:val="223"/>
        </w:trPr>
        <w:tc>
          <w:tcPr>
            <w:tcW w:w="37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30,122</w:t>
            </w:r>
          </w:p>
        </w:tc>
        <w:tc>
          <w:tcPr>
            <w:tcW w:w="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33,448</w:t>
            </w:r>
          </w:p>
        </w:tc>
        <w:tc>
          <w:tcPr>
            <w:tcW w:w="280" w:type="dxa"/>
            <w:vAlign w:val="bottom"/>
          </w:tcPr>
          <w:p>
            <w:pPr>
              <w:spacing w:after="0"/>
              <w:rPr>
                <w:sz w:val="19"/>
                <w:szCs w:val="19"/>
                <w:color w:val="auto"/>
              </w:rPr>
            </w:pPr>
          </w:p>
        </w:tc>
        <w:tc>
          <w:tcPr>
            <w:tcW w:w="110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(3,326) (10)%</w:t>
            </w:r>
          </w:p>
        </w:tc>
      </w:tr>
      <w:tr>
        <w:trPr>
          <w:trHeight w:val="20"/>
        </w:trPr>
        <w:tc>
          <w:tcPr>
            <w:tcW w:w="372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505"/>
        </w:trPr>
        <w:tc>
          <w:tcPr>
            <w:tcW w:w="3720" w:type="dxa"/>
            <w:vAlign w:val="bottom"/>
          </w:tcPr>
          <w:p>
            <w:pPr>
              <w:spacing w:after="0"/>
              <w:rPr>
                <w:sz w:val="20"/>
                <w:szCs w:val="20"/>
                <w:color w:val="auto"/>
              </w:rPr>
            </w:pPr>
            <w:r>
              <w:rPr>
                <w:rFonts w:ascii="Arial" w:cs="Arial" w:eastAsia="Arial" w:hAnsi="Arial"/>
                <w:sz w:val="18"/>
                <w:szCs w:val="18"/>
                <w:color w:val="auto"/>
              </w:rPr>
              <w:t>ATE market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72"/>
              </w:rPr>
              <w:t>$21,996</w:t>
            </w:r>
          </w:p>
        </w:tc>
        <w:tc>
          <w:tcPr>
            <w:tcW w:w="2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70"/>
              </w:rPr>
              <w:t>$23,901</w:t>
            </w:r>
          </w:p>
        </w:tc>
        <w:tc>
          <w:tcPr>
            <w:tcW w:w="28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$(1,905)</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05"/>
        </w:trPr>
        <w:tc>
          <w:tcPr>
            <w:tcW w:w="372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44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3"/>
              </w:rPr>
              <w:t>8,126</w:t>
            </w:r>
          </w:p>
        </w:tc>
        <w:tc>
          <w:tcPr>
            <w:tcW w:w="2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9,547</w:t>
            </w:r>
          </w:p>
        </w:tc>
        <w:tc>
          <w:tcPr>
            <w:tcW w:w="280" w:type="dxa"/>
            <w:vAlign w:val="bottom"/>
          </w:tcPr>
          <w:p>
            <w:pPr>
              <w:spacing w:after="0"/>
              <w:rPr>
                <w:sz w:val="17"/>
                <w:szCs w:val="17"/>
                <w:color w:val="auto"/>
              </w:rPr>
            </w:pPr>
          </w:p>
        </w:tc>
        <w:tc>
          <w:tcPr>
            <w:tcW w:w="1100" w:type="dxa"/>
            <w:vAlign w:val="bottom"/>
            <w:gridSpan w:val="8"/>
          </w:tcPr>
          <w:p>
            <w:pPr>
              <w:jc w:val="right"/>
              <w:spacing w:after="0" w:line="205" w:lineRule="exact"/>
              <w:rPr>
                <w:sz w:val="20"/>
                <w:szCs w:val="20"/>
                <w:color w:val="auto"/>
              </w:rPr>
            </w:pPr>
            <w:r>
              <w:rPr>
                <w:rFonts w:ascii="Arial" w:cs="Arial" w:eastAsia="Arial" w:hAnsi="Arial"/>
                <w:sz w:val="18"/>
                <w:szCs w:val="18"/>
                <w:color w:val="auto"/>
                <w:w w:val="98"/>
              </w:rPr>
              <w:t>(1,421) (15)%</w:t>
            </w:r>
          </w:p>
        </w:tc>
      </w:tr>
      <w:tr>
        <w:trPr>
          <w:trHeight w:val="20"/>
        </w:trPr>
        <w:tc>
          <w:tcPr>
            <w:tcW w:w="372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30,122</w:t>
            </w:r>
          </w:p>
        </w:tc>
        <w:tc>
          <w:tcPr>
            <w:tcW w:w="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33,448</w:t>
            </w:r>
          </w:p>
        </w:tc>
        <w:tc>
          <w:tcPr>
            <w:tcW w:w="280" w:type="dxa"/>
            <w:vAlign w:val="bottom"/>
          </w:tcPr>
          <w:p>
            <w:pPr>
              <w:spacing w:after="0"/>
              <w:rPr>
                <w:sz w:val="19"/>
                <w:szCs w:val="19"/>
                <w:color w:val="auto"/>
              </w:rPr>
            </w:pPr>
          </w:p>
        </w:tc>
        <w:tc>
          <w:tcPr>
            <w:tcW w:w="110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(3,326) (10)%</w:t>
            </w:r>
          </w:p>
        </w:tc>
      </w:tr>
      <w:tr>
        <w:trPr>
          <w:trHeight w:val="20"/>
        </w:trPr>
        <w:tc>
          <w:tcPr>
            <w:tcW w:w="37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60"/>
        <w:spacing w:after="0" w:line="370" w:lineRule="auto"/>
        <w:rPr>
          <w:sz w:val="20"/>
          <w:szCs w:val="20"/>
          <w:color w:val="auto"/>
        </w:rPr>
      </w:pPr>
      <w:r>
        <w:rPr>
          <w:rFonts w:ascii="Arial" w:cs="Arial" w:eastAsia="Arial" w:hAnsi="Arial"/>
          <w:sz w:val="15"/>
          <w:szCs w:val="15"/>
          <w:color w:val="auto"/>
        </w:rPr>
        <w:t>Total consolidated orders for the quarter ended September 30, 2015 were $8.4 million compared to $10.6 million for the same period in 2014, reflecting reduced demand in both the ATE and non-ATE markets for all of our product segments. Orders from customers in the ATE market for the quarter ended</w:t>
      </w:r>
    </w:p>
    <w:p>
      <w:pPr>
        <w:sectPr>
          <w:pgSz w:w="11900" w:h="16975" w:orient="portrait"/>
          <w:cols w:equalWidth="0" w:num="1">
            <w:col w:w="11380"/>
          </w:cols>
          <w:pgMar w:left="240" w:top="341" w:right="279" w:bottom="0" w:gutter="0" w:footer="0" w:header="0"/>
        </w:sectPr>
      </w:pPr>
    </w:p>
    <w:bookmarkStart w:id="13" w:name="page14"/>
    <w:bookmarkEnd w:id="13"/>
    <w:p>
      <w:pPr>
        <w:spacing w:after="0" w:line="19"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September 30, 2015 declined 24% on a consolidated basis as compared to the same period in 2014. We believe the reduced level of demand within the ATE market indicates, in part, near-term softness within this market. Furthermore, we believe the larger percentage decline for our Mechanical Products segment reflects that certain of this segment's customers have been on reduced capital spending budgets for much of 2015 which has decreased the amount of new equipment purchases they have been making this year. Orders from customers in various markets outside of the ATE market for the quarter ended September 30, 2015 declined 16% as compared to the same period in 2014, reflecting decreased demand from certain customers in the telecommunications market and, to a lesser extent, certain customers in the defense/aerospace market. As a percent of our total consolidated orders, orders from non-ATE markets were 40% in the third quarter of 2015 compared to 38% for the same period in 2014.</w:t>
      </w:r>
    </w:p>
    <w:p>
      <w:pPr>
        <w:spacing w:after="0" w:line="172"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Total consolidated orders for the quarter ended September 30, 2015 were $8.4 million compared to $10.3 million for the quarter ended June 30, 2015. The decrease in consolidated orders during the third quarter of 2015 as compared to the second quarter of 2015 primarily reflects reduced demand from customers within the ATE market for all three of our product segments. We believe this reduction in demand indicates that the ATE market is experiencing near-term softness, as previously mentioned. Furthermore, we believe this reduction in demand also reflects seasonal shifts in demand within this market. This decrease was partially offset for our Thermal Products segment by an increase in demand from certain of our non-ATE market customers. Orders from customers in non-ATE markets grew by 27% for the quarter ended September 30, 2015 as compared to the quarter ended June 30, 2015. This increase was primarily from customers in the industrial market. As a percent of our total consolidated orders, orders from non-ATE markets were 40% in the third quarter of 2015 compared to 26% for the quarter ended June 30, 2015.</w:t>
      </w:r>
    </w:p>
    <w:p>
      <w:pPr>
        <w:spacing w:after="0" w:line="172" w:lineRule="exact"/>
        <w:rPr>
          <w:sz w:val="20"/>
          <w:szCs w:val="20"/>
          <w:color w:val="auto"/>
        </w:rPr>
      </w:pPr>
    </w:p>
    <w:p>
      <w:pPr>
        <w:ind w:left="540" w:right="420"/>
        <w:spacing w:after="0" w:line="291" w:lineRule="auto"/>
        <w:rPr>
          <w:sz w:val="20"/>
          <w:szCs w:val="20"/>
          <w:color w:val="auto"/>
        </w:rPr>
      </w:pPr>
      <w:r>
        <w:rPr>
          <w:rFonts w:ascii="Arial" w:cs="Arial" w:eastAsia="Arial" w:hAnsi="Arial"/>
          <w:sz w:val="16"/>
          <w:szCs w:val="16"/>
          <w:color w:val="auto"/>
        </w:rPr>
        <w:t>At September 30, 2015, our backlog of unfilled orders for all products was approximately $3.0 million compared with approximately $4.7 million at September 30, 2014 and $3.8 million at June 30, 2015. Our backlog includes customer orders which we have accepted, substantially all of which we expect to deliver in 2015.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3"/>
              </w:rPr>
              <w:t>Three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3"/>
              </w:rPr>
              <w:t>Three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8"/>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80"/>
              <w:spacing w:after="0" w:line="146" w:lineRule="exact"/>
              <w:rPr>
                <w:sz w:val="20"/>
                <w:szCs w:val="20"/>
                <w:color w:val="auto"/>
              </w:rPr>
            </w:pPr>
            <w:r>
              <w:rPr>
                <w:rFonts w:ascii="Arial" w:cs="Arial" w:eastAsia="Arial" w:hAnsi="Arial"/>
                <w:sz w:val="14"/>
                <w:szCs w:val="14"/>
                <w:b w:val="1"/>
                <w:bCs w:val="1"/>
                <w:i w:val="1"/>
                <w:iCs w:val="1"/>
                <w:color w:val="auto"/>
                <w:w w:val="77"/>
              </w:rPr>
              <w:t>Change</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5"/>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gridSpan w:val="4"/>
          </w:tcPr>
          <w:p>
            <w:pPr>
              <w:ind w:left="1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180" w:type="dxa"/>
            <w:vAlign w:val="bottom"/>
          </w:tcPr>
          <w:p>
            <w:pPr>
              <w:spacing w:after="0"/>
              <w:rPr>
                <w:sz w:val="13"/>
                <w:szCs w:val="13"/>
                <w:color w:val="auto"/>
              </w:rPr>
            </w:pPr>
          </w:p>
        </w:tc>
        <w:tc>
          <w:tcPr>
            <w:tcW w:w="520" w:type="dxa"/>
            <w:vAlign w:val="bottom"/>
            <w:gridSpan w:val="2"/>
          </w:tcPr>
          <w:p>
            <w:pPr>
              <w:ind w:left="240"/>
              <w:spacing w:after="0" w:line="155" w:lineRule="exact"/>
              <w:rPr>
                <w:sz w:val="20"/>
                <w:szCs w:val="20"/>
                <w:color w:val="auto"/>
              </w:rPr>
            </w:pPr>
            <w:r>
              <w:rPr>
                <w:rFonts w:ascii="Arial" w:cs="Arial" w:eastAsia="Arial" w:hAnsi="Arial"/>
                <w:sz w:val="14"/>
                <w:szCs w:val="14"/>
                <w:b w:val="1"/>
                <w:bCs w:val="1"/>
                <w:i w:val="1"/>
                <w:iCs w:val="1"/>
                <w:color w:val="auto"/>
                <w:w w:val="83"/>
              </w:rPr>
              <w:t>2014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9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60" w:type="dxa"/>
            <w:vAlign w:val="bottom"/>
          </w:tcPr>
          <w:p>
            <w:pPr>
              <w:spacing w:after="0"/>
              <w:rPr>
                <w:sz w:val="13"/>
                <w:szCs w:val="13"/>
                <w:color w:val="auto"/>
              </w:rPr>
            </w:pPr>
          </w:p>
        </w:tc>
        <w:tc>
          <w:tcPr>
            <w:tcW w:w="200" w:type="dxa"/>
            <w:vAlign w:val="bottom"/>
            <w:gridSpan w:val="3"/>
          </w:tcPr>
          <w:p>
            <w:pPr>
              <w:ind w:left="100"/>
              <w:spacing w:after="0"/>
              <w:rPr>
                <w:sz w:val="20"/>
                <w:szCs w:val="20"/>
                <w:color w:val="auto"/>
              </w:rPr>
            </w:pPr>
            <w:r>
              <w:rPr>
                <w:rFonts w:ascii="Arial" w:cs="Arial" w:eastAsia="Arial" w:hAnsi="Arial"/>
                <w:sz w:val="12"/>
                <w:szCs w:val="12"/>
                <w:b w:val="1"/>
                <w:bCs w:val="1"/>
                <w:i w:val="1"/>
                <w:iCs w:val="1"/>
                <w:color w:val="auto"/>
                <w:w w:val="74"/>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w w:val="89"/>
              </w:rPr>
              <w:t>2015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3"/>
            <w:vMerge w:val="restart"/>
          </w:tcPr>
          <w:p>
            <w:pPr>
              <w:jc w:val="right"/>
              <w:ind w:right="19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00" w:type="dxa"/>
            <w:vAlign w:val="bottom"/>
          </w:tcPr>
          <w:p>
            <w:pPr>
              <w:spacing w:after="0"/>
              <w:rPr>
                <w:sz w:val="13"/>
                <w:szCs w:val="13"/>
                <w:color w:val="auto"/>
              </w:rPr>
            </w:pPr>
          </w:p>
        </w:tc>
        <w:tc>
          <w:tcPr>
            <w:tcW w:w="5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48"/>
        </w:trPr>
        <w:tc>
          <w:tcPr>
            <w:tcW w:w="32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Net revenues:</w:t>
            </w:r>
          </w:p>
        </w:tc>
        <w:tc>
          <w:tcPr>
            <w:tcW w:w="1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Thermal Products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$6,259</w:t>
            </w:r>
          </w:p>
        </w:tc>
        <w:tc>
          <w:tcPr>
            <w:tcW w:w="24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5,908</w:t>
            </w:r>
          </w:p>
        </w:tc>
        <w:tc>
          <w:tcPr>
            <w:tcW w:w="6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351</w:t>
            </w:r>
          </w:p>
        </w:tc>
        <w:tc>
          <w:tcPr>
            <w:tcW w:w="160" w:type="dxa"/>
            <w:vAlign w:val="bottom"/>
          </w:tcPr>
          <w:p>
            <w:pPr>
              <w:spacing w:after="0"/>
              <w:rPr>
                <w:sz w:val="21"/>
                <w:szCs w:val="21"/>
                <w:color w:val="auto"/>
              </w:rPr>
            </w:pP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rPr>
              <w:t>6 %</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6,659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  (400)</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Mechanical Products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3,077</w:t>
            </w:r>
          </w:p>
        </w:tc>
        <w:tc>
          <w:tcPr>
            <w:tcW w:w="60" w:type="dxa"/>
            <w:vAlign w:val="bottom"/>
          </w:tcPr>
          <w:p>
            <w:pPr>
              <w:spacing w:after="0"/>
              <w:rPr>
                <w:sz w:val="21"/>
                <w:szCs w:val="21"/>
                <w:color w:val="auto"/>
              </w:rPr>
            </w:pPr>
          </w:p>
        </w:tc>
        <w:tc>
          <w:tcPr>
            <w:tcW w:w="1180" w:type="dxa"/>
            <w:vAlign w:val="bottom"/>
            <w:gridSpan w:val="9"/>
          </w:tcPr>
          <w:p>
            <w:pPr>
              <w:jc w:val="right"/>
              <w:ind w:right="60"/>
              <w:spacing w:after="0"/>
              <w:rPr>
                <w:sz w:val="20"/>
                <w:szCs w:val="20"/>
                <w:color w:val="auto"/>
              </w:rPr>
            </w:pPr>
            <w:r>
              <w:rPr>
                <w:rFonts w:ascii="Arial" w:cs="Arial" w:eastAsia="Arial" w:hAnsi="Arial"/>
                <w:sz w:val="18"/>
                <w:szCs w:val="18"/>
                <w:color w:val="auto"/>
                <w:w w:val="99"/>
              </w:rPr>
              <w:t>(1,804) (59)%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(1,214)</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line="205" w:lineRule="exact"/>
              <w:rPr>
                <w:sz w:val="20"/>
                <w:szCs w:val="20"/>
                <w:color w:val="auto"/>
              </w:rPr>
            </w:pPr>
            <w:r>
              <w:rPr>
                <w:rFonts w:ascii="Arial" w:cs="Arial" w:eastAsia="Arial" w:hAnsi="Arial"/>
                <w:sz w:val="18"/>
                <w:szCs w:val="18"/>
                <w:color w:val="auto"/>
              </w:rPr>
              <w:t>Electrical Products</w:t>
            </w:r>
          </w:p>
        </w:tc>
        <w:tc>
          <w:tcPr>
            <w:tcW w:w="18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84"/>
              </w:rPr>
              <w:t>1,681</w:t>
            </w:r>
          </w:p>
        </w:tc>
        <w:tc>
          <w:tcPr>
            <w:tcW w:w="240" w:type="dxa"/>
            <w:vAlign w:val="bottom"/>
          </w:tcPr>
          <w:p>
            <w:pPr>
              <w:spacing w:after="0"/>
              <w:rPr>
                <w:sz w:val="17"/>
                <w:szCs w:val="17"/>
                <w:color w:val="auto"/>
              </w:rPr>
            </w:pPr>
          </w:p>
        </w:tc>
        <w:tc>
          <w:tcPr>
            <w:tcW w:w="480" w:type="dxa"/>
            <w:vAlign w:val="bottom"/>
            <w:gridSpan w:val="2"/>
          </w:tcPr>
          <w:p>
            <w:pPr>
              <w:ind w:left="80"/>
              <w:spacing w:after="0" w:line="205" w:lineRule="exact"/>
              <w:rPr>
                <w:sz w:val="20"/>
                <w:szCs w:val="20"/>
                <w:color w:val="auto"/>
              </w:rPr>
            </w:pPr>
            <w:r>
              <w:rPr>
                <w:rFonts w:ascii="Arial" w:cs="Arial" w:eastAsia="Arial" w:hAnsi="Arial"/>
                <w:sz w:val="18"/>
                <w:szCs w:val="18"/>
                <w:color w:val="auto"/>
                <w:w w:val="84"/>
              </w:rPr>
              <w:t>1,809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4"/>
          </w:tcPr>
          <w:p>
            <w:pPr>
              <w:jc w:val="right"/>
              <w:ind w:right="100"/>
              <w:spacing w:after="0" w:line="205" w:lineRule="exact"/>
              <w:rPr>
                <w:sz w:val="20"/>
                <w:szCs w:val="20"/>
                <w:color w:val="auto"/>
              </w:rPr>
            </w:pPr>
            <w:r>
              <w:rPr>
                <w:rFonts w:ascii="Arial" w:cs="Arial" w:eastAsia="Arial" w:hAnsi="Arial"/>
                <w:sz w:val="18"/>
                <w:szCs w:val="18"/>
                <w:color w:val="auto"/>
              </w:rPr>
              <w:t>(138)</w:t>
            </w:r>
          </w:p>
        </w:tc>
        <w:tc>
          <w:tcPr>
            <w:tcW w:w="4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9"/>
              </w:rPr>
              <w:t>(8)%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2,413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(742)</w:t>
            </w:r>
          </w:p>
        </w:tc>
        <w:tc>
          <w:tcPr>
            <w:tcW w:w="50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9,203</w:t>
            </w:r>
          </w:p>
        </w:tc>
        <w:tc>
          <w:tcPr>
            <w:tcW w:w="720" w:type="dxa"/>
            <w:vAlign w:val="bottom"/>
            <w:gridSpan w:val="3"/>
          </w:tcPr>
          <w:p>
            <w:pPr>
              <w:ind w:lef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10,794</w:t>
            </w:r>
          </w:p>
        </w:tc>
        <w:tc>
          <w:tcPr>
            <w:tcW w:w="60" w:type="dxa"/>
            <w:vAlign w:val="bottom"/>
          </w:tcPr>
          <w:p>
            <w:pPr>
              <w:spacing w:after="0"/>
              <w:rPr>
                <w:sz w:val="19"/>
                <w:szCs w:val="19"/>
                <w:color w:val="auto"/>
              </w:rPr>
            </w:pPr>
          </w:p>
        </w:tc>
        <w:tc>
          <w:tcPr>
            <w:tcW w:w="1180" w:type="dxa"/>
            <w:vAlign w:val="bottom"/>
            <w:gridSpan w:val="9"/>
          </w:tcPr>
          <w:p>
            <w:pPr>
              <w:jc w:val="right"/>
              <w:ind w:right="6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(1,591) (15)%</w:t>
            </w:r>
          </w:p>
        </w:tc>
        <w:tc>
          <w:tcPr>
            <w:tcW w:w="2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w w:val="83"/>
              </w:rPr>
              <w:t>11,559</w:t>
            </w:r>
          </w:p>
        </w:tc>
        <w:tc>
          <w:tcPr>
            <w:tcW w:w="16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260" w:type="dxa"/>
            <w:vAlign w:val="bottom"/>
          </w:tcPr>
          <w:p>
            <w:pPr>
              <w:ind w:left="20"/>
              <w:spacing w:after="0"/>
              <w:rPr>
                <w:sz w:val="20"/>
                <w:szCs w:val="20"/>
                <w:color w:val="auto"/>
              </w:rPr>
            </w:pPr>
            <w:r>
              <w:rPr>
                <w:rFonts w:ascii="Arial" w:cs="Arial" w:eastAsia="Arial" w:hAnsi="Arial"/>
                <w:sz w:val="18"/>
                <w:szCs w:val="18"/>
                <w:color w:val="auto"/>
              </w:rPr>
              <w:t>ATE market</w:t>
            </w:r>
          </w:p>
        </w:tc>
        <w:tc>
          <w:tcPr>
            <w:tcW w:w="1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w w:val="77"/>
              </w:rPr>
              <w:t>$6,091</w:t>
            </w:r>
          </w:p>
        </w:tc>
        <w:tc>
          <w:tcPr>
            <w:tcW w:w="24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7,167</w:t>
            </w:r>
          </w:p>
        </w:tc>
        <w:tc>
          <w:tcPr>
            <w:tcW w:w="60" w:type="dxa"/>
            <w:vAlign w:val="bottom"/>
          </w:tcPr>
          <w:p>
            <w:pPr>
              <w:spacing w:after="0"/>
              <w:rPr>
                <w:sz w:val="24"/>
                <w:szCs w:val="24"/>
                <w:color w:val="auto"/>
              </w:rPr>
            </w:pPr>
          </w:p>
        </w:tc>
        <w:tc>
          <w:tcPr>
            <w:tcW w:w="1180" w:type="dxa"/>
            <w:vAlign w:val="bottom"/>
            <w:gridSpan w:val="9"/>
          </w:tcPr>
          <w:p>
            <w:pPr>
              <w:jc w:val="right"/>
              <w:ind w:right="60"/>
              <w:spacing w:after="0"/>
              <w:rPr>
                <w:sz w:val="20"/>
                <w:szCs w:val="20"/>
                <w:color w:val="auto"/>
              </w:rPr>
            </w:pPr>
            <w:r>
              <w:rPr>
                <w:rFonts w:ascii="Arial" w:cs="Arial" w:eastAsia="Arial" w:hAnsi="Arial"/>
                <w:sz w:val="18"/>
                <w:szCs w:val="18"/>
                <w:color w:val="auto"/>
                <w:w w:val="91"/>
              </w:rPr>
              <w:t>$(1,076) (15)%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8,548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$(2,457)</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line="205" w:lineRule="exact"/>
              <w:rPr>
                <w:sz w:val="20"/>
                <w:szCs w:val="20"/>
                <w:color w:val="auto"/>
              </w:rPr>
            </w:pPr>
            <w:r>
              <w:rPr>
                <w:rFonts w:ascii="Arial" w:cs="Arial" w:eastAsia="Arial" w:hAnsi="Arial"/>
                <w:sz w:val="18"/>
                <w:szCs w:val="18"/>
                <w:color w:val="auto"/>
              </w:rPr>
              <w:t>Non-ATE market</w:t>
            </w:r>
          </w:p>
        </w:tc>
        <w:tc>
          <w:tcPr>
            <w:tcW w:w="18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84"/>
              </w:rPr>
              <w:t>3,112</w:t>
            </w:r>
          </w:p>
        </w:tc>
        <w:tc>
          <w:tcPr>
            <w:tcW w:w="240" w:type="dxa"/>
            <w:vAlign w:val="bottom"/>
          </w:tcPr>
          <w:p>
            <w:pPr>
              <w:spacing w:after="0"/>
              <w:rPr>
                <w:sz w:val="17"/>
                <w:szCs w:val="17"/>
                <w:color w:val="auto"/>
              </w:rPr>
            </w:pPr>
          </w:p>
        </w:tc>
        <w:tc>
          <w:tcPr>
            <w:tcW w:w="480" w:type="dxa"/>
            <w:vAlign w:val="bottom"/>
            <w:gridSpan w:val="2"/>
          </w:tcPr>
          <w:p>
            <w:pPr>
              <w:ind w:left="80"/>
              <w:spacing w:after="0" w:line="205" w:lineRule="exact"/>
              <w:rPr>
                <w:sz w:val="20"/>
                <w:szCs w:val="20"/>
                <w:color w:val="auto"/>
              </w:rPr>
            </w:pPr>
            <w:r>
              <w:rPr>
                <w:rFonts w:ascii="Arial" w:cs="Arial" w:eastAsia="Arial" w:hAnsi="Arial"/>
                <w:sz w:val="18"/>
                <w:szCs w:val="18"/>
                <w:color w:val="auto"/>
                <w:w w:val="84"/>
              </w:rPr>
              <w:t>3,627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8"/>
          </w:tcPr>
          <w:p>
            <w:pPr>
              <w:jc w:val="right"/>
              <w:ind w:right="60"/>
              <w:spacing w:after="0" w:line="205" w:lineRule="exact"/>
              <w:rPr>
                <w:sz w:val="20"/>
                <w:szCs w:val="20"/>
                <w:color w:val="auto"/>
              </w:rPr>
            </w:pPr>
            <w:r>
              <w:rPr>
                <w:rFonts w:ascii="Arial" w:cs="Arial" w:eastAsia="Arial" w:hAnsi="Arial"/>
                <w:sz w:val="18"/>
                <w:szCs w:val="18"/>
                <w:color w:val="auto"/>
              </w:rPr>
              <w:t>(515) (14)%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3,011</w:t>
            </w:r>
          </w:p>
        </w:tc>
        <w:tc>
          <w:tcPr>
            <w:tcW w:w="160" w:type="dxa"/>
            <w:vAlign w:val="bottom"/>
          </w:tcPr>
          <w:p>
            <w:pPr>
              <w:spacing w:after="0"/>
              <w:rPr>
                <w:sz w:val="17"/>
                <w:szCs w:val="17"/>
                <w:color w:val="auto"/>
              </w:rPr>
            </w:pPr>
          </w:p>
        </w:tc>
        <w:tc>
          <w:tcPr>
            <w:tcW w:w="760" w:type="dxa"/>
            <w:vAlign w:val="bottom"/>
            <w:gridSpan w:val="4"/>
          </w:tcPr>
          <w:p>
            <w:pPr>
              <w:jc w:val="right"/>
              <w:ind w:right="100"/>
              <w:spacing w:after="0" w:line="205" w:lineRule="exact"/>
              <w:rPr>
                <w:sz w:val="20"/>
                <w:szCs w:val="20"/>
                <w:color w:val="auto"/>
              </w:rPr>
            </w:pPr>
            <w:r>
              <w:rPr>
                <w:rFonts w:ascii="Arial" w:cs="Arial" w:eastAsia="Arial" w:hAnsi="Arial"/>
                <w:sz w:val="18"/>
                <w:szCs w:val="18"/>
                <w:color w:val="auto"/>
              </w:rPr>
              <w:t>101</w:t>
            </w:r>
          </w:p>
        </w:tc>
        <w:tc>
          <w:tcPr>
            <w:tcW w:w="5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9,203</w:t>
            </w:r>
          </w:p>
        </w:tc>
        <w:tc>
          <w:tcPr>
            <w:tcW w:w="720" w:type="dxa"/>
            <w:vAlign w:val="bottom"/>
            <w:gridSpan w:val="3"/>
          </w:tcPr>
          <w:p>
            <w:pPr>
              <w:ind w:lef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10,794</w:t>
            </w:r>
          </w:p>
        </w:tc>
        <w:tc>
          <w:tcPr>
            <w:tcW w:w="60" w:type="dxa"/>
            <w:vAlign w:val="bottom"/>
          </w:tcPr>
          <w:p>
            <w:pPr>
              <w:spacing w:after="0"/>
              <w:rPr>
                <w:sz w:val="19"/>
                <w:szCs w:val="19"/>
                <w:color w:val="auto"/>
              </w:rPr>
            </w:pPr>
          </w:p>
        </w:tc>
        <w:tc>
          <w:tcPr>
            <w:tcW w:w="1180" w:type="dxa"/>
            <w:vAlign w:val="bottom"/>
            <w:gridSpan w:val="9"/>
          </w:tcPr>
          <w:p>
            <w:pPr>
              <w:jc w:val="right"/>
              <w:ind w:right="6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(1,591) (15)%</w:t>
            </w:r>
          </w:p>
        </w:tc>
        <w:tc>
          <w:tcPr>
            <w:tcW w:w="2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w w:val="83"/>
              </w:rPr>
              <w:t>11,559</w:t>
            </w:r>
          </w:p>
        </w:tc>
        <w:tc>
          <w:tcPr>
            <w:tcW w:w="16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Nine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4"/>
          </w:tcPr>
          <w:p>
            <w:pPr>
              <w:ind w:left="8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180" w:type="dxa"/>
            <w:vAlign w:val="bottom"/>
          </w:tcPr>
          <w:p>
            <w:pPr>
              <w:spacing w:after="0"/>
              <w:rPr>
                <w:sz w:val="13"/>
                <w:szCs w:val="13"/>
                <w:color w:val="auto"/>
              </w:rPr>
            </w:pPr>
          </w:p>
        </w:tc>
        <w:tc>
          <w:tcPr>
            <w:tcW w:w="520" w:type="dxa"/>
            <w:vAlign w:val="bottom"/>
            <w:gridSpan w:val="2"/>
          </w:tcPr>
          <w:p>
            <w:pPr>
              <w:ind w:left="240"/>
              <w:spacing w:after="0" w:line="155" w:lineRule="exact"/>
              <w:rPr>
                <w:sz w:val="20"/>
                <w:szCs w:val="20"/>
                <w:color w:val="auto"/>
              </w:rPr>
            </w:pPr>
            <w:r>
              <w:rPr>
                <w:rFonts w:ascii="Arial" w:cs="Arial" w:eastAsia="Arial" w:hAnsi="Arial"/>
                <w:sz w:val="14"/>
                <w:szCs w:val="14"/>
                <w:b w:val="1"/>
                <w:bCs w:val="1"/>
                <w:i w:val="1"/>
                <w:iCs w:val="1"/>
                <w:color w:val="auto"/>
                <w:w w:val="83"/>
              </w:rPr>
              <w:t>2014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7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60" w:type="dxa"/>
            <w:vAlign w:val="bottom"/>
          </w:tcPr>
          <w:p>
            <w:pPr>
              <w:spacing w:after="0"/>
              <w:rPr>
                <w:sz w:val="13"/>
                <w:szCs w:val="13"/>
                <w:color w:val="auto"/>
              </w:rPr>
            </w:pPr>
          </w:p>
        </w:tc>
        <w:tc>
          <w:tcPr>
            <w:tcW w:w="420" w:type="dxa"/>
            <w:vAlign w:val="bottom"/>
            <w:gridSpan w:val="4"/>
          </w:tcPr>
          <w:p>
            <w:pPr>
              <w:ind w:left="100"/>
              <w:spacing w:after="0" w:line="155" w:lineRule="exact"/>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2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$18,635</w:t>
            </w:r>
          </w:p>
        </w:tc>
        <w:tc>
          <w:tcPr>
            <w:tcW w:w="24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spacing w:after="0"/>
              <w:rPr>
                <w:sz w:val="20"/>
                <w:szCs w:val="20"/>
                <w:color w:val="auto"/>
              </w:rPr>
            </w:pPr>
            <w:r>
              <w:rPr>
                <w:rFonts w:ascii="Arial" w:cs="Arial" w:eastAsia="Arial" w:hAnsi="Arial"/>
                <w:sz w:val="18"/>
                <w:szCs w:val="18"/>
                <w:color w:val="auto"/>
                <w:w w:val="94"/>
              </w:rPr>
              <w:t>17,267</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9"/>
              </w:rPr>
              <w:t>$ 1,368</w:t>
            </w:r>
          </w:p>
        </w:tc>
        <w:tc>
          <w:tcPr>
            <w:tcW w:w="160" w:type="dxa"/>
            <w:vAlign w:val="bottom"/>
          </w:tcPr>
          <w:p>
            <w:pPr>
              <w:spacing w:after="0"/>
              <w:rPr>
                <w:sz w:val="21"/>
                <w:szCs w:val="21"/>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6,195</w:t>
            </w:r>
          </w:p>
        </w:tc>
        <w:tc>
          <w:tcPr>
            <w:tcW w:w="240" w:type="dxa"/>
            <w:vAlign w:val="bottom"/>
          </w:tcPr>
          <w:p>
            <w:pPr>
              <w:spacing w:after="0"/>
              <w:rPr>
                <w:sz w:val="21"/>
                <w:szCs w:val="21"/>
                <w:color w:val="auto"/>
              </w:rPr>
            </w:pPr>
          </w:p>
        </w:tc>
        <w:tc>
          <w:tcPr>
            <w:tcW w:w="540" w:type="dxa"/>
            <w:vAlign w:val="bottom"/>
            <w:gridSpan w:val="3"/>
          </w:tcPr>
          <w:p>
            <w:pPr>
              <w:ind w:left="100"/>
              <w:spacing w:after="0"/>
              <w:rPr>
                <w:sz w:val="20"/>
                <w:szCs w:val="20"/>
                <w:color w:val="auto"/>
              </w:rPr>
            </w:pPr>
            <w:r>
              <w:rPr>
                <w:rFonts w:ascii="Arial" w:cs="Arial" w:eastAsia="Arial" w:hAnsi="Arial"/>
                <w:sz w:val="18"/>
                <w:szCs w:val="18"/>
                <w:color w:val="auto"/>
                <w:w w:val="93"/>
              </w:rPr>
              <w:t>9,261</w:t>
            </w:r>
          </w:p>
        </w:tc>
        <w:tc>
          <w:tcPr>
            <w:tcW w:w="1180" w:type="dxa"/>
            <w:vAlign w:val="bottom"/>
            <w:gridSpan w:val="9"/>
          </w:tcPr>
          <w:p>
            <w:pPr>
              <w:jc w:val="right"/>
              <w:ind w:right="40"/>
              <w:spacing w:after="0"/>
              <w:rPr>
                <w:sz w:val="20"/>
                <w:szCs w:val="20"/>
                <w:color w:val="auto"/>
              </w:rPr>
            </w:pPr>
            <w:r>
              <w:rPr>
                <w:rFonts w:ascii="Arial" w:cs="Arial" w:eastAsia="Arial" w:hAnsi="Arial"/>
                <w:sz w:val="18"/>
                <w:szCs w:val="18"/>
                <w:color w:val="auto"/>
              </w:rPr>
              <w:t>(3,066) (33)%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6,120</w:t>
            </w:r>
          </w:p>
        </w:tc>
        <w:tc>
          <w:tcPr>
            <w:tcW w:w="240" w:type="dxa"/>
            <w:vAlign w:val="bottom"/>
          </w:tcPr>
          <w:p>
            <w:pPr>
              <w:spacing w:after="0"/>
              <w:rPr>
                <w:sz w:val="17"/>
                <w:szCs w:val="17"/>
                <w:color w:val="auto"/>
              </w:rPr>
            </w:pPr>
          </w:p>
        </w:tc>
        <w:tc>
          <w:tcPr>
            <w:tcW w:w="540" w:type="dxa"/>
            <w:vAlign w:val="bottom"/>
            <w:gridSpan w:val="3"/>
          </w:tcPr>
          <w:p>
            <w:pPr>
              <w:ind w:left="100"/>
              <w:spacing w:after="0" w:line="205" w:lineRule="exact"/>
              <w:rPr>
                <w:sz w:val="20"/>
                <w:szCs w:val="20"/>
                <w:color w:val="auto"/>
              </w:rPr>
            </w:pPr>
            <w:r>
              <w:rPr>
                <w:rFonts w:ascii="Arial" w:cs="Arial" w:eastAsia="Arial" w:hAnsi="Arial"/>
                <w:sz w:val="18"/>
                <w:szCs w:val="18"/>
                <w:color w:val="auto"/>
                <w:w w:val="93"/>
              </w:rPr>
              <w:t>5,406</w:t>
            </w:r>
          </w:p>
        </w:tc>
        <w:tc>
          <w:tcPr>
            <w:tcW w:w="6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714</w:t>
            </w:r>
          </w:p>
        </w:tc>
        <w:tc>
          <w:tcPr>
            <w:tcW w:w="160" w:type="dxa"/>
            <w:vAlign w:val="bottom"/>
          </w:tcPr>
          <w:p>
            <w:pPr>
              <w:spacing w:after="0"/>
              <w:rPr>
                <w:sz w:val="17"/>
                <w:szCs w:val="17"/>
                <w:color w:val="auto"/>
              </w:rPr>
            </w:pPr>
          </w:p>
        </w:tc>
        <w:tc>
          <w:tcPr>
            <w:tcW w:w="42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87"/>
              </w:rPr>
              <w:t>13 %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580" w:type="dxa"/>
            <w:vAlign w:val="bottom"/>
            <w:tcBorders>
              <w:left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30,950</w:t>
            </w:r>
          </w:p>
        </w:tc>
        <w:tc>
          <w:tcPr>
            <w:tcW w:w="240" w:type="dxa"/>
            <w:vAlign w:val="bottom"/>
          </w:tcPr>
          <w:p>
            <w:pPr>
              <w:ind w:left="160"/>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3"/>
          </w:tcPr>
          <w:p>
            <w:pPr>
              <w:spacing w:after="0"/>
              <w:rPr>
                <w:sz w:val="20"/>
                <w:szCs w:val="20"/>
                <w:color w:val="auto"/>
              </w:rPr>
            </w:pPr>
            <w:r>
              <w:rPr>
                <w:rFonts w:ascii="Arial" w:cs="Arial" w:eastAsia="Arial" w:hAnsi="Arial"/>
                <w:sz w:val="18"/>
                <w:szCs w:val="18"/>
                <w:color w:val="auto"/>
                <w:w w:val="94"/>
              </w:rPr>
              <w:t>31,934</w:t>
            </w:r>
          </w:p>
        </w:tc>
        <w:tc>
          <w:tcPr>
            <w:tcW w:w="1180" w:type="dxa"/>
            <w:vAlign w:val="bottom"/>
            <w:gridSpan w:val="9"/>
          </w:tcPr>
          <w:p>
            <w:pPr>
              <w:jc w:val="right"/>
              <w:ind w:right="40"/>
              <w:spacing w:after="0"/>
              <w:rPr>
                <w:sz w:val="20"/>
                <w:szCs w:val="20"/>
                <w:color w:val="auto"/>
              </w:rPr>
            </w:pPr>
            <w:r>
              <w:rPr>
                <w:rFonts w:ascii="Arial" w:cs="Arial" w:eastAsia="Arial" w:hAnsi="Arial"/>
                <w:sz w:val="18"/>
                <w:szCs w:val="18"/>
                <w:color w:val="auto"/>
              </w:rPr>
              <w:t>$ (984)  (3)%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260" w:type="dxa"/>
            <w:vAlign w:val="bottom"/>
          </w:tcPr>
          <w:p>
            <w:pPr>
              <w:spacing w:after="0"/>
              <w:rPr>
                <w:sz w:val="20"/>
                <w:szCs w:val="20"/>
                <w:color w:val="auto"/>
              </w:rPr>
            </w:pPr>
            <w:r>
              <w:rPr>
                <w:rFonts w:ascii="Arial" w:cs="Arial" w:eastAsia="Arial" w:hAnsi="Arial"/>
                <w:sz w:val="18"/>
                <w:szCs w:val="18"/>
                <w:color w:val="auto"/>
              </w:rPr>
              <w:t>ATE market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$22,986</w:t>
            </w:r>
          </w:p>
        </w:tc>
        <w:tc>
          <w:tcPr>
            <w:tcW w:w="24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spacing w:after="0"/>
              <w:rPr>
                <w:sz w:val="20"/>
                <w:szCs w:val="20"/>
                <w:color w:val="auto"/>
              </w:rPr>
            </w:pPr>
            <w:r>
              <w:rPr>
                <w:rFonts w:ascii="Arial" w:cs="Arial" w:eastAsia="Arial" w:hAnsi="Arial"/>
                <w:sz w:val="18"/>
                <w:szCs w:val="18"/>
                <w:color w:val="auto"/>
                <w:w w:val="94"/>
              </w:rPr>
              <w:t>24,256</w:t>
            </w: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w w:val="95"/>
              </w:rPr>
              <w:t>$(1,270)</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7,964</w:t>
            </w:r>
          </w:p>
        </w:tc>
        <w:tc>
          <w:tcPr>
            <w:tcW w:w="240" w:type="dxa"/>
            <w:vAlign w:val="bottom"/>
          </w:tcPr>
          <w:p>
            <w:pPr>
              <w:spacing w:after="0"/>
              <w:rPr>
                <w:sz w:val="17"/>
                <w:szCs w:val="17"/>
                <w:color w:val="auto"/>
              </w:rPr>
            </w:pPr>
          </w:p>
        </w:tc>
        <w:tc>
          <w:tcPr>
            <w:tcW w:w="540" w:type="dxa"/>
            <w:vAlign w:val="bottom"/>
            <w:gridSpan w:val="3"/>
          </w:tcPr>
          <w:p>
            <w:pPr>
              <w:ind w:left="100"/>
              <w:spacing w:after="0" w:line="205" w:lineRule="exact"/>
              <w:rPr>
                <w:sz w:val="20"/>
                <w:szCs w:val="20"/>
                <w:color w:val="auto"/>
              </w:rPr>
            </w:pPr>
            <w:r>
              <w:rPr>
                <w:rFonts w:ascii="Arial" w:cs="Arial" w:eastAsia="Arial" w:hAnsi="Arial"/>
                <w:sz w:val="18"/>
                <w:szCs w:val="18"/>
                <w:color w:val="auto"/>
                <w:w w:val="93"/>
              </w:rPr>
              <w:t>7,678</w:t>
            </w:r>
          </w:p>
        </w:tc>
        <w:tc>
          <w:tcPr>
            <w:tcW w:w="6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286</w:t>
            </w:r>
          </w:p>
        </w:tc>
        <w:tc>
          <w:tcPr>
            <w:tcW w:w="160" w:type="dxa"/>
            <w:vAlign w:val="bottom"/>
          </w:tcPr>
          <w:p>
            <w:pPr>
              <w:spacing w:after="0"/>
              <w:rPr>
                <w:sz w:val="17"/>
                <w:szCs w:val="17"/>
                <w:color w:val="auto"/>
              </w:rPr>
            </w:pPr>
          </w:p>
        </w:tc>
        <w:tc>
          <w:tcPr>
            <w:tcW w:w="42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4 %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30,950</w:t>
            </w:r>
          </w:p>
        </w:tc>
        <w:tc>
          <w:tcPr>
            <w:tcW w:w="240" w:type="dxa"/>
            <w:vAlign w:val="bottom"/>
          </w:tcPr>
          <w:p>
            <w:pPr>
              <w:ind w:left="160"/>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3"/>
          </w:tcPr>
          <w:p>
            <w:pPr>
              <w:spacing w:after="0"/>
              <w:rPr>
                <w:sz w:val="20"/>
                <w:szCs w:val="20"/>
                <w:color w:val="auto"/>
              </w:rPr>
            </w:pPr>
            <w:r>
              <w:rPr>
                <w:rFonts w:ascii="Arial" w:cs="Arial" w:eastAsia="Arial" w:hAnsi="Arial"/>
                <w:sz w:val="18"/>
                <w:szCs w:val="18"/>
                <w:color w:val="auto"/>
                <w:w w:val="94"/>
              </w:rPr>
              <w:t>31,934</w:t>
            </w: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rPr>
              <w:t>$ (984)</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Our consolidated net revenues for the quarter ended September 30, 2015 decreased $1.6 million as compared to the same period in 2014, primarily reflecting reduced demand for our Mechanical Products segment from the ATE market. This decrease reflects the aforementioned reduced level of capital spending in 2015 by certain of this segment's customers, and, to a lesser extent, we believe the reduced level of demand within the ATE market indicates near-term softness within this market. During the third quarter of 2015, our Electrical Products segment also experienced a decline in net revenues as compared to the same period in 2014, which we believe reflects the aforementioned near-term softness in the ATE market.</w:t>
      </w:r>
    </w:p>
    <w:p>
      <w:pPr>
        <w:spacing w:after="0" w:line="170"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In contrast, during the third quarter of 2015, the net revenues of our Thermal Products segment increased 6% as compared to the same period in 2014. This increase reflected a higher level of shipments to customers within the ATE market and was partially offset by a reduction in shipments to certain non-</w:t>
      </w:r>
    </w:p>
    <w:p>
      <w:pPr>
        <w:sectPr>
          <w:pgSz w:w="11900" w:h="16858" w:orient="portrait"/>
          <w:cols w:equalWidth="0" w:num="1">
            <w:col w:w="11420"/>
          </w:cols>
          <w:pgMar w:left="240" w:top="131" w:right="239" w:bottom="0" w:gutter="0" w:footer="0" w:header="0"/>
        </w:sectPr>
      </w:pPr>
    </w:p>
    <w:bookmarkStart w:id="14" w:name="page15"/>
    <w:bookmarkEnd w:id="14"/>
    <w:p>
      <w:pPr>
        <w:ind w:left="540" w:right="80"/>
        <w:spacing w:after="0" w:line="291" w:lineRule="auto"/>
        <w:rPr>
          <w:sz w:val="20"/>
          <w:szCs w:val="20"/>
          <w:color w:val="auto"/>
        </w:rPr>
      </w:pPr>
      <w:r>
        <w:rPr>
          <w:rFonts w:ascii="Arial" w:cs="Arial" w:eastAsia="Arial" w:hAnsi="Arial"/>
          <w:sz w:val="16"/>
          <w:szCs w:val="16"/>
          <w:color w:val="auto"/>
        </w:rPr>
        <w:t>ATE market customers of this segment. Our Thermal Products segment historically lags our other two segments in both entering and exiting periods of weakened demand within the ATE market. Although, we have recently seen a reduction in the level of orders from the ATE market for this segment, this decrease in orders has not yet resulted in a reduction in the level of shipments as compared to the same period in 2014. Net revenues from customers in various markets outside of the ATE market for the quarter ended September 30, 2015 declined by 14% as compared to the same period in 2014, primarily reflecting reduced demand from certain existing customers in the telecommunications market. As a percent of our total consolidated net revenues, net revenues from customers in non-ATE markets was relatively unchanged at 34% in both the third quarter of 2015 and 2014.</w:t>
      </w:r>
    </w:p>
    <w:p>
      <w:pPr>
        <w:spacing w:after="0" w:line="17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Our consolidated net revenues for the quarter ended September 30, 2015 decreased $2.4 million compared to the second quarter of 2015, reflecting both the aforementioned near-term softness within the ATE market, as well as seasonal shifts in demand within this market. This reduction in demand from the ATE market was partially offset for our Thermal Products segment by an increase in demand from customers in the defense/aerospace market and from certain new customers in the telecommunications market. As a percent of our total consolidated net revenues, net revenues from non-ATE markets were 34% in the third quarter of 2015 compared to 26% for the quarter ended June 30,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120"/>
        <w:spacing w:after="0" w:line="318" w:lineRule="auto"/>
        <w:rPr>
          <w:sz w:val="20"/>
          <w:szCs w:val="20"/>
          <w:color w:val="auto"/>
        </w:rPr>
      </w:pPr>
      <w:r>
        <w:rPr>
          <w:rFonts w:ascii="Arial" w:cs="Arial" w:eastAsia="Arial" w:hAnsi="Arial"/>
          <w:sz w:val="15"/>
          <w:szCs w:val="15"/>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nine months ended September 30, 2015 and 2014, our OEM sales as a percentage of net revenues were 7% and 10%, respectively.</w:t>
      </w:r>
    </w:p>
    <w:p>
      <w:pPr>
        <w:spacing w:after="0" w:line="15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2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2015 Compared to Quarter Ended September 30, 2014</w:t>
      </w:r>
    </w:p>
    <w:p>
      <w:pPr>
        <w:spacing w:after="0" w:line="225"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$9.2 million for the quarter ended September 30, 2015 compared to $10.8 million for the same period in 2014,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$1.6 million or 15%. We believe the decrease in our net revenues during the third quarter of 2015 primarily reflects the factors previously discussed in the Overview.</w:t>
      </w:r>
    </w:p>
    <w:p>
      <w:pPr>
        <w:spacing w:after="0" w:line="194"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47% for the quarter ended September 30, 2015 compared to 48% for the same period in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our gross margin primarily reflects that our fixed operating costs were not as fully absorbed due to the lower net revenue levels in the third quarter of 2015 as compared to the same period in 2014. Although our fixed operating costs were relatively unchanged in absolute dollar terms in each of the quarters ended September 30, 2015 and 2014, as a percentage of net revenues, these costs increased from 14% in the third quarter of 2014 to 16% in the third quarter of 2015. This decrease in our gross margin was partially offset by a reduction in our component material costs as a percentage of net revenues, reflecting changes in product and customer mix.</w:t>
      </w:r>
    </w:p>
    <w:p>
      <w:pPr>
        <w:spacing w:after="0" w:line="174"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$1.4 million for the quarter ended September 30, 2015 compared to $1.5 million for the same period in 2014,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$92,000 or 6%. The decrease primarily reflects lower levels of commission expense in our Mechanical and Electrical Products segments as a result of the lower net revenue levels in the third quarter of 2015 as compared to the same period in 2014.</w:t>
      </w:r>
    </w:p>
    <w:p>
      <w:pPr>
        <w:spacing w:after="0" w:line="161"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$1.0 million for the quarter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to $894,000 for the same period in 2014, an increase of $147,000 or 16%. The increase in engineering and product development expense primarily reflects higher salary and benefits expense for all of our products segments and increased spending on materials used in new product development in our Thermal Products segment. The higher salary and benefits expense reflects both an increase in headcount as well as annual salary increases for existing staff.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131" w:right="259" w:bottom="42"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MANAGEMENT'S DISCUSSION AND ANALYSIS OF FINANCIAL CONDITION AND RESULTS OF OPERATIONS </w:t>
      </w:r>
      <w:r>
        <w:rPr>
          <w:rFonts w:ascii="Arial" w:cs="Arial" w:eastAsia="Arial" w:hAnsi="Arial"/>
          <w:sz w:val="16"/>
          <w:szCs w:val="16"/>
          <w:color w:val="auto"/>
        </w:rPr>
        <w:t>(Continued)</w:t>
      </w:r>
    </w:p>
    <w:p>
      <w:pPr>
        <w:sectPr>
          <w:pgSz w:w="11900" w:h="16838" w:orient="portrait"/>
          <w:cols w:equalWidth="0" w:num="1">
            <w:col w:w="11400"/>
          </w:cols>
          <w:pgMar w:left="240" w:top="131" w:right="259" w:bottom="42" w:gutter="0" w:footer="0" w:header="0"/>
          <w:type w:val="continuous"/>
        </w:sectPr>
      </w:pPr>
    </w:p>
    <w:bookmarkStart w:id="15" w:name="page16"/>
    <w:bookmarkEnd w:id="15"/>
    <w:p>
      <w:pPr>
        <w:spacing w:after="0" w:line="150" w:lineRule="exact"/>
        <w:rPr>
          <w:sz w:val="20"/>
          <w:szCs w:val="20"/>
          <w:color w:val="auto"/>
        </w:rPr>
      </w:pPr>
    </w:p>
    <w:p>
      <w:pPr>
        <w:jc w:val="both"/>
        <w:ind w:left="540" w:right="20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$1.5 million in each of the quarters ended September 30,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significant changes in any of the components of our general and administrative expense for the third quarter of 2015 as compared to the same period in 2014.</w:t>
      </w:r>
    </w:p>
    <w:p>
      <w:pPr>
        <w:spacing w:after="0" w:line="19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quarter ended September 30, 2015, we recorded income tax expense of $97,000 compared to $431,000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2014. Our effective tax rate for the quarter ended September 30, 2015 was 24% compared to an effective tax rate of 34% for the same period in 2014. On a quarterly basis, we record income tax expense or benefit based on the expected annualized effective tax rate for the various taxing jurisdictions in which we operate our businesses. The decrease in our effective tax rate in the third quarter of 2015 as compared to the same period in 2014 primarily reflects a reduction in the valuation allowance recorded against the deferred tax assets of our German operation as that operation generates income sufficient to utilize these assets.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2015 Compared to Nine Months Ended September 30, 2014</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$31.0 million for the nine months ended September 30, 2015 compared to $31.9 million for the same period in 2014,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$984,000 or 3%. For the nine months ended September 30, 2015, the net revenues of our Thermal and Electrical Products segments increased $1.4 million and $714,000, respectively, while the net revenues of our Mechanical Products segment decreased $3.1 million, as compared to the same period in 2014. We believe the decrease in the net revenues of our Mechanical Products segment during the first nine months of 2015 reflects reduced demand from customers of this segment within the ATE market, as previously discussed in the Overview. While our Thermal and Electrical Products segments also experienced some slowing in demand from their customers within the ATE market more recently, the level of reduction was not as significant and did not result in an overall decrease for the nine months ended September 30, 2015 as compared to the same period in 2014.</w:t>
      </w:r>
    </w:p>
    <w:p>
      <w:pPr>
        <w:spacing w:after="0" w:line="172"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49% for the nine months ended September 30, 2015 compared to 48% for the same period in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our gross margin was primarily a result of a reduction in our component material costs as a percentage of net revenues, reflecting changes in product and customer mix.</w:t>
      </w:r>
    </w:p>
    <w:p>
      <w:pPr>
        <w:spacing w:after="0" w:line="19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$4.4 million for the nine months ended September 30, 2015 compared to $4.3 million for the same period in 2014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$131,000 or 3%. The increase primarily reflects an increase in commission expense in our Thermal and Electrical Products segments. To a lesser extent, there was also an increase in travel expense from our in-house sales personnel attending trade shows and visiting customers both internationally and domestically.</w:t>
      </w:r>
    </w:p>
    <w:p>
      <w:pPr>
        <w:spacing w:after="0" w:line="197" w:lineRule="exact"/>
        <w:rPr>
          <w:sz w:val="20"/>
          <w:szCs w:val="20"/>
          <w:color w:val="auto"/>
        </w:rPr>
      </w:pPr>
    </w:p>
    <w:p>
      <w:pPr>
        <w:ind w:left="540" w:right="220"/>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$3.0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2015 compared to $2.7 million for the same period in 2014 an increase of $326,000 or 12%. The increase in engineering and product development expense primarily reflects higher salary and benefits expense for all of our products segments and increased spending on materials used in new product development in our Thermal Products segment. The higher salary and benefits expense reflects both an increase in headcount as well as annual salary increases for existing staff.</w:t>
      </w:r>
    </w:p>
    <w:p>
      <w:pPr>
        <w:spacing w:after="0" w:line="197"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$4.9 million for the nine months ended September 30, 2015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$4.7 million for the same period in 2014 an increase of $206,000 or 4%. The increase primarily reflects increased spending related to our strategic initiatives, including $329,000 for due diligence and transaction related costs associated with a potential acquisition that we decided not to pursue. This increase was partially offset by a decrease in board fees paid to our directors (due to a reduction in size of the board) and, to a lesser extent, lower levels of amortization related to our intangible assets.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nine months ended September 30, 2015, we recorded income tax expense of $909,000 compared to $1.3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2014. Our effective tax rate for the nine months ended September 30, 2015 was 33% compared to 34% for the same period in 2014. On a quarterly basis, we record income tax expense or benefit based on the expected annualized effective tax rate for the various taxing jurisdictions in which we operate our businesses. The decrease in our effective tax rate in the first nine months of 2015 as compared to the same period in 2014 primarily reflects a reduction in the valuation allowance recorded against the deferred tax assets of our German operation as that operation generates income sufficient to utilize these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4"/>
              </w:rPr>
              <w:t>Sept. 30, 2015</w:t>
            </w:r>
          </w:p>
        </w:tc>
        <w:tc>
          <w:tcPr>
            <w:tcW w:w="920" w:type="dxa"/>
            <w:vAlign w:val="bottom"/>
            <w:gridSpan w:val="2"/>
          </w:tcPr>
          <w:p>
            <w:pPr>
              <w:jc w:val="center"/>
              <w:ind w:left="82"/>
              <w:spacing w:after="0"/>
              <w:rPr>
                <w:sz w:val="20"/>
                <w:szCs w:val="20"/>
                <w:color w:val="auto"/>
              </w:rPr>
            </w:pPr>
            <w:r>
              <w:rPr>
                <w:rFonts w:ascii="Arial" w:cs="Arial" w:eastAsia="Arial" w:hAnsi="Arial"/>
                <w:sz w:val="14"/>
                <w:szCs w:val="14"/>
                <w:b w:val="1"/>
                <w:bCs w:val="1"/>
                <w:i w:val="1"/>
                <w:iCs w:val="1"/>
                <w:color w:val="auto"/>
                <w:w w:val="86"/>
              </w:rPr>
              <w:t>Dec. 31, 2014</w:t>
            </w: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$25,383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$23,126</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$30,835</w:t>
            </w:r>
          </w:p>
        </w:tc>
        <w:tc>
          <w:tcPr>
            <w:tcW w:w="160" w:type="dxa"/>
            <w:vAlign w:val="bottom"/>
          </w:tcPr>
          <w:p>
            <w:pPr>
              <w:spacing w:after="0"/>
              <w:rPr>
                <w:sz w:val="21"/>
                <w:szCs w:val="21"/>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8"/>
                <w:szCs w:val="18"/>
                <w:color w:val="auto"/>
                <w:w w:val="86"/>
              </w:rPr>
              <w:t>$28,561</w:t>
            </w:r>
          </w:p>
        </w:tc>
      </w:tr>
    </w:tbl>
    <w:p>
      <w:pPr>
        <w:spacing w:after="0" w:line="200" w:lineRule="exact"/>
        <w:rPr>
          <w:sz w:val="20"/>
          <w:szCs w:val="20"/>
          <w:color w:val="auto"/>
        </w:rPr>
      </w:pPr>
    </w:p>
    <w:p>
      <w:pPr>
        <w:spacing w:after="0" w:line="239" w:lineRule="exact"/>
        <w:rPr>
          <w:sz w:val="20"/>
          <w:szCs w:val="20"/>
          <w:color w:val="auto"/>
        </w:rPr>
      </w:pPr>
    </w:p>
    <w:p>
      <w:pPr>
        <w:ind w:left="540" w:right="500"/>
        <w:spacing w:after="0" w:line="370" w:lineRule="auto"/>
        <w:rPr>
          <w:sz w:val="20"/>
          <w:szCs w:val="20"/>
          <w:color w:val="auto"/>
        </w:rPr>
      </w:pPr>
      <w:r>
        <w:rPr>
          <w:rFonts w:ascii="Arial" w:cs="Arial" w:eastAsia="Arial" w:hAnsi="Arial"/>
          <w:sz w:val="15"/>
          <w:szCs w:val="15"/>
          <w:color w:val="auto"/>
        </w:rPr>
        <w:t>As of September 30, 2015, $1.8 million of our cash and cash equivalents was held by our foreign subsidiaries. When these funds are needed for our operations in the U.S., we may be required to accrue and pay U.S. taxes if we repatriate certain of these funds. On February 25, 2015 we repatriated</w:t>
      </w:r>
    </w:p>
    <w:p>
      <w:pPr>
        <w:sectPr>
          <w:pgSz w:w="11900" w:h="16989" w:orient="portrait"/>
          <w:cols w:equalWidth="0" w:num="1">
            <w:col w:w="11420"/>
          </w:cols>
          <w:pgMar w:left="240" w:top="131" w:right="239" w:bottom="0" w:gutter="0" w:footer="0" w:header="0"/>
        </w:sectPr>
      </w:pPr>
    </w:p>
    <w:bookmarkStart w:id="16" w:name="page17"/>
    <w:bookmarkEnd w:id="16"/>
    <w:p>
      <w:pPr>
        <w:spacing w:after="0" w:line="100" w:lineRule="exact"/>
        <w:rPr>
          <w:sz w:val="20"/>
          <w:szCs w:val="20"/>
          <w:color w:val="auto"/>
        </w:rPr>
      </w:pPr>
    </w:p>
    <w:p>
      <w:pPr>
        <w:ind w:left="540" w:right="240"/>
        <w:spacing w:after="0" w:line="332" w:lineRule="auto"/>
        <w:rPr>
          <w:sz w:val="20"/>
          <w:szCs w:val="20"/>
          <w:color w:val="auto"/>
        </w:rPr>
      </w:pPr>
      <w:r>
        <w:rPr>
          <w:rFonts w:ascii="Arial" w:cs="Arial" w:eastAsia="Arial" w:hAnsi="Arial"/>
          <w:sz w:val="16"/>
          <w:szCs w:val="16"/>
          <w:color w:val="auto"/>
        </w:rPr>
        <w:t>$883,000 from our subsidiary in Singapore. On September 21, 2015 we repatriated $1.3 million from our German subsidiary. Our estimated annualized effective tax rate for 2015 includes the effect of the additional taxes we expect to incur on these repatriated funds.</w:t>
      </w:r>
    </w:p>
    <w:p>
      <w:pPr>
        <w:spacing w:after="0" w:line="139"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 and the anticipated purchase of shares under the 2015 Repurchase Plan.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180"/>
        <w:spacing w:after="0" w:line="294"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nine months ended September 30, 2015 was $2.9 million.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2015, we recorded net earnings of $1.8 million, which included non-cash charges of $575,000 for depreciation and amortization. During the nine months ended September 30, 2015, accounts receivable, accounts payable and inventories increased $553,000, $312,000 and $282,000, respectively, compared to the levels at the end of 2014. These increases primarily reflect increased business activity during the first nine months of 2015 as compared to the levels experienced at the end of 2014 for our Thermal and Electrical Products segments.</w:t>
      </w:r>
    </w:p>
    <w:p>
      <w:pPr>
        <w:spacing w:after="0" w:line="170"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the nine months ended September 30, 2015 purchases of property and equipment were $545,000 which primarily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additions to leased systems in our Thermal Products segment and computer hardware and software purchases related to a system upgrade for our domestic operations. We have no significant commitments for capital expenditures for the balance of 2015, however, depending upon changes in market demand or manufacturing and sales strategies, we may make such purchases or investments as we deem necessary and appropriate.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nine months ended September 30, 2015 there were no cash flows from financing activities.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2015, there have been no significant changes to the accounting policies that we have deemed critical. These policies are more fully described in our 2014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There were no off-balance sheet arrangements during the nine months ended September 30,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both"/>
        <w:ind w:left="540" w:right="260"/>
        <w:spacing w:after="0" w:line="339" w:lineRule="auto"/>
        <w:rPr>
          <w:sz w:val="20"/>
          <w:szCs w:val="20"/>
          <w:color w:val="auto"/>
        </w:rPr>
      </w:pPr>
      <w:r>
        <w:rPr>
          <w:rFonts w:ascii="Arial" w:cs="Arial" w:eastAsia="Arial" w:hAnsi="Arial"/>
          <w:sz w:val="15"/>
          <w:szCs w:val="15"/>
          <w:b w:val="1"/>
          <w:bCs w:val="1"/>
          <w:color w:val="auto"/>
        </w:rPr>
        <w:t>CEO/CFO Conclusions about the Effectiveness of the Disclosure Controls and Procedures</w:t>
      </w:r>
      <w:r>
        <w:rPr>
          <w:rFonts w:ascii="Arial" w:cs="Arial" w:eastAsia="Arial" w:hAnsi="Arial"/>
          <w:sz w:val="15"/>
          <w:szCs w:val="15"/>
          <w:color w:val="auto"/>
        </w:rPr>
        <w:t>. As required by Rule 13a-15(b), inTEST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w:t>
      </w:r>
    </w:p>
    <w:p>
      <w:pPr>
        <w:sectPr>
          <w:pgSz w:w="11900" w:h="16939" w:orient="portrait"/>
          <w:cols w:equalWidth="0" w:num="1">
            <w:col w:w="11420"/>
          </w:cols>
          <w:pgMar w:left="240" w:top="131" w:right="239" w:bottom="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color w:val="auto"/>
        </w:rPr>
        <w:t>and procedures were effective at the reasonable assurance level.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2014 filed with the Securities and Exchange Commission on March 26, 2015 (the "2014 Form 10-K"). Material changes to such risk factors since the filing of the 2014 Form 10-K are detailed below.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We may not be able to fully execute our share repurchase program.</w:t>
      </w:r>
    </w:p>
    <w:p>
      <w:pPr>
        <w:spacing w:after="0" w:line="225" w:lineRule="exact"/>
        <w:rPr>
          <w:sz w:val="20"/>
          <w:szCs w:val="20"/>
          <w:color w:val="auto"/>
        </w:rPr>
      </w:pPr>
    </w:p>
    <w:p>
      <w:pPr>
        <w:ind w:left="540" w:right="200"/>
        <w:spacing w:after="0" w:line="290" w:lineRule="auto"/>
        <w:rPr>
          <w:sz w:val="20"/>
          <w:szCs w:val="20"/>
          <w:color w:val="auto"/>
        </w:rPr>
      </w:pPr>
      <w:r>
        <w:rPr>
          <w:rFonts w:ascii="Arial" w:cs="Arial" w:eastAsia="Arial" w:hAnsi="Arial"/>
          <w:sz w:val="16"/>
          <w:szCs w:val="16"/>
          <w:color w:val="auto"/>
        </w:rPr>
        <w:t>In October 2015, our Board of Directors authorized our management to repurchase up to $5 million of our common stock commencing in November 2015. We may not be able to purchase this amount of shares in the open market or in privately negotiated transactions in compliance with applicable securities regulations. Future share repurchases are subject to the discretion of our Board of Directors and will depend, among other things, upon our earnings, capital requirements and financial condition. While we have authorized a share repurchase program, we are not required to repurchase the full dollar amount of shares authorized for repurchase and we may reduce or eliminate our share repurchase program in the future. The reduction or elimination of our share repurchase program, particularly if we do not repurchase the full dollar amount of shares authorized under the program, could adversely affect the market price of our common stock.</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74" w:lineRule="exact"/>
        <w:rPr>
          <w:sz w:val="20"/>
          <w:szCs w:val="20"/>
          <w:color w:val="auto"/>
        </w:rPr>
      </w:pPr>
    </w:p>
    <w:p>
      <w:pPr>
        <w:ind w:left="220"/>
        <w:spacing w:after="0"/>
        <w:tabs>
          <w:tab w:leader="none" w:pos="820" w:val="left"/>
          <w:tab w:leader="none" w:pos="2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13, 2015</w:t>
      </w:r>
      <w:r>
        <w:rPr>
          <w:sz w:val="20"/>
          <w:szCs w:val="20"/>
          <w:color w:val="auto"/>
        </w:rPr>
        <w:tab/>
      </w:r>
      <w:r>
        <w:rPr>
          <w:rFonts w:ascii="Arial" w:cs="Arial" w:eastAsia="Arial" w:hAnsi="Arial"/>
          <w:sz w:val="15"/>
          <w:szCs w:val="15"/>
          <w:u w:val="single" w:color="auto"/>
          <w:color w:val="auto"/>
        </w:rPr>
        <w:t>/s/ Robert E. Matthiessen</w:t>
      </w:r>
    </w:p>
    <w:p>
      <w:pPr>
        <w:sectPr>
          <w:pgSz w:w="11900" w:h="16838" w:orient="portrait"/>
          <w:cols w:equalWidth="0" w:num="1">
            <w:col w:w="11400"/>
          </w:cols>
          <w:pgMar w:left="240" w:top="131" w:right="259" w:bottom="0" w:gutter="0" w:footer="0" w:header="0"/>
          <w:type w:val="continuous"/>
        </w:sectPr>
      </w:pPr>
    </w:p>
    <w:bookmarkStart w:id="18" w:name="page19"/>
    <w:bookmarkEnd w:id="18"/>
    <w:tbl>
      <w:tblPr>
        <w:tblLayout w:type="fixed"/>
        <w:tblInd w:w="2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Robert E. Matthiessen</w:t>
            </w:r>
          </w:p>
        </w:tc>
      </w:tr>
      <w:tr>
        <w:trPr>
          <w:trHeight w:val="222"/>
        </w:trPr>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2480" w:type="dxa"/>
            <w:vAlign w:val="bottom"/>
            <w:gridSpan w:val="3"/>
          </w:tcPr>
          <w:p>
            <w:pPr>
              <w:spacing w:after="0"/>
              <w:rPr>
                <w:sz w:val="20"/>
                <w:szCs w:val="20"/>
                <w:color w:val="auto"/>
              </w:rPr>
            </w:pPr>
            <w:r>
              <w:rPr>
                <w:rFonts w:ascii="Arial" w:cs="Arial" w:eastAsia="Arial" w:hAnsi="Arial"/>
                <w:sz w:val="18"/>
                <w:szCs w:val="18"/>
                <w:color w:val="auto"/>
              </w:rPr>
              <w:t>Date:   November 13, 2015</w:t>
            </w:r>
          </w:p>
        </w:tc>
        <w:tc>
          <w:tcPr>
            <w:tcW w:w="3420" w:type="dxa"/>
            <w:vAlign w:val="bottom"/>
            <w:gridSpan w:val="2"/>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6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tcPr>
          <w:p>
            <w:pPr>
              <w:spacing w:after="0"/>
              <w:rPr>
                <w:sz w:val="19"/>
                <w:szCs w:val="19"/>
                <w:color w:val="auto"/>
              </w:rPr>
            </w:pPr>
          </w:p>
        </w:tc>
      </w:tr>
      <w:tr>
        <w:trPr>
          <w:trHeight w:val="222"/>
        </w:trPr>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199"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219"/>
          </w:cols>
          <w:pgMar w:left="240" w:top="131"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2015</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2015</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2015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13, 2015</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2015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13, 2015</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2019-12-06T21:59:14Z</dcterms:created>
  <dcterms:modified xsi:type="dcterms:W3CDTF">2019-12-06T21:59:14Z</dcterms:modified>
</cp:coreProperties>
</file>