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 w:lineRule="exact"/>
        <w:rPr>
          <w:sz w:val="24"/>
          <w:szCs w:val="24"/>
          <w:color w:val="auto"/>
        </w:rPr>
      </w:pPr>
    </w:p>
    <w:p>
      <w:pPr>
        <w:ind w:left="4000" w:right="2080" w:hanging="3992"/>
        <w:spacing w:after="0" w:line="253" w:lineRule="auto"/>
        <w:tabs>
          <w:tab w:leader="none" w:pos="3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2020</w:t>
      </w:r>
    </w:p>
    <w:p>
      <w:pPr>
        <w:ind w:left="55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2980"/>
        <w:spacing w:after="0"/>
        <w:tabs>
          <w:tab w:leader="none" w:pos="65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3277870</wp:posOffset>
            </wp:positionH>
            <wp:positionV relativeFrom="paragraph">
              <wp:posOffset>-20320</wp:posOffset>
            </wp:positionV>
            <wp:extent cx="1973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3580" cy="8255"/>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1-36117</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460" w:type="dxa"/>
        <w:tblCellMar>
          <w:top w:w="0" w:type="dxa"/>
          <w:left w:w="0" w:type="dxa"/>
          <w:bottom w:w="0" w:type="dxa"/>
          <w:right w:w="0" w:type="dxa"/>
        </w:tblCellMar>
      </w:tblPr>
      <w:tr>
        <w:trPr>
          <w:trHeight w:val="220"/>
        </w:trPr>
        <w:tc>
          <w:tcPr>
            <w:tcW w:w="300" w:type="dxa"/>
            <w:vAlign w:val="bottom"/>
          </w:tcPr>
          <w:p>
            <w:pPr>
              <w:spacing w:after="0"/>
              <w:rPr>
                <w:sz w:val="19"/>
                <w:szCs w:val="19"/>
                <w:color w:val="auto"/>
              </w:rPr>
            </w:pPr>
          </w:p>
        </w:tc>
        <w:tc>
          <w:tcPr>
            <w:tcW w:w="38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8"/>
              </w:rPr>
              <w:t>DELAWARE</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40" w:type="dxa"/>
            <w:vAlign w:val="bottom"/>
            <w:gridSpan w:val="2"/>
          </w:tcPr>
          <w:p>
            <w:pPr>
              <w:jc w:val="right"/>
              <w:ind w:right="2090"/>
              <w:spacing w:after="0"/>
              <w:rPr>
                <w:sz w:val="20"/>
                <w:szCs w:val="20"/>
                <w:color w:val="auto"/>
              </w:rPr>
            </w:pPr>
            <w:r>
              <w:rPr>
                <w:rFonts w:ascii="Arial" w:cs="Arial" w:eastAsia="Arial" w:hAnsi="Arial"/>
                <w:sz w:val="18"/>
                <w:szCs w:val="18"/>
                <w:b w:val="1"/>
                <w:bCs w:val="1"/>
                <w:color w:val="auto"/>
              </w:rPr>
              <w:t>22-2370659</w:t>
            </w:r>
          </w:p>
        </w:tc>
        <w:tc>
          <w:tcPr>
            <w:tcW w:w="0" w:type="dxa"/>
            <w:vAlign w:val="bottom"/>
          </w:tcPr>
          <w:p>
            <w:pPr>
              <w:spacing w:after="0"/>
              <w:rPr>
                <w:sz w:val="1"/>
                <w:szCs w:val="1"/>
                <w:color w:val="auto"/>
              </w:rPr>
            </w:pPr>
          </w:p>
        </w:tc>
      </w:tr>
      <w:tr>
        <w:trPr>
          <w:trHeight w:val="230"/>
        </w:trPr>
        <w:tc>
          <w:tcPr>
            <w:tcW w:w="6140" w:type="dxa"/>
            <w:vAlign w:val="bottom"/>
            <w:gridSpan w:val="6"/>
          </w:tcPr>
          <w:p>
            <w:pPr>
              <w:jc w:val="center"/>
              <w:ind w:right="14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440" w:type="dxa"/>
            <w:vAlign w:val="bottom"/>
            <w:gridSpan w:val="2"/>
          </w:tcPr>
          <w:p>
            <w:pPr>
              <w:jc w:val="center"/>
              <w:ind w:right="690"/>
              <w:spacing w:after="0"/>
              <w:rPr>
                <w:sz w:val="20"/>
                <w:szCs w:val="20"/>
                <w:color w:val="auto"/>
              </w:rPr>
            </w:pPr>
            <w:r>
              <w:rPr>
                <w:rFonts w:ascii="Arial" w:cs="Arial" w:eastAsia="Arial" w:hAnsi="Arial"/>
                <w:sz w:val="18"/>
                <w:szCs w:val="18"/>
                <w:color w:val="auto"/>
                <w:w w:val="93"/>
              </w:rPr>
              <w:t>(I.R.S. Employer Identification Number)</w:t>
            </w: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38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804 EAST GATE DRIVE, SUITE 200</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40" w:type="dxa"/>
            <w:vAlign w:val="bottom"/>
            <w:gridSpan w:val="2"/>
            <w:vMerge w:val="restart"/>
          </w:tcPr>
          <w:p>
            <w:pPr>
              <w:jc w:val="right"/>
              <w:ind w:right="2290"/>
              <w:spacing w:after="0"/>
              <w:rPr>
                <w:sz w:val="20"/>
                <w:szCs w:val="20"/>
                <w:color w:val="auto"/>
              </w:rPr>
            </w:pPr>
            <w:r>
              <w:rPr>
                <w:rFonts w:ascii="Arial" w:cs="Arial" w:eastAsia="Arial" w:hAnsi="Arial"/>
                <w:sz w:val="18"/>
                <w:szCs w:val="18"/>
                <w:b w:val="1"/>
                <w:bCs w:val="1"/>
                <w:color w:val="auto"/>
              </w:rPr>
              <w:t>08054</w:t>
            </w:r>
          </w:p>
        </w:tc>
        <w:tc>
          <w:tcPr>
            <w:tcW w:w="0" w:type="dxa"/>
            <w:vAlign w:val="bottom"/>
          </w:tcPr>
          <w:p>
            <w:pPr>
              <w:spacing w:after="0"/>
              <w:rPr>
                <w:sz w:val="1"/>
                <w:szCs w:val="1"/>
                <w:color w:val="auto"/>
              </w:rPr>
            </w:pPr>
          </w:p>
        </w:tc>
      </w:tr>
      <w:tr>
        <w:trPr>
          <w:trHeight w:val="112"/>
        </w:trPr>
        <w:tc>
          <w:tcPr>
            <w:tcW w:w="300" w:type="dxa"/>
            <w:vAlign w:val="bottom"/>
          </w:tcPr>
          <w:p>
            <w:pPr>
              <w:spacing w:after="0"/>
              <w:rPr>
                <w:sz w:val="9"/>
                <w:szCs w:val="9"/>
                <w:color w:val="auto"/>
              </w:rPr>
            </w:pPr>
          </w:p>
        </w:tc>
        <w:tc>
          <w:tcPr>
            <w:tcW w:w="3880" w:type="dxa"/>
            <w:vAlign w:val="bottom"/>
            <w:gridSpan w:val="2"/>
            <w:vMerge w:val="restart"/>
          </w:tcPr>
          <w:p>
            <w:pPr>
              <w:jc w:val="center"/>
              <w:ind w:left="130"/>
              <w:spacing w:after="0"/>
              <w:rPr>
                <w:sz w:val="20"/>
                <w:szCs w:val="20"/>
                <w:color w:val="auto"/>
              </w:rPr>
            </w:pPr>
            <w:r>
              <w:rPr>
                <w:rFonts w:ascii="Arial" w:cs="Arial" w:eastAsia="Arial" w:hAnsi="Arial"/>
                <w:sz w:val="18"/>
                <w:szCs w:val="18"/>
                <w:b w:val="1"/>
                <w:bCs w:val="1"/>
                <w:color w:val="auto"/>
              </w:rPr>
              <w:t>MT. LAUREL, NEW JERSEY</w:t>
            </w: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38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540" w:type="dxa"/>
            <w:vAlign w:val="bottom"/>
            <w:vMerge w:val="restart"/>
          </w:tcPr>
          <w:p>
            <w:pPr>
              <w:jc w:val="center"/>
              <w:ind w:right="161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38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2"/>
              </w:rPr>
              <w:t>(Address of Principal Executive Offices)</w:t>
            </w: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38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10280" w:type="dxa"/>
            <w:vAlign w:val="bottom"/>
            <w:gridSpan w:val="7"/>
          </w:tcPr>
          <w:p>
            <w:pPr>
              <w:jc w:val="center"/>
              <w:ind w:right="470"/>
              <w:spacing w:after="0"/>
              <w:rPr>
                <w:sz w:val="20"/>
                <w:szCs w:val="20"/>
                <w:color w:val="auto"/>
              </w:rPr>
            </w:pPr>
            <w:r>
              <w:rPr>
                <w:rFonts w:ascii="Arial" w:cs="Arial" w:eastAsia="Arial" w:hAnsi="Arial"/>
                <w:sz w:val="18"/>
                <w:szCs w:val="18"/>
                <w:b w:val="1"/>
                <w:bCs w:val="1"/>
                <w:color w:val="auto"/>
                <w:w w:val="89"/>
              </w:rPr>
              <w:t>Registrant's telephone number, including area code: (856) 505-8800</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860" w:type="dxa"/>
            <w:vAlign w:val="bottom"/>
            <w:gridSpan w:val="6"/>
          </w:tcPr>
          <w:p>
            <w:pPr>
              <w:jc w:val="center"/>
              <w:ind w:right="289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460" w:type="dxa"/>
            <w:vAlign w:val="bottom"/>
          </w:tcPr>
          <w:p>
            <w:pPr>
              <w:spacing w:after="0"/>
              <w:rPr>
                <w:sz w:val="24"/>
                <w:szCs w:val="24"/>
                <w:color w:val="auto"/>
              </w:rPr>
            </w:pPr>
          </w:p>
        </w:tc>
        <w:tc>
          <w:tcPr>
            <w:tcW w:w="1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44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gridSpan w:val="3"/>
          </w:tcPr>
          <w:p>
            <w:pPr>
              <w:jc w:val="center"/>
              <w:ind w:right="1070"/>
              <w:spacing w:after="0"/>
              <w:rPr>
                <w:sz w:val="20"/>
                <w:szCs w:val="20"/>
                <w:color w:val="auto"/>
              </w:rPr>
            </w:pPr>
            <w:r>
              <w:rPr>
                <w:rFonts w:ascii="Arial" w:cs="Arial" w:eastAsia="Arial" w:hAnsi="Arial"/>
                <w:sz w:val="18"/>
                <w:szCs w:val="18"/>
                <w:color w:val="auto"/>
                <w:w w:val="89"/>
              </w:rPr>
              <w:t>Common Stock, par value $0.01 per share</w:t>
            </w:r>
          </w:p>
        </w:tc>
        <w:tc>
          <w:tcPr>
            <w:tcW w:w="36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INTT</w:t>
            </w:r>
          </w:p>
        </w:tc>
        <w:tc>
          <w:tcPr>
            <w:tcW w:w="9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00"/>
          </w:cols>
          <w:pgMar w:left="320" w:top="688" w:right="379" w:bottom="585"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700" w:space="720"/>
            <w:col w:w="4780"/>
          </w:cols>
          <w:pgMar w:left="320" w:top="688" w:right="379" w:bottom="585" w:gutter="0" w:footer="0" w:header="0"/>
          <w:type w:val="continuous"/>
        </w:sectPr>
      </w:pPr>
    </w:p>
    <w:p>
      <w:pPr>
        <w:spacing w:after="0" w:line="32"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80"/>
        <w:spacing w:after="0" w:line="342"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2020 (the last business day of the registrant's most recently completed second fiscal quarter), was: $33,823,258.</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15, 2021, was 10,703,056.</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jc w:val="both"/>
        <w:ind w:right="240"/>
        <w:spacing w:after="0" w:line="342" w:lineRule="auto"/>
        <w:rPr>
          <w:sz w:val="20"/>
          <w:szCs w:val="20"/>
          <w:color w:val="auto"/>
        </w:rPr>
      </w:pPr>
      <w:r>
        <w:rPr>
          <w:rFonts w:ascii="Arial" w:cs="Arial" w:eastAsia="Arial" w:hAnsi="Arial"/>
          <w:sz w:val="16"/>
          <w:szCs w:val="16"/>
          <w:color w:val="auto"/>
        </w:rPr>
        <w:t>Portions of the definitive proxy statement of the Registrant for the Registrant's 2021 Annual Meeting of Stockholders, to be filed with the Securities and Exchange Commission within 120 days after the end of the fiscal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58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100" w:type="dxa"/>
            <w:vAlign w:val="bottom"/>
          </w:tcPr>
          <w:p>
            <w:pPr>
              <w:jc w:val="center"/>
              <w:ind w:left="490"/>
              <w:spacing w:after="0"/>
              <w:rPr>
                <w:sz w:val="20"/>
                <w:szCs w:val="20"/>
                <w:color w:val="auto"/>
              </w:rPr>
            </w:pPr>
            <w:r>
              <w:rPr>
                <w:rFonts w:ascii="Arial" w:cs="Arial" w:eastAsia="Arial" w:hAnsi="Arial"/>
                <w:sz w:val="18"/>
                <w:szCs w:val="18"/>
                <w:b w:val="1"/>
                <w:bCs w:val="1"/>
                <w:color w:val="auto"/>
                <w:w w:val="98"/>
              </w:rPr>
              <w:t>inTEST CORPORATION</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100" w:type="dxa"/>
            <w:vAlign w:val="bottom"/>
          </w:tcPr>
          <w:p>
            <w:pPr>
              <w:jc w:val="center"/>
              <w:ind w:left="510"/>
              <w:spacing w:after="0"/>
              <w:rPr>
                <w:sz w:val="20"/>
                <w:szCs w:val="20"/>
                <w:color w:val="auto"/>
              </w:rPr>
            </w:pPr>
            <w:r>
              <w:rPr>
                <w:rFonts w:ascii="Arial" w:cs="Arial" w:eastAsia="Arial" w:hAnsi="Arial"/>
                <w:sz w:val="18"/>
                <w:szCs w:val="18"/>
                <w:b w:val="1"/>
                <w:bCs w:val="1"/>
                <w:color w:val="auto"/>
              </w:rPr>
              <w:t>FORM 10-K</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9100" w:type="dxa"/>
            <w:vAlign w:val="bottom"/>
          </w:tcPr>
          <w:p>
            <w:pPr>
              <w:jc w:val="center"/>
              <w:ind w:left="490"/>
              <w:spacing w:after="0"/>
              <w:rPr>
                <w:sz w:val="20"/>
                <w:szCs w:val="20"/>
                <w:color w:val="auto"/>
              </w:rPr>
            </w:pPr>
            <w:r>
              <w:rPr>
                <w:rFonts w:ascii="Arial" w:cs="Arial" w:eastAsia="Arial" w:hAnsi="Arial"/>
                <w:sz w:val="18"/>
                <w:szCs w:val="18"/>
                <w:b w:val="1"/>
                <w:bCs w:val="1"/>
                <w:color w:val="auto"/>
                <w:w w:val="98"/>
              </w:rPr>
              <w:t>FOR THE YEAR ENDED DECEMBER 31, 2020</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9100" w:type="dxa"/>
            <w:vAlign w:val="bottom"/>
          </w:tcPr>
          <w:p>
            <w:pPr>
              <w:jc w:val="center"/>
              <w:ind w:left="510"/>
              <w:spacing w:after="0"/>
              <w:rPr>
                <w:sz w:val="20"/>
                <w:szCs w:val="20"/>
                <w:color w:val="auto"/>
              </w:rPr>
            </w:pPr>
            <w:r>
              <w:rPr>
                <w:rFonts w:ascii="Arial" w:cs="Arial" w:eastAsia="Arial" w:hAnsi="Arial"/>
                <w:sz w:val="18"/>
                <w:szCs w:val="18"/>
                <w:b w:val="1"/>
                <w:bCs w:val="1"/>
                <w:color w:val="auto"/>
              </w:rPr>
              <w:t>INDEX</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78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380" w:type="dxa"/>
            <w:vAlign w:val="bottom"/>
            <w:gridSpan w:val="4"/>
          </w:tcPr>
          <w:p>
            <w:pPr>
              <w:ind w:left="900"/>
              <w:spacing w:after="0"/>
              <w:rPr>
                <w:sz w:val="20"/>
                <w:szCs w:val="20"/>
                <w:color w:val="auto"/>
              </w:rPr>
            </w:pPr>
            <w:r>
              <w:rPr>
                <w:rFonts w:ascii="Arial" w:cs="Arial" w:eastAsia="Arial" w:hAnsi="Arial"/>
                <w:sz w:val="18"/>
                <w:szCs w:val="18"/>
                <w:b w:val="1"/>
                <w:bCs w:val="1"/>
                <w:i w:val="1"/>
                <w:iCs w:val="1"/>
                <w:color w:val="auto"/>
              </w:rPr>
              <w:t>Page</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100" w:type="dxa"/>
            <w:vAlign w:val="bottom"/>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98"/>
              </w:rPr>
              <w:t>PART I</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10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Factors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910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Properties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10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Mine Safety Disclosures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100" w:type="dxa"/>
            <w:vAlign w:val="bottom"/>
            <w:shd w:val="clear" w:color="auto" w:fill="CCEEFF"/>
          </w:tcPr>
          <w:p>
            <w:pPr>
              <w:jc w:val="center"/>
              <w:ind w:left="510"/>
              <w:spacing w:after="0"/>
              <w:rPr>
                <w:sz w:val="20"/>
                <w:szCs w:val="20"/>
                <w:color w:val="auto"/>
              </w:rPr>
            </w:pPr>
            <w:r>
              <w:rPr>
                <w:rFonts w:ascii="Arial" w:cs="Arial" w:eastAsia="Arial" w:hAnsi="Arial"/>
                <w:sz w:val="18"/>
                <w:szCs w:val="18"/>
                <w:b w:val="1"/>
                <w:bCs w:val="1"/>
                <w:color w:val="auto"/>
              </w:rPr>
              <w:t>PART II</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10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910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910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910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100" w:type="dxa"/>
            <w:vAlign w:val="bottom"/>
          </w:tcPr>
          <w:p>
            <w:pPr>
              <w:jc w:val="center"/>
              <w:ind w:left="490"/>
              <w:spacing w:after="0"/>
              <w:rPr>
                <w:sz w:val="20"/>
                <w:szCs w:val="20"/>
                <w:color w:val="auto"/>
              </w:rPr>
            </w:pPr>
            <w:r>
              <w:rPr>
                <w:rFonts w:ascii="Arial" w:cs="Arial" w:eastAsia="Arial" w:hAnsi="Arial"/>
                <w:sz w:val="18"/>
                <w:szCs w:val="18"/>
                <w:b w:val="1"/>
                <w:bCs w:val="1"/>
                <w:color w:val="auto"/>
              </w:rPr>
              <w:t>PART III</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9100" w:type="dxa"/>
            <w:vAlign w:val="bottom"/>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Compensation</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910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9100" w:type="dxa"/>
            <w:vAlign w:val="bottom"/>
          </w:tcPr>
          <w:p>
            <w:pPr>
              <w:ind w:left="140"/>
              <w:spacing w:after="0"/>
              <w:rPr>
                <w:sz w:val="20"/>
                <w:szCs w:val="20"/>
                <w:color w:val="auto"/>
              </w:rPr>
            </w:pPr>
            <w:r>
              <w:rPr>
                <w:rFonts w:ascii="Arial" w:cs="Arial" w:eastAsia="Arial" w:hAnsi="Arial"/>
                <w:sz w:val="18"/>
                <w:szCs w:val="18"/>
                <w:color w:val="auto"/>
              </w:rPr>
              <w:t>Principal Accounting Fees and Services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100" w:type="dxa"/>
            <w:vAlign w:val="bottom"/>
          </w:tcPr>
          <w:p>
            <w:pPr>
              <w:jc w:val="center"/>
              <w:ind w:left="490"/>
              <w:spacing w:after="0"/>
              <w:rPr>
                <w:sz w:val="20"/>
                <w:szCs w:val="20"/>
                <w:color w:val="auto"/>
              </w:rPr>
            </w:pPr>
            <w:r>
              <w:rPr>
                <w:rFonts w:ascii="Arial" w:cs="Arial" w:eastAsia="Arial" w:hAnsi="Arial"/>
                <w:sz w:val="18"/>
                <w:szCs w:val="18"/>
                <w:b w:val="1"/>
                <w:bCs w:val="1"/>
                <w:color w:val="auto"/>
              </w:rPr>
              <w:t>PART IV</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9100" w:type="dxa"/>
            <w:vAlign w:val="bottom"/>
          </w:tcPr>
          <w:p>
            <w:pPr>
              <w:ind w:left="140"/>
              <w:spacing w:after="0"/>
              <w:rPr>
                <w:sz w:val="20"/>
                <w:szCs w:val="20"/>
                <w:color w:val="auto"/>
              </w:rPr>
            </w:pPr>
            <w:r>
              <w:rPr>
                <w:rFonts w:ascii="Arial" w:cs="Arial" w:eastAsia="Arial" w:hAnsi="Arial"/>
                <w:sz w:val="18"/>
                <w:szCs w:val="18"/>
                <w:color w:val="auto"/>
              </w:rPr>
              <w:t>Exhibits, Financial Statement Schedules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16.</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10-K Summary</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Index to Exhibits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Signatures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Index to Consolidated Financial Statements and Financial Statement Schedule</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4"/>
                <w:szCs w:val="24"/>
                <w:color w:val="auto"/>
              </w:rPr>
            </w:pPr>
          </w:p>
        </w:tc>
        <w:tc>
          <w:tcPr>
            <w:tcW w:w="9100" w:type="dxa"/>
            <w:vAlign w:val="bottom"/>
          </w:tcPr>
          <w:p>
            <w:pPr>
              <w:jc w:val="center"/>
              <w:ind w:left="490"/>
              <w:spacing w:after="0"/>
              <w:rPr>
                <w:sz w:val="20"/>
                <w:szCs w:val="20"/>
                <w:color w:val="auto"/>
              </w:rPr>
            </w:pPr>
            <w:r>
              <w:rPr>
                <w:rFonts w:ascii="Arial" w:cs="Arial" w:eastAsia="Arial" w:hAnsi="Arial"/>
                <w:sz w:val="18"/>
                <w:szCs w:val="18"/>
                <w:color w:val="auto"/>
                <w:w w:val="90"/>
              </w:rPr>
              <w:t>-2-</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auto"/>
            </w:tcBorders>
          </w:tcPr>
          <w:p>
            <w:pPr>
              <w:spacing w:after="0"/>
              <w:rPr>
                <w:sz w:val="10"/>
                <w:szCs w:val="10"/>
                <w:color w:val="auto"/>
              </w:rPr>
            </w:pPr>
          </w:p>
        </w:tc>
        <w:tc>
          <w:tcPr>
            <w:tcW w:w="9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82"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From time to time, we make written or oral "forward-looking statements" within the meaning of the Private Securities Litigation Reform Act of 1995, as amended, including statements contained in our filings with the Securities and Exchange Commission (“SEC”) (including this Annual Report on Form 10-K (“Report”)), in our annual report to stockholders and in other communications. These statements do not convey historical information, but relate to predicted or potential future events, such as statements of our plans, strategies and intentions, or our future performance or goals, that are based on management’s current expectations. Our forward-looking statements can often be identified by the use of forward-looking terminology such as "believes," "expects," "intends," "may," “could,” "will," "should," "plans," “projects,” “forecasts,” “seeks,” “anticipates,” “goal,” “objective,” “target,” “future,” “outlook,” “vision,” or variations of such words or similar terminology. Investors and prospective investors are cautioned that such forward-looking statements are only projections based on current estimations. These statements involve risks and uncertainties and are based upon various assumptions. Such risks and uncertainties include, but are not limited to:</w:t>
      </w:r>
    </w:p>
    <w:p>
      <w:pPr>
        <w:spacing w:after="0" w:line="181"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business, liquidity, financial condition and results of operations;</w:t>
      </w:r>
    </w:p>
    <w:p>
      <w:pPr>
        <w:spacing w:after="0" w:line="36" w:lineRule="exact"/>
        <w:rPr>
          <w:rFonts w:ascii="Arial" w:cs="Arial" w:eastAsia="Arial" w:hAnsi="Arial"/>
          <w:sz w:val="18"/>
          <w:szCs w:val="18"/>
          <w:color w:val="auto"/>
        </w:rPr>
      </w:pPr>
    </w:p>
    <w:p>
      <w:pPr>
        <w:ind w:left="820" w:right="120" w:hanging="326"/>
        <w:spacing w:after="0" w:line="25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consolidate our EMS manufacturing operations without any impact on customer shipments or quality and to realize the benefits of the consolidation;</w:t>
      </w:r>
    </w:p>
    <w:p>
      <w:pPr>
        <w:spacing w:after="0" w:line="1" w:lineRule="exact"/>
        <w:rPr>
          <w:rFonts w:ascii="Arial" w:cs="Arial" w:eastAsia="Arial" w:hAnsi="Arial"/>
          <w:sz w:val="18"/>
          <w:szCs w:val="18"/>
          <w:color w:val="auto"/>
        </w:rPr>
      </w:pPr>
    </w:p>
    <w:p>
      <w:pPr>
        <w:ind w:left="820" w:right="460" w:hanging="326"/>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indications of a change in the market cycles in the semiconductor and automated test equipment (“ATE”) markets, collectively the “Semi Market,” or other markets we serve;</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trends in the Semi Market, including changes in the demand for semiconductors;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one or more of our largest customers, or a reduction in orders by a major customer;</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rate of, and timing of, capital expenditures by our customers;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interruptions in our supply chain caused by external factors;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fluctuations;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borrow funds or raise capital to finance major potential acquisitions;</w:t>
      </w:r>
    </w:p>
    <w:p>
      <w:pPr>
        <w:spacing w:after="0" w:line="36" w:lineRule="exact"/>
        <w:rPr>
          <w:rFonts w:ascii="Arial" w:cs="Arial" w:eastAsia="Arial" w:hAnsi="Arial"/>
          <w:sz w:val="18"/>
          <w:szCs w:val="18"/>
          <w:color w:val="auto"/>
        </w:rPr>
      </w:pPr>
    </w:p>
    <w:p>
      <w:pPr>
        <w:ind w:left="820" w:hanging="326"/>
        <w:spacing w:after="0" w:line="25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strategy to diversify our business by entering markets outside the Semi Market, including the automotive, defense/aerospace, industrial, medical, telecommunications and other markets and changes in demand in these markets;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new products and technologies by us or our competitors;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exchange rate fluctuations;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 or our ability to hire personnel at anticipated costs;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 and</w:t>
      </w:r>
    </w:p>
    <w:p>
      <w:pPr>
        <w:spacing w:after="0" w:line="36"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discuss many of these risks and uncertainties and others under Item 1A "Risk Factors," in this Report, and elsewhere in this Report. 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are not obligated to update these forward-looking statements, even though our situation may change in the future.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23"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jc w:val="both"/>
        <w:ind w:left="500" w:right="60"/>
        <w:spacing w:after="0" w:line="263" w:lineRule="auto"/>
        <w:rPr>
          <w:sz w:val="20"/>
          <w:szCs w:val="20"/>
          <w:color w:val="auto"/>
        </w:rPr>
      </w:pPr>
      <w:r>
        <w:rPr>
          <w:rFonts w:ascii="Arial" w:cs="Arial" w:eastAsia="Arial" w:hAnsi="Arial"/>
          <w:sz w:val="18"/>
          <w:szCs w:val="18"/>
          <w:color w:val="auto"/>
        </w:rPr>
        <w:t>inTEST Corporation was incorporated in New Jersey in 1981 and reincorporated in Delaware in April 1997. The consolidated entity is comprised of inTEST Corporation (parent) and our wholly-owned subsidiaries. In this report, "we," "us," "our," and the "Company" refer to inTEST Corporation and its consolidated subsidiaries.</w:t>
      </w:r>
    </w:p>
    <w:p>
      <w:pPr>
        <w:spacing w:after="0" w:line="184" w:lineRule="exact"/>
        <w:rPr>
          <w:sz w:val="20"/>
          <w:szCs w:val="20"/>
          <w:color w:val="auto"/>
        </w:rPr>
      </w:pPr>
    </w:p>
    <w:p>
      <w:pPr>
        <w:ind w:left="500" w:right="180"/>
        <w:spacing w:after="0" w:line="257" w:lineRule="auto"/>
        <w:rPr>
          <w:sz w:val="20"/>
          <w:szCs w:val="20"/>
          <w:color w:val="auto"/>
        </w:rPr>
      </w:pPr>
      <w:r>
        <w:rPr>
          <w:rFonts w:ascii="Arial" w:cs="Arial" w:eastAsia="Arial" w:hAnsi="Arial"/>
          <w:sz w:val="18"/>
          <w:szCs w:val="18"/>
          <w:color w:val="auto"/>
        </w:rPr>
        <w:t>We are a global supplier of innovative test and process solutions for use in manufacturing and testing across a wide range of markets including automotive, defense/aerospace, industrial, medical, semiconductor and telecommunications. We manage our business as two operating segments, Thermal Products ("Thermal”) and Electromechanical Semiconductor Products ("EMS"), which are also our reporting units. Our Thermal segment designs, manufactures and sells our thermal test and thermal process products while our EMS segment designs, manufactures and sells our semiconductor test products.</w:t>
      </w:r>
    </w:p>
    <w:p>
      <w:pPr>
        <w:spacing w:after="0" w:line="188" w:lineRule="exact"/>
        <w:rPr>
          <w:sz w:val="20"/>
          <w:szCs w:val="20"/>
          <w:color w:val="auto"/>
        </w:rPr>
      </w:pPr>
    </w:p>
    <w:p>
      <w:pPr>
        <w:ind w:left="500" w:right="80"/>
        <w:spacing w:after="0" w:line="279" w:lineRule="auto"/>
        <w:rPr>
          <w:sz w:val="20"/>
          <w:szCs w:val="20"/>
          <w:color w:val="auto"/>
        </w:rPr>
      </w:pPr>
      <w:r>
        <w:rPr>
          <w:rFonts w:ascii="Arial" w:cs="Arial" w:eastAsia="Arial" w:hAnsi="Arial"/>
          <w:sz w:val="17"/>
          <w:szCs w:val="17"/>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defense/aerospace, industrial, medical and telecommunications markets.</w:t>
      </w:r>
    </w:p>
    <w:p>
      <w:pPr>
        <w:spacing w:after="0" w:line="171" w:lineRule="exact"/>
        <w:rPr>
          <w:sz w:val="20"/>
          <w:szCs w:val="20"/>
          <w:color w:val="auto"/>
        </w:rPr>
      </w:pPr>
    </w:p>
    <w:p>
      <w:pPr>
        <w:ind w:left="500" w:right="40"/>
        <w:spacing w:after="0" w:line="257" w:lineRule="auto"/>
        <w:rPr>
          <w:sz w:val="20"/>
          <w:szCs w:val="20"/>
          <w:color w:val="auto"/>
        </w:rPr>
      </w:pPr>
      <w:r>
        <w:rPr>
          <w:rFonts w:ascii="Arial" w:cs="Arial" w:eastAsia="Arial" w:hAnsi="Arial"/>
          <w:sz w:val="18"/>
          <w:szCs w:val="18"/>
          <w:color w:val="auto"/>
        </w:rPr>
        <w:t>We sell our products worldwide. Within the ATE market, we sell our products both directly to major semiconductor manufacturers and semiconductor test subcontractors and indirectly through leading ATE manufacturers. In markets outside the ATE market, we sell our products directly to the end user of the product or through third party distributors. Our largest customers include Aixtron SE, Analog Devices, Inc., Emerson Electric Co., Hakuto Co. Ltd., Lockheed Martin Corporation, NXP Semiconductors N.V., QUALCOMM Incorporated, Raytheon Company, Renesas Electronics Corporation and Texas Instruments Incorporated.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COVID-19 PANDEMIC</w:t>
      </w:r>
    </w:p>
    <w:p>
      <w:pPr>
        <w:spacing w:after="0" w:line="225"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Our net revenues from all of the markets we serve were significantly affected by COVID-19 during the first half of 2020. The impact of COVID-19 on our net revenues from the Semi Market was intensified during the first half of the year because our business operations were also being negatively affected by a global downturn in the Semi Market at that time. The Semi Market, from which approximately half of our net revenues are derived, entered a cyclical downturn in the beginning of 2019. During the first quarter of 2020, before the spread of COVID-19, we had started to see indications that the downturn was coming to an end. These indications included increased quoting activity and order levels for the first quarter of 2020 as compared to the fourth quarter of 2019. However, we believe COVID-19 delayed the recovery in the Semi Market as the increase in activity leveled off during late March 2020.</w:t>
      </w:r>
    </w:p>
    <w:p>
      <w:pPr>
        <w:spacing w:after="0" w:line="195" w:lineRule="exact"/>
        <w:rPr>
          <w:sz w:val="20"/>
          <w:szCs w:val="20"/>
          <w:color w:val="auto"/>
        </w:rPr>
      </w:pPr>
    </w:p>
    <w:p>
      <w:pPr>
        <w:ind w:left="500" w:right="20"/>
        <w:spacing w:after="0" w:line="269" w:lineRule="auto"/>
        <w:rPr>
          <w:sz w:val="20"/>
          <w:szCs w:val="20"/>
          <w:color w:val="auto"/>
        </w:rPr>
      </w:pPr>
      <w:r>
        <w:rPr>
          <w:rFonts w:ascii="Arial" w:cs="Arial" w:eastAsia="Arial" w:hAnsi="Arial"/>
          <w:sz w:val="17"/>
          <w:szCs w:val="17"/>
          <w:color w:val="auto"/>
        </w:rPr>
        <w:t>Although we saw slightly increased order rates from our customers in the Semi Market during the second and third quarters of 2020, it was not until the fourth quarter of 2020 that we saw a significant increase in our orders from the Semi Market which we believe indicates that we have now entered the next cyclical upturn. During the fourth quarter of 2020, our orders from the Semi Market increased 53% sequentially and were 141% higher than in the fourth quarter of 2019, the low point of the prior cyclical downturn for the products that we sell. We believe the level of increase in our orders from the Semi Market during the fourth quarter of 2020 reflects a combination of increased demand in the market resulting from the interruption of the normal recovery in the Semi Market cycle caused by the onset of COVID-19 in the first half of 2020, as well as increased demand for semiconductors, generally. We believe this increase in demand is being driven both by changing technology as well as increased use of technology across all aspects of daily life, such as in devices that facilitate remote work and education, smart technology used in homes and businesses, the increase in the amount of integrated circuits (“ICs”) used in the automotive industry and changes occurring in the telecommunications and mobility markets.</w:t>
      </w:r>
    </w:p>
    <w:p>
      <w:pPr>
        <w:spacing w:after="0" w:line="185" w:lineRule="exact"/>
        <w:rPr>
          <w:sz w:val="20"/>
          <w:szCs w:val="20"/>
          <w:color w:val="auto"/>
        </w:rPr>
      </w:pPr>
    </w:p>
    <w:p>
      <w:pPr>
        <w:ind w:left="500" w:right="20"/>
        <w:spacing w:after="0" w:line="290" w:lineRule="auto"/>
        <w:rPr>
          <w:sz w:val="20"/>
          <w:szCs w:val="20"/>
          <w:color w:val="auto"/>
        </w:rPr>
      </w:pPr>
      <w:r>
        <w:rPr>
          <w:rFonts w:ascii="Arial" w:cs="Arial" w:eastAsia="Arial" w:hAnsi="Arial"/>
          <w:sz w:val="16"/>
          <w:szCs w:val="16"/>
          <w:color w:val="auto"/>
        </w:rPr>
        <w:t>As of the date of this filing, all of our operations continue to be deemed “critical and essential business operations” under the various governmental COVID-19 mandates, which has allowed us to continue to operate our business with certain modifications. These modifications include a significant number of our employees working remotely. Such employees have been provided with the tools and technology necessary to do so. Additionally, we have implemented workplace safeguards designed to protect the health and well-being of our employees. Employees who remain in our facilities are following World Health Organization (“WHO”) and Centers for Disease Control and Prevention (“CDC”) recommended safety practices, as well as state and local directives. We have had occasions where one or more employees have contracted COVID-19 and entered our facilities while infected. To date, we have managed these occurrences with minimal disruption to our business while protecting other employees, but there can be no assurances that we can avoid similar occurrences in the future or, that in such cases, we can avoid significant disruption of our operations.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aftermarket service and support that we provide to our customers has been, and we expect may continue to be, adversely impacted by COVID-</w:t>
      </w:r>
    </w:p>
    <w:p>
      <w:pPr>
        <w:spacing w:after="0" w:line="46" w:lineRule="exact"/>
        <w:rPr>
          <w:sz w:val="20"/>
          <w:szCs w:val="20"/>
          <w:color w:val="auto"/>
        </w:rPr>
      </w:pPr>
    </w:p>
    <w:p>
      <w:pPr>
        <w:ind w:left="500" w:hanging="6"/>
        <w:spacing w:after="0" w:line="273" w:lineRule="auto"/>
        <w:tabs>
          <w:tab w:leader="none" w:pos="770" w:val="left"/>
        </w:tabs>
        <w:numPr>
          <w:ilvl w:val="0"/>
          <w:numId w:val="4"/>
        </w:numPr>
        <w:rPr>
          <w:rFonts w:ascii="Arial" w:cs="Arial" w:eastAsia="Arial" w:hAnsi="Arial"/>
          <w:sz w:val="17"/>
          <w:szCs w:val="17"/>
          <w:color w:val="auto"/>
        </w:rPr>
      </w:pPr>
      <w:r>
        <w:rPr>
          <w:rFonts w:ascii="Arial" w:cs="Arial" w:eastAsia="Arial" w:hAnsi="Arial"/>
          <w:sz w:val="17"/>
          <w:szCs w:val="17"/>
          <w:color w:val="auto"/>
        </w:rPr>
        <w:t>Specifically, the travel restrictions that remain in place, coupled with limitations on visitors into customer facilities, have resulted in the reduction or suspension of certain activities. The net revenues associated with these aftermarket service and support activities typically range from 8% to 10% of our consolidated net revenues. Although these net revenues returned to a more typical range during the third and fourth quarters of 2020, if the spread of COVID-19 or variations of the virus worsen, these revenues may be reduced in future periods.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ind w:right="140"/>
        <w:spacing w:after="0" w:line="259" w:lineRule="auto"/>
        <w:rPr>
          <w:sz w:val="20"/>
          <w:szCs w:val="20"/>
          <w:color w:val="auto"/>
        </w:rPr>
      </w:pPr>
      <w:r>
        <w:rPr>
          <w:rFonts w:ascii="Arial" w:cs="Arial" w:eastAsia="Arial" w:hAnsi="Arial"/>
          <w:sz w:val="18"/>
          <w:szCs w:val="18"/>
          <w:color w:val="auto"/>
        </w:rPr>
        <w:t>While the negative impact of COVID-19 on our business was reduced significantly in the second half of 2020, the spread of the virus or variants of the virus could worsen and one or more of our significant customers or suppliers could be impacted, or significant additional governmental regulations and restrictions could be imposed, thus negatively impacting our business in the future. See “Risks Related to COVID-19” under Item 1A “Risk Factors” in this Report.</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our current level of working capital as well as the availability of our revolving credit facility, which is discussed in Note 10 to our consolidated financial statements, we currently expect to have sufficient liquidity to operate our business throughout 2021, as further described in this Report. Although our revolving credit facility will mature on April 9, 2021, we are currently in discussions with our lender to replace this facility with a three-year credit facility. We expect that facility to be put in place in conjunction with, or prior to, the expiration of our current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Historically, we referred to our markets as “Semiconductor” (which included both the broader semiconductor market as well as the more specialized semiconductor ATE and wafer processing sectors within the broader semiconductor market), and “Non-Semiconductor” (which included all of the other markets we serve). In the second quarter of 2019, we began referring to the semiconductor market, including the ATE and wafer processing sectors within that market, as the “Semi Market.” All other markets, when referred to collectively, are designated as “Multimarket.” Business within our Thermal segment can fall into either the Semi Market or Multimarket, depending upon how our customers utilize our products or upon their respective applications, while business within our EMS segment is all within the Semi Market.</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While the Semi Market represents the historical roots of inTEST and remains a very important component of our business, Multimarket is where we have focused our strategic growth efforts over the last several years. Our goal has been to grow our business, both organically and through acquisition, in Multimarket as we believe these markets have historically been less cyclical than the Semi Market. Moving forward, with the launch of our new strategic plan which is discussed below under “Our Strategies”, we are broadening our strategic growth efforts to target both organic and inorganic growth in all of our currently served markets, which includes the Semi Market. Our goal is to further expand our existing product lines, strengthen our positions in served markets and drive expansion into new markets.</w:t>
      </w:r>
    </w:p>
    <w:p>
      <w:pPr>
        <w:spacing w:after="0" w:line="17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Prior to the acquisition of Ambrell Corporation (“Ambrell”) in May 2017, we offered only highly specialized engineering solutions used for testing applications in Multimarket, the demand for which is limited and which varies significantly from period to period. Our acquisition of Ambrell not only provided expansion into new markets but also broadened our product offerings to include products sold into process or manufacturing applications. Historically, Ambrell sold its precision induction heating systems almost exclusively to customers in the industrial market but since 2018, has also had significant sales into the Semi Market. Overall, however, the acquisition of Ambrell has helped to diversify our customer base. We expect that our future orders and net revenues will be approximately equally split between the Semi Market and Multimarket. During 2020 and 2019, our net revenues from Multimarket were $27.0 million and $29.7 million, respectively, and represented 50% and 49%, respectively, of our total net revenues. In the five years prior to the acquisition of Ambrell, our net revenues from Multimarket ranged from 18% to 30% of our total net revenues.</w:t>
      </w:r>
    </w:p>
    <w:p>
      <w:pPr>
        <w:spacing w:after="0" w:line="1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level of our net revenues in Multimarket varies significantly from market to market. During 2020 and 2019, our net revenues from the industrial market represented 32% and 35%, respectively, of our total net revenues, while our net revenues from the defense/aerospace market represented 12% and 8%, respectively, of our total net revenues. Our net revenues from the telecommunications market represented 3% of our total net revenues in both years. The level of our net revenues in these markets has varied significantly in the past and we expect it will vary significantly in the future as we build our presence in these markets and establish new markets for our products. One of our goals is to further expand our Multimarket sales; however, due to the highly specialized nature of many of our product offerings, we do not expect broad market penetration in many of these markets. We are continuing to evaluate buying patterns and opportunities for growth in these markets that may affect our future performance.</w:t>
      </w:r>
    </w:p>
    <w:p>
      <w:pPr>
        <w:spacing w:after="0" w:line="16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Outside of the Semi Market, we have developed a meaningful market share in one other market, which is the induction heating market for systems with 500kW or less of power. This market is a subset of the industrial market. In contrast to the Semi Market, where we serve a range of customers and where our business trends generally follow overall market trends within the Semi Market, in the industrial market, where induction heating products are used, we serve a limited number of market participants representing only a portion of this market. Therefore, market trends in this area do not have as material an impact on our financial results. The following discussion of our markets is, therefore, limited to the Semi Market.</w:t>
      </w:r>
    </w:p>
    <w:p>
      <w:pPr>
        <w:spacing w:after="0" w:line="16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auto"/>
        </w:rPr>
        <w:t>Semi Market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noted above, the Semi Market includes both the broader semiconductor market as well as the more specialized semiconductor ATE and wafer processing sectors within the broader semiconductor market. Historically, the Semi Market has been characterized by rapid technological change, wide fluctuations in demand and shortening product life cycles. Designers and manufacturers of a variety of electronic and industrial products, such as cell phones, telecom and datacom systems, Internet access devices, computers, transportation and consumer electronics, require increasingly complex ICs to provide improved end-product performance demanded by their customers. Semiconductor manufacturers generally compete based on product performance and price. We believe that testing costs represent a significant portion of the total cost of manufacturing ICs. Semiconductor manufacturers remain under pressure to maximize production yields and reduce testing costs. At the same time, the growing complexity of ICs has increased the difficulty of maximizing test yields. In order to address these market trends, semiconductor manufacturers strive for more effective utilization of ATE, smaller test areas and increased wafer level testing.</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Demand for new ATE and related equipment depends upon several factors, including the test equipment utilization rates of semiconductor manufacturers, the demand for products that incorporate ICs, the increasing complexity of ICs and the emergence of new IC design, production and packaging technologies. Some of the evolutionary changes in IC technologies include the shift to 300 mm wafers in production, system-on-a-chip (“SOC”) where digital, analog and memory functions are combined on a single IC, and chip scale packaging. As a result of these factors and other advances, semiconductor manufacturers may require additional ATE not only to handle increases in production, but also to handle the more sophisticated testing requirements of ICs.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 Test Process</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Semiconductor manufacturers typically produce ICs in multiples of several hundred or more on a silicon wafer that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that is electronically connected to a "test head," which connects electrically to a test system. During front-end testing, there is a growing trend of thermally conditioning the wafer during test. Once the good ICs have been identified, they are packaged.</w:t>
      </w:r>
    </w:p>
    <w:p>
      <w:pPr>
        <w:spacing w:after="0" w:line="18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that is attached to the test head. These handlers may be temperature controlled for testing.</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Testers range in price from approximately $100,000 to over $2.0 million each, depending primarily on the complexity of the IC to be tested. Probers and handlers range in price from approximately $50,000 to $500,000 each. A typical test floor of a large semiconductor manufacturer may have 100 test heads and 100 probers or 250 handlers supplied by various vendors for use at any one time. While larger global semiconductor manufacturers typically purchase ATE to test the ICs they manufacture, there are a growing number of semiconductor manufacturers who outsource IC testing to third-party foundries, test and assembly providers.</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 Traditionally, temperature management products are used in back-end test to allow a manufacturer to test packaged ICs under the extreme temperature conditions in which the IC may be required to operate. However, we believe that temperature-controlled testing will be an increasingly important part of front-end wafer testing as more parameters traditionally tested in back-end test are moved to front-end test.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Trends in IC Testing</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ATE is used to identify unacceptable packaged ICs and bad die on wafers. ATE assists IC manufacturers in controlling test costs by performing IC testing in an efficient and cost-effective manner. In order to provide testing equipment that can help IC manufacturers meet these goals, we believe the ATE market must address the following issues:</w:t>
      </w:r>
    </w:p>
    <w:p>
      <w:pPr>
        <w:spacing w:after="0" w:line="18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20" w:top="584" w:right="399" w:bottom="1440" w:gutter="0" w:footer="0" w:header="0"/>
        </w:sectPr>
      </w:pPr>
    </w:p>
    <w:bookmarkStart w:id="6" w:name="page7"/>
    <w:bookmarkEnd w:id="6"/>
    <w:p>
      <w:pPr>
        <w:ind w:right="120"/>
        <w:spacing w:after="0" w:line="263" w:lineRule="auto"/>
        <w:rPr>
          <w:sz w:val="20"/>
          <w:szCs w:val="20"/>
          <w:color w:val="auto"/>
        </w:rPr>
      </w:pPr>
      <w:r>
        <w:rPr>
          <w:rFonts w:ascii="Arial" w:cs="Arial" w:eastAsia="Arial" w:hAnsi="Arial"/>
          <w:sz w:val="18"/>
          <w:szCs w:val="18"/>
          <w:i w:val="1"/>
          <w:iCs w:val="1"/>
          <w:color w:val="auto"/>
        </w:rPr>
        <w:t>Change in Technology</w:t>
      </w:r>
      <w:r>
        <w:rPr>
          <w:rFonts w:ascii="Arial" w:cs="Arial" w:eastAsia="Arial" w:hAnsi="Arial"/>
          <w:sz w:val="18"/>
          <w:szCs w:val="18"/>
          <w:color w:val="auto"/>
        </w:rPr>
        <w:t>. End-user applications are demanding ICs with increasingly higher performance, greater speeds, and smaller sizes. ICs that</w:t>
      </w:r>
      <w:r>
        <w:rPr>
          <w:rFonts w:ascii="Arial" w:cs="Arial" w:eastAsia="Arial" w:hAnsi="Arial"/>
          <w:sz w:val="18"/>
          <w:szCs w:val="18"/>
          <w:i w:val="1"/>
          <w:iCs w:val="1"/>
          <w:color w:val="auto"/>
        </w:rPr>
        <w:t xml:space="preserve"> </w:t>
      </w:r>
      <w:r>
        <w:rPr>
          <w:rFonts w:ascii="Arial" w:cs="Arial" w:eastAsia="Arial" w:hAnsi="Arial"/>
          <w:sz w:val="18"/>
          <w:szCs w:val="18"/>
          <w:color w:val="auto"/>
        </w:rPr>
        <w:t>meet these higher standards, including SOC designs, are more complex and dense. These technology trends have significant implications for the IC testing process, including:</w:t>
      </w:r>
    </w:p>
    <w:p>
      <w:pPr>
        <w:spacing w:after="0" w:line="184" w:lineRule="exact"/>
        <w:rPr>
          <w:sz w:val="20"/>
          <w:szCs w:val="20"/>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need for test heads of higher complexity;</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signal densities;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test speeds; and</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new generation of testers for SOC and other technologies.</w:t>
      </w:r>
    </w:p>
    <w:p>
      <w:pPr>
        <w:spacing w:after="0" w:line="25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color w:val="auto"/>
        </w:rPr>
        <w:t>Need for Plug-Compatibility and Integration</w:t>
      </w:r>
      <w:r>
        <w:rPr>
          <w:rFonts w:ascii="Arial" w:cs="Arial" w:eastAsia="Arial" w:hAnsi="Arial"/>
          <w:sz w:val="16"/>
          <w:szCs w:val="16"/>
          <w:color w:val="auto"/>
        </w:rPr>
        <w:t>. Semiconductor manufacturers need test methodologies that will perform increasingly complex tests</w:t>
      </w:r>
      <w:r>
        <w:rPr>
          <w:rFonts w:ascii="Arial" w:cs="Arial" w:eastAsia="Arial" w:hAnsi="Arial"/>
          <w:sz w:val="16"/>
          <w:szCs w:val="16"/>
          <w:i w:val="1"/>
          <w:iCs w:val="1"/>
          <w:color w:val="auto"/>
        </w:rPr>
        <w:t xml:space="preserve"> </w:t>
      </w:r>
      <w:r>
        <w:rPr>
          <w:rFonts w:ascii="Arial" w:cs="Arial" w:eastAsia="Arial" w:hAnsi="Arial"/>
          <w:sz w:val="16"/>
          <w:szCs w:val="16"/>
          <w:color w:val="auto"/>
        </w:rPr>
        <w:t>while lowering the overall cost of testing. This can require combining ATE manufactured by various companies into optimally performing systems. Semiconductor manufacturers have to work closely with various test hardware, software, interface and component vendors to resolve design and compatibility issues in order to make these vendors' products plug-compatible with test equipment manufactured by other vendors.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Testing Under Extreme Conditions</w:t>
      </w:r>
      <w:r>
        <w:rPr>
          <w:rFonts w:ascii="Arial" w:cs="Arial" w:eastAsia="Arial" w:hAnsi="Arial"/>
          <w:sz w:val="18"/>
          <w:szCs w:val="18"/>
          <w:color w:val="auto"/>
        </w:rPr>
        <w:t>. ICs will have to perform across a wider spectrum of temperature and environmental conditions than ever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the growing complexity of products in which they are deployed. In recent years, temperature testing has found an increasing role in front-end, wafer-level testing. Creating a uniform thermal profile over much larger wafer areas represents a significant engineering and design challenge for ATE manufacturers.</w:t>
      </w:r>
    </w:p>
    <w:p>
      <w:pPr>
        <w:spacing w:after="0" w:line="18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i w:val="1"/>
          <w:iCs w:val="1"/>
          <w:color w:val="auto"/>
        </w:rPr>
        <w:t>Demand for Higher Levels of Technical Support</w:t>
      </w:r>
      <w:r>
        <w:rPr>
          <w:rFonts w:ascii="Arial" w:cs="Arial" w:eastAsia="Arial" w:hAnsi="Arial"/>
          <w:sz w:val="16"/>
          <w:szCs w:val="16"/>
          <w:color w:val="auto"/>
        </w:rPr>
        <w:t>. As IC testing becomes more complex, semiconductor manufacturers demand higher levels of</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support on a routine basis. ATE manufacturers must commit appropriate resources to technical support in order to develop close working relationships with their customers. This level of support also requires close proximity of service and support personnel to customers' facilities.</w:t>
      </w:r>
    </w:p>
    <w:p>
      <w:pPr>
        <w:spacing w:after="0" w:line="149"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Cost Reduction Through Increased Front-End Testing</w:t>
      </w:r>
      <w:r>
        <w:rPr>
          <w:rFonts w:ascii="Arial" w:cs="Arial" w:eastAsia="Arial" w:hAnsi="Arial"/>
          <w:sz w:val="16"/>
          <w:szCs w:val="16"/>
          <w:color w:val="auto"/>
        </w:rPr>
        <w:t>. As the cost of testing ICs increases, semiconductor manufacturers will continue to look for</w:t>
      </w:r>
      <w:r>
        <w:rPr>
          <w:rFonts w:ascii="Arial" w:cs="Arial" w:eastAsia="Arial" w:hAnsi="Arial"/>
          <w:sz w:val="16"/>
          <w:szCs w:val="16"/>
          <w:i w:val="1"/>
          <w:iCs w:val="1"/>
          <w:color w:val="auto"/>
        </w:rPr>
        <w:t xml:space="preserve"> </w:t>
      </w:r>
      <w:r>
        <w:rPr>
          <w:rFonts w:ascii="Arial" w:cs="Arial" w:eastAsia="Arial" w:hAnsi="Arial"/>
          <w:sz w:val="16"/>
          <w:szCs w:val="16"/>
          <w:color w:val="auto"/>
        </w:rPr>
        <w:t>ways to streamline the testing process to make it more cost-effective, such as the trend to use massive parallel testing, in which semiconductor manufacturers test multiple ICs on the wafer simultaneously. We believe that this factor will lead to more front-end, wafer-level testing.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SOLUTIONS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focus our development efforts on designing and producing high quality products that provide superior performance and cost-effectiveness. We seek to address each manufacturer's individual needs through innovative and customized designs, use of the best materials available, quality manufacturing practices and personalized service. We design solutions to overcome the evolving challenges facing the Semi Market and other markets that we serve, which we believe provide the following advantages:</w:t>
      </w:r>
    </w:p>
    <w:p>
      <w:pPr>
        <w:spacing w:after="0" w:line="187" w:lineRule="exact"/>
        <w:rPr>
          <w:sz w:val="20"/>
          <w:szCs w:val="20"/>
          <w:color w:val="auto"/>
        </w:rPr>
      </w:pPr>
    </w:p>
    <w:p>
      <w:pPr>
        <w:spacing w:after="0" w:line="245" w:lineRule="auto"/>
        <w:rPr>
          <w:sz w:val="20"/>
          <w:szCs w:val="20"/>
          <w:color w:val="auto"/>
        </w:rPr>
      </w:pPr>
      <w:r>
        <w:rPr>
          <w:rFonts w:ascii="Arial" w:cs="Arial" w:eastAsia="Arial" w:hAnsi="Arial"/>
          <w:sz w:val="17"/>
          <w:szCs w:val="17"/>
          <w:i w:val="1"/>
          <w:iCs w:val="1"/>
          <w:color w:val="auto"/>
        </w:rPr>
        <w:t>Temperature-Controlled Testing</w:t>
      </w:r>
      <w:r>
        <w:rPr>
          <w:rFonts w:ascii="Arial" w:cs="Arial" w:eastAsia="Arial" w:hAnsi="Arial"/>
          <w:sz w:val="17"/>
          <w:szCs w:val="17"/>
          <w:color w:val="auto"/>
        </w:rPr>
        <w:t>. Our Thermostream</w:t>
      </w:r>
      <w:r>
        <w:rPr>
          <w:rFonts w:ascii="Arial" w:cs="Arial" w:eastAsia="Arial" w:hAnsi="Arial"/>
          <w:sz w:val="28"/>
          <w:szCs w:val="28"/>
          <w:color w:val="auto"/>
          <w:vertAlign w:val="superscript"/>
        </w:rPr>
        <w:t>(R)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are used by manufacturers in a number of markets to stress test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and electronic components, printed circuit boards and sub-assemblies. Factors motivating manufacturers to use temperature testing include design characterization, failure analysis and quality control, as well as determining performance under extreme operating temperatures, all of which contribute to manufacturing cost savings. Our thermal platforms and temperature chambers, sold under our Sigma Systems product line, can accommodate large thermal masses and are found in both laboratory and production environments. Thermonics' products provide a range of precision temperature forcing systems and have been melded into Temptronic's ATS ThermoStream product line. The Thermonics brand is now used to market a family of process chillers for test and industrial applications.</w:t>
      </w:r>
    </w:p>
    <w:p>
      <w:pPr>
        <w:spacing w:after="0" w:line="202"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i w:val="1"/>
          <w:iCs w:val="1"/>
          <w:color w:val="auto"/>
        </w:rPr>
        <w:t xml:space="preserve">Induction Heating. </w:t>
      </w:r>
      <w:r>
        <w:rPr>
          <w:rFonts w:ascii="Arial" w:cs="Arial" w:eastAsia="Arial" w:hAnsi="Arial"/>
          <w:sz w:val="16"/>
          <w:szCs w:val="16"/>
          <w:color w:val="auto"/>
        </w:rPr>
        <w:t>Our acquisition of Ambrell added induction heating capabilities to our product offerings, which can be used by customers in</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applications where precision controlled heating is needed. Customers use our induction heating products in conjunction with other technologies in various manufacturing environments to improve production efficiencies. Applications for our EKOHEAT</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or EASYHEAT™ induction heating products include annealing, bonding, brazing, curing, forging, heat treating, melting, shrink-fitting and testing.</w:t>
      </w:r>
    </w:p>
    <w:p>
      <w:pPr>
        <w:spacing w:after="0" w:line="19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i w:val="1"/>
          <w:iCs w:val="1"/>
          <w:color w:val="auto"/>
        </w:rPr>
        <w:t>Scalable, Universal, High Performance Interface Technology</w:t>
      </w:r>
      <w:r>
        <w:rPr>
          <w:rFonts w:ascii="Arial" w:cs="Arial" w:eastAsia="Arial" w:hAnsi="Arial"/>
          <w:sz w:val="16"/>
          <w:szCs w:val="16"/>
          <w:color w:val="auto"/>
        </w:rPr>
        <w:t>. Our universal test head manipulators provide a high degree of positioning flexibility</w:t>
      </w:r>
      <w:r>
        <w:rPr>
          <w:rFonts w:ascii="Arial" w:cs="Arial" w:eastAsia="Arial" w:hAnsi="Arial"/>
          <w:sz w:val="16"/>
          <w:szCs w:val="16"/>
          <w:i w:val="1"/>
          <w:iCs w:val="1"/>
          <w:color w:val="auto"/>
        </w:rPr>
        <w:t xml:space="preserve"> </w:t>
      </w:r>
      <w:r>
        <w:rPr>
          <w:rFonts w:ascii="Arial" w:cs="Arial" w:eastAsia="Arial" w:hAnsi="Arial"/>
          <w:sz w:val="16"/>
          <w:szCs w:val="16"/>
          <w:color w:val="auto"/>
        </w:rPr>
        <w:t>with a minimum amount of effort. As a result, our products can be used in virtually any test setting. Our manipulator products are designed to accommodate the increased size of test heads. Our docking hardware products offer precise control over the connection to test sockets, probing assemblies and interface boards, reducing downtime and minimizing costly damage to fragile components. Our newest manipulator and docking hardware designs offer automated capabilities that allow for reduced downtime and increased productivity through predictable and repeatable production setup with reduced risk of operator error. Our tester interface products optimize the integrity of the signals transmitted between the test head and the device under test by being virtually transparent to the test signals. This results in increased accuracy of the test data and may thus enable improved test yields. We believe that these characteristics will gain even more significance as testing becomes even more demanding.</w:t>
      </w:r>
    </w:p>
    <w:p>
      <w:pPr>
        <w:spacing w:after="0" w:line="1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7" w:name="page8"/>
    <w:bookmarkEnd w:id="7"/>
    <w:p>
      <w:pPr>
        <w:jc w:val="both"/>
        <w:ind w:right="60"/>
        <w:spacing w:after="0" w:line="259" w:lineRule="auto"/>
        <w:rPr>
          <w:sz w:val="20"/>
          <w:szCs w:val="20"/>
          <w:color w:val="auto"/>
        </w:rPr>
      </w:pPr>
      <w:r>
        <w:rPr>
          <w:rFonts w:ascii="Arial" w:cs="Arial" w:eastAsia="Arial" w:hAnsi="Arial"/>
          <w:sz w:val="18"/>
          <w:szCs w:val="18"/>
          <w:i w:val="1"/>
          <w:iCs w:val="1"/>
          <w:color w:val="auto"/>
        </w:rPr>
        <w:t>Compatibility and Integration</w:t>
      </w:r>
      <w:r>
        <w:rPr>
          <w:rFonts w:ascii="Arial" w:cs="Arial" w:eastAsia="Arial" w:hAnsi="Arial"/>
          <w:sz w:val="18"/>
          <w:szCs w:val="18"/>
          <w:color w:val="auto"/>
        </w:rPr>
        <w:t>. A hallmark of our products has been, and continues to be, compatibility with a wide variety of ATE. Our manipulator</w:t>
      </w:r>
      <w:r>
        <w:rPr>
          <w:rFonts w:ascii="Arial" w:cs="Arial" w:eastAsia="Arial" w:hAnsi="Arial"/>
          <w:sz w:val="18"/>
          <w:szCs w:val="18"/>
          <w:i w:val="1"/>
          <w:iCs w:val="1"/>
          <w:color w:val="auto"/>
        </w:rPr>
        <w:t xml:space="preserve"> </w:t>
      </w:r>
      <w:r>
        <w:rPr>
          <w:rFonts w:ascii="Arial" w:cs="Arial" w:eastAsia="Arial" w:hAnsi="Arial"/>
          <w:sz w:val="18"/>
          <w:szCs w:val="18"/>
          <w:color w:val="auto"/>
        </w:rPr>
        <w:t>and docking hardware 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8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i w:val="1"/>
          <w:iCs w:val="1"/>
          <w:color w:val="auto"/>
        </w:rPr>
        <w:t>Worldwide Customer Service and Support</w:t>
      </w:r>
      <w:r>
        <w:rPr>
          <w:rFonts w:ascii="Arial" w:cs="Arial" w:eastAsia="Arial" w:hAnsi="Arial"/>
          <w:sz w:val="17"/>
          <w:szCs w:val="17"/>
          <w:color w:val="auto"/>
        </w:rPr>
        <w:t>. We have long recognized the need to maintain a physical presence near our customers' facilities.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we had domestic manufacturing facilities in Massachusetts, New Jersey and New York and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STRATEGIES</w:t>
      </w:r>
    </w:p>
    <w:p>
      <w:pPr>
        <w:spacing w:after="0" w:line="22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connection with the changes in our executive management team during the third quarter of 2020, which are discussed further in Note 3 to our consolidated financial statements, we have recently announced changes in our corporate vision and strategy. Our corporate vision is to become the supplier of choice for innovative test and process technology solutions. We are committed to becoming recognized as a leader in our markets for design and manufacturing capabilities that result in high quality and cost-effective test and process solutions combined with a customer focus that drives a high level of customer satisfaction. We intend to achieve this vision through developing unique and differentiated solutions for the customers and industries we serve while at the same time expanding our portfolio of products, services, and support to drive increased value to our customers, thereby driving increased revenue for us. Our core strategies that we believe will allow us to achieve this vision and provide sustainable long-term growth are as follows:</w:t>
      </w:r>
    </w:p>
    <w:p>
      <w:pPr>
        <w:spacing w:after="0" w:line="17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i w:val="1"/>
          <w:iCs w:val="1"/>
          <w:color w:val="auto"/>
        </w:rPr>
        <w:t xml:space="preserve">Global and Market Expansion. </w:t>
      </w:r>
      <w:r>
        <w:rPr>
          <w:rFonts w:ascii="Arial" w:cs="Arial" w:eastAsia="Arial" w:hAnsi="Arial"/>
          <w:sz w:val="17"/>
          <w:szCs w:val="17"/>
          <w:color w:val="auto"/>
        </w:rPr>
        <w:t>We believe we can provide significant and sustainable long-term growth through a larger installed product base. In</w:t>
      </w:r>
      <w:r>
        <w:rPr>
          <w:rFonts w:ascii="Arial" w:cs="Arial" w:eastAsia="Arial" w:hAnsi="Arial"/>
          <w:sz w:val="17"/>
          <w:szCs w:val="17"/>
          <w:i w:val="1"/>
          <w:iCs w:val="1"/>
          <w:color w:val="auto"/>
        </w:rPr>
        <w:t xml:space="preserve"> </w:t>
      </w:r>
      <w:r>
        <w:rPr>
          <w:rFonts w:ascii="Arial" w:cs="Arial" w:eastAsia="Arial" w:hAnsi="Arial"/>
          <w:sz w:val="17"/>
          <w:szCs w:val="17"/>
          <w:color w:val="auto"/>
        </w:rPr>
        <w:t>order to achieve this objective, we intend to make investments to drive further penetration in our existing markets. This may include initiatives to increase revenue both by selling a broader array of our current portfolio of products to our existing customer base as well as by expanding our customer base within these markets. In addition, we intend to increase our global footprint and coverage to better serve new and existing customers. Finally, our strategy in this area includes targeting expansion into new markets with our existing product portfolio.</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Innovation and Differentiation</w:t>
      </w:r>
      <w:r>
        <w:rPr>
          <w:rFonts w:ascii="Arial" w:cs="Arial" w:eastAsia="Arial" w:hAnsi="Arial"/>
          <w:sz w:val="18"/>
          <w:szCs w:val="18"/>
          <w:color w:val="auto"/>
        </w:rPr>
        <w:t>. We plan to continue leveraging our know-how and expertise to deliver innovative solutions which we believe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competitors cannot match. We intend to allocate increased engineering resources towards developing new and unique solutions that are broadly applicable through standardized platforms that offer late-stage configuration. We believe this focus on driving more standardization to increase market availability and lower costs can positively impact our operational results as well as increase the breadth and depth of our customer base, both of which we expect will drive long-term sustainable growth in our revenue.</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Service and Support</w:t>
      </w:r>
      <w:r>
        <w:rPr>
          <w:rFonts w:ascii="Arial" w:cs="Arial" w:eastAsia="Arial" w:hAnsi="Arial"/>
          <w:sz w:val="17"/>
          <w:szCs w:val="17"/>
          <w:color w:val="auto"/>
        </w:rPr>
        <w:t>. We believe service and support activities are valuable in strengthening customer satisfaction, loyalty and retention.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ensuring that we serve our customers’ needs, whether by expanding service coverage and decreasing response time or through expanded and enhanced service offerings, we believe we can drive revenue growth and solidify our customer relationships. We plan to achieve these objectives by adding more resources to fill areas where we have identified gaps in service and support, as well as through adding remote service capabilities which can monitor the health of our products that are onsite at customer locations. In addition, we intend to focus on expanding our product portfolio to include more consumable products. We believe that increasing the number of ways and the frequency with which we make customer contacts can drive growth in our business in the future.</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Strategic Acquisitions &amp; Partnerships. </w:t>
      </w:r>
      <w:r>
        <w:rPr>
          <w:rFonts w:ascii="Arial" w:cs="Arial" w:eastAsia="Arial" w:hAnsi="Arial"/>
          <w:sz w:val="16"/>
          <w:szCs w:val="16"/>
          <w:color w:val="auto"/>
        </w:rPr>
        <w:t>Another element of our growth strategy has been, and will continue to be, to acquire businesses, technologies</w:t>
      </w:r>
      <w:r>
        <w:rPr>
          <w:rFonts w:ascii="Arial" w:cs="Arial" w:eastAsia="Arial" w:hAnsi="Arial"/>
          <w:sz w:val="16"/>
          <w:szCs w:val="16"/>
          <w:i w:val="1"/>
          <w:iCs w:val="1"/>
          <w:color w:val="auto"/>
        </w:rPr>
        <w:t xml:space="preserve"> </w:t>
      </w:r>
      <w:r>
        <w:rPr>
          <w:rFonts w:ascii="Arial" w:cs="Arial" w:eastAsia="Arial" w:hAnsi="Arial"/>
          <w:sz w:val="16"/>
          <w:szCs w:val="16"/>
          <w:color w:val="auto"/>
        </w:rPr>
        <w:t>or products that are complementary to our current product offerings. We have acquired several businesses that have enabled us to expand our line of product offerings and have given us the opportunity to market a broader range of products to our customer base. We intend to continue to pursue acquisitions that help build our portfolio of technologies to better serve customers. These could be acquisitions which add to an existing business by expanding its product line or geographic presence, or new businesses that would allow us to expand our customer base and our served markets. We intend to explore opportunities across both of our product segments with the goal of expanding our electronic test capabilities, widening our thermal test capabilities in areas such as environmental test, and building out around the processing technologies that Ambrell added to our product offerings.</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Talent and Culture</w:t>
      </w:r>
      <w:r>
        <w:rPr>
          <w:rFonts w:ascii="Arial" w:cs="Arial" w:eastAsia="Arial" w:hAnsi="Arial"/>
          <w:sz w:val="17"/>
          <w:szCs w:val="17"/>
          <w:color w:val="auto"/>
        </w:rPr>
        <w:t>. We believe ensuring the right people are in the right roles and are empowered to deliver success is crucial to the achievement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core strategies. In addition, we intend to create a culture and environment of openness, one that is results-oriented and drives accountability across the organization. Finally, we intend to foster diversity and inclusion and provide opportunities for career development so as to maximize employee engagement, all of which is necessary to achieving our corporate vision.</w:t>
      </w:r>
    </w:p>
    <w:p>
      <w:pPr>
        <w:spacing w:after="0" w:line="17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OUR SEGMENTS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noted above, we have two operating segments, Thermal and EMS, which are also our reporting units. Our Thermal segment consists of (i) inTEST Thermal Solutions (“iTS”), which manufactures and sells products under the Temptronic, Sigma and Thermonics brand names, and (ii) Ambrell. iTS has operations in Massachusetts, Germany and Singapore. Ambrell has operations in New York, the Netherlands and the U.K. Customers use the thermal solutions produced by iTS for product development, characterization and production test or process applications. Ambrell provides customers with induction heating system solutions for conditioning, joining, and forming conductive materials in the manufacturing process. Our Thermal segment provides these solutions across an array of markets including automotive, defense/aerospace, industrial, medical, semiconductor and telecommunications.</w:t>
      </w:r>
    </w:p>
    <w:p>
      <w:pPr>
        <w:spacing w:after="0" w:line="19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EMS segment consists of our manufacturing operations in New Jersey and, prior to December 31, 2020, our manufacturing operations in California. As discussed further in Note 3 to our consolidated financial statements, during the fourth quarter of 2020, we transitioned the manufacturing operations that had been performed in California to our operation in New Jersey. Semiconductor manufacturers use our EMS solutions in back-end testing where our mechanical and electrical products serve production testing of wafers and specialized packaged ICs. These ICs include microprocessors, digital signal processing chips, mixed signal devices, MEMS (Micro-Electro-Mechanical Systems), application specific ICs and specialized memory ICs, and are used primarily in the automotive, defense/aerospace, industrial, medical and telecommunications markets. We custom design most of our products for each customer's particular combination of 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Thermal Products</w:t>
      </w:r>
    </w:p>
    <w:p>
      <w:pPr>
        <w:spacing w:after="0" w:line="225" w:lineRule="exact"/>
        <w:rPr>
          <w:sz w:val="20"/>
          <w:szCs w:val="20"/>
          <w:color w:val="auto"/>
        </w:rPr>
      </w:pPr>
    </w:p>
    <w:p>
      <w:pPr>
        <w:ind w:right="40"/>
        <w:spacing w:after="0" w:line="207" w:lineRule="auto"/>
        <w:rPr>
          <w:sz w:val="20"/>
          <w:szCs w:val="20"/>
          <w:color w:val="auto"/>
        </w:rPr>
      </w:pPr>
      <w:r>
        <w:rPr>
          <w:rFonts w:ascii="Arial" w:cs="Arial" w:eastAsia="Arial" w:hAnsi="Arial"/>
          <w:sz w:val="16"/>
          <w:szCs w:val="16"/>
          <w:i w:val="1"/>
          <w:iCs w:val="1"/>
          <w:color w:val="auto"/>
        </w:rPr>
        <w:t>ThermoStream</w:t>
      </w:r>
      <w:r>
        <w:rPr>
          <w:rFonts w:ascii="Arial" w:cs="Arial" w:eastAsia="Arial" w:hAnsi="Arial"/>
          <w:sz w:val="26"/>
          <w:szCs w:val="26"/>
          <w:i w:val="1"/>
          <w:iCs w:val="1"/>
          <w:color w:val="auto"/>
          <w:vertAlign w:val="superscript"/>
        </w:rPr>
        <w:t>(R)</w:t>
      </w:r>
      <w:r>
        <w:rPr>
          <w:rFonts w:ascii="Arial" w:cs="Arial" w:eastAsia="Arial" w:hAnsi="Arial"/>
          <w:sz w:val="16"/>
          <w:szCs w:val="16"/>
          <w:i w:val="1"/>
          <w:iCs w:val="1"/>
          <w:color w:val="auto"/>
        </w:rPr>
        <w:t xml:space="preserve"> Products</w:t>
      </w:r>
      <w:r>
        <w:rPr>
          <w:rFonts w:ascii="Arial" w:cs="Arial" w:eastAsia="Arial" w:hAnsi="Arial"/>
          <w:sz w:val="16"/>
          <w:szCs w:val="16"/>
          <w:color w:val="auto"/>
        </w:rPr>
        <w:t>: Our ThermoStream</w:t>
      </w:r>
      <w:r>
        <w:rPr>
          <w:rFonts w:ascii="Arial" w:cs="Arial" w:eastAsia="Arial" w:hAnsi="Arial"/>
          <w:sz w:val="26"/>
          <w:szCs w:val="26"/>
          <w:color w:val="auto"/>
          <w:vertAlign w:val="superscript"/>
        </w:rPr>
        <w:t>(R)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are used in the Semi Market as a stand-alone temperature management tool, or in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electronic test applications as part of our MobileTemp systems.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provide a source of heated and cooled air that can be directed over the component or device under test. These systems are capable of controlling temperatures to within +/- 0.1 degree Celsius over a range of -100 degrees Celsius to as high as +300 degrees Celsius within 1.0 degree Celsius of accuracy. As a stand-alone tool, ThermoStreams</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provide a temperature-controlled air stream to rapidly change and stabilize the temperature of packaged ICs and other devices.</w:t>
      </w:r>
    </w:p>
    <w:p>
      <w:pPr>
        <w:spacing w:after="0" w:line="205"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Our MobileTemp Series combines our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 Market and have found application in the automotive, electronic, fiber optic and oil field service markets testing such things as electronic sub-assemblies, sensor assemblies, and printed circuit boards.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Traditionally, our customers use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primarily in engineering, quality assurance and small-run manufacturing environments.</w:t>
      </w:r>
    </w:p>
    <w:p>
      <w:pPr>
        <w:spacing w:after="0"/>
        <w:rPr>
          <w:sz w:val="20"/>
          <w:szCs w:val="20"/>
          <w:color w:val="auto"/>
        </w:rPr>
      </w:pPr>
      <w:r>
        <w:rPr>
          <w:rFonts w:ascii="Arial" w:cs="Arial" w:eastAsia="Arial" w:hAnsi="Arial"/>
          <w:sz w:val="18"/>
          <w:szCs w:val="18"/>
          <w:color w:val="auto"/>
        </w:rPr>
        <w:t>ThermoStream</w:t>
      </w:r>
      <w:r>
        <w:rPr>
          <w:rFonts w:ascii="Arial" w:cs="Arial" w:eastAsia="Arial" w:hAnsi="Arial"/>
          <w:sz w:val="29"/>
          <w:szCs w:val="29"/>
          <w:color w:val="auto"/>
          <w:vertAlign w:val="superscript"/>
        </w:rPr>
        <w:t>(R)</w:t>
      </w:r>
      <w:r>
        <w:rPr>
          <w:rFonts w:ascii="Arial" w:cs="Arial" w:eastAsia="Arial" w:hAnsi="Arial"/>
          <w:sz w:val="18"/>
          <w:szCs w:val="18"/>
          <w:color w:val="auto"/>
        </w:rPr>
        <w:t xml:space="preserve"> and MobileTemp products range in price from approximately $15,000 to $50,000.</w:t>
      </w:r>
    </w:p>
    <w:p>
      <w:pPr>
        <w:spacing w:after="0" w:line="8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 xml:space="preserve">Thermal Chambers: </w:t>
      </w:r>
      <w:r>
        <w:rPr>
          <w:rFonts w:ascii="Arial" w:cs="Arial" w:eastAsia="Arial" w:hAnsi="Arial"/>
          <w:sz w:val="16"/>
          <w:szCs w:val="16"/>
          <w:color w:val="auto"/>
        </w:rPr>
        <w:t>Our chamber products are available in a variety of sizes, from small bench-top units to chambers with internal volumes of</w:t>
      </w:r>
      <w:r>
        <w:rPr>
          <w:rFonts w:ascii="Arial" w:cs="Arial" w:eastAsia="Arial" w:hAnsi="Arial"/>
          <w:sz w:val="16"/>
          <w:szCs w:val="16"/>
          <w:i w:val="1"/>
          <w:iCs w:val="1"/>
          <w:color w:val="auto"/>
        </w:rPr>
        <w:t xml:space="preserve"> </w:t>
      </w:r>
      <w:r>
        <w:rPr>
          <w:rFonts w:ascii="Arial" w:cs="Arial" w:eastAsia="Arial" w:hAnsi="Arial"/>
          <w:sz w:val="16"/>
          <w:szCs w:val="16"/>
          <w:color w:val="auto"/>
        </w:rPr>
        <w:t>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priced from $15,000 to $150,000.</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Thermal Platforms: </w:t>
      </w:r>
      <w:r>
        <w:rPr>
          <w:rFonts w:ascii="Arial" w:cs="Arial" w:eastAsia="Arial" w:hAnsi="Arial"/>
          <w:sz w:val="16"/>
          <w:szCs w:val="16"/>
          <w:color w:val="auto"/>
        </w:rPr>
        <w:t>Our platforms are available in surface sizes ranging from 7.2 square inches to 616 square inches. They provide a flat, thermally</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conductive, 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priced from $6,500 to $65,000.</w:t>
      </w:r>
    </w:p>
    <w:p>
      <w:pPr>
        <w:spacing w:after="0" w:line="161" w:lineRule="exact"/>
        <w:rPr>
          <w:sz w:val="20"/>
          <w:szCs w:val="20"/>
          <w:color w:val="auto"/>
        </w:rPr>
      </w:pPr>
    </w:p>
    <w:p>
      <w:pPr>
        <w:jc w:val="both"/>
        <w:ind w:right="220"/>
        <w:spacing w:after="0" w:line="238" w:lineRule="auto"/>
        <w:rPr>
          <w:sz w:val="20"/>
          <w:szCs w:val="20"/>
          <w:color w:val="auto"/>
        </w:rPr>
      </w:pPr>
      <w:r>
        <w:rPr>
          <w:rFonts w:ascii="Arial" w:cs="Arial" w:eastAsia="Arial" w:hAnsi="Arial"/>
          <w:sz w:val="16"/>
          <w:szCs w:val="16"/>
          <w:i w:val="1"/>
          <w:iCs w:val="1"/>
          <w:color w:val="auto"/>
        </w:rPr>
        <w:t>Thermonics</w:t>
      </w:r>
      <w:r>
        <w:rPr>
          <w:rFonts w:ascii="Arial" w:cs="Arial" w:eastAsia="Arial" w:hAnsi="Arial"/>
          <w:sz w:val="26"/>
          <w:szCs w:val="26"/>
          <w:i w:val="1"/>
          <w:iCs w:val="1"/>
          <w:color w:val="auto"/>
          <w:vertAlign w:val="superscript"/>
        </w:rPr>
        <w:t>(R)</w:t>
      </w:r>
      <w:r>
        <w:rPr>
          <w:rFonts w:ascii="Arial" w:cs="Arial" w:eastAsia="Arial" w:hAnsi="Arial"/>
          <w:sz w:val="16"/>
          <w:szCs w:val="16"/>
          <w:i w:val="1"/>
          <w:iCs w:val="1"/>
          <w:color w:val="auto"/>
        </w:rPr>
        <w:t xml:space="preserve"> Products: </w:t>
      </w:r>
      <w:r>
        <w:rPr>
          <w:rFonts w:ascii="Arial" w:cs="Arial" w:eastAsia="Arial" w:hAnsi="Arial"/>
          <w:sz w:val="16"/>
          <w:szCs w:val="16"/>
          <w:color w:val="auto"/>
        </w:rPr>
        <w:t>Our Thermonics temperature conditioning products, which include our process chillers, provide tempered gas or fluid to</w:t>
      </w:r>
      <w:r>
        <w:rPr>
          <w:rFonts w:ascii="Arial" w:cs="Arial" w:eastAsia="Arial" w:hAnsi="Arial"/>
          <w:sz w:val="16"/>
          <w:szCs w:val="16"/>
          <w:i w:val="1"/>
          <w:iCs w:val="1"/>
          <w:color w:val="auto"/>
        </w:rPr>
        <w:t xml:space="preserve"> </w:t>
      </w:r>
      <w:r>
        <w:rPr>
          <w:rFonts w:ascii="Arial" w:cs="Arial" w:eastAsia="Arial" w:hAnsi="Arial"/>
          <w:sz w:val="16"/>
          <w:szCs w:val="16"/>
          <w:color w:val="auto"/>
        </w:rPr>
        <w:t>enable customers to maintain desired thermal conditions within their tool or process. Applications include general industrial, chemical processing, energy, electronics, automotive, defense/aerospace and semiconductor markets. Prices range from $20,000 to greater than $250,000.</w:t>
      </w:r>
    </w:p>
    <w:p>
      <w:pPr>
        <w:spacing w:after="0" w:line="203" w:lineRule="exact"/>
        <w:rPr>
          <w:sz w:val="20"/>
          <w:szCs w:val="20"/>
          <w:color w:val="auto"/>
        </w:rPr>
      </w:pPr>
    </w:p>
    <w:p>
      <w:pPr>
        <w:ind w:right="180"/>
        <w:spacing w:after="0" w:line="212" w:lineRule="auto"/>
        <w:rPr>
          <w:sz w:val="20"/>
          <w:szCs w:val="20"/>
          <w:color w:val="auto"/>
        </w:rPr>
      </w:pPr>
      <w:r>
        <w:rPr>
          <w:rFonts w:ascii="Arial" w:cs="Arial" w:eastAsia="Arial" w:hAnsi="Arial"/>
          <w:sz w:val="18"/>
          <w:szCs w:val="18"/>
          <w:i w:val="1"/>
          <w:iCs w:val="1"/>
          <w:color w:val="auto"/>
        </w:rPr>
        <w:t>EKOHEAT</w:t>
      </w:r>
      <w:r>
        <w:rPr>
          <w:rFonts w:ascii="Arial" w:cs="Arial" w:eastAsia="Arial" w:hAnsi="Arial"/>
          <w:sz w:val="29"/>
          <w:szCs w:val="29"/>
          <w:i w:val="1"/>
          <w:iCs w:val="1"/>
          <w:color w:val="auto"/>
          <w:vertAlign w:val="superscript"/>
        </w:rPr>
        <w:t>(R)</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EKOHEAT</w:t>
      </w:r>
      <w:r>
        <w:rPr>
          <w:rFonts w:ascii="Arial" w:cs="Arial" w:eastAsia="Arial" w:hAnsi="Arial"/>
          <w:sz w:val="29"/>
          <w:szCs w:val="29"/>
          <w:color w:val="auto"/>
          <w:vertAlign w:val="superscript"/>
        </w:rPr>
        <w:t>(R)</w:t>
      </w:r>
      <w:r>
        <w:rPr>
          <w:rFonts w:ascii="Arial" w:cs="Arial" w:eastAsia="Arial" w:hAnsi="Arial"/>
          <w:sz w:val="18"/>
          <w:szCs w:val="18"/>
          <w:i w:val="1"/>
          <w:iCs w:val="1"/>
          <w:color w:val="auto"/>
        </w:rPr>
        <w:t xml:space="preserve"> </w:t>
      </w:r>
      <w:r>
        <w:rPr>
          <w:rFonts w:ascii="Arial" w:cs="Arial" w:eastAsia="Arial" w:hAnsi="Arial"/>
          <w:sz w:val="18"/>
          <w:szCs w:val="18"/>
          <w:color w:val="auto"/>
        </w:rPr>
        <w:t>induction heating systems with power ratings from 10kW to 500kW are manufactured by Ambrell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used to conduct fast, efficient, repeatable non-contact heating of metals or other electrically conductive materials in order to transform raw materials into finished parts. Prices range from $25,000 to $250,000.</w:t>
      </w:r>
    </w:p>
    <w:p>
      <w:pPr>
        <w:spacing w:after="0" w:line="20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EASYHEAT</w:t>
      </w:r>
      <w:r>
        <w:rPr>
          <w:rFonts w:ascii="Arial" w:cs="Arial" w:eastAsia="Arial" w:hAnsi="Arial"/>
          <w:sz w:val="18"/>
          <w:szCs w:val="18"/>
          <w:color w:val="auto"/>
        </w:rPr>
        <w:t>™</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compact EASYHEAT™ induction heating systems with power ratings from 1kW to 10kW are manufactured by</w:t>
      </w:r>
      <w:r>
        <w:rPr>
          <w:rFonts w:ascii="Arial" w:cs="Arial" w:eastAsia="Arial" w:hAnsi="Arial"/>
          <w:sz w:val="18"/>
          <w:szCs w:val="18"/>
          <w:i w:val="1"/>
          <w:iCs w:val="1"/>
          <w:color w:val="auto"/>
        </w:rPr>
        <w:t xml:space="preserve"> </w:t>
      </w:r>
      <w:r>
        <w:rPr>
          <w:rFonts w:ascii="Arial" w:cs="Arial" w:eastAsia="Arial" w:hAnsi="Arial"/>
          <w:sz w:val="18"/>
          <w:szCs w:val="18"/>
          <w:color w:val="auto"/>
        </w:rPr>
        <w:t>Ambrell are used to conduct fast, efficient, repeatable non-contact heating of metals or other electrically conductive materials in order to transform raw materials into finished parts. Prices range from $5,000 to $25,000.</w:t>
      </w:r>
    </w:p>
    <w:p>
      <w:pPr>
        <w:spacing w:after="0" w:line="18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9" w:name="page10"/>
    <w:bookmarkEnd w:id="9"/>
    <w:p>
      <w:pPr>
        <w:ind w:right="540"/>
        <w:spacing w:after="0" w:line="198" w:lineRule="auto"/>
        <w:rPr>
          <w:sz w:val="20"/>
          <w:szCs w:val="20"/>
          <w:color w:val="auto"/>
        </w:rPr>
      </w:pPr>
      <w:r>
        <w:rPr>
          <w:rFonts w:ascii="Arial" w:cs="Arial" w:eastAsia="Arial" w:hAnsi="Arial"/>
          <w:sz w:val="18"/>
          <w:szCs w:val="18"/>
          <w:color w:val="auto"/>
        </w:rPr>
        <w:t>Applications for both EKOHEAT</w:t>
      </w:r>
      <w:r>
        <w:rPr>
          <w:rFonts w:ascii="Arial" w:cs="Arial" w:eastAsia="Arial" w:hAnsi="Arial"/>
          <w:sz w:val="29"/>
          <w:szCs w:val="29"/>
          <w:color w:val="auto"/>
          <w:vertAlign w:val="superscript"/>
        </w:rPr>
        <w:t>(R)</w:t>
      </w:r>
      <w:r>
        <w:rPr>
          <w:rFonts w:ascii="Arial" w:cs="Arial" w:eastAsia="Arial" w:hAnsi="Arial"/>
          <w:sz w:val="18"/>
          <w:szCs w:val="18"/>
          <w:color w:val="auto"/>
        </w:rPr>
        <w:t xml:space="preserve"> and EASYHEAT™ products include annealing, bonding, brazing, curing, forging, heat treating, melting, shrink-fitting, soldering and testing.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EMS Products</w:t>
      </w:r>
    </w:p>
    <w:p>
      <w:pPr>
        <w:spacing w:after="0" w:line="225" w:lineRule="exact"/>
        <w:rPr>
          <w:sz w:val="20"/>
          <w:szCs w:val="20"/>
          <w:color w:val="auto"/>
        </w:rPr>
      </w:pPr>
    </w:p>
    <w:p>
      <w:pPr>
        <w:ind w:right="400"/>
        <w:spacing w:after="0" w:line="212" w:lineRule="auto"/>
        <w:rPr>
          <w:sz w:val="20"/>
          <w:szCs w:val="20"/>
          <w:color w:val="auto"/>
        </w:rPr>
      </w:pPr>
      <w:r>
        <w:rPr>
          <w:rFonts w:ascii="Arial" w:cs="Arial" w:eastAsia="Arial" w:hAnsi="Arial"/>
          <w:sz w:val="18"/>
          <w:szCs w:val="18"/>
          <w:i w:val="1"/>
          <w:iCs w:val="1"/>
          <w:color w:val="auto"/>
        </w:rPr>
        <w:t xml:space="preserve">Manipulator Products. </w:t>
      </w:r>
      <w:r>
        <w:rPr>
          <w:rFonts w:ascii="Arial" w:cs="Arial" w:eastAsia="Arial" w:hAnsi="Arial"/>
          <w:sz w:val="18"/>
          <w:szCs w:val="18"/>
          <w:color w:val="auto"/>
        </w:rPr>
        <w:t>We offer three lines of manipulator products: the in2</w:t>
      </w:r>
      <w:r>
        <w:rPr>
          <w:rFonts w:ascii="Arial" w:cs="Arial" w:eastAsia="Arial" w:hAnsi="Arial"/>
          <w:sz w:val="29"/>
          <w:szCs w:val="29"/>
          <w:color w:val="auto"/>
          <w:vertAlign w:val="superscript"/>
        </w:rPr>
        <w:t>(R)</w:t>
      </w:r>
      <w:r>
        <w:rPr>
          <w:rFonts w:ascii="Arial" w:cs="Arial" w:eastAsia="Arial" w:hAnsi="Arial"/>
          <w:sz w:val="18"/>
          <w:szCs w:val="18"/>
          <w:color w:val="auto"/>
        </w:rPr>
        <w:t>, the Cobal and the LS Series. These free-standing universal</w:t>
      </w:r>
      <w:r>
        <w:rPr>
          <w:rFonts w:ascii="Arial" w:cs="Arial" w:eastAsia="Arial" w:hAnsi="Arial"/>
          <w:sz w:val="18"/>
          <w:szCs w:val="18"/>
          <w:i w:val="1"/>
          <w:iCs w:val="1"/>
          <w:color w:val="auto"/>
        </w:rPr>
        <w:t xml:space="preserve"> </w:t>
      </w:r>
      <w:r>
        <w:rPr>
          <w:rFonts w:ascii="Arial" w:cs="Arial" w:eastAsia="Arial" w:hAnsi="Arial"/>
          <w:sz w:val="18"/>
          <w:szCs w:val="18"/>
          <w:color w:val="auto"/>
        </w:rPr>
        <w:t>manipulators can hold a variety of test heads and enable an operator to reposition a test head for alternate use with any one of several probers or handlers on a test floor.</w:t>
      </w:r>
    </w:p>
    <w:p>
      <w:pPr>
        <w:spacing w:after="0" w:line="20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manipulator products incorporate a balanced floating-head design. This design permits a test head weighing up to 1,760 pounds to be held in an effectively weightless state, so it can be moved manually or with optional powered assistance, up or down, right or left, forward or backward and rotated around each axis (known as six degrees of motion freedom) by an operator using a modest amount of force or with a computer controlled pendant.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or Cobal Series manipulator and equipped with our docking hardware and dock it to another electronic device handler for testing either a subsequent lot of the same packaged ICs or to test different ICs. With the LS Series manipulators, the undocking, movement of the test head and redocking can be done automatically through the pendant. Our manipulator products range in price from approximately $12,000 to $75,000.</w:t>
      </w:r>
    </w:p>
    <w:p>
      <w:pPr>
        <w:spacing w:after="0" w:line="18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Docking Hardware Products</w:t>
      </w:r>
      <w:r>
        <w:rPr>
          <w:rFonts w:ascii="Arial" w:cs="Arial" w:eastAsia="Arial" w:hAnsi="Arial"/>
          <w:sz w:val="17"/>
          <w:szCs w:val="17"/>
          <w:color w:val="auto"/>
        </w:rPr>
        <w:t>. We offer two lines of docking hardware products: fixed manual docking and IntelliDock pin and cup docking. Both</w:t>
      </w:r>
      <w:r>
        <w:rPr>
          <w:rFonts w:ascii="Arial" w:cs="Arial" w:eastAsia="Arial" w:hAnsi="Arial"/>
          <w:sz w:val="17"/>
          <w:szCs w:val="17"/>
          <w:i w:val="1"/>
          <w:iCs w:val="1"/>
          <w:color w:val="auto"/>
        </w:rPr>
        <w:t xml:space="preserve"> </w:t>
      </w:r>
      <w:r>
        <w:rPr>
          <w:rFonts w:ascii="Arial" w:cs="Arial" w:eastAsia="Arial" w:hAnsi="Arial"/>
          <w:sz w:val="17"/>
          <w:szCs w:val="17"/>
          <w:color w:val="auto"/>
        </w:rPr>
        <w:t>types protect the delicate interface contacts and ensure proper repeatable and precise alignment between the test head's interface board and the prober's probing assembly or the handler's test socket as they are brought together, or "docked." Fixed manual docking includes a mechanical cam mechanism to dock and lock the test head to the prober or handler. IntelliDock is an automated docking solution that provides operator feedback for each docking step via a touchscreen display, and when coupled with the LS Series manipulator, redeployment of the test head can be done automatically and accurately via the computer pendant. Both types of docking hardware products eliminate motion of the test head relative to the prober or handler once docked. This minimizes deterioration of the interface boards, test sockets and probing assemblies that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optimized floor support and reduced repairs and replacements of expensive ATE interface products.</w:t>
      </w:r>
    </w:p>
    <w:p>
      <w:pPr>
        <w:spacing w:after="0" w:line="18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ATE manufacturers. We believe that because we do not compete with ATE manufacturers in the sale of probers, handlers or testers, ATE manufacturers are willing to provide us with the information that is integral to the design of plug-compatible products. Our docking hardware products range in price from approximately $2,000 to $25,000.</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Interface Products</w:t>
      </w:r>
      <w:r>
        <w:rPr>
          <w:rFonts w:ascii="Arial" w:cs="Arial" w:eastAsia="Arial" w:hAnsi="Arial"/>
          <w:sz w:val="16"/>
          <w:szCs w:val="16"/>
          <w:color w:val="auto"/>
        </w:rPr>
        <w:t>. Our tester interface products provide the electrical connections between the tester and the wafer prober or IC handler to carry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modular interface is designed to provide flexibility and scalability through the use of replaceable signal modules which can be easily changed on the test floor as our customers' testing requirements change. In addition to the Centaur</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modular interface, we also offer over 200 different types of tester interface models that we custom designed for our customers' specific applications. These tester interface products range in price from approximately $7,000 to $110,000.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Information About Operating Segments and Geographic Areas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Please see Note 16 to the consolidated financial statements included in Item 8 of this Report on Form 10-K for additional data regarding net revenues, profit or loss and total assets of each of our segments and revenues attributable to foreign countries.</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market and sell our products primarily in markets where semiconductors are manufactured. North American and European semiconductor manufacturers, as well as third-party foundries, test and assembly providers,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 We have been providing a greater number of engineered solutions to markets outside the Semi Market. These are thermal-based solutions that fall into the categories of test and process, involving automotive, defense/aerospace, industrial, medical and telecommunications markets.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Thermal Products</w:t>
      </w:r>
      <w:r>
        <w:rPr>
          <w:rFonts w:ascii="Arial" w:cs="Arial" w:eastAsia="Arial" w:hAnsi="Arial"/>
          <w:sz w:val="16"/>
          <w:szCs w:val="16"/>
          <w:color w:val="auto"/>
        </w:rPr>
        <w:t>: We market our thermal products brands, Temptronic, Sigma and Thermonics, under the umbrella name of inTEST Thermal</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and sales to ATE manufacturers are handled directly by our own sales force. Sales to semiconductor manufacturers and customers in other markets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markets. We communicate with our distributors regularly and have trained them to sell and service our thermal products.</w:t>
      </w:r>
    </w:p>
    <w:p>
      <w:pPr>
        <w:spacing w:after="0" w:line="16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market our EASYHEAT™ and EKOHEAT</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precision induction heating equipment to manufacturers who require specialized industrial heating in a wide array of industries, including automotive, aerospace and semiconductor, and are sold globally through a combination of regional sales managers, independent sales representatives and independent distributors. In North America, direct regional sales managers provide sales coverage augmented by independent sales representatives. In Europe, direct sales managers provide sales coverage augmented by independent distributors. In Asia, distributors have responsibility for sales and service of our products. We generate a significant portion of our sales leads through our website as well as through trade show attendance. However, as a result of COVID-19, the majority of the trade shows we would have normally attended were either canceled or held virtually during 2020. We believe this negatively impacted our revenue for our induction heating products during 2020. We continue to focus on other methods of lead generation and expect that trade show attendance will resume in 2021.</w:t>
      </w:r>
    </w:p>
    <w:p>
      <w:pPr>
        <w:spacing w:after="0" w:line="18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also provide induction heating product support through our SmartCARE Service offering, which includes equipment repairs and training, preventative maintenance, enhanced warranties and spare parts. Our field service engineers, located in the U.S. and Europe, provide service and support globally. Additionally, a number of distributors in Europe and Asia have factory-trained service technicians.</w:t>
      </w:r>
    </w:p>
    <w:p>
      <w:pPr>
        <w:spacing w:after="0" w:line="16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color w:val="auto"/>
        </w:rPr>
        <w:t>EMS Products</w:t>
      </w:r>
      <w:r>
        <w:rPr>
          <w:rFonts w:ascii="Arial" w:cs="Arial" w:eastAsia="Arial" w:hAnsi="Arial"/>
          <w:sz w:val="16"/>
          <w:szCs w:val="16"/>
          <w:color w:val="auto"/>
        </w:rPr>
        <w:t>: In North America, we sell to semiconductor manufacturers principally through independent, commissioned sales representatives.</w:t>
      </w:r>
      <w:r>
        <w:rPr>
          <w:rFonts w:ascii="Arial" w:cs="Arial" w:eastAsia="Arial" w:hAnsi="Arial"/>
          <w:sz w:val="16"/>
          <w:szCs w:val="16"/>
          <w:i w:val="1"/>
          <w:iCs w:val="1"/>
          <w:color w:val="auto"/>
        </w:rPr>
        <w:t xml:space="preserve"> </w:t>
      </w:r>
      <w:r>
        <w:rPr>
          <w:rFonts w:ascii="Arial" w:cs="Arial" w:eastAsia="Arial" w:hAnsi="Arial"/>
          <w:sz w:val="16"/>
          <w:szCs w:val="16"/>
          <w:color w:val="auto"/>
        </w:rPr>
        <w:t>North American sales representatives also coordinate product installation and support with our technical staff and participate in trade shows. As a result of COVID-19, the majority of the trade shows we would have normally attended were either canceled or held virtually during 2020, however, unlike for our induction heating products, our sales lead generation activities are not significantly reliant on trade show attendance.</w:t>
      </w:r>
    </w:p>
    <w:p>
      <w:pPr>
        <w:spacing w:after="0" w:line="157"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Our internal sales account managers handle sales to ATE manufacturers and are responsible for a portfolio of customer accounts and for managing certain independent sales representatives. In addition, our sales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Europe, we sell to semiconductor and ATE manufacturers through our internal sales staff. Technical support is provided by our staff in the U.K. In China, Japan, the Philippines, South Korea, and Thailand, we sell through the use of independent sales representatives who are supervised by our internal sales staff. In Malaysia, Singapore and Taiwan, our sales are handled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market all of our products to end users including semiconductor manufacturers, third-party foundries and test and assembly providers, as well as to original equipment manufacturers ("OEMs"), which include ATE manufacturers and their third-party outsource manufacturing partners. In the case of thermal products, we also market our products to independent testers of semiconductors, manufacturers of automotive, defense/aerospace, industrial, medical and telecommunications products, semiconductor research facilities, and manufacturers and manufacturing process integrators for a variety of industrial process applications. Our customers use our products principally in production testing or process/manufacturing applications, although our ThermoStream</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products traditionally have been used largely in engineering development and quality assurance. We believe that we sell to most of the major semiconductor manufacturers in the world.</w:t>
      </w:r>
    </w:p>
    <w:p>
      <w:pPr>
        <w:spacing w:after="0" w:line="19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11" w:name="page12"/>
    <w:bookmarkEnd w:id="11"/>
    <w:p>
      <w:pPr>
        <w:spacing w:after="0" w:line="293" w:lineRule="auto"/>
        <w:rPr>
          <w:sz w:val="20"/>
          <w:szCs w:val="20"/>
          <w:color w:val="auto"/>
        </w:rPr>
      </w:pPr>
      <w:r>
        <w:rPr>
          <w:rFonts w:ascii="Arial" w:cs="Arial" w:eastAsia="Arial" w:hAnsi="Arial"/>
          <w:sz w:val="16"/>
          <w:szCs w:val="16"/>
          <w:color w:val="auto"/>
        </w:rPr>
        <w:t>During the year ended December 31, 2020, no customer accounted for 10% or more of our consolidated net revenues. During the year ended December 31, 2019, Texas Instruments Incorporated accounted for 10% of our consolidated net revenues. While both of our operating segments sold products to this customer, these revenues were primarily generated by our EMS segment. During the year ended December 31, 2019, no other customer accounted for 10% or more of our consolidated net revenues. Our ten largest customers accounted for approximately 35% and 34% of our consolidated net revenues in 2020 and 2019,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Our largest customers in 2020 include:</w:t>
            </w: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1"/>
        </w:trPr>
        <w:tc>
          <w:tcPr>
            <w:tcW w:w="2360" w:type="dxa"/>
            <w:vAlign w:val="bottom"/>
          </w:tcPr>
          <w:p>
            <w:pPr>
              <w:spacing w:after="0"/>
              <w:rPr>
                <w:sz w:val="20"/>
                <w:szCs w:val="20"/>
                <w:color w:val="auto"/>
              </w:rPr>
            </w:pPr>
            <w:r>
              <w:rPr>
                <w:rFonts w:ascii="Arial" w:cs="Arial" w:eastAsia="Arial" w:hAnsi="Arial"/>
                <w:sz w:val="18"/>
                <w:szCs w:val="18"/>
                <w:b w:val="1"/>
                <w:bCs w:val="1"/>
                <w:color w:val="auto"/>
                <w:w w:val="89"/>
              </w:rPr>
              <w:t>Semiconductor Manufacturers</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r>
      <w:tr>
        <w:trPr>
          <w:trHeight w:val="20"/>
        </w:trPr>
        <w:tc>
          <w:tcPr>
            <w:tcW w:w="2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2"/>
        </w:trPr>
        <w:tc>
          <w:tcPr>
            <w:tcW w:w="2360" w:type="dxa"/>
            <w:vAlign w:val="bottom"/>
          </w:tcPr>
          <w:p>
            <w:pPr>
              <w:spacing w:after="0"/>
              <w:rPr>
                <w:sz w:val="20"/>
                <w:szCs w:val="20"/>
                <w:color w:val="auto"/>
              </w:rPr>
            </w:pPr>
            <w:r>
              <w:rPr>
                <w:rFonts w:ascii="Arial" w:cs="Arial" w:eastAsia="Arial" w:hAnsi="Arial"/>
                <w:sz w:val="18"/>
                <w:szCs w:val="18"/>
                <w:color w:val="auto"/>
              </w:rPr>
              <w:t>Aixtron SE</w:t>
            </w: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Emerson Electric Co.</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3420" w:type="dxa"/>
            <w:vAlign w:val="bottom"/>
            <w:gridSpan w:val="3"/>
          </w:tcPr>
          <w:p>
            <w:pPr>
              <w:ind w:left="1260"/>
              <w:spacing w:after="0"/>
              <w:rPr>
                <w:sz w:val="20"/>
                <w:szCs w:val="20"/>
                <w:color w:val="auto"/>
              </w:rPr>
            </w:pPr>
            <w:r>
              <w:rPr>
                <w:rFonts w:ascii="Arial" w:cs="Arial" w:eastAsia="Arial" w:hAnsi="Arial"/>
                <w:sz w:val="18"/>
                <w:szCs w:val="18"/>
                <w:color w:val="auto"/>
              </w:rPr>
              <w:t>Hakuto Co. Ltd.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NXP Semiconductors N.V.</w:t>
            </w:r>
          </w:p>
        </w:tc>
        <w:tc>
          <w:tcPr>
            <w:tcW w:w="3420" w:type="dxa"/>
            <w:vAlign w:val="bottom"/>
            <w:gridSpan w:val="3"/>
          </w:tcPr>
          <w:p>
            <w:pPr>
              <w:ind w:left="1260"/>
              <w:spacing w:after="0"/>
              <w:rPr>
                <w:sz w:val="20"/>
                <w:szCs w:val="20"/>
                <w:color w:val="auto"/>
              </w:rPr>
            </w:pPr>
            <w:r>
              <w:rPr>
                <w:rFonts w:ascii="Arial" w:cs="Arial" w:eastAsia="Arial" w:hAnsi="Arial"/>
                <w:sz w:val="18"/>
                <w:szCs w:val="18"/>
                <w:color w:val="auto"/>
                <w:w w:val="92"/>
              </w:rPr>
              <w:t>Lockheed Martin Corporation</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QUALCOMM Incorporated</w:t>
            </w:r>
          </w:p>
        </w:tc>
        <w:tc>
          <w:tcPr>
            <w:tcW w:w="3420" w:type="dxa"/>
            <w:vAlign w:val="bottom"/>
            <w:gridSpan w:val="3"/>
          </w:tcPr>
          <w:p>
            <w:pPr>
              <w:ind w:left="1260"/>
              <w:spacing w:after="0"/>
              <w:rPr>
                <w:sz w:val="20"/>
                <w:szCs w:val="20"/>
                <w:color w:val="auto"/>
              </w:rPr>
            </w:pPr>
            <w:r>
              <w:rPr>
                <w:rFonts w:ascii="Arial" w:cs="Arial" w:eastAsia="Arial" w:hAnsi="Arial"/>
                <w:sz w:val="18"/>
                <w:szCs w:val="18"/>
                <w:color w:val="auto"/>
              </w:rPr>
              <w:t>Raytheon Company</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Renesas Electronics Corporation</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Texas Instruments Incorporated</w:t>
            </w: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 AND SUPPLY</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December 31, 2020, our principal manufacturing operations consisted of assembly and testing at our facilities in Massachusetts, New Jersey and New York. As discussed further in Note 3 to our consolidated financial statements, during the fourth quarter of 2020, we transitioned the manufacturing of our tester interface products from our facility in Fremont, California to our facility in Mt. Laurel, New Jersey. We assemble most of our products from a combination of standard components and custom parts that have been fabricated to our specifications by either third-party manufacturers or our own fabrication operation in New Jersey. Our practice is to use the highest quality raw materials and components in our products. The primary raw materials used in fabricated parts are widely available. Substantially all of our components are purchased from multiple suppliers, however certain raw materials and components are sourced from single suppliers. Although, from time to time, certain components may be in short supply due to high demand or inability of vendors to meet quality or delivery requirements, we believe that all materials and components are available in adequate amounts from other sources.</w:t>
      </w:r>
    </w:p>
    <w:p>
      <w:pPr>
        <w:spacing w:after="0" w:line="18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Massachusetts facility is ISO 9001:2015 certified. Our New York facility is ISO 9001:2015 certified. Our New Jersey facility manufacture products only for the semiconductor industry where ISO certification is not required. However, this location does employ the practices embodied in the ISO 9001:2008.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ENGINEERING AND PRODUCT DEVELOPMENT</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success depends on our ability to provide our customers with products and solutions that are well engineered and to design those products and solutions before, or at least no later than, our competitors. As of December 31, 2020, we employed a total of 45 engineers engaged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high-performance interfaces.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Since most of our products are customized, we consider substantially all of our engineering activities to be engineering and product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spent approximately $5.0 million in each of the years ended December 31, 2020 and 2019 on engineering and product development.</w:t>
      </w:r>
    </w:p>
    <w:p>
      <w:pPr>
        <w:spacing w:after="0" w:line="2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policy is to protect our technology by filing patent applications for the technologies that we consider important to our business. We also rely on trademarks, trade secrets, copyrights and unpatented know-how to protect our proprietary rights. 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2020, we held 62 active U.S. patents and had two pending U.S. patent applications covering various aspects of our technology. Our U.S. patents expire at various times beginning in 2021 and extending through 2038. During 2020, two U.S. patents were issued and four U.S. patents expired. We do not believe that the upcoming expiration of certain of our patents in 2021 will have a material impact on our business. We also hold foreign patents and file foreign patent applications, in selected cases corresponding to our U.S. patents and patent applications, to the extent management deems appropriate.</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we believe that our patents and other proprietary rights are important to our business, we also believe that, due to the rapid pace of technological change in the markets we serve, the successful manufacture and sale of our products also depends upon our engineering, manufacturing, marketing and servicing skills. In the absence of patent protection, we would be vulnerable to competitors who attempt to copy or imitate our products or processes. 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For additional information regarding risks related to our intellectual property, see the "Risk Factors" section of this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operate in an increasingly competitive environment within both of our operating segments. Some of our competitors have greater financial resources and more extensive design and production capabilities than us. Certain markets in which we operate have become more fragmented, with smaller companies entering the market. These new smaller entrants typically have much lower levels of fixed operating overhead than us, which enables them to be profitable with lower priced products. In order to remain competitive with these and other companies, we must continue to commit a significant portion of our personnel, financial resources, research and development and customer support to developing new products and maintaining customer relationships worldwide.</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competitors include independent manufacturers, ATE manufacturers and, to a lesser extent, semiconductor manufacturers' in-house ATE interface groups. Competitive factors in the markets we serve include price, functionality, timely product delivery, customer service, applications support, product performance and reliability. We believe that our long-term relationships with our customers in the various markets we support and our commitment to, and reputation for, providing high quality products, are important elements in our ability to compete effectively in all of our markets.</w:t>
      </w:r>
    </w:p>
    <w:p>
      <w:pPr>
        <w:spacing w:after="0" w:line="188" w:lineRule="exact"/>
        <w:rPr>
          <w:sz w:val="20"/>
          <w:szCs w:val="20"/>
          <w:color w:val="auto"/>
        </w:rPr>
      </w:pPr>
    </w:p>
    <w:p>
      <w:pPr>
        <w:ind w:right="140"/>
        <w:spacing w:after="0" w:line="218" w:lineRule="auto"/>
        <w:rPr>
          <w:sz w:val="20"/>
          <w:szCs w:val="20"/>
          <w:color w:val="auto"/>
        </w:rPr>
      </w:pPr>
      <w:r>
        <w:rPr>
          <w:rFonts w:ascii="Arial" w:cs="Arial" w:eastAsia="Arial" w:hAnsi="Arial"/>
          <w:sz w:val="16"/>
          <w:szCs w:val="16"/>
          <w:color w:val="auto"/>
        </w:rPr>
        <w:t>Our principal competitors for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are FTS Systems, a part of SP Industries, and MPI Corporation. Our principal competitors for environmental chambers are Cincinnati Sub-Zero Products, Inc., Espec Corp. and Thermotron Industries. Our principal competitor for thermal platforms is Environmental Stress Systems Inc. Our principal competitors for EKOHEAT</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and EASYHEAT™ products are Inductotherm Corporation, Park-Ohio Holdings, EFD Induction Corporation, Trumpf Huettinger GmbH, Ultraflex Power Technologies and CEIA SpA.</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principal competitors for manipulator products are Advantest Corporation, Esmo AG, Reid-Ashman Manufacturing and Teradyne, Inc. Our principal competitors for docking hardware products include Advantest Corporation, Esmo AG, Knight Automation, Reid-Ashman Manufacturing and Teradyne, Inc. Our principal competitors for tester interface products are Advantest Corporation, Esmo AG, Reid-Ashman Manufacturing and Teradyne,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December 31, 2020, our backlog of unfilled orders for all products was $11.5 million compared with $5.5 million at December 31, 2019. Our backlog includes customer orders that we have accepted, substantially all of which we expect to deliver in 2021.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which has the effect of increasing backlog. As a result of these factors, our backlog at a particular date is not necessarily indicative of sales for any future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2020, we had 204 employees (199 of which were full-time), including 112 in manufacturing operations, 54 in customer support/operations and 38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8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13" w:name="page14"/>
    <w:bookmarkEnd w:id="13"/>
    <w:p>
      <w:pPr>
        <w:ind w:left="500"/>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jc w:val="both"/>
        <w:ind w:left="500" w:right="180"/>
        <w:spacing w:after="0" w:line="287" w:lineRule="auto"/>
        <w:rPr>
          <w:sz w:val="20"/>
          <w:szCs w:val="20"/>
          <w:color w:val="auto"/>
        </w:rPr>
      </w:pPr>
      <w:r>
        <w:rPr>
          <w:rFonts w:ascii="Arial" w:cs="Arial" w:eastAsia="Arial" w:hAnsi="Arial"/>
          <w:sz w:val="16"/>
          <w:szCs w:val="16"/>
          <w:color w:val="auto"/>
        </w:rPr>
        <w:t>Our Annual Report on Form 10-K, Quarterly Reports on Form 10-Q and Current Reports on Form 8-K, and amendments to these reports that are filed with the SEC pursuant to Section 13(a) or 15(d) of the Securities Exchange Act of 1934, as amended (“Exchange Act”), are available free of charge through our website (www.intest.com) as soon as reasonably practicable after we electronically file them with, or furnish them to, the SEC.</w:t>
      </w:r>
    </w:p>
    <w:p>
      <w:pPr>
        <w:spacing w:after="0" w:line="2" w:lineRule="exact"/>
        <w:rPr>
          <w:sz w:val="20"/>
          <w:szCs w:val="20"/>
          <w:color w:val="auto"/>
        </w:rPr>
      </w:pPr>
    </w:p>
    <w:p>
      <w:pPr>
        <w:ind w:left="500" w:right="60"/>
        <w:spacing w:after="0" w:line="260" w:lineRule="auto"/>
        <w:rPr>
          <w:sz w:val="20"/>
          <w:szCs w:val="20"/>
          <w:color w:val="auto"/>
        </w:rPr>
      </w:pPr>
      <w:r>
        <w:rPr>
          <w:rFonts w:ascii="Arial" w:cs="Arial" w:eastAsia="Arial" w:hAnsi="Arial"/>
          <w:sz w:val="18"/>
          <w:szCs w:val="18"/>
          <w:color w:val="auto"/>
        </w:rPr>
        <w:t>We also routinely post press releases, presentations, webcasts and other information regarding the Company on our website. The information posted to our website is not part of this Report.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500" w:right="80"/>
        <w:spacing w:after="0" w:line="275" w:lineRule="auto"/>
        <w:rPr>
          <w:sz w:val="20"/>
          <w:szCs w:val="20"/>
          <w:color w:val="auto"/>
        </w:rPr>
      </w:pPr>
      <w:r>
        <w:rPr>
          <w:rFonts w:ascii="Arial" w:cs="Arial" w:eastAsia="Arial" w:hAnsi="Arial"/>
          <w:sz w:val="17"/>
          <w:szCs w:val="17"/>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risks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could suffer, and the price of our stock could be negatively affected.</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RISKS RELATED TO COVID-19</w:t>
      </w:r>
    </w:p>
    <w:p>
      <w:pPr>
        <w:spacing w:after="0" w:line="225" w:lineRule="exact"/>
        <w:rPr>
          <w:sz w:val="20"/>
          <w:szCs w:val="20"/>
          <w:color w:val="auto"/>
        </w:rPr>
      </w:pPr>
    </w:p>
    <w:p>
      <w:pPr>
        <w:ind w:left="500" w:right="300"/>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and the market price of our common stock have been and may continue to be adversely affected by the COVID-19 pandemic.</w:t>
      </w:r>
    </w:p>
    <w:p>
      <w:pPr>
        <w:spacing w:after="0" w:line="166" w:lineRule="exact"/>
        <w:rPr>
          <w:sz w:val="20"/>
          <w:szCs w:val="20"/>
          <w:color w:val="auto"/>
        </w:rPr>
      </w:pPr>
    </w:p>
    <w:p>
      <w:pPr>
        <w:ind w:left="500" w:right="40"/>
        <w:spacing w:after="0" w:line="271" w:lineRule="auto"/>
        <w:rPr>
          <w:sz w:val="20"/>
          <w:szCs w:val="20"/>
          <w:color w:val="auto"/>
        </w:rPr>
      </w:pPr>
      <w:r>
        <w:rPr>
          <w:rFonts w:ascii="Arial" w:cs="Arial" w:eastAsia="Arial" w:hAnsi="Arial"/>
          <w:sz w:val="17"/>
          <w:szCs w:val="17"/>
          <w:color w:val="auto"/>
        </w:rPr>
        <w:t>During the first half of 2020, our business was adversely affected by the COVID-19 pandemic. During the second half of the year, the negative impact of COVID-19 on our business was reduced significantly. However, COVID-19 continues to cause disruptions, both domestically and globally, and we believe the situation will remain challenging until the spread of the virus or variants of the virus can be contained which we believe will not occur until the global dissemination and inoculation of recently introduced vaccines is substantially complete. As of the date of this filing, all of our operations continue to be deemed “critical and essential business operations” under the various governmental COVID-19 mandates which has allowed us to continue to operate our business with certain modifications. The spread of the virus or variants of the virus could worsen and one or more of our significant customers or suppliers could be impacted, or significant additional governmental regulations and restrictions could be imposed, thus negatively impacting our business in the future.</w:t>
      </w:r>
    </w:p>
    <w:p>
      <w:pPr>
        <w:spacing w:after="0" w:line="178"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color w:val="auto"/>
        </w:rPr>
        <w:t>We have had occasions where one or more employees have contracted COVID-19 and entered our facilities while infected. We have managed these occurrences with minimal disruption to our business while protecting other employees, but there can be no assurances that we can avoid similar occurrences in the future or that, in such cases, we can avoid significant disruption of our operations as a result of such occurrences. Should this occur, or should we have employees who become ill or otherwise are unable to work as a result of COVID-19, we may experience limitations in employee resources or may be required to close affected facilities for a time to clean and disinfect appropriately, and allow employees to quarantine, as appropriate.</w:t>
      </w:r>
    </w:p>
    <w:p>
      <w:pPr>
        <w:spacing w:after="0" w:line="192"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Our net revenues from all of the markets we serve were significantly affected by COVID-19 during the first half of 2020. The impact of COVID-19 on our net revenues from the Semi Market was intensified during the first half of the year because our business operations were also being negatively affected by a global downturn in the Semi Market at that time. We believe the level of increase in our orders from the Semi Market during the fourth quarter of 2020 reflects a combination of increased demand in the market resulting from the interruption of the normal recovery in the Semi Market cycle caused by the onset of COVID-19 in the first half of 2020, as well as increased demand for semiconductors, generally. If the trend in our orders from customers in the Semi Market declines, in particular, if the spread of COVID-19 is not further contained and one or more of our significant customers is negatively impacted, our business, results of operations and financial condition will be adversely affected. In addition, the aftermarket service and support that we provide to our customers has been, and may continue to be, adversely affected by COVID-19 due to travel restrictions and limitations on visitors allowed into customer facilities, which has resulted in some of these activities being reduced or suspended.</w:t>
      </w:r>
    </w:p>
    <w:p>
      <w:pPr>
        <w:spacing w:after="0" w:line="194" w:lineRule="exact"/>
        <w:rPr>
          <w:sz w:val="20"/>
          <w:szCs w:val="20"/>
          <w:color w:val="auto"/>
        </w:rPr>
      </w:pPr>
    </w:p>
    <w:p>
      <w:pPr>
        <w:ind w:left="500" w:right="100"/>
        <w:spacing w:after="0" w:line="273" w:lineRule="auto"/>
        <w:rPr>
          <w:sz w:val="20"/>
          <w:szCs w:val="20"/>
          <w:color w:val="auto"/>
        </w:rPr>
      </w:pPr>
      <w:r>
        <w:rPr>
          <w:rFonts w:ascii="Arial" w:cs="Arial" w:eastAsia="Arial" w:hAnsi="Arial"/>
          <w:sz w:val="17"/>
          <w:szCs w:val="17"/>
          <w:color w:val="auto"/>
        </w:rPr>
        <w:t>Generally, global supply chains and the timely availability of products have been materially disrupted by quarantines, factory slowdowns or shutdowns, border closings and travel restrictions resulting from COVID-19. To date, we have not experienced significant price increases or lack of availability from our normal suppliers for the materials needed to produce our products in a timely manner and/or with the level of margins we typically expect to achieve. However, if the spread of COVID-19 or its variants is not further contained and one or more of our significant suppliers is negatively impacted, we could experience delays in receipt of materials or price increases in the future which could have a material negative impact on our business, results of operations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 w:name="page15"/>
    <w:bookmarkEnd w:id="14"/>
    <w:p>
      <w:pPr>
        <w:ind w:right="80"/>
        <w:spacing w:after="0" w:line="269" w:lineRule="auto"/>
        <w:rPr>
          <w:sz w:val="20"/>
          <w:szCs w:val="20"/>
          <w:color w:val="auto"/>
        </w:rPr>
      </w:pPr>
      <w:r>
        <w:rPr>
          <w:rFonts w:ascii="Arial" w:cs="Arial" w:eastAsia="Arial" w:hAnsi="Arial"/>
          <w:sz w:val="17"/>
          <w:szCs w:val="17"/>
          <w:color w:val="auto"/>
        </w:rPr>
        <w:t>The adverse effects of COVID-19 on our business could be material in future periods, particularly if there are significant and prolonged economic slowdowns in regions where we derive a significant amount of our revenue or profit, or where our suppliers are located, or if we are forced to close facilities and limit or cease manufacturing operations for extended periods of time. We could experience delays in receipt of customer orders, cancellation or postponement of existing orders. Further, as a result of COVID-19, our ability to fulfill orders within the proposed parameters at the time of order, including within the approximated timeline and estimated cost, may be negatively affected. This could lead to a reduction in revenue and/or an increase in our cost of revenues in future periods and could have a material adverse effect on our business, results of operations and financial condition. COVID-19 has also led to extreme volatility in capital markets and has adversely affected, and may adversely affect, the market price of our common stock in the future. As a result of any negative impact of COVID-19 on our business, results of operations, financial condition and cash flows, we may determine that our goodwill and long-lived assets are impaired, which would result in recording an impairment charge. The amount of any such impairment charge could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are affected by the cyclicality of the Semi Market, which causes our operating results to fluctuate significantly.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business depends in significant part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These market changes have contributed in the past, and will likely continue to contribute in the future, to fluctuations in our operating results.</w:t>
      </w:r>
    </w:p>
    <w:p>
      <w:pPr>
        <w:spacing w:after="0" w:line="18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seek to further diversify the markets for our thermal products in order to increase the proportion of our sales attributable to markets which are less subject to cyclicality than the Semi Market. If we are unable to do so, our future performance will remain substantially exposed to the fluctuations of the cyclicality of the Semi Market.</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Since 2009, we have sold our thermal products in markets outside of the Semi Market, including the automotive, defense/aerospace, industrial, medical and telecommunications markets. We refer to these other markets collectively as Multimarket. During 2020 and 2019, our Multimarket sales were $27.0 million and $29.7 million, respectively, and represented 50% and 49% of our consolidated net revenues, respectively. Prior to our acquisition of Ambrell, we offered only highly specialized engineering solutions in Multimarket, the demand for which is limited and which we expect may vary significantly from period to period. Our goal is to increase our Multimarket sales; however, in most cases, the expansion of our thermal product sales into these new markets has 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In addition, due to the highly specialized nature of certain of our product offerings in Multimarket, we do not expect broad market penetration in many of these markets. If we are unable to expand our Multimarket sales, our net revenues and results of operations will remain substantially dependent upon the cycles of the Semi Market.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OPERATIONS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b w:val="1"/>
          <w:bCs w:val="1"/>
          <w:color w:val="auto"/>
        </w:rPr>
        <w:t>The efficiencies or benefits we expect from the consolidation of our EMS manufacturing operations may not be realized which could result in higher-than-expected costs in future periods, a negative impact on our reputation and lost business opportunities.</w:t>
      </w:r>
    </w:p>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September 21, 2020, we notified employees in our Fremont, California facility of a plan to consolidate all manufacturing operations for our EMS segment into our manufacturing operations located in Mt. Laurel, New Jersey. Prior to the consolidation, our interface products were manufactured in the Fremont facility, and our manipulator and docking hardware products were manufactured in the Mt. Laurel facility. The consolidation was substantially completed during the fourth quarter of 2020. We are also currently in the process of reducing the size of our manufacturing facility in Mt. Laurel from approximately 55,000 square feet to approximately 34,000 square feet. The consolidation of manufacturing operations and footprint reduction in the Mt. Laurel facility were undertaken to better serve customers through streamlined operations and reduce the fixed annual operating costs for the EMS segment. A small engineering and sales office will be maintained in northern California. If we do not achieve the efficiencies and benefits we currently anticipate as a result of the consolidation, or if we determine that the reduction in manufacturing space is not sustainable, our costs could be higher than we currently expect in future periods.</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15" w:name="page16"/>
    <w:bookmarkEnd w:id="15"/>
    <w:p>
      <w:pPr>
        <w:spacing w:after="0" w:line="269" w:lineRule="auto"/>
        <w:rPr>
          <w:sz w:val="20"/>
          <w:szCs w:val="20"/>
          <w:color w:val="auto"/>
        </w:rPr>
      </w:pPr>
      <w:r>
        <w:rPr>
          <w:rFonts w:ascii="Arial" w:cs="Arial" w:eastAsia="Arial" w:hAnsi="Arial"/>
          <w:sz w:val="17"/>
          <w:szCs w:val="17"/>
          <w:color w:val="auto"/>
        </w:rPr>
        <w:t>The EMS facility consolidation resulted in the termination of certain employees at the Fremont location, including all of our interface product line assembly staff who were located at that facility. As a result of transitioning our interface manufacturing operations to New Jersey, we have hired new production staff for this product line in our Mt. Laurel facility. These new employees are being trained to assemble our products and therefore are not yet as efficient or experienced as the employees that were terminated in the Fremont location. As a result, we may experience increased lead times for our interface products for the next several months which could impact customer shipments as well as quality of our interface products. This may be further exacerbated by the recent surge in demand that we have experienced for our EMS products. If we do not meet our customers’ expectations for on-time delivery and quality, this could impact our reputation and result in lost business opportunities. Additionally, we may incur higher levels of warranty costs over the next several months as a result of the potential inability to meet customer quality requirements. This could increase our costs in future periods. The occurrence of any of these events could have a material adverse effect on our business, results of operations and financial condition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suppliers do not meet product or delivery requirements, we could have reduced revenues and earnings.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Certain components of our products may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cost-effective basis. If any of our suppliers were to cancel commitments or fail to meet quality or delivery requirements needed to satisfy customer orders for our products, we could lose time-sensitive customer orders, have reduced revenues and earnings, and be subject to contractual penalties, any of which could have a material adverse effect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breach of our operational or security systems could negatively affect our business, our reputation and results of operations.</w:t>
      </w:r>
    </w:p>
    <w:p>
      <w:pPr>
        <w:spacing w:after="0" w:line="24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cyberattacks, could disrupt our business, result in the disclosure or misuse of proprietary or confidential information, result in litigation, damage our reputation, cause losses and significantly increase our costs. Although we have been the target of security breaches in the past, we have not experienced material losses to date related to such incidents. Nevertheless, there can be no assurance that we will not suffer such losses in the future. In addition, domestic and international regulatory agencies have implemented, and are continuing to implement, various reporting and remediation requirements that companies must comply with upon learning of a breach. While we have insurance that may protect us from incurring some of these costs, there is no assurance that such insurance coverage is adequate to cover all costs and damages incurred in connection with a cyberattack.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may suffer if we are unable to attract and retain key employees or hire personnel at the costs we currently project.</w:t>
      </w:r>
    </w:p>
    <w:p>
      <w:pPr>
        <w:spacing w:after="0" w:line="24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future success will depend largely upon the continued services of our senior management and other key employees or the development of successors with commensurate skills and talents in a timely fashion and at the costs we project. If we cannot continue to increase employee salaries and maintain employee benefits commensurate with competitive opportunities, we may not be able to retain our senior management and other key employees. The loss of key personnel could adversely affect our ability to manage our business effectively and could increase our costs in future periods.</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recently experienced difficulty in hiring personnel at the costs projected in our forecasts. This has resulted in the need to increase the labor rates offered for certain positions. If we cannot find savings in other areas or increase the price for which we sell our products in an amount sufficient to cover these additional labor costs, we may experience reduced margins in future periods.</w:t>
      </w:r>
    </w:p>
    <w:p>
      <w:pPr>
        <w:spacing w:after="0" w:line="18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have experienced and may continue to experience significant variability in our effective tax rates and may have exposure to additional tax liabilities and costs.</w:t>
      </w:r>
    </w:p>
    <w:p>
      <w:pPr>
        <w:spacing w:after="0" w:line="16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are subject to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RISKS RELATED TO OUR AQUISITION STRATEGY</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seek to grow our business through the acquisition of additional businesses. If we are unable to do so, our future rate of growth may be reduced or limited. We may incur significant expenses related to due diligence or other transaction-related expenses for a proposed acquisition that may not be completed.</w:t>
      </w:r>
    </w:p>
    <w:p>
      <w:pPr>
        <w:spacing w:after="0" w:line="18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 key element of our growth strategy is to acquire businesses, technologies or products that are complementary to our current product offerings. We seek to make acquisitions that will further expand our product lines as well as strengthen our positions in served markets and provide expansion into new markets. We may not be able to execute our acquisition strategy and our future growth may be limited if:</w:t>
      </w:r>
    </w:p>
    <w:p>
      <w:pPr>
        <w:spacing w:after="0" w:line="165" w:lineRule="exact"/>
        <w:rPr>
          <w:sz w:val="20"/>
          <w:szCs w:val="20"/>
          <w:color w:val="auto"/>
        </w:rPr>
      </w:pPr>
    </w:p>
    <w:p>
      <w:pPr>
        <w:ind w:left="640" w:hanging="32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unable to identify suitable businesses, technologies or products to acquire;</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have sufficient cash or access to required capital at the necessary time;</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unwilling or unable to outbid larger, more resourceful companies; or</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unable to successfully close proposed acquisitions.</w:t>
      </w:r>
    </w:p>
    <w:p>
      <w:pPr>
        <w:spacing w:after="0" w:line="25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may incur significant expenses related to due diligence or other transaction-related expenses for a proposed acquisition that may not be completed, which may have a material adverse effect on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we acquire additional businesses, technologies or products, we will face the following additional risks:</w:t>
      </w:r>
    </w:p>
    <w:p>
      <w:pPr>
        <w:spacing w:after="0" w:line="225" w:lineRule="exact"/>
        <w:rPr>
          <w:sz w:val="20"/>
          <w:szCs w:val="20"/>
          <w:color w:val="auto"/>
        </w:rPr>
      </w:pPr>
    </w:p>
    <w:p>
      <w:pPr>
        <w:ind w:left="640" w:right="100" w:hanging="322"/>
        <w:spacing w:after="0" w:line="258"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acquisitions could divert management's attention from daily operations or otherwise require additional management, operational and financial resources;</w:t>
      </w:r>
    </w:p>
    <w:p>
      <w:pPr>
        <w:spacing w:after="0" w:line="1"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might not be able to integrate future acquisitions into our business successfully or operate acquired businesses profitably;</w:t>
      </w:r>
    </w:p>
    <w:p>
      <w:pPr>
        <w:spacing w:after="0" w:line="21"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realize substantial acquisition related expenses that would reduce our net earnings in future years; and</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investigation of potential acquisition candidates may not reveal problems and liabilities of the companies that we acquire.</w:t>
      </w:r>
    </w:p>
    <w:p>
      <w:pPr>
        <w:spacing w:after="0" w:line="25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If any of the events described above occur, our earnings could be reduced. If we issue shares of our stock or other rights to purchase our stock in connection with any future acquisitions, we would dilute our existing stockholders' interests and our earnings per share may decrease. If we issue or incur debt in connection with any future acquisitions, lenders may require that we pledge our assets to secure repayment of such debt and impose covenants on us, which could, among other things, restrict our ability to increase capital expenditures or to acquire additional businesses.</w:t>
      </w:r>
    </w:p>
    <w:p>
      <w:pPr>
        <w:spacing w:after="0" w:line="15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We may attempt to acquire a substantial business that would require us to issue equity or incur significant debt from third parties. If we are unable to secure sufficient financing at terms that are acceptable to us, we may not be able to close the proposed acquisition. Additionally, should we incur significant debt, we may not be able to achieve compliance with all covenants related to the debt depending on our financial results in future periods.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our acquisition strategy, we are pursuing potential acquisition opportunities that may be significant in size compared to us, which could require us to issue equity or obtain significant third-party financing to close the proposed transaction. We may encounter difficulties in securing necessary financing at terms that would be acceptable to us and may not be able to close on the proposed acquisition. In addition, should we incur significant third-party debt, our future financial results may be negatively impacted by external factors, such as an economic recession, which may impact our ability to achieve compliance with any covenants related to the debt as well as make the required payments under the terms of the indebtedness.</w:t>
      </w:r>
    </w:p>
    <w:p>
      <w:pPr>
        <w:spacing w:after="0" w:line="18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We may acquire businesses in the future and utilize an earnout structure as we have done in prior transactions we have closed. In connection with the earnout, we may be required to accrue significant increases or decreases to the contingent consideration liability we would establish. These adjustments to the contingent consideration liability could cause our results of operations to have increased variability, which may negatively impact our stock</w:t>
      </w:r>
      <w:r>
        <w:rPr>
          <w:rFonts w:ascii="Arial" w:cs="Arial" w:eastAsia="Arial" w:hAnsi="Arial"/>
          <w:sz w:val="18"/>
          <w:szCs w:val="18"/>
          <w:color w:val="auto"/>
        </w:rPr>
        <w:t>’</w:t>
      </w:r>
      <w:r>
        <w:rPr>
          <w:rFonts w:ascii="Arial" w:cs="Arial" w:eastAsia="Arial" w:hAnsi="Arial"/>
          <w:sz w:val="18"/>
          <w:szCs w:val="18"/>
          <w:b w:val="1"/>
          <w:bCs w:val="1"/>
          <w:color w:val="auto"/>
        </w:rPr>
        <w:t>s trading price.</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may utilize an earnout structure on future acquisitions as we have done in prior transactions we have closed. The initial contingent consideration liability is established as part of the accounting for the business combination. In subsequent periods, we are required to estimate the fair value of the contingent consideration associated with any earnout on a quarterly basis and record an adjustment to the contingent consideration liability in our results of operations for the period concerned. The contingent consideration adjustment we record quarterly may cause increased variability in our future results of operations, which may cause fluctuations in our stock price.</w:t>
      </w:r>
    </w:p>
    <w:p>
      <w:pPr>
        <w:spacing w:after="0" w:line="18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RISKS RELATED TO OUR CUSTOMER BASE</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4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the cyclicality of the Semi Market, demand for our products and our gross and net operating margins have also been affected by changes in the buying patterns of our customers. Some of the changes in customer buying patterns that have impacted us in the past, and may continue to do so in the future, have included customers placing heightened emphasis on shorter lead times (which places increased demands on our available engineering and production capacity and may result in increasing unit costs) and ordering in smaller quantities (which prevents us from acquiring component materials in larger volumes at lower unit costs.) We have also experienced customer supply chain management groups demanding lower prices and spreading purchases across multiple vendors. We believe some of the changes in customer buying patterns are the result of changes within the Semi Market over the last several years, including, for example, changing product requirements and longer time periods between new product offerings by OEMs. Such shifts in market practices have had, and may continue to have, varying degrees of impact on our net revenues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7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our operating results could suffer dramatically.</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year ended December 31, 2020, no customer accounted for 10% or more of our consolidated net revenues. During the year ended December 31, 2019, Texas Instruments Incorporated accounted for 10% of our consolidated net revenues. While both of our operating segments sold products to this customer, these revenues were primarily generated by our EMS segment. During the year ended December 31, 2019, no other customer accounted for 10% or more of our consolidated net revenues. Our ten largest customers accounted for approximately 35% and 34% of our consolidated net revenues in 2020 and 2019,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COMPETITION</w:t>
      </w:r>
    </w:p>
    <w:p>
      <w:pPr>
        <w:spacing w:after="0" w:line="22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Our business is subject to intense competition, which has in the past and could in the future, materially adversely affect our business, financial condition and results of operations.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face significant competition throughout the world in each of our operating segments. Some of our competitors have substantial financial resources and more extensive design and production capabilities than us. Some of our competitors are much smaller than we are, and therefore have much lower levels of overhead than us, which enables them to sell their competing products at lower prices. In order to remain competitive, we must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In the recent past, in response to significant declines in global demand for our products, some competitors have reduced their product pricing significantly, which has led to intensified price-based competition, which has and could continue to materially adversely affect our business, financial condition and results of operations.</w:t>
      </w:r>
    </w:p>
    <w:p>
      <w:pPr>
        <w:spacing w:after="0" w:line="18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industry is subject to rapid technological change, and our business prospects would be negatively affected if we are unable to quickly and effectively respond to innovation in the Semi Market.</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Semiconductor technology continues to become more complex as manufacturers incorporate ICs into an increasing variety of products. This trend, and the changes needed in automated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8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OEPRATING RESULTS AND STOCK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Historically, our operating results have fluctuated significantly from quarter to quarter. We believe that these fluctuations occur primarily due to the cycles of demand in the semiconductor manufacturing industry. In addition to these changing cycles of demand, other factors that have caused our quarterly operating results to fluctuate in the past or that may cause fluctuations and losses in the future, include:</w:t>
      </w:r>
    </w:p>
    <w:p>
      <w:pPr>
        <w:spacing w:after="0" w:line="165" w:lineRule="exact"/>
        <w:rPr>
          <w:sz w:val="20"/>
          <w:szCs w:val="20"/>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COVID-19 or any other pandemic on our business;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demand in Multimarket including the automotive, defense/aerospace, industrial, medical and telecommunication markets;</w:t>
      </w:r>
    </w:p>
    <w:p>
      <w:pPr>
        <w:spacing w:after="0" w:line="47" w:lineRule="exact"/>
        <w:rPr>
          <w:rFonts w:ascii="Arial" w:cs="Arial" w:eastAsia="Arial" w:hAnsi="Arial"/>
          <w:sz w:val="17"/>
          <w:szCs w:val="17"/>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state of the U.S. and global economies;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the buying patterns of our customers including any changes in the rate of, and timing of, purchases by our customers;</w:t>
      </w:r>
    </w:p>
    <w:p>
      <w:pPr>
        <w:spacing w:after="0" w:line="47" w:lineRule="exact"/>
        <w:rPr>
          <w:rFonts w:ascii="Arial" w:cs="Arial" w:eastAsia="Arial" w:hAnsi="Arial"/>
          <w:sz w:val="17"/>
          <w:szCs w:val="17"/>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interruptions in our supply chain caused by external factors;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market share;</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due diligence and transaction-related expenses for a proposed acquisition that does not get completed;</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and timing of integration of our acquisitions and plant consolidations and relocations;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technological obsolescence of our inventories;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quantities of our inventories greater than is reasonably likely to be utilized in future periods;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level of product warranty charges;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excess manufacturing capacity;</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control operating costs;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shipments of our products;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mix of our products sold;</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mix of customers and geographic regions where we sell our products;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level of our fixed costs;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the development of our proprietary technology;</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raw materials or fabricated parts when needed;</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costs of component materials;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cancellation or rescheduling of orders by our customers;</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regulations; and</w:t>
      </w:r>
    </w:p>
    <w:p>
      <w:pPr>
        <w:spacing w:after="0" w:line="36"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or economic instability.</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0" w:right="339" w:bottom="1440" w:gutter="0" w:footer="0" w:header="0"/>
        </w:sectPr>
      </w:pPr>
    </w:p>
    <w:bookmarkStart w:id="19" w:name="page20"/>
    <w:bookmarkEnd w:id="19"/>
    <w:p>
      <w:pPr>
        <w:ind w:left="500"/>
        <w:spacing w:after="0"/>
        <w:rPr>
          <w:sz w:val="20"/>
          <w:szCs w:val="20"/>
          <w:color w:val="auto"/>
        </w:rPr>
      </w:pPr>
      <w:r>
        <w:rPr>
          <w:rFonts w:ascii="Arial" w:cs="Arial" w:eastAsia="Arial" w:hAnsi="Arial"/>
          <w:sz w:val="18"/>
          <w:szCs w:val="18"/>
          <w:b w:val="1"/>
          <w:bCs w:val="1"/>
          <w:u w:val="single" w:color="auto"/>
          <w:color w:val="auto"/>
        </w:rPr>
        <w:t>RISKS RELATED TO FOREIGN OPERATIONS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A substantial portion of our customers are located outside the U.S., which exposes us to foreign political and economic risks.</w:t>
      </w:r>
    </w:p>
    <w:p>
      <w:pPr>
        <w:spacing w:after="0" w:line="241"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We have operated internationally for many years and expect to expand our international operations to continue expansion of our sales and service to our non-U.S. customers. Our foreign subsidiaries generated 14% and 15% of consolidated net revenues in 2020 and 2019, respectively. Net revenues from foreign customers totaled $31.6 million, or 59% of consolidated net revenues in 2020, and $35.4 million, or 58% of consolidated net revenues in 2019. We expect our net revenues from foreign customers will continue to represent a significant portion of total net revenues.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78" w:lineRule="exact"/>
        <w:rPr>
          <w:sz w:val="20"/>
          <w:szCs w:val="20"/>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COVID-19 on markets outside the U.S.;</w:t>
      </w:r>
    </w:p>
    <w:p>
      <w:pPr>
        <w:spacing w:after="0" w:line="36"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certain foreign customers being added to the list of restricted customers by the U.S. Department of Commerce;</w:t>
      </w:r>
    </w:p>
    <w:p>
      <w:pPr>
        <w:spacing w:after="0" w:line="36"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implementation of trade tariffs by the U.S. and other countries that would impact our products;</w:t>
      </w:r>
    </w:p>
    <w:p>
      <w:pPr>
        <w:spacing w:after="0" w:line="36"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in foreign countries;</w:t>
      </w:r>
    </w:p>
    <w:p>
      <w:pPr>
        <w:spacing w:after="0" w:line="36"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imposition of financial and operational controls and regulatory restrictions by foreign governments;</w:t>
      </w:r>
    </w:p>
    <w:p>
      <w:pPr>
        <w:spacing w:after="0" w:line="36"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comply with a wide variety of U.S. and foreign import and export laws;</w:t>
      </w:r>
    </w:p>
    <w:p>
      <w:pPr>
        <w:spacing w:after="0" w:line="36" w:lineRule="exact"/>
        <w:rPr>
          <w:rFonts w:ascii="Arial" w:cs="Arial" w:eastAsia="Arial" w:hAnsi="Arial"/>
          <w:sz w:val="18"/>
          <w:szCs w:val="18"/>
          <w:color w:val="auto"/>
        </w:rPr>
      </w:pPr>
    </w:p>
    <w:p>
      <w:pPr>
        <w:ind w:left="1140" w:right="200" w:hanging="322"/>
        <w:spacing w:after="0" w:line="258"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21"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taxes;</w:t>
      </w:r>
    </w:p>
    <w:p>
      <w:pPr>
        <w:spacing w:after="0" w:line="36"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36"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36"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greater difficulty of administering business abroad.</w:t>
      </w:r>
    </w:p>
    <w:p>
      <w:pPr>
        <w:spacing w:after="0" w:line="248" w:lineRule="exact"/>
        <w:rPr>
          <w:sz w:val="20"/>
          <w:szCs w:val="20"/>
          <w:color w:val="auto"/>
        </w:rPr>
      </w:pPr>
    </w:p>
    <w:p>
      <w:pPr>
        <w:ind w:left="500" w:right="180"/>
        <w:spacing w:after="0" w:line="282" w:lineRule="auto"/>
        <w:rPr>
          <w:sz w:val="20"/>
          <w:szCs w:val="20"/>
          <w:color w:val="auto"/>
        </w:rPr>
      </w:pPr>
      <w:r>
        <w:rPr>
          <w:rFonts w:ascii="Arial" w:cs="Arial" w:eastAsia="Arial" w:hAnsi="Arial"/>
          <w:sz w:val="18"/>
          <w:szCs w:val="18"/>
          <w:b w:val="1"/>
          <w:bCs w:val="1"/>
          <w:color w:val="auto"/>
        </w:rPr>
        <w:t>A significant portion of our cash position is maintained overseas and we may not be able to repatriate cash from overseas when necessary, which could have an adverse effect on our financial condition.</w:t>
      </w:r>
    </w:p>
    <w:p>
      <w:pPr>
        <w:spacing w:after="0" w:line="166" w:lineRule="exact"/>
        <w:rPr>
          <w:sz w:val="20"/>
          <w:szCs w:val="20"/>
          <w:color w:val="auto"/>
        </w:rPr>
      </w:pPr>
    </w:p>
    <w:p>
      <w:pPr>
        <w:ind w:left="500" w:right="60"/>
        <w:spacing w:after="0" w:line="291" w:lineRule="auto"/>
        <w:rPr>
          <w:sz w:val="20"/>
          <w:szCs w:val="20"/>
          <w:color w:val="auto"/>
        </w:rPr>
      </w:pPr>
      <w:r>
        <w:rPr>
          <w:rFonts w:ascii="Arial" w:cs="Arial" w:eastAsia="Arial" w:hAnsi="Arial"/>
          <w:sz w:val="16"/>
          <w:szCs w:val="16"/>
          <w:color w:val="auto"/>
        </w:rPr>
        <w:t>While much of our cash is in the U.S., a significant portion is generated from and maintained by our foreign operations. As of December 31, 2020, $3.2 million, or 31%, of our cash and cash equivalents were held by our foreign subsidiaries. Our financial condition and results of operations could be adversely impacted if we are unable to maintain a sufficient level of cash flow in the U.S. to address our cash requirements and if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3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At December 31, 2020, we leased seven facilities worldwide. The following chart provides information regarding each of our principal facilities that we leased at December 31, 2020:</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Approx.</w:t>
            </w:r>
          </w:p>
        </w:tc>
        <w:tc>
          <w:tcPr>
            <w:tcW w:w="642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860" w:type="dxa"/>
            <w:vAlign w:val="bottom"/>
          </w:tcPr>
          <w:p>
            <w:pPr>
              <w:jc w:val="center"/>
              <w:ind w:left="15"/>
              <w:spacing w:after="0"/>
              <w:rPr>
                <w:sz w:val="20"/>
                <w:szCs w:val="20"/>
                <w:color w:val="auto"/>
              </w:rPr>
            </w:pPr>
            <w:r>
              <w:rPr>
                <w:rFonts w:ascii="Arial" w:cs="Arial" w:eastAsia="Arial" w:hAnsi="Arial"/>
                <w:sz w:val="18"/>
                <w:szCs w:val="18"/>
                <w:b w:val="1"/>
                <w:bCs w:val="1"/>
                <w:color w:val="auto"/>
                <w:w w:val="86"/>
              </w:rPr>
              <w:t>Lease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Square</w:t>
            </w:r>
          </w:p>
        </w:tc>
        <w:tc>
          <w:tcPr>
            <w:tcW w:w="6420" w:type="dxa"/>
            <w:vAlign w:val="bottom"/>
          </w:tcPr>
          <w:p>
            <w:pPr>
              <w:spacing w:after="0"/>
              <w:rPr>
                <w:sz w:val="18"/>
                <w:szCs w:val="18"/>
                <w:color w:val="auto"/>
              </w:rPr>
            </w:pPr>
          </w:p>
        </w:tc>
      </w:tr>
      <w:tr>
        <w:trPr>
          <w:trHeight w:val="234"/>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860" w:type="dxa"/>
            <w:vAlign w:val="bottom"/>
            <w:tcBorders>
              <w:bottom w:val="single" w:sz="8" w:color="auto"/>
            </w:tcBorders>
          </w:tcPr>
          <w:p>
            <w:pPr>
              <w:jc w:val="center"/>
              <w:ind w:left="15"/>
              <w:spacing w:after="0"/>
              <w:rPr>
                <w:sz w:val="20"/>
                <w:szCs w:val="20"/>
                <w:color w:val="auto"/>
              </w:rPr>
            </w:pPr>
            <w:r>
              <w:rPr>
                <w:rFonts w:ascii="Arial" w:cs="Arial" w:eastAsia="Arial" w:hAnsi="Arial"/>
                <w:sz w:val="18"/>
                <w:szCs w:val="18"/>
                <w:b w:val="1"/>
                <w:bCs w:val="1"/>
                <w:color w:val="auto"/>
                <w:w w:val="95"/>
              </w:rPr>
              <w:t>Expiration</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Footage</w:t>
            </w:r>
          </w:p>
        </w:tc>
        <w:tc>
          <w:tcPr>
            <w:tcW w:w="64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Principal Uses</w:t>
            </w:r>
          </w:p>
        </w:tc>
      </w:tr>
      <w:tr>
        <w:trPr>
          <w:trHeight w:val="209"/>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Mansfield, MA</w:t>
            </w:r>
          </w:p>
        </w:tc>
        <w:tc>
          <w:tcPr>
            <w:tcW w:w="1860" w:type="dxa"/>
            <w:vAlign w:val="bottom"/>
            <w:shd w:val="clear" w:color="auto" w:fill="CCEEFF"/>
          </w:tcPr>
          <w:p>
            <w:pPr>
              <w:jc w:val="center"/>
              <w:ind w:left="15"/>
              <w:spacing w:after="0" w:line="210" w:lineRule="exact"/>
              <w:rPr>
                <w:sz w:val="20"/>
                <w:szCs w:val="20"/>
                <w:color w:val="auto"/>
              </w:rPr>
            </w:pPr>
            <w:r>
              <w:rPr>
                <w:rFonts w:ascii="Arial" w:cs="Arial" w:eastAsia="Arial" w:hAnsi="Arial"/>
                <w:sz w:val="15"/>
                <w:szCs w:val="15"/>
                <w:color w:val="auto"/>
              </w:rPr>
              <w:t>December 2024</w:t>
            </w:r>
            <w:r>
              <w:rPr>
                <w:rFonts w:ascii="Arial" w:cs="Arial" w:eastAsia="Arial" w:hAnsi="Arial"/>
                <w:sz w:val="24"/>
                <w:szCs w:val="24"/>
                <w:color w:val="auto"/>
                <w:vertAlign w:val="superscript"/>
              </w:rPr>
              <w:t>(1)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52,700</w:t>
            </w: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Thermal segment operations (principal facility for iTS)</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Mt. Laurel, NJ</w:t>
            </w:r>
          </w:p>
        </w:tc>
        <w:tc>
          <w:tcPr>
            <w:tcW w:w="1860" w:type="dxa"/>
            <w:vAlign w:val="bottom"/>
          </w:tcPr>
          <w:p>
            <w:pPr>
              <w:jc w:val="center"/>
              <w:ind w:left="15"/>
              <w:spacing w:after="0" w:line="216" w:lineRule="exact"/>
              <w:rPr>
                <w:sz w:val="20"/>
                <w:szCs w:val="20"/>
                <w:color w:val="auto"/>
              </w:rPr>
            </w:pPr>
            <w:r>
              <w:rPr>
                <w:rFonts w:ascii="Arial" w:cs="Arial" w:eastAsia="Arial" w:hAnsi="Arial"/>
                <w:sz w:val="16"/>
                <w:szCs w:val="16"/>
                <w:color w:val="auto"/>
              </w:rPr>
              <w:t>April 2021</w:t>
            </w:r>
            <w:r>
              <w:rPr>
                <w:rFonts w:ascii="Arial" w:cs="Arial" w:eastAsia="Arial" w:hAnsi="Arial"/>
                <w:sz w:val="25"/>
                <w:szCs w:val="25"/>
                <w:color w:val="auto"/>
                <w:vertAlign w:val="superscript"/>
              </w:rPr>
              <w:t>(2)</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54,897</w:t>
            </w:r>
          </w:p>
        </w:tc>
        <w:tc>
          <w:tcPr>
            <w:tcW w:w="6420" w:type="dxa"/>
            <w:vAlign w:val="bottom"/>
          </w:tcPr>
          <w:p>
            <w:pPr>
              <w:ind w:left="120"/>
              <w:spacing w:after="0"/>
              <w:rPr>
                <w:sz w:val="20"/>
                <w:szCs w:val="20"/>
                <w:color w:val="auto"/>
              </w:rPr>
            </w:pPr>
            <w:r>
              <w:rPr>
                <w:rFonts w:ascii="Arial" w:cs="Arial" w:eastAsia="Arial" w:hAnsi="Arial"/>
                <w:sz w:val="18"/>
                <w:szCs w:val="18"/>
                <w:color w:val="auto"/>
              </w:rPr>
              <w:t>Corporate headquarters and EMS segment operations</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Fremont, CA</w:t>
            </w:r>
          </w:p>
        </w:tc>
        <w:tc>
          <w:tcPr>
            <w:tcW w:w="1860" w:type="dxa"/>
            <w:vAlign w:val="bottom"/>
            <w:shd w:val="clear" w:color="auto" w:fill="CCEEFF"/>
          </w:tcPr>
          <w:p>
            <w:pPr>
              <w:jc w:val="center"/>
              <w:ind w:left="35"/>
              <w:spacing w:after="0" w:line="216" w:lineRule="exact"/>
              <w:rPr>
                <w:sz w:val="20"/>
                <w:szCs w:val="20"/>
                <w:color w:val="auto"/>
              </w:rPr>
            </w:pPr>
            <w:r>
              <w:rPr>
                <w:rFonts w:ascii="Arial" w:cs="Arial" w:eastAsia="Arial" w:hAnsi="Arial"/>
                <w:sz w:val="16"/>
                <w:szCs w:val="16"/>
                <w:color w:val="auto"/>
                <w:w w:val="99"/>
              </w:rPr>
              <w:t>November 2025</w:t>
            </w:r>
            <w:r>
              <w:rPr>
                <w:rFonts w:ascii="Arial" w:cs="Arial" w:eastAsia="Arial" w:hAnsi="Arial"/>
                <w:sz w:val="25"/>
                <w:szCs w:val="25"/>
                <w:color w:val="auto"/>
                <w:w w:val="99"/>
                <w:vertAlign w:val="superscript"/>
              </w:rPr>
              <w:t>(3)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15,746</w:t>
            </w: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EMS segment sales and engineering</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Rochester, NY</w:t>
            </w:r>
          </w:p>
        </w:tc>
        <w:tc>
          <w:tcPr>
            <w:tcW w:w="1860" w:type="dxa"/>
            <w:vAlign w:val="bottom"/>
          </w:tcPr>
          <w:p>
            <w:pPr>
              <w:jc w:val="center"/>
              <w:ind w:left="35"/>
              <w:spacing w:after="0"/>
              <w:rPr>
                <w:sz w:val="20"/>
                <w:szCs w:val="20"/>
                <w:color w:val="auto"/>
              </w:rPr>
            </w:pPr>
            <w:r>
              <w:rPr>
                <w:rFonts w:ascii="Arial" w:cs="Arial" w:eastAsia="Arial" w:hAnsi="Arial"/>
                <w:sz w:val="18"/>
                <w:szCs w:val="18"/>
                <w:color w:val="auto"/>
                <w:w w:val="96"/>
              </w:rPr>
              <w:t>April 2028</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79,150</w:t>
            </w:r>
          </w:p>
        </w:tc>
        <w:tc>
          <w:tcPr>
            <w:tcW w:w="6420" w:type="dxa"/>
            <w:vAlign w:val="bottom"/>
          </w:tcPr>
          <w:p>
            <w:pPr>
              <w:ind w:left="120"/>
              <w:spacing w:after="0"/>
              <w:rPr>
                <w:sz w:val="20"/>
                <w:szCs w:val="20"/>
                <w:color w:val="auto"/>
              </w:rPr>
            </w:pPr>
            <w:r>
              <w:rPr>
                <w:rFonts w:ascii="Arial" w:cs="Arial" w:eastAsia="Arial" w:hAnsi="Arial"/>
                <w:sz w:val="18"/>
                <w:szCs w:val="18"/>
                <w:color w:val="auto"/>
              </w:rPr>
              <w:t>Thermal segment operations (principal facility for Ambrell)</w:t>
            </w: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of our facilities have space to accommodate our needs for the foreseeable future.</w:t>
      </w:r>
    </w:p>
    <w:p>
      <w:pPr>
        <w:spacing w:after="0" w:line="225" w:lineRule="exact"/>
        <w:rPr>
          <w:sz w:val="20"/>
          <w:szCs w:val="20"/>
          <w:color w:val="auto"/>
        </w:rPr>
      </w:pPr>
    </w:p>
    <w:p>
      <w:pPr>
        <w:ind w:left="820" w:hanging="326"/>
        <w:spacing w:after="0" w:line="25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fourth quarter of 2020, we reduced the administrative footprint by 6,100 square feet in our Mansfield, Massachusetts corporate office associated with the reestablishment of the Mt. Laurel, New Jersey office as our corporate headquarters, as more fully discussed in Note 3 to our consolidated financial statements.</w:t>
      </w:r>
    </w:p>
    <w:p>
      <w:pPr>
        <w:spacing w:after="0" w:line="2" w:lineRule="exact"/>
        <w:rPr>
          <w:rFonts w:ascii="Arial" w:cs="Arial" w:eastAsia="Arial" w:hAnsi="Arial"/>
          <w:sz w:val="18"/>
          <w:szCs w:val="18"/>
          <w:color w:val="auto"/>
        </w:rPr>
      </w:pPr>
    </w:p>
    <w:p>
      <w:pPr>
        <w:ind w:left="820" w:right="420" w:hanging="326"/>
        <w:spacing w:after="0" w:line="250"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September 22, 2020, we executed an amendment to the lease for our facility in Mt. Laurel, New Jersey, which extended the term of the existing lease for a period of 120 months commencing on May 1, 2021. In addition, effective on August 1, 2021, the leased space will be reduced to approximately 33,650 square feet.</w:t>
      </w:r>
    </w:p>
    <w:p>
      <w:pPr>
        <w:spacing w:after="0" w:line="1" w:lineRule="exact"/>
        <w:rPr>
          <w:rFonts w:ascii="Arial" w:cs="Arial" w:eastAsia="Arial" w:hAnsi="Arial"/>
          <w:sz w:val="18"/>
          <w:szCs w:val="18"/>
          <w:color w:val="auto"/>
        </w:rPr>
      </w:pPr>
    </w:p>
    <w:p>
      <w:pPr>
        <w:ind w:left="820" w:right="420" w:hanging="326"/>
        <w:spacing w:after="0" w:line="260"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fourth quarter of 2020, we consolidated all manufacturing operations for our EMS segment into our facility in Mt. Laurel, New Jersey, as more fully discussed in Note 3 to our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916" w:gutter="0" w:footer="0" w:header="0"/>
        </w:sectPr>
      </w:pPr>
    </w:p>
    <w:bookmarkStart w:id="20" w:name="page21"/>
    <w:bookmarkEnd w:id="20"/>
    <w:p>
      <w:pPr>
        <w:spacing w:after="0"/>
        <w:tabs>
          <w:tab w:leader="none" w:pos="80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left="820" w:right="26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Market for Common Stock</w:t>
      </w:r>
    </w:p>
    <w:p>
      <w:pPr>
        <w:spacing w:after="0" w:line="229" w:lineRule="exact"/>
        <w:rPr>
          <w:sz w:val="20"/>
          <w:szCs w:val="20"/>
          <w:color w:val="auto"/>
        </w:rPr>
      </w:pPr>
    </w:p>
    <w:p>
      <w:pPr>
        <w:ind w:left="500" w:right="80"/>
        <w:spacing w:after="0" w:line="263" w:lineRule="auto"/>
        <w:rPr>
          <w:sz w:val="20"/>
          <w:szCs w:val="20"/>
          <w:color w:val="auto"/>
        </w:rPr>
      </w:pPr>
      <w:r>
        <w:rPr>
          <w:rFonts w:ascii="Arial" w:cs="Arial" w:eastAsia="Arial" w:hAnsi="Arial"/>
          <w:sz w:val="18"/>
          <w:szCs w:val="18"/>
          <w:color w:val="auto"/>
        </w:rPr>
        <w:t>Our common stock is traded on NYSE American LLC (“NYSE American”) under the symbol "INTT." On March 15, 2021, the closing price for our common stock as reported on the NYSE American was $10.06. As of March 15, 2021, we had 10,703,056 shares outstanding that were held by approximately 1,000 beneficial and record holders.</w:t>
      </w:r>
    </w:p>
    <w:p>
      <w:pPr>
        <w:spacing w:after="0" w:line="184" w:lineRule="exact"/>
        <w:rPr>
          <w:sz w:val="20"/>
          <w:szCs w:val="20"/>
          <w:color w:val="auto"/>
        </w:rPr>
      </w:pPr>
    </w:p>
    <w:p>
      <w:pPr>
        <w:ind w:left="500" w:right="100"/>
        <w:spacing w:after="0" w:line="279" w:lineRule="auto"/>
        <w:rPr>
          <w:sz w:val="20"/>
          <w:szCs w:val="20"/>
          <w:color w:val="auto"/>
        </w:rPr>
      </w:pPr>
      <w:r>
        <w:rPr>
          <w:rFonts w:ascii="Arial" w:cs="Arial" w:eastAsia="Arial" w:hAnsi="Arial"/>
          <w:sz w:val="17"/>
          <w:szCs w:val="17"/>
          <w:color w:val="auto"/>
        </w:rPr>
        <w:t>No dividends were paid on our common stock in the years ended December 31, 2020 or 2019. We do not currently plan to pay cash dividends in the foreseeable future. Our current policy is to use any future earnings for reinvestment in the operation and expansion of our business, including possible acquisitions of other businesses, technologies or products and, when approved by our Board of Directors, to repurchase our outstanding common stock. Payment of any future dividends will be at the discretion of our Board of Directors.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shares of our common stock repurchased by us or on our behalf during the three months ended December 31, 2020.</w:t>
      </w:r>
    </w:p>
    <w:p>
      <w:pPr>
        <w:spacing w:after="0" w:line="225" w:lineRule="exact"/>
        <w:rPr>
          <w:sz w:val="20"/>
          <w:szCs w:val="20"/>
          <w:color w:val="auto"/>
        </w:rPr>
      </w:pPr>
    </w:p>
    <w:p>
      <w:pPr>
        <w:ind w:left="500"/>
        <w:spacing w:after="0" w:line="288" w:lineRule="auto"/>
        <w:rPr>
          <w:sz w:val="20"/>
          <w:szCs w:val="20"/>
          <w:color w:val="auto"/>
        </w:rPr>
      </w:pPr>
      <w:r>
        <w:rPr>
          <w:rFonts w:ascii="Arial" w:cs="Arial" w:eastAsia="Arial" w:hAnsi="Arial"/>
          <w:sz w:val="16"/>
          <w:szCs w:val="16"/>
          <w:color w:val="auto"/>
        </w:rPr>
        <w:t>On July 31, 2019, our Board of Directors authorized the repurchase of up to $3.0 million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may be made under a Rule 10b5-1 plan entered into with RW Baird &amp; Co., which would permit shares to be repurchased when we might otherwise be precluded from doing so under insider trading laws and our internal trading windows. The 2019 Repurchase Plan does not obligate us to purchase any particular amount of common stock and may be suspended or discontinued at any time without prior notice. The 2019 Repurchase Plan is funded using our operating cash flow or available cash. Purchases began on September 18, 2019 under this plan. During the quarter ended March 31, 2020, we repurchased 13,767 shares under the 2019 Repurchase Plan at a cost of $74,000, including fees paid to our broker. On March 2, 2020, we suspended repurchases under the 2019 Repurchase Plan and no repurchases have been made since then. From September 18, 2019 through December 31, 2020, we have repurchased a total of 243,075 shares at a cost of $1.2 million, which includes fees paid to our broker of $6,000. All of the repurchased shares were retired.</w:t>
      </w:r>
    </w:p>
    <w:p>
      <w:pPr>
        <w:spacing w:after="0" w:line="168" w:lineRule="exact"/>
        <w:rPr>
          <w:sz w:val="20"/>
          <w:szCs w:val="20"/>
          <w:color w:val="auto"/>
        </w:rPr>
      </w:pPr>
    </w:p>
    <w:p>
      <w:pPr>
        <w:jc w:val="both"/>
        <w:ind w:left="500" w:right="200"/>
        <w:spacing w:after="0" w:line="263" w:lineRule="auto"/>
        <w:rPr>
          <w:sz w:val="20"/>
          <w:szCs w:val="20"/>
          <w:color w:val="auto"/>
        </w:rPr>
      </w:pPr>
      <w:r>
        <w:rPr>
          <w:rFonts w:ascii="Arial" w:cs="Arial" w:eastAsia="Arial" w:hAnsi="Arial"/>
          <w:sz w:val="18"/>
          <w:szCs w:val="18"/>
          <w:color w:val="auto"/>
        </w:rPr>
        <w:t>In addition, on July 31, 2019, our Board of Directors terminated the 2015 Stock Repurchase Plan which had been authorized on October 27, 2015 and under which we had repurchased a total of 297,020 shares at a cost of $1.2 million. The shares were repurchased between December 2015 and January 2017. All of the repurchased shares were retired.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tabs>
          <w:tab w:leader="none" w:pos="8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ind w:left="500" w:right="40"/>
        <w:spacing w:after="0" w:line="293" w:lineRule="auto"/>
        <w:rPr>
          <w:sz w:val="20"/>
          <w:szCs w:val="20"/>
          <w:color w:val="auto"/>
        </w:rPr>
      </w:pPr>
      <w:r>
        <w:rPr>
          <w:rFonts w:ascii="Arial" w:cs="Arial" w:eastAsia="Arial" w:hAnsi="Arial"/>
          <w:sz w:val="16"/>
          <w:szCs w:val="16"/>
          <w:color w:val="auto"/>
        </w:rPr>
        <w:t>The following table contains certain selected consolidated financial data of inTEST and is qualified by the more detailed Consolidated Financial Statements and Notes thereto included elsewhere in this Report and should be read in conjunction with "Management's Discussion and Analysis of Financial Condition and Results of Operations" and the other financial information included in this Annual Report on Form 10-K. On May 24, 2017, we completed the acquisition of Ambrell. This acquisition is discussed in further detail in Note 3 to the consolidated financial statements in our Form 10-K for the year ended December 31, 2018 (“2018 Form 10-K”) filed on March 26, 2019 with the Securities and Exchange Commission, including a discussion of the adjustments to our liability for contingent consideration in 2018 and 2017, which are listed below.</w:t>
      </w:r>
    </w:p>
    <w:p>
      <w:pPr>
        <w:spacing w:after="0" w:line="16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09"/>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gridSpan w:val="5"/>
          </w:tcPr>
          <w:p>
            <w:pPr>
              <w:jc w:val="right"/>
              <w:ind w:right="690"/>
              <w:spacing w:after="0"/>
              <w:rPr>
                <w:sz w:val="20"/>
                <w:szCs w:val="20"/>
                <w:color w:val="auto"/>
              </w:rPr>
            </w:pPr>
            <w:r>
              <w:rPr>
                <w:rFonts w:ascii="Arial" w:cs="Arial" w:eastAsia="Arial" w:hAnsi="Arial"/>
                <w:sz w:val="18"/>
                <w:szCs w:val="18"/>
                <w:color w:val="auto"/>
              </w:rPr>
              <w:t>(in thousands, except per share data)</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Condensed Consolidated Statement of</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 Data:</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Net revenues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53,823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60,660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78,563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66,801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40,227</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24,104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29,225</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39,401</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w w:val="98"/>
              </w:rPr>
              <w:t>Adjustment to contingent consideration liability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6,901</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6,976</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2,549</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Net earnings (loss)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w:t>
            </w:r>
          </w:p>
        </w:tc>
        <w:tc>
          <w:tcPr>
            <w:tcW w:w="3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2,322</w:t>
            </w:r>
          </w:p>
        </w:tc>
        <w:tc>
          <w:tcPr>
            <w:tcW w:w="3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3,037</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2,658</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r>
      <w:tr>
        <w:trPr>
          <w:trHeight w:val="216"/>
        </w:trPr>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w w:val="94"/>
              </w:rPr>
              <w:t>Weighted average common shares outstanding: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10,257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10,373</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10,314</w:t>
            </w:r>
          </w:p>
        </w:tc>
      </w:tr>
      <w:tr>
        <w:trPr>
          <w:trHeight w:val="230"/>
        </w:trPr>
        <w:tc>
          <w:tcPr>
            <w:tcW w:w="36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10,257</w:t>
            </w:r>
          </w:p>
        </w:tc>
        <w:tc>
          <w:tcPr>
            <w:tcW w:w="3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10,392</w:t>
            </w:r>
          </w:p>
        </w:tc>
        <w:tc>
          <w:tcPr>
            <w:tcW w:w="3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10,382</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10,339</w:t>
            </w: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10,333</w:t>
            </w:r>
          </w:p>
        </w:tc>
      </w:tr>
    </w:tbl>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2"/>
          </w:tcPr>
          <w:p>
            <w:pPr>
              <w:jc w:val="right"/>
              <w:ind w:right="19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Condensed Consolidated Balance Sheet Data:</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10,277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7,612</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17,861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13,290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28,611</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18,108</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16,534</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14,203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62,030</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59,715</w:t>
            </w:r>
          </w:p>
        </w:tc>
        <w:tc>
          <w:tcPr>
            <w:tcW w:w="46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67,187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62,493</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42,844</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8,422</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2,889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44,752</w:t>
            </w: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44,834</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42,880</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39,288</w:t>
            </w: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37,788</w:t>
            </w:r>
          </w:p>
        </w:tc>
      </w:tr>
    </w:tbl>
    <w:p>
      <w:pPr>
        <w:spacing w:after="0" w:line="399" w:lineRule="exact"/>
        <w:rPr>
          <w:sz w:val="20"/>
          <w:szCs w:val="20"/>
          <w:color w:val="auto"/>
        </w:rPr>
      </w:pPr>
    </w:p>
    <w:p>
      <w:pPr>
        <w:ind w:left="500" w:right="1140" w:hanging="485"/>
        <w:spacing w:after="0" w:line="503" w:lineRule="auto"/>
        <w:rPr>
          <w:sz w:val="20"/>
          <w:szCs w:val="20"/>
          <w:color w:val="auto"/>
        </w:rPr>
      </w:pPr>
      <w:r>
        <w:rPr>
          <w:rFonts w:ascii="Arial" w:cs="Arial" w:eastAsia="Arial" w:hAnsi="Arial"/>
          <w:sz w:val="18"/>
          <w:szCs w:val="18"/>
          <w:b w:val="1"/>
          <w:bCs w:val="1"/>
          <w:color w:val="auto"/>
        </w:rPr>
        <w:t>Item 7.</w:t>
      </w:r>
      <w:r>
        <w:rPr>
          <w:sz w:val="20"/>
          <w:szCs w:val="20"/>
          <w:color w:val="auto"/>
        </w:rPr>
        <w:t xml:space="preserve"> </w:t>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b w:val="1"/>
          <w:bCs w:val="1"/>
          <w:u w:val="single" w:color="auto"/>
          <w:color w:val="auto"/>
        </w:rPr>
        <w:t>Overview</w:t>
      </w:r>
    </w:p>
    <w:p>
      <w:pPr>
        <w:ind w:left="50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00" w:right="300"/>
        <w:spacing w:after="0" w:line="259" w:lineRule="auto"/>
        <w:rPr>
          <w:sz w:val="20"/>
          <w:szCs w:val="20"/>
          <w:color w:val="auto"/>
        </w:rPr>
      </w:pPr>
      <w:r>
        <w:rPr>
          <w:rFonts w:ascii="Arial" w:cs="Arial" w:eastAsia="Arial" w:hAnsi="Arial"/>
          <w:sz w:val="18"/>
          <w:szCs w:val="18"/>
          <w:color w:val="auto"/>
        </w:rPr>
        <w:t>We are a global supplier of innovative test and process solutions for use in manufacturing and testing across a wide range of markets including automotive, defense/aerospace, industrial, medical, semiconductor and telecommunications. We manage our business as two operating segments: Thermal and EMS. Our Thermal segment designs, manufactures and sells our thermal test and thermal process products while our EMS segment designs, manufactures and sells our semiconductor test products.</w:t>
      </w:r>
    </w:p>
    <w:p>
      <w:pPr>
        <w:spacing w:after="0" w:line="187" w:lineRule="exact"/>
        <w:rPr>
          <w:sz w:val="20"/>
          <w:szCs w:val="20"/>
          <w:color w:val="auto"/>
        </w:rPr>
      </w:pPr>
    </w:p>
    <w:p>
      <w:pPr>
        <w:ind w:left="500" w:right="80"/>
        <w:spacing w:after="0" w:line="293" w:lineRule="auto"/>
        <w:rPr>
          <w:sz w:val="20"/>
          <w:szCs w:val="20"/>
          <w:color w:val="auto"/>
        </w:rPr>
      </w:pPr>
      <w:r>
        <w:rPr>
          <w:rFonts w:ascii="Arial" w:cs="Arial" w:eastAsia="Arial" w:hAnsi="Arial"/>
          <w:sz w:val="16"/>
          <w:szCs w:val="16"/>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These sales all fall within the ATE sector of the broader semiconductor market. Our Thermal segment sells its products to many of these same types of customers; however, it also sells to customers in the wafer processing sector within the broader semiconductor market and to customers in a variety of other markets outside the semiconductor market, including the automotive, defense/aerospace, industrial (including consumer products packaging, fiber optics and other sectors within the broader industrial market), medical and telecommunications markets.</w:t>
      </w:r>
    </w:p>
    <w:p>
      <w:pPr>
        <w:spacing w:after="0" w:line="164"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Both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Markets</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Historically, we referred to our markets as “Semiconductor” (which included both the broader semiconductor market as well as the more specialized semiconductor ATE and wafer processing sectors within the broader semiconductor market), and “Non-Semiconductor” (which included all of the other markets we serve). In the second quarter of 2019, we began referring to the semiconductor market, including the ATE and wafer processing sectors within that market, as the “Semi Market.” All other markets are designated as “Multimarket.” Business within our Thermal segment can fall into either the Semi Market or Multimarket, depending upon how our customers utilize our products or upon their respective applications.</w:t>
      </w:r>
    </w:p>
    <w:p>
      <w:pPr>
        <w:spacing w:after="0" w:line="16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While the Semi Market represents the historical roots of inTEST and remains a very important component of our business, Multimarket is where we have focused our strategic growth efforts in the last several years. Our goal was to grow our business, both organically and through acquisition, in these markets as we believe these markets have historically been less cyclical than the Semi Market. Moving forward, with the launch of our new strategic plan which is discussed in Part 1, Item 1 under “Our Strategies”, we intend to broaden our strategic growth efforts to target both organic and inorganic growth in all of our currently served markets, which includes the Semi Market. Our goal is to further expand our existing product lines, strengthen our positions in served markets and drive expansion into new markets.</w:t>
      </w:r>
    </w:p>
    <w:p>
      <w:pPr>
        <w:spacing w:after="0" w:line="17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Prior to our acquisition of Ambrell Corporation (“Ambrell”) in May 2017, we offered only highly specialized engineering solutions used for testing applications in Multimarket, the demand for which is limited and which varies significantly from period to period. Our acquisition of Ambrell not only provided expansion into new markets but also broadened our product offerings to include products sold into process or manufacturing applications. Historically, Ambrell sold its precision induction heating systems almost exclusively to customers in the industrial market but since 2018, has also had significant sales into the Semi Market. Overall, however, the acquisition of Ambrell has helped to diversify our customer base.</w:t>
      </w:r>
    </w:p>
    <w:p>
      <w:pPr>
        <w:spacing w:after="0" w:line="1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portion of our business that is derived from the Semi Market is substantially dependent upon the demand for ATE by semiconductor manufacturers and companies that specialize in the testing of integrated circuits or, for Ambrell, the demand for wafer processing equipment. Demand for ATE or wafer processing equipment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that contribute to our net revenues as our customers adopt these new products.</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net revenues and, depending on our ability to react quickly to these shifts in demand, can significantly impact our results of operations. Market cycles are difficult to predict and, because they are generally characterized by sequential periods of growth or declines in orders and net revenues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Third party market share statistics are not available for the products we manufacture and sell into the Semi Market; therefore, comparisons of period over period changes in our market share are not easily determined. As a result, it is difficult to ascertain if Semi Market volatility in any period is the result of macro-economic or customer-specific factors impacting Semi Market demand, or if we have gained or lost market share to a competitor during the period.</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approximately half of our orders and net revenues are derived from the Semi Market, and our operating results generally follow the overall trend in the Semi Market, in any given period we may experience anomalies that cause the trend in our net revenues to deviate from the overall trend in the Semi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processing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23" w:name="page24"/>
    <w:bookmarkEnd w:id="23"/>
    <w:p>
      <w:pPr>
        <w:ind w:right="160"/>
        <w:spacing w:after="0" w:line="255" w:lineRule="auto"/>
        <w:rPr>
          <w:sz w:val="20"/>
          <w:szCs w:val="20"/>
          <w:color w:val="auto"/>
        </w:rPr>
      </w:pPr>
      <w:r>
        <w:rPr>
          <w:rFonts w:ascii="Arial" w:cs="Arial" w:eastAsia="Arial" w:hAnsi="Arial"/>
          <w:sz w:val="18"/>
          <w:szCs w:val="18"/>
          <w:color w:val="auto"/>
        </w:rPr>
        <w:t>As previously mentioned, as part of our ongoing strategy to grow our business, we continue to diversify our served markets to address the thermal test and thermal process requirements of several markets outside the Semi Market. These include the automotive, defense/aerospace, industrial, medical, telecommunications and other markets, which we refer to as Multimarket.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92"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In addition, because of our limited market share, our Multimarket orders and net revenues in any given period do not necessarily reflect the overall trends in the markets within Multimarket. Consequently, we are continuing to evaluate buying patterns and opportunities for growth in Multimarket that may affect our performance. The level of our Multimarket orders and net revenues has varied in the past, and we expect will vary significantly in the future, as we work to build our presence in Multimarket and establish new markets for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Other Charges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September 21, 2020, we notified employees in our Fremont, California facility of a plan to consolidate all manufacturing for our EMS segment into our manufacturing operation located in Mt. Laurel, New Jersey. The consolidation was substantially completed during the fourth quarter of 2020 and resulted in the termination of certain employees at the Fremont location. Prior to the consolidation, our interface products were manufactured in the Fremont facility, and our manipulator and docking hardware products were manufactured in the Mt. Laurel facility. The consolidation was undertaken to better serve customers through streamlined operations and reduce the fixed annual operating costs for the EMS segment. A small engineering and sales office will be maintained in northern California. The costs related to these actions are included in restructuring and other charges on our consolidated statement of operations and are discussed in more detail in Note 3 to our consolidated financial statements.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EMS facility consolidation resulted in the termination of certain employees at the Fremont location, including all of our interface product line assembly staff who were located at that facility. As a result of transitioning our interface manufacturing operations to New Jersey, we have hired new production staff for this product line in our Mt. Laurel facility. These new employees are being trained to assemble our products which may impact customer shipments and quality of our interface products over the next several months. In addition, we have recently experienced difficulty in hiring personnel at the costs projected in our forecasts. This has resulted in the need to increase the labor rates offered for certain positions. If we cannot find savings in other areas or increase the price for which we sell our products in an amount sufficient to cover these additional labor costs, we may experience reduced margins in future periods. See “Risks Related to Our Business Operations” in Item 1A “Risk Factors” of this Report.</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third quarter of 2020, we made changes in our executive management team and, in connection with these actions, we reduced our administrative footprint in our Mansfield, Massachusetts facility and reestablished our corporate headquarters in our Mt. Laurel, New Jersey office. The costs related to these actions are included in restructuring and other charges on our consolidated statement of operations and are discussed in more detail in Note 3 to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a breakdown of the orders received by operating segment and market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Years Ended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20"/>
                <w:szCs w:val="20"/>
                <w:color w:val="auto"/>
              </w:rPr>
            </w:pPr>
          </w:p>
        </w:tc>
        <w:tc>
          <w:tcPr>
            <w:tcW w:w="138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Thermal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43,014</w:t>
            </w:r>
          </w:p>
        </w:tc>
        <w:tc>
          <w:tcPr>
            <w:tcW w:w="22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39,158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3,856</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0"/>
        </w:trPr>
        <w:tc>
          <w:tcPr>
            <w:tcW w:w="5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59,740</w:t>
            </w:r>
          </w:p>
        </w:tc>
        <w:tc>
          <w:tcPr>
            <w:tcW w:w="22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52,813</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6,927</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Semi Market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32,383</w:t>
            </w:r>
          </w:p>
        </w:tc>
        <w:tc>
          <w:tcPr>
            <w:tcW w:w="22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25,416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6,967</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59,740</w:t>
            </w:r>
          </w:p>
        </w:tc>
        <w:tc>
          <w:tcPr>
            <w:tcW w:w="22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52,813</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6,927</w:t>
            </w: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Total consolidated orders for the year ended December 31, 2020 were $59.7 million compared to $52.8 million in 2019, an increase of $6.9 million, or 13%. The increase reflects higher levels of demand experienced by both of our segments from customers within the Semi Market. As discussed below under “COVID-19 Pandemic,” the Semi Market, from which approximately half of our net revenues are derived, entered a cyclical downturn in the beginning of 2019. We believe the arrival of COVID-19 lengthened and deepened the level of decline in demand experienced during this downturn. During the fourth quarter of 2020, we saw a significant increase in our orders from the Semi Market which we believe indicates that we have entered the next cyclical upturn.</w:t>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24" w:name="page25"/>
    <w:bookmarkEnd w:id="24"/>
    <w:p>
      <w:pPr>
        <w:ind w:right="80"/>
        <w:spacing w:after="0" w:line="257" w:lineRule="auto"/>
        <w:rPr>
          <w:sz w:val="20"/>
          <w:szCs w:val="20"/>
          <w:color w:val="auto"/>
        </w:rPr>
      </w:pPr>
      <w:r>
        <w:rPr>
          <w:rFonts w:ascii="Arial" w:cs="Arial" w:eastAsia="Arial" w:hAnsi="Arial"/>
          <w:sz w:val="18"/>
          <w:szCs w:val="18"/>
          <w:color w:val="auto"/>
        </w:rPr>
        <w:t>Multimarket orders in each of the years ended December 31, 2020 and 2019 were $27.4 million. For the year ended December 31, 2020, this represented 46% of our consolidated orders compared to 52% for the prior year. Increases in demand from customers in the automotive and defense/aerospace markets were offset by decreases from customers in the industrial and telecommunications markets. The level of our Multimarket orders has varied in the past, and we expect it will vary significantly in the future as we build our presence in these markets and establish new markets for our products.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December 31, 2020, our backlog of unfilled orders for all products was approximately $11.5 million compared with approximately $5.5 million at December 31, 2019. The significant increase in our backlog primarily reflects the aforementioned increase in demand during the fourth quarter of 2020. Our backlog includes customer orders that we have accepted, substantially all of which we expect to deliver in 2021.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a breakdown of the net revenues by operating segment and market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380" w:type="dxa"/>
            <w:vAlign w:val="bottom"/>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2019</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Thermal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40,209</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43,823</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(3,614)</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16,837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53,823</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60,660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(6,837)</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Semi Market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26,870</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30,953</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(4,083)</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29,707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53,823</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60,660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(6,837)</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Total consolidated net revenues for the year ended December 31, 2020 were $53.8 million compared to $60.7 million in 2019, a decrease of $6.8 million or 11% as compared to 2019. The decrease in net revenues primarily reflects the aforementioned downturn in demand in the Semi Market which began in 2019. As previously mentioned, we saw a significant increase in order levels in the fourth quarter of 2020, which we believe indicates that the downturn in the Semi Market has come to an end. As a result, we expect revenue levels in the first quarter of 2021 will increase significantly from the level in the fourth quarter.</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Multimarket net revenues for the year ended December 31, 2020 were $27.0 million, or 50% of total consolidated net revenues, compared to $29.7 million, or 49% of total consolidated net revenues in 2019. Our net revenues from Multimarket for the year ended December 31, 2020 declined $2.8 million or 9% from the prior period. The decline primarily reflects reductions experienced from customers in the industrial market. We believe this is a result, in part, of the impact of COVID-19 on demand for our induction heating products and their related service. The level of our Multimarket net revenues has varied in the past, and we expect it will vary significantly in the future as we build our presence in these markets and establish new markets for our products.</w:t>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25" w:name="page26"/>
    <w:bookmarkEnd w:id="25"/>
    <w:p>
      <w:pPr>
        <w:ind w:left="6"/>
        <w:spacing w:after="0"/>
        <w:rPr>
          <w:sz w:val="20"/>
          <w:szCs w:val="20"/>
          <w:color w:val="auto"/>
        </w:rPr>
      </w:pPr>
      <w:r>
        <w:rPr>
          <w:rFonts w:ascii="Arial" w:cs="Arial" w:eastAsia="Arial" w:hAnsi="Arial"/>
          <w:sz w:val="18"/>
          <w:szCs w:val="18"/>
          <w:b w:val="1"/>
          <w:bCs w:val="1"/>
          <w:u w:val="single" w:color="auto"/>
          <w:color w:val="auto"/>
        </w:rPr>
        <w:t>COVID-19 Pandemic</w:t>
      </w:r>
    </w:p>
    <w:p>
      <w:pPr>
        <w:spacing w:after="0" w:line="229" w:lineRule="exact"/>
        <w:rPr>
          <w:sz w:val="20"/>
          <w:szCs w:val="20"/>
          <w:color w:val="auto"/>
        </w:rPr>
      </w:pPr>
    </w:p>
    <w:p>
      <w:pPr>
        <w:ind w:left="6"/>
        <w:spacing w:after="0" w:line="268" w:lineRule="auto"/>
        <w:rPr>
          <w:sz w:val="20"/>
          <w:szCs w:val="20"/>
          <w:color w:val="auto"/>
        </w:rPr>
      </w:pPr>
      <w:r>
        <w:rPr>
          <w:rFonts w:ascii="Arial" w:cs="Arial" w:eastAsia="Arial" w:hAnsi="Arial"/>
          <w:sz w:val="17"/>
          <w:szCs w:val="17"/>
          <w:color w:val="auto"/>
        </w:rPr>
        <w:t>Our net revenues from all of the markets we serve were significantly affected by COVID-19 during the first half of 2020. The impact of COVID-19 on our net revenues from the Semi Market was intensified during the first half of the year because our business operations were also being negatively affected by a global downturn in the Semi Market at that time. The Semi Market, from which approximately half of our net revenues are derived, entered a cyclical downturn in the beginning of 2019. During the first quarter of 2020, before the spread of COVID-19, we had started to see indications that the downturn was coming to an end. These indications included increased quoting activity and order levels for the first quarter of 2020 as compared to the fourth quarter of 2019. However, we believe COVID-19 delayed the recovery in the Semi Market as the increase in activity leveled off during late March 2020. Although we saw slightly increased order rates from our customers in the Semi Market during the second and third quarters of 2020, it was not until the fourth quarter of 2020 that we saw a significant increase in our orders from the Semi Market which we believe indicates that we have now entered the next cyclical upturn. During the fourth quarter of 2020, our orders from the Semi Market increased 53% sequentially and were 141% higher than in the fourth quarter of 2019, the low point of the prior cyclical downturn for the products that we sell. We believe the level of increase in our orders from the Semi Market during the fourth quarter of 2020 reflects a combination of increased demand in the market resulting from the interruption of the normal recovery in the Semi Market cycle caused by the onset of COVID-19 in the first half of 2020, as well as increased demand for semiconductors, generally. We believe this increase in demand is being driven both by changing technology as well as increased use of technology across all aspects of daily life, such as in devices that facilitate remote work and education, smart technology used in homes and businesses, the increase in the amount of ICs used in the automotive industry and changes occurring in the telecommunications and mobility markets.</w:t>
      </w:r>
    </w:p>
    <w:p>
      <w:pPr>
        <w:spacing w:after="0" w:line="180" w:lineRule="exact"/>
        <w:rPr>
          <w:sz w:val="20"/>
          <w:szCs w:val="20"/>
          <w:color w:val="auto"/>
        </w:rPr>
      </w:pPr>
    </w:p>
    <w:p>
      <w:pPr>
        <w:ind w:left="6" w:right="40"/>
        <w:spacing w:after="0" w:line="271" w:lineRule="auto"/>
        <w:rPr>
          <w:sz w:val="20"/>
          <w:szCs w:val="20"/>
          <w:color w:val="auto"/>
        </w:rPr>
      </w:pPr>
      <w:r>
        <w:rPr>
          <w:rFonts w:ascii="Arial" w:cs="Arial" w:eastAsia="Arial" w:hAnsi="Arial"/>
          <w:sz w:val="17"/>
          <w:szCs w:val="17"/>
          <w:color w:val="auto"/>
        </w:rPr>
        <w:t>As of the date of this filing, all of our operations continue to be deemed “critical and essential business operations” under the various governmental COVID-19 mandates, which has allowed us to continue to operate our business with certain modifications. These modifications include a significant number of our employees working remotely. Such employees have been provided with the tools and technology necessary to do so. Additionally, we have implemented workplace safeguards designed to protect the health and well-being of our employees. Employees who remain in our facilities are following WHO and CDC recommended safety practices, as well as state and local directives. We have had occasions where one or more employees have contracted COVID-19 and entered our facilities while infected. To date, we have managed these occurrences with minimal disruption to our business while protecting other employees, but there can be no assurances that we can avoid similar occurrences in the future or, that in such cases, we can avoid significant disruption of our operations.</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aftermarket service and support that we provide to our customers has been, and we expect may continue to be, adversely impacted by COVID-</w:t>
      </w:r>
    </w:p>
    <w:p>
      <w:pPr>
        <w:spacing w:after="0" w:line="46" w:lineRule="exact"/>
        <w:rPr>
          <w:sz w:val="20"/>
          <w:szCs w:val="20"/>
          <w:color w:val="auto"/>
        </w:rPr>
      </w:pPr>
    </w:p>
    <w:p>
      <w:pPr>
        <w:ind w:left="6" w:hanging="6"/>
        <w:spacing w:after="0" w:line="273" w:lineRule="auto"/>
        <w:tabs>
          <w:tab w:leader="none" w:pos="276" w:val="left"/>
        </w:tabs>
        <w:numPr>
          <w:ilvl w:val="0"/>
          <w:numId w:val="11"/>
        </w:numPr>
        <w:rPr>
          <w:rFonts w:ascii="Arial" w:cs="Arial" w:eastAsia="Arial" w:hAnsi="Arial"/>
          <w:sz w:val="17"/>
          <w:szCs w:val="17"/>
          <w:color w:val="auto"/>
        </w:rPr>
      </w:pPr>
      <w:r>
        <w:rPr>
          <w:rFonts w:ascii="Arial" w:cs="Arial" w:eastAsia="Arial" w:hAnsi="Arial"/>
          <w:sz w:val="17"/>
          <w:szCs w:val="17"/>
          <w:color w:val="auto"/>
        </w:rPr>
        <w:t>Specifically, the travel restrictions that remain in place, coupled with limitations on visitors into customer facilities, have resulted in the reduction or suspension of certain activities. The net revenues associated with these aftermarket service and support activities typically range from 8% to 10% of our consolidated net revenues. Although these net revenues returned to a more typical range during the third and fourth quarters of 2020, if the spread of COVID-19 or variations of the virus worsen, these revenues may be reduced in future periods.</w:t>
      </w:r>
    </w:p>
    <w:p>
      <w:pPr>
        <w:spacing w:after="0" w:line="176" w:lineRule="exact"/>
        <w:rPr>
          <w:sz w:val="20"/>
          <w:szCs w:val="20"/>
          <w:color w:val="auto"/>
        </w:rPr>
      </w:pPr>
    </w:p>
    <w:p>
      <w:pPr>
        <w:ind w:left="6" w:right="140"/>
        <w:spacing w:after="0" w:line="259" w:lineRule="auto"/>
        <w:rPr>
          <w:sz w:val="20"/>
          <w:szCs w:val="20"/>
          <w:color w:val="auto"/>
        </w:rPr>
      </w:pPr>
      <w:r>
        <w:rPr>
          <w:rFonts w:ascii="Arial" w:cs="Arial" w:eastAsia="Arial" w:hAnsi="Arial"/>
          <w:sz w:val="18"/>
          <w:szCs w:val="18"/>
          <w:color w:val="auto"/>
        </w:rPr>
        <w:t>While the negative impact of COVID-19 on our business was reduced significantly in the second half of 2020, the spread of the virus or variants of the virus could worsen and one or more of our significant customers or suppliers could be impacted, or significant additional governmental regulations and restrictions could be imposed, thus negatively impacting our business in the future. See “Risks Related to COVID-19” under Item 1A “Risk Factors” in this Report.</w:t>
      </w:r>
    </w:p>
    <w:p>
      <w:pPr>
        <w:spacing w:after="0" w:line="183"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left="6" w:right="540"/>
        <w:spacing w:after="0" w:line="311" w:lineRule="auto"/>
        <w:rPr>
          <w:sz w:val="20"/>
          <w:szCs w:val="20"/>
          <w:color w:val="auto"/>
        </w:rPr>
      </w:pPr>
      <w:r>
        <w:rPr>
          <w:rFonts w:ascii="Arial" w:cs="Arial" w:eastAsia="Arial" w:hAnsi="Arial"/>
          <w:sz w:val="16"/>
          <w:szCs w:val="16"/>
          <w:color w:val="auto"/>
        </w:rPr>
        <w:t>The results of operations for our two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operating segment where significant to an understanding of that segment.</w:t>
      </w:r>
    </w:p>
    <w:p>
      <w:pPr>
        <w:spacing w:after="0" w:line="149" w:lineRule="exact"/>
        <w:rPr>
          <w:sz w:val="20"/>
          <w:szCs w:val="20"/>
          <w:color w:val="auto"/>
        </w:rPr>
      </w:pPr>
    </w:p>
    <w:p>
      <w:pPr>
        <w:ind w:left="6"/>
        <w:spacing w:after="0"/>
        <w:rPr>
          <w:sz w:val="20"/>
          <w:szCs w:val="20"/>
          <w:color w:val="auto"/>
        </w:rPr>
      </w:pPr>
      <w:r>
        <w:rPr>
          <w:rFonts w:ascii="Arial" w:cs="Arial" w:eastAsia="Arial" w:hAnsi="Arial"/>
          <w:sz w:val="18"/>
          <w:szCs w:val="18"/>
          <w:i w:val="1"/>
          <w:iCs w:val="1"/>
          <w:u w:val="single" w:color="auto"/>
          <w:color w:val="auto"/>
        </w:rPr>
        <w:t>Year Ended December 31, 2020 Compared to Year Ended December 31, 2019</w:t>
      </w:r>
    </w:p>
    <w:p>
      <w:pPr>
        <w:spacing w:after="0" w:line="225" w:lineRule="exact"/>
        <w:rPr>
          <w:sz w:val="20"/>
          <w:szCs w:val="20"/>
          <w:color w:val="auto"/>
        </w:rPr>
      </w:pPr>
    </w:p>
    <w:p>
      <w:pPr>
        <w:ind w:left="6" w:right="20"/>
        <w:spacing w:after="0" w:line="27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$53.8 million for the year ended December 31, 2020 compared to $60.7 million in 2019, a decrease of $6.8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11%. We believe this decrease reflects the factors previously discussed in the Overview section above.</w:t>
      </w:r>
    </w:p>
    <w:p>
      <w:pPr>
        <w:spacing w:after="0" w:line="170" w:lineRule="exact"/>
        <w:rPr>
          <w:sz w:val="20"/>
          <w:szCs w:val="20"/>
          <w:color w:val="auto"/>
        </w:rPr>
      </w:pPr>
    </w:p>
    <w:p>
      <w:pPr>
        <w:ind w:left="6"/>
        <w:spacing w:after="0" w:line="268"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was 45% for the year ended December 31, 2020 compared to 48% in 2019. Our component material costs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from 32% of net revenues for the year ended December 31, 2019 to 34% of net revenues for the year ended December 31, 2020. The increase in our component material costs reflects changes in product mix for both our segments. In addition, although our fixed operating costs decreased $334,000 in absolute dollar terms in 2020 as compared to 2019, as a percentage of net revenues, these costs increased from 17% of net revenues in 2019 to 18% of net revenues in 2020 as a result of not being as fully absorbed by the lower net revenues levels in 2020. The $334,000 decrease in our fixed operating costs primarily reflects a reduction in materials used in service calls and lower levels of travel, both of which are a result of the impact of COVID-19 on the level of service work we were able to perform during 2020 in our Thermal segment. To a lesser extent, there was also a reduction in the use of temporary labor and lower salary and benefits expense for our Thermal segment, reflecting the reduced business levels in 2020 and savings from headcount reductions which occurred early in the second quarter of 2020 in response to the slowdown in business. These decreases were partially offset by an increase in facility costs reflecting higher rent for our facility in Fremont, California, which took effect at the beginning of 2020, as well as the cost for additional space in our office in Mansfield, Massachusetts for our corporate headquarters which we first occupied during the fourth quarter of 2019. As previously discussed in the Overview, we closed our manufacturing operations in Fremont, California during the fourth quarter of 2020. This will result in reduced facility costs in future periods as a result of the reduction in our footprint. Costs incurred in 2020 related to this action are included in restructuring and other charges in our statement of operations and are discussed in more detail below and in Note 3 to our consolidated financial statements.</w:t>
      </w:r>
    </w:p>
    <w:p>
      <w:pPr>
        <w:spacing w:after="0" w:line="182"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580" w:right="339" w:bottom="1440" w:gutter="0" w:footer="0" w:header="0"/>
        </w:sectPr>
      </w:pPr>
    </w:p>
    <w:bookmarkStart w:id="26" w:name="page27"/>
    <w:bookmarkEnd w:id="26"/>
    <w:p>
      <w:pPr>
        <w:ind w:left="500" w:right="12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$7.5 million for the year ended December 31, 2020 compared to $8.5 million in 2019, a decrease of $938,000</w:t>
      </w:r>
      <w:r>
        <w:rPr>
          <w:rFonts w:ascii="Arial" w:cs="Arial" w:eastAsia="Arial" w:hAnsi="Arial"/>
          <w:sz w:val="18"/>
          <w:szCs w:val="18"/>
          <w:i w:val="1"/>
          <w:iCs w:val="1"/>
          <w:color w:val="auto"/>
        </w:rPr>
        <w:t xml:space="preserve"> </w:t>
      </w:r>
      <w:r>
        <w:rPr>
          <w:rFonts w:ascii="Arial" w:cs="Arial" w:eastAsia="Arial" w:hAnsi="Arial"/>
          <w:sz w:val="18"/>
          <w:szCs w:val="18"/>
          <w:color w:val="auto"/>
        </w:rPr>
        <w:t>or 11%. The decrease primarily reflects lower levels of travel and trade show related costs for both our segments as a result of COVID-19. To a lesser extent, there was also a reduction in warranty expense in our Thermal segment, reflecting improved warranty claims experience and a reduction in revenues under warranty.</w:t>
      </w:r>
    </w:p>
    <w:p>
      <w:pPr>
        <w:spacing w:after="0" w:line="187"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$5.1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$5.0 million in 2019, an increase of $106,000, or 2%. Increases in salary and benefits expense as a result of headcount additions in our Thermal segment were partially offset by a decrease in travel and lower levels of spending on third party consultants and materials used in new product development.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$11.4 million for the year ended December 31, 2020 compared to</w:t>
      </w:r>
    </w:p>
    <w:p>
      <w:pPr>
        <w:spacing w:after="0" w:line="46" w:lineRule="exact"/>
        <w:rPr>
          <w:sz w:val="20"/>
          <w:szCs w:val="20"/>
          <w:color w:val="auto"/>
        </w:rPr>
      </w:pPr>
    </w:p>
    <w:p>
      <w:pPr>
        <w:ind w:left="500" w:right="100"/>
        <w:spacing w:after="0" w:line="253" w:lineRule="auto"/>
        <w:rPr>
          <w:sz w:val="20"/>
          <w:szCs w:val="20"/>
          <w:color w:val="auto"/>
        </w:rPr>
      </w:pPr>
      <w:r>
        <w:rPr>
          <w:rFonts w:ascii="Arial" w:cs="Arial" w:eastAsia="Arial" w:hAnsi="Arial"/>
          <w:sz w:val="18"/>
          <w:szCs w:val="18"/>
          <w:color w:val="auto"/>
        </w:rPr>
        <w:t>$13.0 million in 2019, a decrease of $1.6 million, or 12%. During 2019, we incurred $683,000 related to an acquisition opportunity that we decided not to pursue. There were no similar costs in 2020. If we had not incurred these costs in 2019, general and administrative expense would have declined $885,000 in 2020 as compared to 2019. This decrease reflects headcount reductions, primarily in corporate staff, lower levels of travel as a result of COVID-19, lower levels of stock-based compensation costs, lower fees for third-party professionals that assist us in compliance related matters and a reduction in profit-based bonus accruals in 2020.</w:t>
      </w:r>
    </w:p>
    <w:p>
      <w:pPr>
        <w:spacing w:after="0" w:line="191" w:lineRule="exact"/>
        <w:rPr>
          <w:sz w:val="20"/>
          <w:szCs w:val="20"/>
          <w:color w:val="auto"/>
        </w:rPr>
      </w:pPr>
    </w:p>
    <w:p>
      <w:pPr>
        <w:ind w:left="500" w:right="100"/>
        <w:spacing w:after="0" w:line="272" w:lineRule="auto"/>
        <w:rPr>
          <w:sz w:val="20"/>
          <w:szCs w:val="20"/>
          <w:color w:val="auto"/>
        </w:rPr>
      </w:pPr>
      <w:r>
        <w:rPr>
          <w:rFonts w:ascii="Arial" w:cs="Arial" w:eastAsia="Arial" w:hAnsi="Arial"/>
          <w:sz w:val="17"/>
          <w:szCs w:val="17"/>
          <w:i w:val="1"/>
          <w:iCs w:val="1"/>
          <w:color w:val="auto"/>
        </w:rPr>
        <w:t xml:space="preserve">Restructuring and Other Charges. </w:t>
      </w:r>
      <w:r>
        <w:rPr>
          <w:rFonts w:ascii="Arial" w:cs="Arial" w:eastAsia="Arial" w:hAnsi="Arial"/>
          <w:sz w:val="17"/>
          <w:szCs w:val="17"/>
          <w:color w:val="auto"/>
        </w:rPr>
        <w:t>For the year ended December 31, 2020, we recorded $1.3 million in restructuring and other charges.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amount, $903,000 is related to the consolidation of our EMS manufacturing operations, $189,000 is related to the reduction of the administrative footprint in our Mansfield, Massachusetts corporate office associated with the reestablishment of the Mt. Laurel, New Jersey office as our corporate headquarters, $133,000 is related to the executive management changes that occurred in the third quarter of 2020 and $60,000 is related to other restructuring actions taken during 2020. All of these actions and the related charges are discussed in more detail in Note 3 to our consolidated financial statements. During the year ended December 31, 2019, we recorded $240,000 in restructuring charges and other charges, primarily related to the consolidation of Ambrell’s European operations.</w:t>
      </w:r>
    </w:p>
    <w:p>
      <w:pPr>
        <w:spacing w:after="0" w:line="177" w:lineRule="exact"/>
        <w:rPr>
          <w:sz w:val="20"/>
          <w:szCs w:val="20"/>
          <w:color w:val="auto"/>
        </w:rPr>
      </w:pPr>
    </w:p>
    <w:p>
      <w:pPr>
        <w:ind w:left="500" w:right="240"/>
        <w:spacing w:after="0" w:line="25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year ended December 31, 2020, we recorded an income tax benefit of $336,000 compared to income tax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$282,000 in 2019. Our effective tax rate was 27% for 2020 compared to 11% for 2019. On a quarterly basis, we record income tax expense or benefit based on the expected annualized effective tax rate for the various taxing jurisdictions in which we operate our businesses. The increase in our effective tax rate in 2020 primarily represents the impact of changes in the expected mix of foreign and domestic source income for 2020 and other adjustments related to recently enacted tax regulations where specific application of the regulations is still evolving. See Note 10 to our consolidated financial statements for further detail of the difference between our effective tax rates in 2020 and 2019 and the statutory tax rate of 21%.</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500" w:right="660"/>
        <w:spacing w:after="0" w:line="286" w:lineRule="auto"/>
        <w:rPr>
          <w:sz w:val="20"/>
          <w:szCs w:val="20"/>
          <w:color w:val="auto"/>
        </w:rPr>
      </w:pPr>
      <w:r>
        <w:rPr>
          <w:rFonts w:ascii="Arial" w:cs="Arial" w:eastAsia="Arial" w:hAnsi="Arial"/>
          <w:sz w:val="17"/>
          <w:szCs w:val="17"/>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 especially in light of COVID-19.</w:t>
      </w:r>
    </w:p>
    <w:p>
      <w:pPr>
        <w:spacing w:after="0" w:line="165" w:lineRule="exact"/>
        <w:rPr>
          <w:sz w:val="20"/>
          <w:szCs w:val="20"/>
          <w:color w:val="auto"/>
        </w:rPr>
      </w:pPr>
    </w:p>
    <w:p>
      <w:pPr>
        <w:ind w:left="500" w:right="120"/>
        <w:spacing w:after="0" w:line="263"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cash and cash equivalents and working capital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10,277</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7,612</w:t>
            </w:r>
          </w:p>
        </w:tc>
        <w:tc>
          <w:tcPr>
            <w:tcW w:w="72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Working capital</w:t>
            </w:r>
          </w:p>
        </w:tc>
        <w:tc>
          <w:tcPr>
            <w:tcW w:w="3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18,108</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16,534</w:t>
            </w:r>
          </w:p>
        </w:tc>
        <w:tc>
          <w:tcPr>
            <w:tcW w:w="72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20" w:type="dxa"/>
            <w:vAlign w:val="bottom"/>
          </w:tcPr>
          <w:p>
            <w:pPr>
              <w:jc w:val="right"/>
              <w:ind w:right="153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27" w:name="page28"/>
    <w:bookmarkEnd w:id="27"/>
    <w:p>
      <w:pPr>
        <w:ind w:right="40"/>
        <w:spacing w:after="0" w:line="273" w:lineRule="auto"/>
        <w:rPr>
          <w:sz w:val="20"/>
          <w:szCs w:val="20"/>
          <w:color w:val="auto"/>
        </w:rPr>
      </w:pPr>
      <w:r>
        <w:rPr>
          <w:rFonts w:ascii="Arial" w:cs="Arial" w:eastAsia="Arial" w:hAnsi="Arial"/>
          <w:sz w:val="17"/>
          <w:szCs w:val="17"/>
          <w:color w:val="auto"/>
        </w:rPr>
        <w:t>As of December 31, 2020, $3.2 million, or 31%, of our cash and cash equivalents was held by our foreign subsidiaries. We currently expect our cash and cash equivalents, in combination with the borrowing capacity available under our revolving credit facility and the anticipated net cash to be provided by our operations in the next twelve months to be sufficient to support our short-term working capital requirements and other corporate requirements. Our revolving credit facility is discussed in Note 10 to our consolidated financial statements. Although our revolving credit facility will mature on April 9, 2021, we are currently in discussions with our lender to replace this facility with a three-year credit facility. We expect that facility to be put in place in conjunction with, or prior to, the expiration of our current credit facility.</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material short-term cash requirements include payments due under our various lease agreements, recurring payroll and benefits obligations to our employees and purchase commitments for materials that we use in the products we sell. We estimate that our minimum short-term working capital requirements currently range between $5.0 million and $7.0 million. We also anticipate making investments in our business in the next twelve months including hiring of additional staff, updates to our website and other systems and investments related to our geographic and market expansion efforts. We expect our current cash and cash equivalents, in combination with the borrowing capacity available under our revolving credit facility and the anticipated net cash to be provided by our operations to be sufficient to support these additional investments as well as our current short-term cash requirements. However, should the impact of COVID-19 on our operations, including the disruption to our business that would be caused by any unanticipated facility closures or significantly reduced demand from our customers, be more significant than we currently expect, we may need additional financial resources, including additional debt or equity financings in the long-term. There can be no assurance that any such debt or equity financings would be available on favorable terms or rates or at all.</w:t>
      </w:r>
    </w:p>
    <w:p>
      <w:pPr>
        <w:spacing w:after="0" w:line="1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current growth strategy includes pursuing acquisition opportunities for complementary businesses, technologies or products. We currently anticipate that any long-term cash requirements related to our acquisition strategy would be funded all or in part through obtaining additional third-party debt or issuing equity. If we were to obtain additional third-party debt, we do not currently know at what rates or on what terms any such debt would be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provided by operations for the year ended December 31, 2020 was $3.2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we recorded a net loss of $895,000. During this same period, we had non-cash charges of $3.2 million for depreciation and amortization that included $1.3 million of amortization related to right-of-use ("ROU") assets. During the year ended December 31, 2020, we also recorded $671,000 of non-cash charges for deferred compensation expense related to stock-based awards and a $612,000 impairment charge related to our ROU assets for the leases in Fremont, California and Mansfield, Massachusetts, as discussed more fully in Note 3 to our consolidated financial statements. Accounts receivable decreased $887,000 during 2020, primarily reflecting the reduced level of shipments in 2020, while inventories increased $717,000, primarily reflecting purchasing activity in the fourth quarter for products we expect to ship in the first half of 2021. As previously discussed in the Overview, we experienced a significant increase in order levels in the fourth quarter of 2020. Operating lease liabilities decreased $1.3 million during 2020, reflecting payments made under our various lease agreements and accounts payable increased $430,000, primarily reflecting the increase in inventory purchases during the fourth quarter.</w:t>
      </w:r>
    </w:p>
    <w:p>
      <w:pPr>
        <w:spacing w:after="0" w:line="200" w:lineRule="exact"/>
        <w:rPr>
          <w:sz w:val="20"/>
          <w:szCs w:val="20"/>
          <w:color w:val="auto"/>
        </w:rPr>
      </w:pP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year ended December 31, 2020, purchases of property and equipment were $658,000, and primarily reflected</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to fixed assets related to products leased to customers and leasehold improvements to our facility in Mt. Laurel, New Jersey using our working capital. During the first quarter of 2021, we expect to spend approximately $230,000 to complete the leasehold improvements to our facility in Mt. Laurel, New Jersey using our working capital. These improvements are being done in connection with reducing the size of that facility and consolidating manufacturing operations from our Fremont, California operation as discussed under the Overview section above and in Note 3 to our consolidated financial statements. We have no other significant commitments for capital expenditures in 2021;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As discussed more fully in Note 13 to our consolidated financial statements in our Quarterly Report on Form 10-Q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2020 filed on May 13, 2020 with the Securities and Exchange Commission, during April 2020 we applied for and received loans through the Paycheck Protection Program (the “PPP”) of the Coronavirus Aid, Relief, and Economic Security Act administered by the U.S.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Small Business Administration totaling $2.8 million. We repaid the full amount of the PPP loans on May 5, 2020 with the applicable interest. During the year ended December 31, 2020 we borrowed and repaid $2.8 million on our revolving credit facility. During the year ended December 31, 2020, we utilized $74,000 to repurchase 13,767 shares of our common stock under the 2019 Repurchase Plan. On March 2, 2020, we suspended repurchases under the 2019 Repurchase Plan.</w:t>
      </w:r>
    </w:p>
    <w:p>
      <w:pPr>
        <w:spacing w:after="0" w:line="1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Inventories are valued at cost on a first-in, first-out basis, not in excess of market value.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2020 and 2019, we recorded inventory obsolescence charges for excess and obsolete inventory of $444,000 and $391,000,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account for goodwill and intangible assets in accordance with Accounting Standards Codification ("ASC") Topic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this is the case, we are required to perform a goodwill impairment test to identify potential goodwill impairment and measure the amount of goodwill impairment loss to be recognized. The test is discussed below. If, as a result of our qualitative assessment, we determine that it is more-likely-than-not that the fair value of the reporting unit is greater than its carrying amounts, the goodwill impairment test is not required.</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quantitative goodwill impairment test, used to identify both the existence of impairment and the amount of impairment loss,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shall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At each of December 31, 2020 and 2019, goodwill was $13.7 million. We did not record any impairment charges related to our goodwill during 2020 or 2019.</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At each of December 31, 2020 and 2019, our indefinite-lived intangible assets were trademarks carried at $6.7 million. We did not record any impairment charges related to our indefinite-lived intangible assets during 2020 or 2019.</w:t>
      </w:r>
    </w:p>
    <w:p>
      <w:pPr>
        <w:spacing w:after="0" w:line="1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0" w:right="359" w:bottom="1440" w:gutter="0" w:footer="0" w:header="0"/>
        </w:sectPr>
      </w:pPr>
    </w:p>
    <w:bookmarkStart w:id="29" w:name="page30"/>
    <w:bookmarkEnd w:id="29"/>
    <w:p>
      <w:pPr>
        <w:ind w:left="500"/>
        <w:spacing w:after="0"/>
        <w:rPr>
          <w:sz w:val="20"/>
          <w:szCs w:val="20"/>
          <w:color w:val="auto"/>
        </w:rPr>
      </w:pPr>
      <w:r>
        <w:rPr>
          <w:rFonts w:ascii="Arial" w:cs="Arial" w:eastAsia="Arial" w:hAnsi="Arial"/>
          <w:sz w:val="16"/>
          <w:szCs w:val="16"/>
          <w:color w:val="auto"/>
        </w:rPr>
        <w:t>Long-lived assets, which consist of finite-lived intangible assets, property and equipment and ROU assets, are assessed for impairment whenever</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events or changes in business circumstances indicate that the carrying amount of the assets may not be fully recoverable or that the useful lives of</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these assets are no longer appropriate. Each impairment test is based on a comparison of the estimated undiscounted cash flows to the recorded value</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of the asset. If impairment is indicated, the asset is written down to its estimated fair value. The cash flow estimates used to determine the</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impairment, if any, contain management's best estimates using appropriate assumptions and projections at that time. At December 31, 2020 and</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2019, finite-lived intangibles and long-lived assets were $14.4 million and $14.2 million, respectively. We recorded impairment charges totaling</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$612,000 during the year ended December 31, 2020 related to certain of our ROU assets as discussed further in Note 3 to our consolidated financial</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statements. We did not record any impairment charges related to our long-lived assets during 2019.</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500" w:right="40"/>
        <w:spacing w:after="0" w:line="296"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w:t>
      </w:r>
    </w:p>
    <w:p>
      <w:pPr>
        <w:spacing w:after="0" w:line="161" w:lineRule="exact"/>
        <w:rPr>
          <w:sz w:val="20"/>
          <w:szCs w:val="20"/>
          <w:color w:val="auto"/>
        </w:rPr>
      </w:pPr>
    </w:p>
    <w:p>
      <w:pPr>
        <w:ind w:left="500" w:right="60"/>
        <w:spacing w:after="0" w:line="271" w:lineRule="auto"/>
        <w:rPr>
          <w:sz w:val="20"/>
          <w:szCs w:val="20"/>
          <w:color w:val="auto"/>
        </w:rPr>
      </w:pPr>
      <w:r>
        <w:rPr>
          <w:rFonts w:ascii="Arial" w:cs="Arial" w:eastAsia="Arial" w:hAnsi="Arial"/>
          <w:sz w:val="17"/>
          <w:szCs w:val="17"/>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As of December 31, 2020 and 2019, we had a net deferred tax liability of $1.9 million and $2.3 million, respectively. Our deferred tax valuation allowance at December 31, 2020 and 2019 was $169,000 and $234,000, respectively.</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ind w:left="500" w:right="520"/>
        <w:spacing w:after="0" w:line="263" w:lineRule="auto"/>
        <w:rPr>
          <w:sz w:val="20"/>
          <w:szCs w:val="20"/>
          <w:color w:val="auto"/>
        </w:rPr>
      </w:pPr>
      <w:r>
        <w:rPr>
          <w:rFonts w:ascii="Arial" w:cs="Arial" w:eastAsia="Arial" w:hAnsi="Arial"/>
          <w:sz w:val="18"/>
          <w:szCs w:val="18"/>
          <w:color w:val="auto"/>
        </w:rPr>
        <w:t>There were no off-balance sheet arrangements during the year ended December 31, 2020 that have or are reasonably likely to have, a material current or future effect on our financial condition, changes in financial condition, revenues or expenses, results of operations, liquidity, cash requirements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50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 w:name="page31"/>
    <w:bookmarkEnd w:id="30"/>
    <w:p>
      <w:pPr>
        <w:ind w:left="500"/>
        <w:spacing w:after="0" w:line="303" w:lineRule="auto"/>
        <w:rPr>
          <w:sz w:val="20"/>
          <w:szCs w:val="20"/>
          <w:color w:val="auto"/>
        </w:rPr>
      </w:pPr>
      <w:r>
        <w:rPr>
          <w:rFonts w:ascii="Arial" w:cs="Arial" w:eastAsia="Arial" w:hAnsi="Arial"/>
          <w:sz w:val="16"/>
          <w:szCs w:val="16"/>
          <w:b w:val="1"/>
          <w:bCs w:val="1"/>
          <w:color w:val="auto"/>
        </w:rPr>
        <w:t>CEO/CFO Conclusions about the Effectiveness of the Disclosure Controls and Procedures</w:t>
      </w:r>
      <w:r>
        <w:rPr>
          <w:rFonts w:ascii="Arial" w:cs="Arial" w:eastAsia="Arial" w:hAnsi="Arial"/>
          <w:sz w:val="16"/>
          <w:szCs w:val="16"/>
          <w:color w:val="auto"/>
        </w:rPr>
        <w:t>. As required by Rule 13a-15(b) of the Exchange Act,</w:t>
      </w:r>
      <w:r>
        <w:rPr>
          <w:rFonts w:ascii="Arial" w:cs="Arial" w:eastAsia="Arial" w:hAnsi="Arial"/>
          <w:sz w:val="16"/>
          <w:szCs w:val="16"/>
          <w:b w:val="1"/>
          <w:bCs w:val="1"/>
          <w:color w:val="auto"/>
        </w:rPr>
        <w:t xml:space="preserve"> </w:t>
      </w:r>
      <w:r>
        <w:rPr>
          <w:rFonts w:ascii="Arial" w:cs="Arial" w:eastAsia="Arial" w:hAnsi="Arial"/>
          <w:sz w:val="16"/>
          <w:szCs w:val="16"/>
          <w:color w:val="auto"/>
        </w:rPr>
        <w:t>inTEST management, including our CEO and CFO, conducted an evaluation as of the end of the period covered by this Report, of the effectiveness of our disclosure controls and procedures, including the impact of COVID-19. Based on that evaluation, our CEO and CFO concluded that, as of the end of the period covered by this Report, our disclosure controls and procedures were effective at the reasonable assurance level.</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 We will continue monitoring and assessing any impacts from COVID-19 on our internal controls.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8" w:lineRule="exact"/>
        <w:rPr>
          <w:sz w:val="20"/>
          <w:szCs w:val="20"/>
          <w:color w:val="auto"/>
        </w:rPr>
      </w:pPr>
    </w:p>
    <w:p>
      <w:pPr>
        <w:ind w:left="1140" w:hanging="322"/>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75" w:lineRule="exact"/>
        <w:rPr>
          <w:rFonts w:ascii="Arial" w:cs="Arial" w:eastAsia="Arial" w:hAnsi="Arial"/>
          <w:sz w:val="16"/>
          <w:szCs w:val="16"/>
          <w:color w:val="auto"/>
        </w:rPr>
      </w:pPr>
    </w:p>
    <w:p>
      <w:pPr>
        <w:ind w:left="1140" w:right="180" w:hanging="322"/>
        <w:spacing w:after="0" w:line="263"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left="1140" w:right="340" w:hanging="322"/>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left="500" w:right="220"/>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2020, including the impact of COVID-19. In making this assessment, management used the criteria set forth by the Committee of Sponsoring Organizations of the Treadway Commission (COSO) on Internal Control-Integrated 2013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as of December 31, 2020, our internal control over financial reporting is effective at a reasonable assurance level.</w:t>
      </w:r>
    </w:p>
    <w:p>
      <w:pPr>
        <w:spacing w:after="0" w:line="187" w:lineRule="exact"/>
        <w:rPr>
          <w:sz w:val="20"/>
          <w:szCs w:val="20"/>
          <w:color w:val="auto"/>
        </w:rPr>
      </w:pPr>
    </w:p>
    <w:p>
      <w:pPr>
        <w:jc w:val="both"/>
        <w:ind w:left="500" w:right="640"/>
        <w:spacing w:after="0" w:line="342" w:lineRule="auto"/>
        <w:rPr>
          <w:sz w:val="20"/>
          <w:szCs w:val="20"/>
          <w:color w:val="auto"/>
        </w:rPr>
      </w:pPr>
      <w:r>
        <w:rPr>
          <w:rFonts w:ascii="Arial" w:cs="Arial" w:eastAsia="Arial" w:hAnsi="Arial"/>
          <w:sz w:val="16"/>
          <w:szCs w:val="16"/>
          <w:color w:val="auto"/>
        </w:rPr>
        <w:t>This annual report does not include an attestation report of our independent registered public accounting firm regarding internal control over financial reporting, as such an attestation is not required pursuant to rules of the SEC applicable to registrants that are non-accelerated filers.</w:t>
      </w:r>
    </w:p>
    <w:p>
      <w:pPr>
        <w:spacing w:after="0" w:line="3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2021 Annual Meeting of Stockholders to be filed with the SEC within 120 days after the end of the fiscal year covered by this Report.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Code of Ethics</w:t>
      </w:r>
    </w:p>
    <w:p>
      <w:pPr>
        <w:spacing w:after="0" w:line="225" w:lineRule="exact"/>
        <w:rPr>
          <w:sz w:val="20"/>
          <w:szCs w:val="20"/>
          <w:color w:val="auto"/>
        </w:rPr>
      </w:pPr>
    </w:p>
    <w:p>
      <w:pPr>
        <w:jc w:val="both"/>
        <w:ind w:left="500" w:right="80"/>
        <w:spacing w:after="0" w:line="311" w:lineRule="auto"/>
        <w:rPr>
          <w:sz w:val="20"/>
          <w:szCs w:val="20"/>
          <w:color w:val="auto"/>
        </w:rPr>
      </w:pPr>
      <w:r>
        <w:rPr>
          <w:rFonts w:ascii="Arial" w:cs="Arial" w:eastAsia="Arial" w:hAnsi="Arial"/>
          <w:sz w:val="16"/>
          <w:szCs w:val="16"/>
          <w:color w:val="auto"/>
        </w:rPr>
        <w:t>We have adopted a Code of Ethics (the “Code”) as a guide to the standards of business conduct to which our employees, officers and directors must adhere. A copy of the Code can be found on our website at https://intestcorp.gcs-web.com/corporate-governance. We intend to satisfy the disclosure requirements of the SEC regarding amendments to, or waivers from, the Code by posting such information on the same website.</w:t>
      </w:r>
    </w:p>
    <w:p>
      <w:pPr>
        <w:spacing w:after="0" w:line="3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2021 Annual Meeting of Stockholders to be filed with the SEC within 120 days after the end of the fiscal year covered by this Report.</w:t>
      </w:r>
    </w:p>
    <w:p>
      <w:pPr>
        <w:spacing w:after="0" w:line="382" w:lineRule="exact"/>
        <w:rPr>
          <w:sz w:val="20"/>
          <w:szCs w:val="20"/>
          <w:color w:val="auto"/>
        </w:rPr>
      </w:pPr>
    </w:p>
    <w:p>
      <w:pPr>
        <w:ind w:left="820" w:right="54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left="500" w:right="340"/>
        <w:spacing w:after="0" w:line="263" w:lineRule="auto"/>
        <w:rPr>
          <w:sz w:val="20"/>
          <w:szCs w:val="20"/>
          <w:color w:val="auto"/>
        </w:rPr>
      </w:pPr>
      <w:r>
        <w:rPr>
          <w:rFonts w:ascii="Arial" w:cs="Arial" w:eastAsia="Arial" w:hAnsi="Arial"/>
          <w:sz w:val="18"/>
          <w:szCs w:val="18"/>
          <w:color w:val="auto"/>
        </w:rPr>
        <w:t>The information required by Item 201(d) of Regulation S-K is set forth below. The remainder of the information required by this Item 12 is incorporated by reference from our definitive proxy statement for our 2021 Annual Meeting of Stockholders to be filed with the SEC within 120 days after the end of the fiscal year covered by this Report.</w:t>
      </w:r>
    </w:p>
    <w:p>
      <w:pPr>
        <w:spacing w:after="0" w:line="184" w:lineRule="exact"/>
        <w:rPr>
          <w:sz w:val="20"/>
          <w:szCs w:val="20"/>
          <w:color w:val="auto"/>
        </w:rPr>
      </w:pPr>
    </w:p>
    <w:p>
      <w:pPr>
        <w:ind w:left="500" w:right="1020"/>
        <w:spacing w:after="0" w:line="277"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2020:</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360" w:type="dxa"/>
            <w:vAlign w:val="bottom"/>
            <w:gridSpan w:val="4"/>
          </w:tcPr>
          <w:p>
            <w:pPr>
              <w:ind w:left="3600"/>
              <w:spacing w:after="0"/>
              <w:rPr>
                <w:sz w:val="20"/>
                <w:szCs w:val="20"/>
                <w:color w:val="auto"/>
              </w:rPr>
            </w:pPr>
            <w:r>
              <w:rPr>
                <w:rFonts w:ascii="Arial" w:cs="Arial" w:eastAsia="Arial" w:hAnsi="Arial"/>
                <w:sz w:val="18"/>
                <w:szCs w:val="18"/>
                <w:b w:val="1"/>
                <w:bCs w:val="1"/>
                <w:color w:val="auto"/>
              </w:rPr>
              <w:t>Equity Compensation Plan Information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to be issued</w:t>
            </w:r>
          </w:p>
        </w:tc>
        <w:tc>
          <w:tcPr>
            <w:tcW w:w="1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upon</w:t>
            </w:r>
          </w:p>
        </w:tc>
        <w:tc>
          <w:tcPr>
            <w:tcW w:w="1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available</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of</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for future</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outstanding</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options,</w:t>
            </w:r>
          </w:p>
        </w:tc>
        <w:tc>
          <w:tcPr>
            <w:tcW w:w="1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options,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equity</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warrants and</w:t>
            </w:r>
          </w:p>
        </w:tc>
        <w:tc>
          <w:tcPr>
            <w:tcW w:w="1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warrants and</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compensation</w:t>
            </w:r>
          </w:p>
        </w:tc>
      </w:tr>
      <w:tr>
        <w:trPr>
          <w:trHeight w:val="234"/>
        </w:trPr>
        <w:tc>
          <w:tcPr>
            <w:tcW w:w="554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rights(1)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rights</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plans(2)</w:t>
            </w:r>
          </w:p>
        </w:tc>
        <w:tc>
          <w:tcPr>
            <w:tcW w:w="100" w:type="dxa"/>
            <w:vAlign w:val="bottom"/>
          </w:tcPr>
          <w:p>
            <w:pPr>
              <w:spacing w:after="0"/>
              <w:rPr>
                <w:sz w:val="20"/>
                <w:szCs w:val="20"/>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438,200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1,067,979</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438,200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1,067,979</w:t>
            </w: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securities that may be issued are shares of inTEST common stock, issuable upon exercise of outstanding stock options.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securities that remain available for future issuance are issuable pursuant to the Third Amended and Restated 2014 Stock Plan.</w:t>
      </w:r>
    </w:p>
    <w:p>
      <w:pPr>
        <w:spacing w:after="0" w:line="200" w:lineRule="exact"/>
        <w:rPr>
          <w:sz w:val="20"/>
          <w:szCs w:val="20"/>
          <w:color w:val="auto"/>
        </w:rPr>
      </w:pPr>
    </w:p>
    <w:p>
      <w:pPr>
        <w:spacing w:after="0" w:line="27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2021 Annual Meeting of Stockholders to be filed with the SEC within 120 days after the end of the fiscal year covered by this Report.</w:t>
      </w:r>
    </w:p>
    <w:p>
      <w:pPr>
        <w:spacing w:after="0" w:line="3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2021 Annual Meeting of Stockholders to be filed with the SEC within 120 days after the end of the fiscal year covered by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u w:val="single" w:color="auto"/>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225" w:lineRule="exact"/>
        <w:rPr>
          <w:rFonts w:ascii="Arial" w:cs="Arial" w:eastAsia="Arial" w:hAnsi="Arial"/>
          <w:sz w:val="18"/>
          <w:szCs w:val="18"/>
          <w:color w:val="auto"/>
        </w:rPr>
      </w:pPr>
    </w:p>
    <w:p>
      <w:pPr>
        <w:ind w:left="820" w:right="280" w:hanging="2"/>
        <w:spacing w:after="0" w:line="258" w:lineRule="auto"/>
        <w:tabs>
          <w:tab w:leader="none" w:pos="1215"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spacing w:after="0" w:line="1" w:lineRule="exact"/>
        <w:rPr>
          <w:rFonts w:ascii="Arial" w:cs="Arial" w:eastAsia="Arial" w:hAnsi="Arial"/>
          <w:sz w:val="18"/>
          <w:szCs w:val="18"/>
          <w:color w:val="auto"/>
        </w:rPr>
      </w:pPr>
    </w:p>
    <w:p>
      <w:pPr>
        <w:ind w:left="820" w:right="320" w:hanging="2"/>
        <w:spacing w:after="0" w:line="250" w:lineRule="auto"/>
        <w:tabs>
          <w:tab w:leader="none" w:pos="121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following financial statement schedule should be read in conjunction with the consolidated financial statements set forth in Part II, Item 8 of this Annual Report on Form 10-K:</w:t>
      </w:r>
    </w:p>
    <w:p>
      <w:pPr>
        <w:ind w:left="1540"/>
        <w:spacing w:after="0"/>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 10-K.</w:t>
      </w:r>
    </w:p>
    <w:p>
      <w:pPr>
        <w:spacing w:after="0" w:line="21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252"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Exhibit Index immediately preceding the signature page, which Exhibit Index is incorporated herein by reference.</w:t>
      </w:r>
    </w:p>
    <w:p>
      <w:pPr>
        <w:spacing w:after="0" w:line="3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gridSpan w:val="20"/>
          </w:tcPr>
          <w:p>
            <w:pPr>
              <w:jc w:val="center"/>
              <w:ind w:right="4360"/>
              <w:spacing w:after="0"/>
              <w:rPr>
                <w:sz w:val="20"/>
                <w:szCs w:val="20"/>
                <w:color w:val="auto"/>
              </w:rPr>
            </w:pPr>
            <w:r>
              <w:rPr>
                <w:rFonts w:ascii="Arial" w:cs="Arial" w:eastAsia="Arial" w:hAnsi="Arial"/>
                <w:sz w:val="18"/>
                <w:szCs w:val="18"/>
                <w:b w:val="1"/>
                <w:bCs w:val="1"/>
                <w:color w:val="auto"/>
                <w:w w:val="91"/>
              </w:rPr>
              <w:t>Index to Exhibits</w:t>
            </w:r>
          </w:p>
        </w:tc>
      </w:tr>
      <w:tr>
        <w:trPr>
          <w:trHeight w:val="4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7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460" w:type="dxa"/>
            <w:vAlign w:val="bottom"/>
            <w:gridSpan w:val="33"/>
          </w:tcPr>
          <w:p>
            <w:pPr>
              <w:ind w:left="140"/>
              <w:spacing w:after="0" w:line="194" w:lineRule="exact"/>
              <w:rPr>
                <w:sz w:val="20"/>
                <w:szCs w:val="20"/>
                <w:color w:val="auto"/>
              </w:rPr>
            </w:pPr>
            <w:r>
              <w:rPr>
                <w:rFonts w:ascii="Arial" w:cs="Arial" w:eastAsia="Arial" w:hAnsi="Arial"/>
                <w:sz w:val="18"/>
                <w:szCs w:val="18"/>
                <w:b w:val="1"/>
                <w:bCs w:val="1"/>
                <w:color w:val="auto"/>
              </w:rPr>
              <w:t>Description of Exhibit</w:t>
            </w:r>
          </w:p>
        </w:tc>
      </w:tr>
      <w:tr>
        <w:trPr>
          <w:trHeight w:val="20"/>
        </w:trPr>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Certificate of Incorporation. (1)</w:t>
              </w:r>
            </w:hyperlink>
          </w:p>
        </w:tc>
        <w:tc>
          <w:tcPr>
            <w:tcW w:w="7940" w:type="dxa"/>
            <w:vAlign w:val="bottom"/>
            <w:gridSpan w:val="24"/>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1"/>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Bylaws as amended and restated on April 23, 2018. (2)</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Description of Securities (1).</w:t>
              </w:r>
            </w:hyperlink>
          </w:p>
        </w:tc>
        <w:tc>
          <w:tcPr>
            <w:tcW w:w="6260" w:type="dxa"/>
            <w:vAlign w:val="bottom"/>
            <w:gridSpan w:val="18"/>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1"/>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Lease Agreement between Exeter 804 East Gate, LLC and the Company dated May 10, 2010. (3)</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1"/>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First Amendment to Lease Agreement, dated September 22, 2020, by and between inTEST Corporation and Exeter 804 East Gate 2018, LLC</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2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9"/>
              </w:rPr>
            </w:pPr>
            <w:hyperlink r:id="rId43">
              <w:r>
                <w:rPr>
                  <w:rFonts w:ascii="Arial" w:cs="Arial" w:eastAsia="Arial" w:hAnsi="Arial"/>
                  <w:sz w:val="18"/>
                  <w:szCs w:val="18"/>
                  <w:color w:val="0000EE"/>
                  <w:w w:val="99"/>
                </w:rPr>
                <w:t>(4)</w:t>
              </w:r>
            </w:hyperlink>
          </w:p>
        </w:tc>
        <w:tc>
          <w:tcPr>
            <w:tcW w:w="4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Lease Agreement between AMB-SGP Seattle/Boston, LLC and Temptronic Corporation (a subsidiary of the Company), dated October 25,</w:t>
              </w:r>
            </w:hyperlink>
          </w:p>
        </w:tc>
        <w:tc>
          <w:tcPr>
            <w:tcW w:w="240" w:type="dxa"/>
            <w:vAlign w:val="bottom"/>
            <w:gridSpan w:val="4"/>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44">
              <w:r>
                <w:rPr>
                  <w:rFonts w:ascii="Arial" w:cs="Arial" w:eastAsia="Arial" w:hAnsi="Arial"/>
                  <w:sz w:val="18"/>
                  <w:szCs w:val="18"/>
                  <w:color w:val="0000EE"/>
                  <w:w w:val="85"/>
                </w:rPr>
                <w:t>2010. (5)</w:t>
              </w:r>
            </w:hyperlink>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Second Amendment to Lease between James Campbell Company, LLC and Temptronic Corporation dated April 8, 2019 (6).</w:t>
              </w:r>
            </w:hyperlink>
          </w:p>
        </w:tc>
        <w:tc>
          <w:tcPr>
            <w:tcW w:w="1180" w:type="dxa"/>
            <w:vAlign w:val="bottom"/>
            <w:gridSpan w:val="10"/>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Lease Agreement between Columbia California Warm Springs Industrial, LLC and inTEST Silicon Valley Corporation dated January 9,</w:t>
              </w:r>
            </w:hyperlink>
          </w:p>
        </w:tc>
        <w:tc>
          <w:tcPr>
            <w:tcW w:w="420" w:type="dxa"/>
            <w:vAlign w:val="bottom"/>
            <w:gridSpan w:val="7"/>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46">
              <w:r>
                <w:rPr>
                  <w:rFonts w:ascii="Arial" w:cs="Arial" w:eastAsia="Arial" w:hAnsi="Arial"/>
                  <w:sz w:val="18"/>
                  <w:szCs w:val="18"/>
                  <w:color w:val="0000EE"/>
                  <w:w w:val="85"/>
                </w:rPr>
                <w:t>2012. (7)</w:t>
              </w:r>
            </w:hyperlink>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1"/>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First Amendment to Lease Agreement between Columbia California Warm Springs Industrial, LLC and inTEST Silicon Valley Corporation</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dated November 18, 2016. (8)</w:t>
              </w:r>
            </w:hyperlink>
          </w:p>
        </w:tc>
        <w:tc>
          <w:tcPr>
            <w:tcW w:w="160" w:type="dxa"/>
            <w:vAlign w:val="bottom"/>
            <w:gridSpan w:val="3"/>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1"/>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Second Amendment to Standard Lease Agreement, dated January 23, 2020, by and between inTEST Silicon Valley Corporation and Fremont</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Business Center, LLC. (9)</w:t>
              </w:r>
            </w:hyperlink>
          </w:p>
        </w:tc>
        <w:tc>
          <w:tcPr>
            <w:tcW w:w="60" w:type="dxa"/>
            <w:vAlign w:val="bottom"/>
            <w:gridSpan w:val="2"/>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Guaranty Agreements between Columbia California Warm Springs Industrial, LLC and inTEST Corporation dated January 9, 2012. (7)</w:t>
              </w:r>
            </w:hyperlink>
          </w:p>
        </w:tc>
        <w:tc>
          <w:tcPr>
            <w:tcW w:w="460" w:type="dxa"/>
            <w:vAlign w:val="bottom"/>
            <w:gridSpan w:val="9"/>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3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Lease Agreement between Maguire Family Properties, Inc. and Ambrell Corporation dated December 19, 2017 (10)</w:t>
              </w:r>
            </w:hyperlink>
          </w:p>
        </w:tc>
        <w:tc>
          <w:tcPr>
            <w:tcW w:w="1860" w:type="dxa"/>
            <w:vAlign w:val="bottom"/>
            <w:gridSpan w:val="12"/>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1"/>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Guaranty of Lease between Maguire Family Properties, Inc. and Ambrell Corporation dated December 19, 2017 (10)</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1"/>
          </w:tcPr>
          <w:p>
            <w:pPr>
              <w:spacing w:after="0" w:line="196" w:lineRule="exact"/>
              <w:rPr>
                <w:rFonts w:ascii="Arial" w:cs="Arial" w:eastAsia="Arial" w:hAnsi="Arial"/>
                <w:sz w:val="18"/>
                <w:szCs w:val="18"/>
                <w:color w:val="0000EE"/>
                <w:w w:val="96"/>
              </w:rPr>
            </w:pPr>
            <w:hyperlink r:id="rId52">
              <w:r>
                <w:rPr>
                  <w:rFonts w:ascii="Arial" w:cs="Arial" w:eastAsia="Arial" w:hAnsi="Arial"/>
                  <w:sz w:val="18"/>
                  <w:szCs w:val="18"/>
                  <w:color w:val="0000EE"/>
                  <w:w w:val="96"/>
                </w:rPr>
                <w:t>Loan and Security Agreement, dated April 10, 2020, by inTEST Corporation, Ambrell Corporation, inTEST Silicon Valley Corporation,</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inTEST EMS, LLC, Temptronic Corporation and M&amp;T Bank (11)</w:t>
              </w:r>
            </w:hyperlink>
          </w:p>
        </w:tc>
        <w:tc>
          <w:tcPr>
            <w:tcW w:w="400" w:type="dxa"/>
            <w:vAlign w:val="bottom"/>
            <w:gridSpan w:val="6"/>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1"/>
          </w:tcPr>
          <w:p>
            <w:pPr>
              <w:spacing w:after="0" w:line="196"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Patents, Trademarks, Copyrights and Licenses Security Agreement, dated April 10, 2020, by inTEST Corporation, Ambrell Corporation,</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inTEST Silicon Valley Corporation, inTEST EMS, LLC, Temptronic Corporation and M&amp;T Bank (11)</w:t>
              </w:r>
            </w:hyperlink>
          </w:p>
        </w:tc>
        <w:tc>
          <w:tcPr>
            <w:tcW w:w="380" w:type="dxa"/>
            <w:vAlign w:val="bottom"/>
            <w:gridSpan w:val="5"/>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Surety Agreement, dated April 10, 2020, by Ambrell Corporation, inTEST Silicon Valley Corporation, inTEST EMS, LLC, Temptronic</w:t>
              </w:r>
            </w:hyperlink>
          </w:p>
        </w:tc>
        <w:tc>
          <w:tcPr>
            <w:tcW w:w="440" w:type="dxa"/>
            <w:vAlign w:val="bottom"/>
            <w:gridSpan w:val="8"/>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Corporation and M&amp;T Bank (11)</w:t>
              </w:r>
            </w:hyperlink>
          </w:p>
        </w:tc>
        <w:tc>
          <w:tcPr>
            <w:tcW w:w="7820" w:type="dxa"/>
            <w:vAlign w:val="bottom"/>
            <w:gridSpan w:val="23"/>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Revolver Note, dated April 10, 2020 (11)</w:t>
              </w:r>
            </w:hyperlink>
          </w:p>
        </w:tc>
        <w:tc>
          <w:tcPr>
            <w:tcW w:w="7240" w:type="dxa"/>
            <w:vAlign w:val="bottom"/>
            <w:gridSpan w:val="22"/>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Form of Indemnification Agreement (12)(*)</w:t>
              </w:r>
            </w:hyperlink>
          </w:p>
        </w:tc>
        <w:tc>
          <w:tcPr>
            <w:tcW w:w="7040" w:type="dxa"/>
            <w:vAlign w:val="bottom"/>
            <w:gridSpan w:val="21"/>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1"/>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inTEST Corporation Third Amended and Restated 2014 Stock Plan (13)(*)</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inTEST Corporation 2007 Stock Plan. (14)(*)</w:t>
              </w:r>
            </w:hyperlink>
          </w:p>
        </w:tc>
        <w:tc>
          <w:tcPr>
            <w:tcW w:w="4800" w:type="dxa"/>
            <w:vAlign w:val="bottom"/>
            <w:gridSpan w:val="15"/>
          </w:tcPr>
          <w:p>
            <w:pPr>
              <w:spacing w:after="0"/>
              <w:rPr>
                <w:sz w:val="17"/>
                <w:szCs w:val="17"/>
                <w:color w:val="auto"/>
              </w:rPr>
            </w:pPr>
          </w:p>
        </w:tc>
      </w:tr>
      <w:tr>
        <w:trPr>
          <w:trHeight w:val="452"/>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3280" w:type="dxa"/>
            <w:vAlign w:val="bottom"/>
            <w:tcBorders>
              <w:top w:val="single" w:sz="8" w:color="0000EE"/>
            </w:tcBorders>
            <w:gridSpan w:val="11"/>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750"/>
              <w:spacing w:after="0"/>
              <w:rPr>
                <w:sz w:val="20"/>
                <w:szCs w:val="20"/>
                <w:color w:val="auto"/>
              </w:rPr>
            </w:pPr>
            <w:r>
              <w:rPr>
                <w:rFonts w:ascii="Arial" w:cs="Arial" w:eastAsia="Arial" w:hAnsi="Arial"/>
                <w:sz w:val="18"/>
                <w:szCs w:val="18"/>
                <w:color w:val="auto"/>
                <w:w w:val="88"/>
              </w:rPr>
              <w:t>10.18</w:t>
            </w:r>
          </w:p>
        </w:tc>
        <w:tc>
          <w:tcPr>
            <w:tcW w:w="7820" w:type="dxa"/>
            <w:vAlign w:val="bottom"/>
            <w:tcBorders>
              <w:bottom w:val="single" w:sz="8" w:color="0000EE"/>
            </w:tcBorders>
            <w:gridSpan w:val="8"/>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Separation and Consulting Agreement between the Company and James Pelrin dated August 6, 2020 (15)(*)</w:t>
              </w:r>
            </w:hyperlink>
          </w:p>
        </w:tc>
        <w:tc>
          <w:tcPr>
            <w:tcW w:w="1520" w:type="dxa"/>
            <w:vAlign w:val="bottom"/>
            <w:gridSpan w:val="3"/>
          </w:tcPr>
          <w:p>
            <w:pPr>
              <w:spacing w:after="0"/>
              <w:rPr>
                <w:sz w:val="17"/>
                <w:szCs w:val="17"/>
                <w:color w:val="auto"/>
              </w:rPr>
            </w:pPr>
          </w:p>
        </w:tc>
      </w:tr>
      <w:tr>
        <w:trPr>
          <w:trHeight w:val="196"/>
        </w:trPr>
        <w:tc>
          <w:tcPr>
            <w:tcW w:w="126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88"/>
              </w:rPr>
              <w:t>10.19</w:t>
            </w:r>
          </w:p>
        </w:tc>
        <w:tc>
          <w:tcPr>
            <w:tcW w:w="9340" w:type="dxa"/>
            <w:vAlign w:val="bottom"/>
            <w:gridSpan w:val="11"/>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Letter Agreement between the Company and Richard N. Grant, Jr. dated July 24, 2020 (15)(*)</w:t>
              </w:r>
            </w:hyperlink>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26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88"/>
              </w:rPr>
              <w:t>10.20</w:t>
            </w:r>
          </w:p>
        </w:tc>
        <w:tc>
          <w:tcPr>
            <w:tcW w:w="79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Change of Control Agreement dated August 11, 2020 between the Company and Richard N. Grant, Jr. (13)(*)</w:t>
              </w:r>
            </w:hyperlink>
          </w:p>
        </w:tc>
        <w:tc>
          <w:tcPr>
            <w:tcW w:w="1420" w:type="dxa"/>
            <w:vAlign w:val="bottom"/>
            <w:gridSpan w:val="2"/>
          </w:tcPr>
          <w:p>
            <w:pPr>
              <w:spacing w:after="0"/>
              <w:rPr>
                <w:sz w:val="17"/>
                <w:szCs w:val="17"/>
                <w:color w:val="auto"/>
              </w:rPr>
            </w:pPr>
          </w:p>
        </w:tc>
      </w:tr>
      <w:tr>
        <w:trPr>
          <w:trHeight w:val="196"/>
        </w:trPr>
        <w:tc>
          <w:tcPr>
            <w:tcW w:w="126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88"/>
              </w:rPr>
              <w:t>10.21</w:t>
            </w:r>
          </w:p>
        </w:tc>
        <w:tc>
          <w:tcPr>
            <w:tcW w:w="93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Amended and Restated Change of Control Agreement dated April 29, 2020 between the Company and Hugh T. Regan, Jr. (16)(*)</w:t>
              </w:r>
            </w:hyperlink>
          </w:p>
        </w:tc>
      </w:tr>
      <w:tr>
        <w:trPr>
          <w:trHeight w:val="196"/>
        </w:trPr>
        <w:tc>
          <w:tcPr>
            <w:tcW w:w="126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88"/>
              </w:rPr>
              <w:t>10.22</w:t>
            </w:r>
          </w:p>
        </w:tc>
        <w:tc>
          <w:tcPr>
            <w:tcW w:w="9340" w:type="dxa"/>
            <w:vAlign w:val="bottom"/>
            <w:gridSpan w:val="11"/>
          </w:tcPr>
          <w:p>
            <w:pPr>
              <w:spacing w:after="0" w:line="196"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Amended and Restated Change of Control Agreement dated April 29, 2020 between the Company and James Pelrin (16)(*)</w:t>
              </w:r>
            </w:hyperlink>
          </w:p>
        </w:tc>
      </w:tr>
      <w:tr>
        <w:trPr>
          <w:trHeight w:val="196"/>
        </w:trPr>
        <w:tc>
          <w:tcPr>
            <w:tcW w:w="126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88"/>
              </w:rPr>
              <w:t>10.23</w:t>
            </w:r>
          </w:p>
        </w:tc>
        <w:tc>
          <w:tcPr>
            <w:tcW w:w="3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2020 Executive Compensation Plan. (17)(*)</w:t>
              </w:r>
            </w:hyperlink>
          </w:p>
        </w:tc>
        <w:tc>
          <w:tcPr>
            <w:tcW w:w="5720" w:type="dxa"/>
            <w:vAlign w:val="bottom"/>
            <w:tcBorders>
              <w:top w:val="single" w:sz="8" w:color="0000EE"/>
            </w:tcBorders>
            <w:gridSpan w:val="9"/>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26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88"/>
              </w:rPr>
              <w:t>10.24</w:t>
            </w:r>
          </w:p>
        </w:tc>
        <w:tc>
          <w:tcPr>
            <w:tcW w:w="31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2021 Executive Compensation Plan. (18)(*)</w:t>
              </w:r>
            </w:hyperlink>
          </w:p>
        </w:tc>
        <w:tc>
          <w:tcPr>
            <w:tcW w:w="6160" w:type="dxa"/>
            <w:vAlign w:val="bottom"/>
            <w:gridSpan w:val="10"/>
          </w:tcPr>
          <w:p>
            <w:pPr>
              <w:spacing w:after="0"/>
              <w:rPr>
                <w:sz w:val="17"/>
                <w:szCs w:val="17"/>
                <w:color w:val="auto"/>
              </w:rPr>
            </w:pPr>
          </w:p>
        </w:tc>
      </w:tr>
      <w:tr>
        <w:trPr>
          <w:trHeight w:val="196"/>
        </w:trPr>
        <w:tc>
          <w:tcPr>
            <w:tcW w:w="126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88"/>
              </w:rPr>
              <w:t>10.25</w:t>
            </w:r>
          </w:p>
        </w:tc>
        <w:tc>
          <w:tcPr>
            <w:tcW w:w="48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Form of Restricted Stock Award Agreement for Employees. (13)(*)</w:t>
              </w:r>
            </w:hyperlink>
          </w:p>
        </w:tc>
        <w:tc>
          <w:tcPr>
            <w:tcW w:w="4460" w:type="dxa"/>
            <w:vAlign w:val="bottom"/>
            <w:gridSpan w:val="5"/>
          </w:tcPr>
          <w:p>
            <w:pPr>
              <w:spacing w:after="0"/>
              <w:rPr>
                <w:sz w:val="17"/>
                <w:szCs w:val="17"/>
                <w:color w:val="auto"/>
              </w:rPr>
            </w:pPr>
          </w:p>
        </w:tc>
      </w:tr>
      <w:tr>
        <w:trPr>
          <w:trHeight w:val="196"/>
        </w:trPr>
        <w:tc>
          <w:tcPr>
            <w:tcW w:w="126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88"/>
              </w:rPr>
              <w:t>10.26</w:t>
            </w:r>
          </w:p>
        </w:tc>
        <w:tc>
          <w:tcPr>
            <w:tcW w:w="9340" w:type="dxa"/>
            <w:vAlign w:val="bottom"/>
            <w:gridSpan w:val="11"/>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Form of Restricted Stock Award Agreement for Directors. (13)(*)</w:t>
              </w:r>
            </w:hyperlink>
          </w:p>
        </w:tc>
      </w:tr>
      <w:tr>
        <w:trPr>
          <w:trHeight w:val="196"/>
        </w:trPr>
        <w:tc>
          <w:tcPr>
            <w:tcW w:w="126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88"/>
              </w:rPr>
              <w:t>10.27</w:t>
            </w:r>
          </w:p>
        </w:tc>
        <w:tc>
          <w:tcPr>
            <w:tcW w:w="4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Form of Non-Qualified Stock Option Agreement. (18)(*)</w:t>
              </w:r>
            </w:hyperlink>
          </w:p>
        </w:tc>
        <w:tc>
          <w:tcPr>
            <w:tcW w:w="4600" w:type="dxa"/>
            <w:vAlign w:val="bottom"/>
            <w:gridSpan w:val="6"/>
          </w:tcPr>
          <w:p>
            <w:pPr>
              <w:spacing w:after="0"/>
              <w:rPr>
                <w:sz w:val="17"/>
                <w:szCs w:val="17"/>
                <w:color w:val="auto"/>
              </w:rPr>
            </w:pPr>
          </w:p>
        </w:tc>
      </w:tr>
      <w:tr>
        <w:trPr>
          <w:trHeight w:val="196"/>
        </w:trPr>
        <w:tc>
          <w:tcPr>
            <w:tcW w:w="126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88"/>
              </w:rPr>
              <w:t>10.28</w:t>
            </w:r>
          </w:p>
        </w:tc>
        <w:tc>
          <w:tcPr>
            <w:tcW w:w="4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Form of Incentive Stock Option Agreement. (18)(*)</w:t>
              </w:r>
            </w:hyperlink>
          </w:p>
        </w:tc>
        <w:tc>
          <w:tcPr>
            <w:tcW w:w="5220" w:type="dxa"/>
            <w:vAlign w:val="bottom"/>
            <w:gridSpan w:val="7"/>
          </w:tcPr>
          <w:p>
            <w:pPr>
              <w:spacing w:after="0"/>
              <w:rPr>
                <w:sz w:val="17"/>
                <w:szCs w:val="17"/>
                <w:color w:val="auto"/>
              </w:rPr>
            </w:pPr>
          </w:p>
        </w:tc>
      </w:tr>
      <w:tr>
        <w:trPr>
          <w:trHeight w:val="196"/>
        </w:trPr>
        <w:tc>
          <w:tcPr>
            <w:tcW w:w="126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88"/>
              </w:rPr>
              <w:t>10.29</w:t>
            </w:r>
          </w:p>
        </w:tc>
        <w:tc>
          <w:tcPr>
            <w:tcW w:w="37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Compensatory Arrangements of Directors. (*)</w:t>
              </w:r>
            </w:hyperlink>
          </w:p>
        </w:tc>
        <w:tc>
          <w:tcPr>
            <w:tcW w:w="5600" w:type="dxa"/>
            <w:vAlign w:val="bottom"/>
            <w:gridSpan w:val="8"/>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3" w:lineRule="exact"/>
        <w:rPr>
          <w:sz w:val="20"/>
          <w:szCs w:val="20"/>
          <w:color w:val="auto"/>
        </w:rPr>
      </w:pPr>
    </w:p>
    <w:p>
      <w:pPr>
        <w:ind w:left="1260" w:hanging="1252"/>
        <w:spacing w:after="0"/>
        <w:tabs>
          <w:tab w:leader="none" w:pos="1260" w:val="left"/>
        </w:tabs>
        <w:numPr>
          <w:ilvl w:val="0"/>
          <w:numId w:val="15"/>
        </w:numPr>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Subsidiaries of the Company.</w:t>
        </w:r>
      </w:hyperlink>
    </w:p>
    <w:p>
      <w:pPr>
        <w:spacing w:after="0" w:line="23" w:lineRule="exact"/>
        <w:rPr>
          <w:sz w:val="20"/>
          <w:szCs w:val="20"/>
          <w:color w:val="auto"/>
        </w:rPr>
      </w:pPr>
    </w:p>
    <w:p>
      <w:pPr>
        <w:ind w:left="1260" w:hanging="1252"/>
        <w:spacing w:after="0"/>
        <w:tabs>
          <w:tab w:leader="none" w:pos="1260" w:val="left"/>
        </w:tabs>
        <w:numPr>
          <w:ilvl w:val="0"/>
          <w:numId w:val="16"/>
        </w:numPr>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Consent of RSM US LLP.</w:t>
        </w:r>
      </w:hyperlink>
    </w:p>
    <w:tbl>
      <w:tblPr>
        <w:tblLayout w:type="fixed"/>
        <w:tblInd w:w="0" w:type="dxa"/>
        <w:tblCellMar>
          <w:top w:w="0" w:type="dxa"/>
          <w:left w:w="0" w:type="dxa"/>
          <w:bottom w:w="0" w:type="dxa"/>
          <w:right w:w="0" w:type="dxa"/>
        </w:tblCellMar>
      </w:tblPr>
      <w:tr>
        <w:trPr>
          <w:trHeight w:val="185"/>
        </w:trPr>
        <w:tc>
          <w:tcPr>
            <w:tcW w:w="1260" w:type="dxa"/>
            <w:vAlign w:val="bottom"/>
          </w:tcPr>
          <w:p>
            <w:pPr>
              <w:spacing w:after="0" w:line="184" w:lineRule="exact"/>
              <w:rPr>
                <w:sz w:val="20"/>
                <w:szCs w:val="20"/>
                <w:color w:val="auto"/>
              </w:rPr>
            </w:pPr>
            <w:r>
              <w:rPr>
                <w:rFonts w:ascii="Arial" w:cs="Arial" w:eastAsia="Arial" w:hAnsi="Arial"/>
                <w:sz w:val="18"/>
                <w:szCs w:val="18"/>
                <w:color w:val="auto"/>
              </w:rPr>
              <w:t>31.1</w:t>
            </w:r>
          </w:p>
        </w:tc>
        <w:tc>
          <w:tcPr>
            <w:tcW w:w="7240" w:type="dxa"/>
            <w:vAlign w:val="bottom"/>
            <w:gridSpan w:val="4"/>
          </w:tcPr>
          <w:p>
            <w:pPr>
              <w:spacing w:after="0" w:line="184" w:lineRule="exact"/>
              <w:rPr>
                <w:rFonts w:ascii="Arial" w:cs="Arial" w:eastAsia="Arial" w:hAnsi="Arial"/>
                <w:sz w:val="18"/>
                <w:szCs w:val="18"/>
                <w:color w:val="0000EE"/>
              </w:rPr>
            </w:pPr>
            <w:hyperlink w:anchor="page71">
              <w:r>
                <w:rPr>
                  <w:rFonts w:ascii="Arial" w:cs="Arial" w:eastAsia="Arial" w:hAnsi="Arial"/>
                  <w:sz w:val="18"/>
                  <w:szCs w:val="18"/>
                  <w:color w:val="0000EE"/>
                </w:rPr>
                <w:t>Certification of Chief Executive Officer pursuant to Rule 13a-14(a).</w:t>
              </w:r>
            </w:hyperlink>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Certification of Chief Financial Officer pursuant to Rule 13a-14(a).</w:t>
              </w:r>
            </w:hyperlink>
          </w:p>
        </w:tc>
        <w:tc>
          <w:tcPr>
            <w:tcW w:w="40" w:type="dxa"/>
            <w:vAlign w:val="bottom"/>
            <w:tcBorders>
              <w:top w:val="single" w:sz="8" w:color="0000EE"/>
            </w:tcBorders>
          </w:tcPr>
          <w:p>
            <w:pPr>
              <w:spacing w:after="0"/>
              <w:rPr>
                <w:sz w:val="17"/>
                <w:szCs w:val="17"/>
                <w:color w:val="auto"/>
              </w:rPr>
            </w:pPr>
          </w:p>
        </w:tc>
        <w:tc>
          <w:tcPr>
            <w:tcW w:w="2340" w:type="dxa"/>
            <w:vAlign w:val="bottom"/>
            <w:gridSpan w:val="2"/>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72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Certification of Chief Executive Officer pursuant to Section 906 of the Sarbanes-Oxley Act of 2002.</w:t>
              </w:r>
            </w:hyperlink>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7240" w:type="dxa"/>
            <w:vAlign w:val="bottom"/>
            <w:gridSpan w:val="4"/>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Certification of Chief Financial Officer pursuant to Section 906 of the Sarbanes-Oxley Act of 2002.</w:t>
              </w:r>
            </w:hyperlink>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71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Taxonomy Instance Document</w:t>
            </w:r>
          </w:p>
        </w:tc>
        <w:tc>
          <w:tcPr>
            <w:tcW w:w="60" w:type="dxa"/>
            <w:vAlign w:val="bottom"/>
          </w:tcPr>
          <w:p>
            <w:pPr>
              <w:spacing w:after="0"/>
              <w:rPr>
                <w:sz w:val="19"/>
                <w:szCs w:val="19"/>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724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72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724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72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72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640" w:right="360" w:hanging="632"/>
        <w:spacing w:after="0" w:line="258"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2019, File No. 001-36117, filed March 23, 2020, and incorporated herein by reference.</w:t>
      </w:r>
    </w:p>
    <w:p>
      <w:pPr>
        <w:spacing w:after="0" w:line="1" w:lineRule="exact"/>
        <w:rPr>
          <w:rFonts w:ascii="Arial" w:cs="Arial" w:eastAsia="Arial" w:hAnsi="Arial"/>
          <w:sz w:val="18"/>
          <w:szCs w:val="18"/>
          <w:color w:val="auto"/>
        </w:rPr>
      </w:pPr>
    </w:p>
    <w:p>
      <w:pPr>
        <w:ind w:left="640" w:right="38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23, 2018, File No. 001-36117, filed April 25, 2018, and incorporated herein by reference.</w:t>
      </w:r>
    </w:p>
    <w:p>
      <w:pPr>
        <w:ind w:left="640" w:right="6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May 10, 2010, File No. 000-22529, filed May 13, 2010, and incorporated herein by reference.</w:t>
      </w:r>
    </w:p>
    <w:p>
      <w:pPr>
        <w:ind w:left="64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September 22, 2020, File No. 001-36117, filed September 24, 2020, and incorporated herein by reference.</w:t>
      </w:r>
    </w:p>
    <w:p>
      <w:pPr>
        <w:ind w:left="640" w:right="18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27, 2010, File No. 000-22529, filed October 29, 2010, and incorporated herein by reference.</w:t>
      </w: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8, 2019, File No.</w:t>
      </w:r>
    </w:p>
    <w:p>
      <w:pPr>
        <w:spacing w:after="0" w:line="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001-36117, filed April 12, 2019, and incorporated herein by reference.</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by the Company as an exhibit to the Company's Form 10-Q Amendment No. 1 for the quarter ended March 31, 2012, File No.</w:t>
      </w:r>
    </w:p>
    <w:p>
      <w:pPr>
        <w:spacing w:after="0" w:line="3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000-22529, filed May 15, 2012, and incorporated herein by reference.</w:t>
      </w:r>
    </w:p>
    <w:p>
      <w:pPr>
        <w:spacing w:after="0" w:line="9" w:lineRule="exact"/>
        <w:rPr>
          <w:rFonts w:ascii="Arial" w:cs="Arial" w:eastAsia="Arial" w:hAnsi="Arial"/>
          <w:sz w:val="16"/>
          <w:szCs w:val="16"/>
          <w:color w:val="auto"/>
        </w:rPr>
      </w:pPr>
    </w:p>
    <w:p>
      <w:pPr>
        <w:ind w:left="64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November 18, 2016, File No. 001-36117, filed November 22, 2016, and incorporated herein by reference.</w:t>
      </w:r>
    </w:p>
    <w:p>
      <w:pPr>
        <w:ind w:left="640" w:right="20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January 23, 2020, File No. 001-36117, filed January 28, 2020, and incorporated herein by reference.</w:t>
      </w:r>
    </w:p>
    <w:p>
      <w:pPr>
        <w:ind w:left="64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December 19, 2017, File No. 001-36117, filed December 22, 2017, and incorporated herein by reference.</w:t>
      </w:r>
    </w:p>
    <w:p>
      <w:pPr>
        <w:ind w:left="640" w:right="36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10, 2020, File No. 001-36117, filed April 15, 2020, and incorporated herein by reference.</w:t>
      </w:r>
    </w:p>
    <w:p>
      <w:pPr>
        <w:ind w:left="640" w:right="4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June 24, 2020, File No. 001-36117, filed June 29, 2020, and incorporated herein by reference.</w:t>
      </w:r>
    </w:p>
    <w:p>
      <w:pPr>
        <w:ind w:left="640" w:right="12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September 30, 2020, File No. 001-36117, filed November 12, 2020, and incorporated herein by reference.</w:t>
      </w:r>
    </w:p>
    <w:p>
      <w:pPr>
        <w:ind w:left="640" w:right="36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2017, File No. 001-36117, filed March 28, 2018, and incorporated herein by reference.</w:t>
      </w:r>
    </w:p>
    <w:p>
      <w:pPr>
        <w:ind w:left="640" w:right="32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August 6, 2020, File No. 001-36117, filed August 11, 2020, and incorporated herein by reference.</w:t>
      </w:r>
    </w:p>
    <w:p>
      <w:pPr>
        <w:ind w:left="640" w:right="6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March 31, 2020, File No. 001-36117, filed May 13, 2020, and incorporated herein by reference.</w:t>
      </w:r>
    </w:p>
    <w:p>
      <w:pPr>
        <w:ind w:left="640" w:right="36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March 9, 2020, File No. 001-36117, filed March 11, 2020, and incorporated herein by reference.</w:t>
      </w:r>
    </w:p>
    <w:p>
      <w:pPr>
        <w:ind w:left="640" w:right="300" w:hanging="632"/>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March 10, 2021, File No. 001-36117, filed March 16, 2021, and incorporated herein by reference.</w:t>
      </w:r>
    </w:p>
    <w:p>
      <w:pPr>
        <w:spacing w:after="0" w:line="1" w:lineRule="exact"/>
        <w:rPr>
          <w:sz w:val="20"/>
          <w:szCs w:val="20"/>
          <w:color w:val="auto"/>
        </w:rPr>
      </w:pPr>
    </w:p>
    <w:p>
      <w:pPr>
        <w:jc w:val="center"/>
        <w:ind w:left="5480" w:right="1080" w:hanging="5472"/>
        <w:spacing w:after="0" w:line="511"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executive officers participate.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3"/>
          </w:tcPr>
          <w:p>
            <w:pPr>
              <w:spacing w:after="0"/>
              <w:rPr>
                <w:sz w:val="20"/>
                <w:szCs w:val="20"/>
                <w:color w:val="auto"/>
              </w:rPr>
            </w:pPr>
            <w:r>
              <w:rPr>
                <w:rFonts w:ascii="Arial" w:cs="Arial" w:eastAsia="Arial" w:hAnsi="Arial"/>
                <w:sz w:val="18"/>
                <w:szCs w:val="18"/>
                <w:color w:val="auto"/>
              </w:rPr>
              <w:t>By:  /s/ Richard N. Grant, Jr.</w:t>
            </w:r>
          </w:p>
        </w:tc>
        <w:tc>
          <w:tcPr>
            <w:tcW w:w="2660" w:type="dxa"/>
            <w:vAlign w:val="bottom"/>
            <w:gridSpan w:val="2"/>
          </w:tcPr>
          <w:p>
            <w:pPr>
              <w:ind w:left="1520"/>
              <w:spacing w:after="0"/>
              <w:rPr>
                <w:sz w:val="20"/>
                <w:szCs w:val="20"/>
                <w:color w:val="auto"/>
              </w:rPr>
            </w:pPr>
            <w:r>
              <w:rPr>
                <w:rFonts w:ascii="Arial" w:cs="Arial" w:eastAsia="Arial" w:hAnsi="Arial"/>
                <w:sz w:val="18"/>
                <w:szCs w:val="18"/>
                <w:color w:val="auto"/>
                <w:w w:val="89"/>
              </w:rPr>
              <w:t>March 23, 2021</w:t>
            </w:r>
          </w:p>
        </w:tc>
      </w:tr>
      <w:tr>
        <w:trPr>
          <w:trHeight w:val="222"/>
        </w:trPr>
        <w:tc>
          <w:tcPr>
            <w:tcW w:w="46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N. Grant, Jr.</w:t>
            </w:r>
          </w:p>
        </w:tc>
        <w:tc>
          <w:tcPr>
            <w:tcW w:w="2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5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6"/>
          </w:tcPr>
          <w:p>
            <w:pPr>
              <w:spacing w:after="0"/>
              <w:rPr>
                <w:sz w:val="20"/>
                <w:szCs w:val="20"/>
                <w:color w:val="auto"/>
              </w:rPr>
            </w:pPr>
            <w:r>
              <w:rPr>
                <w:rFonts w:ascii="Arial" w:cs="Arial" w:eastAsia="Arial" w:hAnsi="Arial"/>
                <w:sz w:val="18"/>
                <w:szCs w:val="18"/>
                <w:color w:val="auto"/>
              </w:rPr>
              <w:t>/s/ Richard N. Grant, Jr.</w:t>
            </w:r>
          </w:p>
        </w:tc>
        <w:tc>
          <w:tcPr>
            <w:tcW w:w="208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March 23, 2021</w:t>
            </w:r>
          </w:p>
        </w:tc>
      </w:tr>
      <w:tr>
        <w:trPr>
          <w:trHeight w:val="20"/>
        </w:trPr>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22"/>
        </w:trPr>
        <w:tc>
          <w:tcPr>
            <w:tcW w:w="4080" w:type="dxa"/>
            <w:vAlign w:val="bottom"/>
            <w:gridSpan w:val="6"/>
          </w:tcPr>
          <w:p>
            <w:pPr>
              <w:spacing w:after="0"/>
              <w:rPr>
                <w:sz w:val="20"/>
                <w:szCs w:val="20"/>
                <w:color w:val="auto"/>
              </w:rPr>
            </w:pPr>
            <w:r>
              <w:rPr>
                <w:rFonts w:ascii="Arial" w:cs="Arial" w:eastAsia="Arial" w:hAnsi="Arial"/>
                <w:sz w:val="18"/>
                <w:szCs w:val="18"/>
                <w:color w:val="auto"/>
              </w:rPr>
              <w:t>Richard N. Grant, Jr., President,</w:t>
            </w: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216"/>
        </w:trPr>
        <w:tc>
          <w:tcPr>
            <w:tcW w:w="4080" w:type="dxa"/>
            <w:vAlign w:val="bottom"/>
            <w:gridSpan w:val="6"/>
          </w:tcPr>
          <w:p>
            <w:pPr>
              <w:spacing w:after="0"/>
              <w:rPr>
                <w:sz w:val="20"/>
                <w:szCs w:val="20"/>
                <w:color w:val="auto"/>
              </w:rPr>
            </w:pPr>
            <w:r>
              <w:rPr>
                <w:rFonts w:ascii="Arial" w:cs="Arial" w:eastAsia="Arial" w:hAnsi="Arial"/>
                <w:sz w:val="18"/>
                <w:szCs w:val="18"/>
                <w:color w:val="auto"/>
              </w:rPr>
              <w:t>Chief Executive Officer and Director</w:t>
            </w: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0"/>
        </w:trPr>
        <w:tc>
          <w:tcPr>
            <w:tcW w:w="4080" w:type="dxa"/>
            <w:vAlign w:val="bottom"/>
            <w:gridSpan w:val="6"/>
          </w:tcPr>
          <w:p>
            <w:pPr>
              <w:spacing w:after="0"/>
              <w:rPr>
                <w:sz w:val="20"/>
                <w:szCs w:val="20"/>
                <w:color w:val="auto"/>
              </w:rPr>
            </w:pPr>
            <w:r>
              <w:rPr>
                <w:rFonts w:ascii="Arial" w:cs="Arial" w:eastAsia="Arial" w:hAnsi="Arial"/>
                <w:sz w:val="18"/>
                <w:szCs w:val="18"/>
                <w:color w:val="auto"/>
              </w:rPr>
              <w:t>(Principal Executive Officer)</w:t>
            </w: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824"/>
        </w:trPr>
        <w:tc>
          <w:tcPr>
            <w:tcW w:w="4080" w:type="dxa"/>
            <w:vAlign w:val="bottom"/>
            <w:gridSpan w:val="6"/>
          </w:tcPr>
          <w:p>
            <w:pPr>
              <w:spacing w:after="0"/>
              <w:rPr>
                <w:sz w:val="20"/>
                <w:szCs w:val="20"/>
                <w:color w:val="auto"/>
              </w:rPr>
            </w:pPr>
            <w:r>
              <w:rPr>
                <w:rFonts w:ascii="Arial" w:cs="Arial" w:eastAsia="Arial" w:hAnsi="Arial"/>
                <w:sz w:val="18"/>
                <w:szCs w:val="18"/>
                <w:color w:val="auto"/>
              </w:rPr>
              <w:t>/s/ Hugh T. Regan, Jr.</w:t>
            </w:r>
          </w:p>
        </w:tc>
        <w:tc>
          <w:tcPr>
            <w:tcW w:w="208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March 23, 2021</w:t>
            </w:r>
          </w:p>
        </w:tc>
      </w:tr>
      <w:tr>
        <w:trPr>
          <w:trHeight w:val="20"/>
        </w:trPr>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22"/>
        </w:trPr>
        <w:tc>
          <w:tcPr>
            <w:tcW w:w="4080" w:type="dxa"/>
            <w:vAlign w:val="bottom"/>
            <w:gridSpan w:val="6"/>
          </w:tcPr>
          <w:p>
            <w:pPr>
              <w:spacing w:after="0"/>
              <w:rPr>
                <w:sz w:val="20"/>
                <w:szCs w:val="20"/>
                <w:color w:val="auto"/>
              </w:rPr>
            </w:pPr>
            <w:r>
              <w:rPr>
                <w:rFonts w:ascii="Arial" w:cs="Arial" w:eastAsia="Arial" w:hAnsi="Arial"/>
                <w:sz w:val="18"/>
                <w:szCs w:val="18"/>
                <w:color w:val="auto"/>
              </w:rPr>
              <w:t>Hugh T. Regan, Jr., Treasurer, Chief</w:t>
            </w: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216"/>
        </w:trPr>
        <w:tc>
          <w:tcPr>
            <w:tcW w:w="4080" w:type="dxa"/>
            <w:vAlign w:val="bottom"/>
            <w:gridSpan w:val="6"/>
          </w:tcPr>
          <w:p>
            <w:pPr>
              <w:spacing w:after="0"/>
              <w:rPr>
                <w:sz w:val="20"/>
                <w:szCs w:val="20"/>
                <w:color w:val="auto"/>
              </w:rPr>
            </w:pPr>
            <w:r>
              <w:rPr>
                <w:rFonts w:ascii="Arial" w:cs="Arial" w:eastAsia="Arial" w:hAnsi="Arial"/>
                <w:sz w:val="18"/>
                <w:szCs w:val="18"/>
                <w:color w:val="auto"/>
              </w:rPr>
              <w:t>Financial Officer and Secretary</w:t>
            </w: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0"/>
        </w:trPr>
        <w:tc>
          <w:tcPr>
            <w:tcW w:w="4080" w:type="dxa"/>
            <w:vAlign w:val="bottom"/>
            <w:gridSpan w:val="6"/>
          </w:tcPr>
          <w:p>
            <w:pPr>
              <w:spacing w:after="0"/>
              <w:rPr>
                <w:sz w:val="20"/>
                <w:szCs w:val="20"/>
                <w:color w:val="auto"/>
              </w:rPr>
            </w:pPr>
            <w:r>
              <w:rPr>
                <w:rFonts w:ascii="Arial" w:cs="Arial" w:eastAsia="Arial" w:hAnsi="Arial"/>
                <w:sz w:val="18"/>
                <w:szCs w:val="18"/>
                <w:color w:val="auto"/>
              </w:rPr>
              <w:t>(Principal Financial Officer)</w:t>
            </w: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823"/>
        </w:trPr>
        <w:tc>
          <w:tcPr>
            <w:tcW w:w="1640" w:type="dxa"/>
            <w:vAlign w:val="bottom"/>
            <w:gridSpan w:val="4"/>
          </w:tcPr>
          <w:p>
            <w:pPr>
              <w:spacing w:after="0"/>
              <w:rPr>
                <w:sz w:val="20"/>
                <w:szCs w:val="20"/>
                <w:color w:val="auto"/>
              </w:rPr>
            </w:pPr>
            <w:r>
              <w:rPr>
                <w:rFonts w:ascii="Arial" w:cs="Arial" w:eastAsia="Arial" w:hAnsi="Arial"/>
                <w:sz w:val="18"/>
                <w:szCs w:val="18"/>
                <w:color w:val="auto"/>
                <w:w w:val="88"/>
              </w:rPr>
              <w:t>/s/ Joseph W. Dews IV</w:t>
            </w:r>
          </w:p>
        </w:tc>
        <w:tc>
          <w:tcPr>
            <w:tcW w:w="2440" w:type="dxa"/>
            <w:vAlign w:val="bottom"/>
            <w:gridSpan w:val="2"/>
          </w:tcPr>
          <w:p>
            <w:pPr>
              <w:spacing w:after="0"/>
              <w:rPr>
                <w:sz w:val="24"/>
                <w:szCs w:val="24"/>
                <w:color w:val="auto"/>
              </w:rPr>
            </w:pPr>
          </w:p>
        </w:tc>
        <w:tc>
          <w:tcPr>
            <w:tcW w:w="208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March 23, 2021</w:t>
            </w:r>
          </w:p>
        </w:tc>
      </w:tr>
      <w:tr>
        <w:trPr>
          <w:trHeight w:val="20"/>
        </w:trPr>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440" w:type="dxa"/>
            <w:vAlign w:val="bottom"/>
            <w:tcBorders>
              <w:left w:val="single" w:sz="8" w:color="auto"/>
            </w:tcBorders>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37"/>
        </w:trPr>
        <w:tc>
          <w:tcPr>
            <w:tcW w:w="4080" w:type="dxa"/>
            <w:vAlign w:val="bottom"/>
            <w:gridSpan w:val="6"/>
          </w:tcPr>
          <w:p>
            <w:pPr>
              <w:spacing w:after="0"/>
              <w:rPr>
                <w:sz w:val="20"/>
                <w:szCs w:val="20"/>
                <w:color w:val="auto"/>
              </w:rPr>
            </w:pPr>
            <w:r>
              <w:rPr>
                <w:rFonts w:ascii="Arial" w:cs="Arial" w:eastAsia="Arial" w:hAnsi="Arial"/>
                <w:sz w:val="18"/>
                <w:szCs w:val="18"/>
                <w:color w:val="auto"/>
              </w:rPr>
              <w:t>Joseph W. Dews IV, Chairman</w:t>
            </w: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823"/>
        </w:trPr>
        <w:tc>
          <w:tcPr>
            <w:tcW w:w="4080" w:type="dxa"/>
            <w:vAlign w:val="bottom"/>
            <w:gridSpan w:val="6"/>
          </w:tcPr>
          <w:p>
            <w:pPr>
              <w:spacing w:after="0"/>
              <w:rPr>
                <w:sz w:val="20"/>
                <w:szCs w:val="20"/>
                <w:color w:val="auto"/>
              </w:rPr>
            </w:pPr>
            <w:r>
              <w:rPr>
                <w:rFonts w:ascii="Arial" w:cs="Arial" w:eastAsia="Arial" w:hAnsi="Arial"/>
                <w:sz w:val="18"/>
                <w:szCs w:val="18"/>
                <w:color w:val="auto"/>
              </w:rPr>
              <w:t>/s/ Steven J. Abrams</w:t>
            </w:r>
          </w:p>
        </w:tc>
        <w:tc>
          <w:tcPr>
            <w:tcW w:w="208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March 23, 2021</w:t>
            </w:r>
          </w:p>
        </w:tc>
      </w:tr>
      <w:tr>
        <w:trPr>
          <w:trHeight w:val="20"/>
        </w:trPr>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37"/>
        </w:trPr>
        <w:tc>
          <w:tcPr>
            <w:tcW w:w="4080" w:type="dxa"/>
            <w:vAlign w:val="bottom"/>
            <w:gridSpan w:val="6"/>
          </w:tcPr>
          <w:p>
            <w:pPr>
              <w:spacing w:after="0"/>
              <w:rPr>
                <w:sz w:val="20"/>
                <w:szCs w:val="20"/>
                <w:color w:val="auto"/>
              </w:rPr>
            </w:pPr>
            <w:r>
              <w:rPr>
                <w:rFonts w:ascii="Arial" w:cs="Arial" w:eastAsia="Arial" w:hAnsi="Arial"/>
                <w:sz w:val="18"/>
                <w:szCs w:val="18"/>
                <w:color w:val="auto"/>
              </w:rPr>
              <w:t>Steven J. Abrams, Esq., Director</w:t>
            </w: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823"/>
        </w:trPr>
        <w:tc>
          <w:tcPr>
            <w:tcW w:w="1360" w:type="dxa"/>
            <w:vAlign w:val="bottom"/>
          </w:tcPr>
          <w:p>
            <w:pPr>
              <w:spacing w:after="0"/>
              <w:rPr>
                <w:sz w:val="20"/>
                <w:szCs w:val="20"/>
                <w:color w:val="auto"/>
              </w:rPr>
            </w:pPr>
            <w:r>
              <w:rPr>
                <w:rFonts w:ascii="Arial" w:cs="Arial" w:eastAsia="Arial" w:hAnsi="Arial"/>
                <w:sz w:val="18"/>
                <w:szCs w:val="18"/>
                <w:color w:val="auto"/>
                <w:w w:val="92"/>
              </w:rPr>
              <w:t>/s/ Jeffrey A. Beck</w:t>
            </w:r>
          </w:p>
        </w:tc>
        <w:tc>
          <w:tcPr>
            <w:tcW w:w="2720" w:type="dxa"/>
            <w:vAlign w:val="bottom"/>
            <w:gridSpan w:val="5"/>
          </w:tcPr>
          <w:p>
            <w:pPr>
              <w:spacing w:after="0"/>
              <w:rPr>
                <w:sz w:val="24"/>
                <w:szCs w:val="24"/>
                <w:color w:val="auto"/>
              </w:rPr>
            </w:pPr>
          </w:p>
        </w:tc>
        <w:tc>
          <w:tcPr>
            <w:tcW w:w="208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March 23, 2021</w:t>
            </w:r>
          </w:p>
        </w:tc>
      </w:tr>
      <w:tr>
        <w:trPr>
          <w:trHeight w:val="20"/>
        </w:trPr>
        <w:tc>
          <w:tcPr>
            <w:tcW w:w="136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37"/>
        </w:trPr>
        <w:tc>
          <w:tcPr>
            <w:tcW w:w="4080" w:type="dxa"/>
            <w:vAlign w:val="bottom"/>
            <w:gridSpan w:val="6"/>
          </w:tcPr>
          <w:p>
            <w:pPr>
              <w:spacing w:after="0"/>
              <w:rPr>
                <w:sz w:val="20"/>
                <w:szCs w:val="20"/>
                <w:color w:val="auto"/>
              </w:rPr>
            </w:pPr>
            <w:r>
              <w:rPr>
                <w:rFonts w:ascii="Arial" w:cs="Arial" w:eastAsia="Arial" w:hAnsi="Arial"/>
                <w:sz w:val="18"/>
                <w:szCs w:val="18"/>
                <w:color w:val="auto"/>
              </w:rPr>
              <w:t>Jeffrey A. Beck, Director</w:t>
            </w: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823"/>
        </w:trPr>
        <w:tc>
          <w:tcPr>
            <w:tcW w:w="1640" w:type="dxa"/>
            <w:vAlign w:val="bottom"/>
            <w:gridSpan w:val="4"/>
          </w:tcPr>
          <w:p>
            <w:pPr>
              <w:spacing w:after="0"/>
              <w:rPr>
                <w:sz w:val="20"/>
                <w:szCs w:val="20"/>
                <w:color w:val="auto"/>
              </w:rPr>
            </w:pPr>
            <w:r>
              <w:rPr>
                <w:rFonts w:ascii="Arial" w:cs="Arial" w:eastAsia="Arial" w:hAnsi="Arial"/>
                <w:sz w:val="18"/>
                <w:szCs w:val="18"/>
                <w:color w:val="auto"/>
                <w:w w:val="91"/>
              </w:rPr>
              <w:t>/s/ Gerald J. Maginnis</w:t>
            </w:r>
          </w:p>
        </w:tc>
        <w:tc>
          <w:tcPr>
            <w:tcW w:w="2440" w:type="dxa"/>
            <w:vAlign w:val="bottom"/>
            <w:gridSpan w:val="2"/>
          </w:tcPr>
          <w:p>
            <w:pPr>
              <w:spacing w:after="0"/>
              <w:rPr>
                <w:sz w:val="24"/>
                <w:szCs w:val="24"/>
                <w:color w:val="auto"/>
              </w:rPr>
            </w:pPr>
          </w:p>
        </w:tc>
        <w:tc>
          <w:tcPr>
            <w:tcW w:w="208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March 23, 2021</w:t>
            </w:r>
          </w:p>
        </w:tc>
      </w:tr>
      <w:tr>
        <w:trPr>
          <w:trHeight w:val="20"/>
        </w:trPr>
        <w:tc>
          <w:tcPr>
            <w:tcW w:w="1640" w:type="dxa"/>
            <w:vAlign w:val="bottom"/>
            <w:gridSpan w:val="4"/>
            <w:shd w:val="clear" w:color="auto" w:fill="000000"/>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37"/>
        </w:trPr>
        <w:tc>
          <w:tcPr>
            <w:tcW w:w="4080" w:type="dxa"/>
            <w:vAlign w:val="bottom"/>
            <w:gridSpan w:val="6"/>
          </w:tcPr>
          <w:p>
            <w:pPr>
              <w:spacing w:after="0"/>
              <w:rPr>
                <w:sz w:val="20"/>
                <w:szCs w:val="20"/>
                <w:color w:val="auto"/>
              </w:rPr>
            </w:pPr>
            <w:r>
              <w:rPr>
                <w:rFonts w:ascii="Arial" w:cs="Arial" w:eastAsia="Arial" w:hAnsi="Arial"/>
                <w:sz w:val="18"/>
                <w:szCs w:val="18"/>
                <w:color w:val="auto"/>
              </w:rPr>
              <w:t>Gerald J. Maginnis, Director</w:t>
            </w: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8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inTEST CORPORATION</w:t>
            </w:r>
          </w:p>
        </w:tc>
        <w:tc>
          <w:tcPr>
            <w:tcW w:w="1980" w:type="dxa"/>
            <w:vAlign w:val="bottom"/>
          </w:tcPr>
          <w:p>
            <w:pPr>
              <w:spacing w:after="0"/>
              <w:rPr>
                <w:sz w:val="20"/>
                <w:szCs w:val="20"/>
                <w:color w:val="auto"/>
              </w:rPr>
            </w:pPr>
          </w:p>
        </w:tc>
      </w:tr>
      <w:tr>
        <w:trPr>
          <w:trHeight w:val="414"/>
        </w:trPr>
        <w:tc>
          <w:tcPr>
            <w:tcW w:w="9260" w:type="dxa"/>
            <w:vAlign w:val="bottom"/>
          </w:tcPr>
          <w:p>
            <w:pPr>
              <w:jc w:val="center"/>
              <w:ind w:left="1890"/>
              <w:spacing w:after="0"/>
              <w:rPr>
                <w:sz w:val="20"/>
                <w:szCs w:val="20"/>
                <w:color w:val="auto"/>
              </w:rPr>
            </w:pPr>
            <w:r>
              <w:rPr>
                <w:rFonts w:ascii="Arial" w:cs="Arial" w:eastAsia="Arial" w:hAnsi="Arial"/>
                <w:sz w:val="18"/>
                <w:szCs w:val="18"/>
                <w:b w:val="1"/>
                <w:bCs w:val="1"/>
                <w:color w:val="auto"/>
              </w:rPr>
              <w:t>INDEX TO CONSOLIDATED FINANCIAL STATEMENTS AND</w:t>
            </w:r>
          </w:p>
        </w:tc>
        <w:tc>
          <w:tcPr>
            <w:tcW w:w="1980" w:type="dxa"/>
            <w:vAlign w:val="bottom"/>
          </w:tcPr>
          <w:p>
            <w:pPr>
              <w:spacing w:after="0"/>
              <w:rPr>
                <w:sz w:val="24"/>
                <w:szCs w:val="24"/>
                <w:color w:val="auto"/>
              </w:rPr>
            </w:pPr>
          </w:p>
        </w:tc>
      </w:tr>
      <w:tr>
        <w:trPr>
          <w:trHeight w:val="234"/>
        </w:trPr>
        <w:tc>
          <w:tcPr>
            <w:tcW w:w="9260" w:type="dxa"/>
            <w:vAlign w:val="bottom"/>
          </w:tcPr>
          <w:p>
            <w:pPr>
              <w:jc w:val="center"/>
              <w:ind w:left="1890"/>
              <w:spacing w:after="0"/>
              <w:rPr>
                <w:sz w:val="20"/>
                <w:szCs w:val="20"/>
                <w:color w:val="auto"/>
              </w:rPr>
            </w:pPr>
            <w:r>
              <w:rPr>
                <w:rFonts w:ascii="Arial" w:cs="Arial" w:eastAsia="Arial" w:hAnsi="Arial"/>
                <w:sz w:val="18"/>
                <w:szCs w:val="18"/>
                <w:b w:val="1"/>
                <w:bCs w:val="1"/>
                <w:color w:val="auto"/>
              </w:rPr>
              <w:t>FINANCIAL STATEMENT SCHEDULE</w:t>
            </w:r>
          </w:p>
        </w:tc>
        <w:tc>
          <w:tcPr>
            <w:tcW w:w="1980" w:type="dxa"/>
            <w:vAlign w:val="bottom"/>
          </w:tcPr>
          <w:p>
            <w:pPr>
              <w:spacing w:after="0"/>
              <w:rPr>
                <w:sz w:val="20"/>
                <w:szCs w:val="20"/>
                <w:color w:val="auto"/>
              </w:rPr>
            </w:pPr>
          </w:p>
        </w:tc>
      </w:tr>
      <w:tr>
        <w:trPr>
          <w:trHeight w:val="432"/>
        </w:trPr>
        <w:tc>
          <w:tcPr>
            <w:tcW w:w="9260" w:type="dxa"/>
            <w:vAlign w:val="bottom"/>
          </w:tcPr>
          <w:p>
            <w:pPr>
              <w:spacing w:after="0"/>
              <w:rPr>
                <w:sz w:val="24"/>
                <w:szCs w:val="24"/>
                <w:color w:val="auto"/>
              </w:rPr>
            </w:pPr>
          </w:p>
        </w:tc>
        <w:tc>
          <w:tcPr>
            <w:tcW w:w="1980" w:type="dxa"/>
            <w:vAlign w:val="bottom"/>
          </w:tcPr>
          <w:p>
            <w:pPr>
              <w:jc w:val="center"/>
              <w:ind w:left="550"/>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9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9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F - 1</w:t>
            </w:r>
          </w:p>
        </w:tc>
      </w:tr>
      <w:tr>
        <w:trPr>
          <w:trHeight w:val="216"/>
        </w:trPr>
        <w:tc>
          <w:tcPr>
            <w:tcW w:w="9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198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Balance Sheets as of December 31, 2020 and 2019</w:t>
            </w:r>
          </w:p>
        </w:tc>
        <w:tc>
          <w:tcPr>
            <w:tcW w:w="19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F - 3</w:t>
            </w:r>
          </w:p>
        </w:tc>
      </w:tr>
      <w:tr>
        <w:trPr>
          <w:trHeight w:val="216"/>
        </w:trPr>
        <w:tc>
          <w:tcPr>
            <w:tcW w:w="9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Operations for the years ended December 31, 2020 and 2019</w:t>
            </w:r>
          </w:p>
        </w:tc>
        <w:tc>
          <w:tcPr>
            <w:tcW w:w="19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F - 4</w:t>
            </w:r>
          </w:p>
        </w:tc>
      </w:tr>
      <w:tr>
        <w:trPr>
          <w:trHeight w:val="216"/>
        </w:trPr>
        <w:tc>
          <w:tcPr>
            <w:tcW w:w="9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Comprehensive Earnings for the years ended December 31, 2020 and 2019</w:t>
            </w:r>
          </w:p>
        </w:tc>
        <w:tc>
          <w:tcPr>
            <w:tcW w:w="19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F - 5</w:t>
            </w:r>
          </w:p>
        </w:tc>
      </w:tr>
      <w:tr>
        <w:trPr>
          <w:trHeight w:val="216"/>
        </w:trPr>
        <w:tc>
          <w:tcPr>
            <w:tcW w:w="9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Stockholders' Equity for the years ended December 31, 2020 and 2019</w:t>
            </w:r>
          </w:p>
        </w:tc>
        <w:tc>
          <w:tcPr>
            <w:tcW w:w="19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F - 6</w:t>
            </w:r>
          </w:p>
        </w:tc>
      </w:tr>
      <w:tr>
        <w:trPr>
          <w:trHeight w:val="216"/>
        </w:trPr>
        <w:tc>
          <w:tcPr>
            <w:tcW w:w="9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Cash Flows for the years ended December 31, 2020 and 2019</w:t>
            </w:r>
          </w:p>
        </w:tc>
        <w:tc>
          <w:tcPr>
            <w:tcW w:w="19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F - 7</w:t>
            </w:r>
          </w:p>
        </w:tc>
      </w:tr>
      <w:tr>
        <w:trPr>
          <w:trHeight w:val="216"/>
        </w:trPr>
        <w:tc>
          <w:tcPr>
            <w:tcW w:w="9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9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F - 8</w:t>
            </w:r>
          </w:p>
        </w:tc>
      </w:tr>
      <w:tr>
        <w:trPr>
          <w:trHeight w:val="216"/>
        </w:trPr>
        <w:tc>
          <w:tcPr>
            <w:tcW w:w="9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 SCHEDULE</w:t>
            </w:r>
          </w:p>
        </w:tc>
        <w:tc>
          <w:tcPr>
            <w:tcW w:w="198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Schedule II - Valuation and Qualifying Accounts</w:t>
            </w:r>
          </w:p>
        </w:tc>
        <w:tc>
          <w:tcPr>
            <w:tcW w:w="19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9"/>
              </w:rPr>
              <w:t>F - 30</w:t>
            </w:r>
          </w:p>
        </w:tc>
      </w:tr>
      <w:tr>
        <w:trPr>
          <w:trHeight w:val="432"/>
        </w:trPr>
        <w:tc>
          <w:tcPr>
            <w:tcW w:w="9260" w:type="dxa"/>
            <w:vAlign w:val="bottom"/>
          </w:tcPr>
          <w:p>
            <w:pPr>
              <w:jc w:val="center"/>
              <w:ind w:left="1910"/>
              <w:spacing w:after="0"/>
              <w:rPr>
                <w:sz w:val="20"/>
                <w:szCs w:val="20"/>
                <w:color w:val="auto"/>
              </w:rPr>
            </w:pPr>
            <w:r>
              <w:rPr>
                <w:rFonts w:ascii="Arial" w:cs="Arial" w:eastAsia="Arial" w:hAnsi="Arial"/>
                <w:sz w:val="18"/>
                <w:szCs w:val="18"/>
                <w:color w:val="auto"/>
                <w:w w:val="93"/>
              </w:rPr>
              <w:t>-36-</w:t>
            </w:r>
          </w:p>
        </w:tc>
        <w:tc>
          <w:tcPr>
            <w:tcW w:w="1980" w:type="dxa"/>
            <w:vAlign w:val="bottom"/>
          </w:tcPr>
          <w:p>
            <w:pPr>
              <w:spacing w:after="0"/>
              <w:rPr>
                <w:sz w:val="24"/>
                <w:szCs w:val="24"/>
                <w:color w:val="auto"/>
              </w:rPr>
            </w:pPr>
          </w:p>
        </w:tc>
      </w:tr>
      <w:tr>
        <w:trPr>
          <w:trHeight w:val="115"/>
        </w:trPr>
        <w:tc>
          <w:tcPr>
            <w:tcW w:w="926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inTEST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We have audited the accompanying consolidated balance sheets of inTEST Corporation and its subsidiaries (the Company) as of December 31, 2020 and 2019, the related consolidated statements of operations, comprehensive earnings (loss), stockholders' equity and cash flows for the years then ended, and the related notes to the consolidated financial statements and schedule (collectively,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disclosed in Notes 2 and 4 to the Company’s consolidated financial statements, the Company has two operating segments which are also its reporting units - Thermal and EMS. As of December 31, 2020, the Company’s goodwill balance of approximately $13.8 million was allocated to the Company’s Thermal reporting unit. The Company evaluates its goodwill for impairment annually in the fourth quarter, or more frequently whenever events or changes in circumstances indicate that it is more likely than not that the carrying value of goodwill may not be recoverable. The Company performed its annual goodwill impairment test as of December 31, 2020 using a quantitative approach.</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identified goodwill impairment as a critical audit matter because of the significant, subjective assumptions used and judgments made by management in developing the discounted cash flow model used to estimate the fair value of the Thermal reporting unit. As a result, we performed audit procedures to test the Company’s discounted cash flow model, including significant assumptions related to the revenue growth rate, operating margins, and the discount rate that are affected by expected future market or economic conditions. In addition, we used professionals with specialized skill and knowledge in valuation methods to assist us in performing these procedures.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37" w:name="page38"/>
    <w:bookmarkEnd w:id="37"/>
    <w:p>
      <w:pPr>
        <w:ind w:right="300"/>
        <w:spacing w:after="0" w:line="277" w:lineRule="auto"/>
        <w:rPr>
          <w:sz w:val="20"/>
          <w:szCs w:val="20"/>
          <w:color w:val="auto"/>
        </w:rPr>
      </w:pPr>
      <w:r>
        <w:rPr>
          <w:rFonts w:ascii="Arial" w:cs="Arial" w:eastAsia="Arial" w:hAnsi="Arial"/>
          <w:sz w:val="18"/>
          <w:szCs w:val="18"/>
          <w:color w:val="auto"/>
        </w:rPr>
        <w:t>Addressing the potential impairment of goodwill involved performing procedures and evaluating audit evidence in connection with forming our overall opinion on the consolidated financial statements. These procedures included, among others:</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 understanding of management’s process for developing the fair value estimate;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Testing management’s process for developing the fair value estimate;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Testing the completeness, accuracy, and relevance of certain underlying data used in the discounted cash flow model;</w:t>
      </w:r>
    </w:p>
    <w:p>
      <w:pPr>
        <w:spacing w:after="0" w:line="252" w:lineRule="exact"/>
        <w:rPr>
          <w:rFonts w:ascii="Arial" w:cs="Arial" w:eastAsia="Arial" w:hAnsi="Arial"/>
          <w:sz w:val="18"/>
          <w:szCs w:val="18"/>
          <w:color w:val="auto"/>
        </w:rPr>
      </w:pPr>
    </w:p>
    <w:p>
      <w:pPr>
        <w:ind w:left="660" w:hanging="328"/>
        <w:spacing w:after="0" w:line="31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Assessing management’s methodologies, evaluating the appropriateness of the discounted cash flow model, and performing tests on the significant assumptions used by management. This included evaluating the Company’s financial forecast by comparing the significant assumptions used to current industry and economic trends, changes in the Company’s business model, the current customer base and the Company’s product mix;</w:t>
      </w:r>
    </w:p>
    <w:p>
      <w:pPr>
        <w:spacing w:after="0" w:line="148"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Comparing and assessing the historical accuracy of management’s estimates, including forecasted revenue streams, to identify, understand, and evaluate the reasonableness of forecasts as compared to the Company’s historical results;</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Performing a sensitivity analysis of the significant assumptions used to evaluate changes in the fair value estimate resulting from changes in the assumptions; and</w:t>
      </w:r>
    </w:p>
    <w:p>
      <w:pPr>
        <w:spacing w:after="0" w:line="17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Utilizing a valuation specialist to assist us in evaluating certain key inputs including, but not limited to, the discount rate, risk premiums, and control premiums used in determining the fair value of the Thermal reporting unit and its reconciliation to the Company’s market capitalization.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7"/>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10,277</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$212 and $211, respectively</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8,435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9,296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26,964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24,895</w:t>
            </w:r>
          </w:p>
        </w:tc>
      </w:tr>
      <w:tr>
        <w:trPr>
          <w:trHeight w:val="209"/>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5,356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5,269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Gross property and equipment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7,992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7,693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(5,273)</w:t>
            </w:r>
          </w:p>
        </w:tc>
      </w:tr>
      <w:tr>
        <w:trPr>
          <w:trHeight w:val="209"/>
        </w:trPr>
        <w:tc>
          <w:tcPr>
            <w:tcW w:w="80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property and equipment</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rPr>
          <w:sz w:val="20"/>
          <w:szCs w:val="20"/>
          <w:color w:val="auto"/>
        </w:rPr>
      </w:pPr>
      <w:r>
        <w:rPr>
          <w:rFonts w:ascii="Arial" w:cs="Arial" w:eastAsia="Arial" w:hAnsi="Arial"/>
          <w:sz w:val="18"/>
          <w:szCs w:val="18"/>
          <w:color w:val="auto"/>
        </w:rPr>
        <w:t>Right of use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Restricted certificates of deposit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5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6,387</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4,842</w:t>
            </w:r>
          </w:p>
        </w:tc>
      </w:tr>
      <w:tr>
        <w:trPr>
          <w:trHeight w:val="216"/>
        </w:trPr>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13,738</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13,738</w:t>
            </w:r>
          </w:p>
        </w:tc>
      </w:tr>
      <w:tr>
        <w:trPr>
          <w:trHeight w:val="216"/>
        </w:trPr>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12,421</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13,654</w:t>
            </w:r>
          </w:p>
        </w:tc>
      </w:tr>
      <w:tr>
        <w:trPr>
          <w:trHeight w:val="216"/>
        </w:trPr>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30"/>
        </w:trPr>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09"/>
        </w:trPr>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62,030</w:t>
            </w: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59,715</w:t>
            </w:r>
          </w:p>
        </w:tc>
        <w:tc>
          <w:tcPr>
            <w:tcW w:w="20" w:type="dxa"/>
            <w:vAlign w:val="bottom"/>
          </w:tcPr>
          <w:p>
            <w:pPr>
              <w:spacing w:after="0"/>
              <w:rPr>
                <w:sz w:val="18"/>
                <w:szCs w:val="18"/>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82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2,424</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wages and benefits</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1,944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professional fees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Customer deposits and deferred revenue</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sales commission</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6,050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3,794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14,881</w:t>
            </w:r>
          </w:p>
        </w:tc>
      </w:tr>
      <w:tr>
        <w:trPr>
          <w:trHeight w:val="210"/>
        </w:trPr>
        <w:tc>
          <w:tcPr>
            <w:tcW w:w="80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$0.01 par value; 20,000,000 shares authorized; 10,562,200 and 10,413,982 shares issued,</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5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26,851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26,256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17,110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other comprehensive earnings</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33,077 shares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0"/>
        </w:trPr>
        <w:tc>
          <w:tcPr>
            <w:tcW w:w="80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53,823</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29,225</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Selling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8,460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11,444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13,012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other charges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25,321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26,676</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 expense (benefit)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earnings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earnings (loss) per common share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10,256,560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10,373,164</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10,256,560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10,391,975</w:t>
            </w:r>
          </w:p>
        </w:tc>
      </w:tr>
      <w:tr>
        <w:trPr>
          <w:trHeight w:val="418"/>
        </w:trPr>
        <w:tc>
          <w:tcPr>
            <w:tcW w:w="8000" w:type="dxa"/>
            <w:vAlign w:val="bottom"/>
          </w:tcPr>
          <w:p>
            <w:pPr>
              <w:ind w:left="332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500"/>
              <w:spacing w:after="0"/>
              <w:rPr>
                <w:sz w:val="20"/>
                <w:szCs w:val="20"/>
                <w:color w:val="auto"/>
              </w:rPr>
            </w:pPr>
            <w:r>
              <w:rPr>
                <w:rFonts w:ascii="Arial" w:cs="Arial" w:eastAsia="Arial" w:hAnsi="Arial"/>
                <w:sz w:val="18"/>
                <w:szCs w:val="18"/>
                <w:color w:val="auto"/>
              </w:rPr>
              <w:t>F-4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7"/>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58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(895)</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r>
      <w:tr>
        <w:trPr>
          <w:trHeight w:val="216"/>
        </w:trPr>
        <w:tc>
          <w:tcPr>
            <w:tcW w:w="3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6"/>
              </w:rPr>
              <w:t>Foreign currency translation adjustments</w:t>
            </w:r>
          </w:p>
        </w:tc>
        <w:tc>
          <w:tcPr>
            <w:tcW w:w="4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r>
      <w:tr>
        <w:trPr>
          <w:trHeight w:val="210"/>
        </w:trPr>
        <w:tc>
          <w:tcPr>
            <w:tcW w:w="316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 (loss)</w:t>
            </w:r>
          </w:p>
        </w:tc>
        <w:tc>
          <w:tcPr>
            <w:tcW w:w="48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r>
      <w:tr>
        <w:trPr>
          <w:trHeight w:val="413"/>
        </w:trPr>
        <w:tc>
          <w:tcPr>
            <w:tcW w:w="3160" w:type="dxa"/>
            <w:vAlign w:val="bottom"/>
            <w:tcBorders>
              <w:top w:val="single" w:sz="8" w:color="CCEEFF"/>
            </w:tcBorders>
          </w:tcPr>
          <w:p>
            <w:pPr>
              <w:spacing w:after="0"/>
              <w:rPr>
                <w:sz w:val="24"/>
                <w:szCs w:val="24"/>
                <w:color w:val="auto"/>
              </w:rPr>
            </w:pPr>
          </w:p>
        </w:tc>
        <w:tc>
          <w:tcPr>
            <w:tcW w:w="4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5820" w:type="dxa"/>
            <w:vAlign w:val="bottom"/>
            <w:gridSpan w:val="2"/>
          </w:tcPr>
          <w:p>
            <w:pPr>
              <w:jc w:val="right"/>
              <w:ind w:right="3150"/>
              <w:spacing w:after="0"/>
              <w:rPr>
                <w:sz w:val="20"/>
                <w:szCs w:val="20"/>
                <w:color w:val="auto"/>
              </w:rPr>
            </w:pPr>
            <w:r>
              <w:rPr>
                <w:rFonts w:ascii="Arial" w:cs="Arial" w:eastAsia="Arial" w:hAnsi="Arial"/>
                <w:sz w:val="18"/>
                <w:szCs w:val="18"/>
                <w:color w:val="auto"/>
              </w:rPr>
              <w:t>F-5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2140" w:type="dxa"/>
            <w:vAlign w:val="bottom"/>
            <w:gridSpan w:val="6"/>
            <w:vMerge w:val="restart"/>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Retained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Earnings</w:t>
            </w: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10,523,035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132,580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Repurchase and retirement of common</w:t>
            </w: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(229,308)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7"/>
        </w:trPr>
        <w:tc>
          <w:tcPr>
            <w:tcW w:w="3180" w:type="dxa"/>
            <w:vAlign w:val="bottom"/>
          </w:tcPr>
          <w:p>
            <w:pPr>
              <w:spacing w:after="0"/>
              <w:rPr>
                <w:sz w:val="20"/>
                <w:szCs w:val="20"/>
                <w:color w:val="auto"/>
              </w:rPr>
            </w:pPr>
            <w:r>
              <w:rPr>
                <w:rFonts w:ascii="Arial" w:cs="Arial" w:eastAsia="Arial" w:hAnsi="Arial"/>
                <w:sz w:val="18"/>
                <w:szCs w:val="18"/>
                <w:color w:val="auto"/>
              </w:rPr>
              <w:t>stock</w:t>
            </w: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10,413,982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26,256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18,005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(895)</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229,110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(67,125)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and retirement of common</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(13,767)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10,562,200</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5820" w:type="dxa"/>
            <w:vAlign w:val="bottom"/>
            <w:gridSpan w:val="17"/>
          </w:tcPr>
          <w:p>
            <w:pPr>
              <w:jc w:val="right"/>
              <w:ind w:right="1100"/>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680"/>
              <w:spacing w:after="0"/>
              <w:rPr>
                <w:sz w:val="20"/>
                <w:szCs w:val="20"/>
                <w:color w:val="auto"/>
              </w:rPr>
            </w:pPr>
            <w:r>
              <w:rPr>
                <w:rFonts w:ascii="Arial" w:cs="Arial" w:eastAsia="Arial" w:hAnsi="Arial"/>
                <w:sz w:val="18"/>
                <w:szCs w:val="18"/>
                <w:color w:val="auto"/>
                <w:w w:val="81"/>
              </w:rPr>
              <w:t>F-6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8"/>
              </w:rPr>
              <w:t>inTEST CORPORATION</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jc w:val="center"/>
              <w:ind w:left="3150"/>
              <w:spacing w:after="0"/>
              <w:rPr>
                <w:sz w:val="20"/>
                <w:szCs w:val="20"/>
                <w:color w:val="auto"/>
              </w:rPr>
            </w:pPr>
            <w:r>
              <w:rPr>
                <w:rFonts w:ascii="Arial" w:cs="Arial" w:eastAsia="Arial" w:hAnsi="Arial"/>
                <w:sz w:val="18"/>
                <w:szCs w:val="18"/>
                <w:color w:val="auto"/>
                <w:w w:val="90"/>
              </w:rPr>
              <w:t>(In thousands)</w:t>
            </w:r>
          </w:p>
        </w:tc>
        <w:tc>
          <w:tcPr>
            <w:tcW w:w="940" w:type="dxa"/>
            <w:vAlign w:val="bottom"/>
          </w:tcPr>
          <w:p>
            <w:pPr>
              <w:spacing w:after="0"/>
              <w:rPr>
                <w:sz w:val="20"/>
                <w:szCs w:val="20"/>
                <w:color w:val="auto"/>
              </w:rPr>
            </w:pPr>
          </w:p>
        </w:tc>
        <w:tc>
          <w:tcPr>
            <w:tcW w:w="1220" w:type="dxa"/>
            <w:vAlign w:val="bottom"/>
            <w:gridSpan w:val="4"/>
            <w:vMerge w:val="restart"/>
          </w:tcPr>
          <w:p>
            <w:pPr>
              <w:jc w:val="right"/>
              <w:ind w:right="100"/>
              <w:spacing w:after="0"/>
              <w:rPr>
                <w:sz w:val="20"/>
                <w:szCs w:val="20"/>
                <w:color w:val="auto"/>
              </w:rPr>
            </w:pPr>
            <w:r>
              <w:rPr>
                <w:rFonts w:ascii="Arial" w:cs="Arial" w:eastAsia="Arial" w:hAnsi="Arial"/>
                <w:sz w:val="18"/>
                <w:szCs w:val="18"/>
                <w:b w:val="1"/>
                <w:bCs w:val="1"/>
                <w:color w:val="auto"/>
              </w:rPr>
              <w:t>Years Ended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7"/>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earnings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(loss) to net cash provided by (used in)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3,174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Impairment of right of use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Payment of earnout related to Ambrell acquisition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Foreign exchange loss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Proceeds from sale of demonstration equipment, net of gain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Trade accounts receivable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Restricted certificates of deposit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wages and benefits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professional fees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Customer deposits and deferred revenue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sales commission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Domestic and foreign income taxes payable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current liabilities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Paycheck Protection Program loans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Repayments of Paycheck Protection Program loans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Repayments of revolving credit facility</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all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10,277</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Cash payments for:</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Issuance of unvested shares of restricted stock</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971</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 of unvested shares of restricted stock</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3" w:name="page44"/>
    <w:bookmarkEnd w:id="43"/>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2" w:hanging="492"/>
        <w:spacing w:after="0"/>
        <w:tabs>
          <w:tab w:leader="none" w:pos="49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492"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are a global supplier of innovative test and process solutions for use in manufacturing and testing across a wide range of markets including automotive, defense/aerospace, industrial, medical, semiconductor and telecommunications. We manage our business as two operating segments which are also our reportable segments and reporting units: Thermal Products ("Thermal") and Electromechanical Solutions ("EMS"). Our Thermal segment designs, manufactures and sells our thermal test and thermal process products while our EMS segment designs, manufactures and sells our semiconductor test products. We manufacture our products in the U.S. Marketing and support activities are conducted worldwide from our facilities in the U.S., Germany, Singapore, the Netherlands and the U.K. The consolidated entity is comprised of inTEST Corporation and our wholly-owned subsidiaries.</w:t>
      </w:r>
    </w:p>
    <w:p>
      <w:pPr>
        <w:spacing w:after="0" w:line="194" w:lineRule="exact"/>
        <w:rPr>
          <w:rFonts w:ascii="Arial" w:cs="Arial" w:eastAsia="Arial" w:hAnsi="Arial"/>
          <w:sz w:val="18"/>
          <w:szCs w:val="18"/>
          <w:b w:val="1"/>
          <w:bCs w:val="1"/>
          <w:color w:val="auto"/>
        </w:rPr>
      </w:pPr>
    </w:p>
    <w:p>
      <w:pPr>
        <w:ind w:left="49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Our EMS segment sells its products to semiconductor manufacturers and third-party test and assembly houses (end user sales) and to automated test equipment (“ATE”) manufacturers (original equipment manufacturer (“OEM”) sales), who ultimately resell our equipment with theirs to both semiconductor manufacturers and third-party test and assembly houses. These sales all fall within the ATE sector of the broader semiconductor market. Our Thermal segment sells its products to many of these same types of customers; however, it also sells to customers in the wafer processing sector within the broader semiconductor market and to customers in a variety of other markets outside the semiconductor market, including the automotive, defense/aerospace, industrial (including consumer products packaging, fiber optics and other sectors within the broader industrial market), medical and telecommunications markets.</w:t>
      </w:r>
    </w:p>
    <w:p>
      <w:pPr>
        <w:spacing w:after="0" w:line="177" w:lineRule="exact"/>
        <w:rPr>
          <w:rFonts w:ascii="Arial" w:cs="Arial" w:eastAsia="Arial" w:hAnsi="Arial"/>
          <w:sz w:val="18"/>
          <w:szCs w:val="18"/>
          <w:b w:val="1"/>
          <w:bCs w:val="1"/>
          <w:color w:val="auto"/>
        </w:rPr>
      </w:pPr>
    </w:p>
    <w:p>
      <w:pPr>
        <w:ind w:left="49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86" w:lineRule="exact"/>
        <w:rPr>
          <w:rFonts w:ascii="Arial" w:cs="Arial" w:eastAsia="Arial" w:hAnsi="Arial"/>
          <w:sz w:val="18"/>
          <w:szCs w:val="18"/>
          <w:b w:val="1"/>
          <w:bCs w:val="1"/>
          <w:color w:val="auto"/>
        </w:rPr>
      </w:pPr>
    </w:p>
    <w:p>
      <w:pPr>
        <w:ind w:left="492"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Historically, we referred to our markets as “Semiconductor” (which included both the broader semiconductor market as well as the more specialized ATE and wafer processing sectors within the broader semiconductor market), and “Non-Semiconductor” (which included all of the other markets we serve). Starting in the second quarter of 2019, we began referring to the broader semiconductor market, including the ATE and wafer processing sectors within that market, as the “Semi Market.” All other markets are designated as “Multimarket.” The Semi Market, which is the principal market in which we operate, is characterized by rapid technological change, competitive pricing pressures and cyclical as well as seasonal market patterns. This market is subject to significant economic downturns at various times.</w:t>
      </w:r>
    </w:p>
    <w:p>
      <w:pPr>
        <w:spacing w:after="0" w:line="177" w:lineRule="exact"/>
        <w:rPr>
          <w:rFonts w:ascii="Arial" w:cs="Arial" w:eastAsia="Arial" w:hAnsi="Arial"/>
          <w:sz w:val="18"/>
          <w:szCs w:val="18"/>
          <w:b w:val="1"/>
          <w:bCs w:val="1"/>
          <w:color w:val="auto"/>
        </w:rPr>
      </w:pPr>
    </w:p>
    <w:p>
      <w:pPr>
        <w:ind w:left="492" w:right="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Our financial results are affected by a wide variety of factors, including, but not limited to, general economic conditions worldwide and in the markets in which we operate, economic conditions specific to the Semi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44" w:name="page45"/>
    <w:bookmarkEnd w:id="44"/>
    <w:p>
      <w:pPr>
        <w:ind w:left="500"/>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5" w:lineRule="exact"/>
        <w:rPr>
          <w:sz w:val="20"/>
          <w:szCs w:val="20"/>
          <w:color w:val="auto"/>
        </w:rPr>
      </w:pPr>
    </w:p>
    <w:p>
      <w:pPr>
        <w:ind w:left="500"/>
        <w:spacing w:after="0" w:line="268" w:lineRule="auto"/>
        <w:rPr>
          <w:sz w:val="20"/>
          <w:szCs w:val="20"/>
          <w:color w:val="auto"/>
        </w:rPr>
      </w:pPr>
      <w:r>
        <w:rPr>
          <w:rFonts w:ascii="Arial" w:cs="Arial" w:eastAsia="Arial" w:hAnsi="Arial"/>
          <w:sz w:val="17"/>
          <w:szCs w:val="17"/>
          <w:color w:val="auto"/>
        </w:rPr>
        <w:t>Our net revenues from all of the markets we serve were significantly affected by COVID-19 during the first half of 2020. The impact of COVID-19 on our net revenues from the Semi Market was intensified during the first half of the year because our business operations were also being negatively affected by a global downturn in the Semi Market at that time. The Semi Market, from which approximately half of our net revenues are derived, entered a cyclical downturn in the beginning of 2019. During the first quarter of 2020, before the spread of COVID-19, we had started to see indications that the downturn was coming to an end. These indications included increased quoting activity and order levels for the first quarter of 2020 as compared to the fourth quarter of 2019. However, we believe COVID-19 delayed the recovery in the Semi Market as the increase in activity leveled off during late March 2020. Although we saw slightly increased order rates from our customers in the Semi Market during the second and third quarters of 2020, it was not until the fourth quarter of 2020 that we saw a significant increase in our orders from the Semi Market which we believe indicates that we have now entered the next cyclical upturn. During the fourth quarter of 2020, our orders from the Semi Market increased 53% sequentially and were 141% higher than in the fourth quarter of 2019, the low point of the prior cyclical downturn for the products that we sell. We believe the level of increase in our orders from the Semi Market during the fourth quarter of 2020 reflects a combination of increased demand in the market resulting from the interruption of the normal recovery in the Semi Market cycle caused by the onset of COVID-19 in the first half of 2020, as well as increased demand for semiconductors, generally. We believe this increase in demand is being driven both by changing technology as well as increased use of technology across all aspects of daily life, such as in devices that facilitate remote work and education, smart technology used in homes and businesses, the increase in the amount of integrated circuits used in the automotive industry and changes occurring in the telecommunications and mobility markets.</w:t>
      </w:r>
    </w:p>
    <w:p>
      <w:pPr>
        <w:spacing w:after="0" w:line="180" w:lineRule="exact"/>
        <w:rPr>
          <w:sz w:val="20"/>
          <w:szCs w:val="20"/>
          <w:color w:val="auto"/>
        </w:rPr>
      </w:pPr>
    </w:p>
    <w:p>
      <w:pPr>
        <w:ind w:left="500" w:right="20"/>
        <w:spacing w:after="0" w:line="290" w:lineRule="auto"/>
        <w:rPr>
          <w:sz w:val="20"/>
          <w:szCs w:val="20"/>
          <w:color w:val="auto"/>
        </w:rPr>
      </w:pPr>
      <w:r>
        <w:rPr>
          <w:rFonts w:ascii="Arial" w:cs="Arial" w:eastAsia="Arial" w:hAnsi="Arial"/>
          <w:sz w:val="16"/>
          <w:szCs w:val="16"/>
          <w:color w:val="auto"/>
        </w:rPr>
        <w:t>As of the date of this filing, all of our operations continue to be deemed “critical and essential business operations” under the various governmental COVID-19 mandates, which has allowed us to continue to operate our business with certain modifications. These modifications include a significant number of our employees working remotely. Such employees have been provided with the tools and technology necessary to do so. Additionally, we have implemented workplace safeguards designed to protect the health and well-being of our employees. Employees who remain in our facilities are following World Health Organization (“WHO”) and Centers for Disease Control and Prevention (“CDC”) recommended safety practices, as well as state and local directives. We have had occasions where one or more employees have contracted COVID-19 and entered our facilities while infected. To date, we have managed these occurrences with minimal disruption to our business while protecting other employees, but there can be no assurances that we can avoid similar occurrences in the future or, that in such cases, we can avoid significant disruption of our operations.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aftermarket service and support that we provide to our customers has been, and we expect may continue to be, adversely impacted by COVID-</w:t>
      </w:r>
    </w:p>
    <w:p>
      <w:pPr>
        <w:spacing w:after="0" w:line="46" w:lineRule="exact"/>
        <w:rPr>
          <w:sz w:val="20"/>
          <w:szCs w:val="20"/>
          <w:color w:val="auto"/>
        </w:rPr>
      </w:pPr>
    </w:p>
    <w:p>
      <w:pPr>
        <w:ind w:left="500" w:hanging="6"/>
        <w:spacing w:after="0" w:line="273" w:lineRule="auto"/>
        <w:tabs>
          <w:tab w:leader="none" w:pos="77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Specifically, the travel restrictions that remain in place, coupled with limitations on visitors into customer facilities, have resulted in the reduction or suspension of certain activities. The net revenues associated with these aftermarket service and support activities typically range from 8% to 10% of our consolidated net revenues. Although these net revenues returned to a more typical range during the third and fourth quarters of 2020, if the spread of COVID-19 or variations of the virus worsen, these revenues may be reduced in future periods.</w:t>
      </w:r>
    </w:p>
    <w:p>
      <w:pPr>
        <w:spacing w:after="0" w:line="176"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While the negative impact of COVID-19 on our business was reduced significantly in the second half of 2020, the spread of the virus or variants of the virus could worsen and one or more of our significant customers or suppliers could be impacted, or significant additional governmental regulations and restrictions could be imposed, thus negatively impacting our business in the future. As a result of our current level of working capital as well as the availability of our revolving credit facility, which is discussed in Note 10 to our consolidated financial statements, we currently expect to have sufficient liquidity to operate our business throughout 2021, as further described in this Report. Our revolving credit facility will mature on April 9, 2021.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right="6060" w:hanging="492"/>
        <w:spacing w:after="0" w:line="503" w:lineRule="auto"/>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9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Certain prior year amounts have been reclassified to be comparable with the current year's presentation.</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rFonts w:ascii="Arial" w:cs="Arial" w:eastAsia="Arial" w:hAnsi="Arial"/>
          <w:sz w:val="18"/>
          <w:szCs w:val="18"/>
          <w:b w:val="1"/>
          <w:bCs w:val="1"/>
          <w:color w:val="auto"/>
        </w:rPr>
      </w:pPr>
    </w:p>
    <w:p>
      <w:pPr>
        <w:ind w:left="50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year ended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accordance with the guidance in Accounting Standards Codification (“ASC”) Topic 420 (Exit or Disposal Cost Obligations),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right-of-use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Topic 842 (Leases), ASC Topic 360 (Property, Plant and Equipment) and ASC Topic 350 (Intangibles - Goodwill and Other).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Trade Accounts Receivable and Allowance for Doubtful Accounts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significant off-balance sheet credit exposure related to our customers. There was no bad debt expense recorded for the year ended December 31, 2020. We recorded bad debt expense of $3 for the year ended December 31, 2019. Cash flows from accounts receivable are recorded in operating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financial instruments, principally accounts receivable and accounts payable, are carried at cost which approximates fair value, due to the short maturities of the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two operating segments which are also our reporting units: Thermal and EMS. We account for goodwill and intangible assets in accordance with Accounting Standards Codification (“ASC”) Topic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8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46" w:name="page47"/>
    <w:bookmarkEnd w:id="46"/>
    <w:p>
      <w:pPr>
        <w:ind w:right="60"/>
        <w:spacing w:after="0" w:line="289" w:lineRule="auto"/>
        <w:rPr>
          <w:sz w:val="20"/>
          <w:szCs w:val="20"/>
          <w:color w:val="auto"/>
        </w:rPr>
      </w:pPr>
      <w:r>
        <w:rPr>
          <w:rFonts w:ascii="Arial" w:cs="Arial" w:eastAsia="Arial" w:hAnsi="Arial"/>
          <w:sz w:val="16"/>
          <w:szCs w:val="16"/>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9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Long-lived assets, which consist of finite-lived intangible assets, property and equipment and right-of-use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 global supplier of innovative test and process solutions for use in manufacturing and testing across a wide range of markets including automotive, defense/aerospace, industrial, medical, semiconductor and telecommunications. We sell thermal management products including ThermoStreams, ThermoChambers and process chillers, which we sell under our Temptronic, Sigma and Thermonics product lines, and Ambrell’s precision induction heating systems, including EKOHEAT and EASYHEAT products. We sell semiconductor ATE interface solutions which include manipulators, docking hardware and electrical interface products. We provide post-warranty service and support for the equipment we sell. We sell semiconductor ATE interface solutions and certain thermal management products to the Semi Market. We also sell our thermal management products to various other markets including the automotive, defense/aerospace, industrial, medical and telecommunications markets.</w:t>
      </w:r>
    </w:p>
    <w:p>
      <w:pPr>
        <w:spacing w:after="0" w:line="16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47" w:name="page48"/>
    <w:bookmarkEnd w:id="47"/>
    <w:p>
      <w:pPr>
        <w:ind w:right="12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Contracts with Customers</w:t>
      </w:r>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In very limited cases, we offer customers an option to separately purchase an extended warranty for certain of our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16 for further information about our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$444 and $391 for the years ended December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Machinery and equipment are stated at cost, except for machinery and equipment acquired in a business combination, which are stated at fair value at the time of acquisition. As previously discussed above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Total depreciation expense was $630 and $685 for the years ended December 31, 2020 and 2019, respectively.</w:t>
      </w:r>
    </w:p>
    <w:p>
      <w:pPr>
        <w:spacing w:after="0" w:line="17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financing lease liabilities. We do not currently have any financing leases.</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right of use assets is presented separately from the change in operating lease liabilities and is included in Depreciation and Amortization on our consolidated statements of cash flows.</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See “Effect of Recently Adopted Amendments to Authoritative Accounting Guidance” below and Note 8 for further disclosures regarding our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Funds Received</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leasing a new facility in Rochester, New York, which our subsidiary, Ambrell, occupied in May 2018, we entered into agreements with the city of Rochester and the state of New York under which we received grants totaling $463 to help offset a portion of the cost of the leasehold improvements we have made to this facility. In exchange for the funds we received under these agreements, we are required to create and maintain specified levels of employment in this location through various dates ending in 2023. If we fail to meet these employment targets, we may be required to repay a proportionate share of the proceeds. As of December 31, 2020, $423 of the total proceeds received could still be required to be repaid if we do not meet the targets. We have recorded this amount as a contingent liability which is included in other liabilities on our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$27 at December 31, 2020.</w:t>
      </w:r>
    </w:p>
    <w:p>
      <w:pPr>
        <w:spacing w:after="0" w:line="18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49" w:name="page50"/>
    <w:bookmarkEnd w:id="49"/>
    <w:p>
      <w:pPr>
        <w:ind w:left="500"/>
        <w:spacing w:after="0" w:line="279" w:lineRule="auto"/>
        <w:rPr>
          <w:sz w:val="20"/>
          <w:szCs w:val="20"/>
          <w:color w:val="auto"/>
        </w:rPr>
      </w:pPr>
      <w:r>
        <w:rPr>
          <w:rFonts w:ascii="Arial" w:cs="Arial" w:eastAsia="Arial" w:hAnsi="Arial"/>
          <w:sz w:val="17"/>
          <w:szCs w:val="17"/>
          <w:color w:val="auto"/>
        </w:rPr>
        <w:t>As of December 31, 2020, we were not in compliance with the employment targets as specified in the grant agreement with the city of Rochester. We applied for and received a waiver of this requirement for the year ended December 31, 2020. We have until December 31, 2021 to come into compliance with the targets as outlined in the waiver received for the year ended December 31, 2020. If we do not achieve compliance, we will need to apply for an additional waiver or we may be required to repay a proportionate share of the proceeds.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jc w:val="both"/>
        <w:ind w:left="500" w:right="12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13.</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25" w:lineRule="exact"/>
        <w:rPr>
          <w:sz w:val="20"/>
          <w:szCs w:val="20"/>
          <w:color w:val="auto"/>
        </w:rPr>
      </w:pPr>
    </w:p>
    <w:p>
      <w:pPr>
        <w:ind w:left="500" w:right="80"/>
        <w:spacing w:after="0" w:line="277"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225"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color w:val="auto"/>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2020 and 2019, foreign currency transaction losses were $26 and $3, respectively.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00" w:right="40"/>
        <w:spacing w:after="0" w:line="272" w:lineRule="auto"/>
        <w:rPr>
          <w:sz w:val="20"/>
          <w:szCs w:val="20"/>
          <w:color w:val="auto"/>
        </w:rPr>
      </w:pPr>
      <w:r>
        <w:rPr>
          <w:rFonts w:ascii="Arial" w:cs="Arial" w:eastAsia="Arial" w:hAnsi="Arial"/>
          <w:sz w:val="17"/>
          <w:szCs w:val="17"/>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 See Note 11 for additional information regarding income taxes.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both"/>
        <w:ind w:left="500" w:right="260"/>
        <w:spacing w:after="0" w:line="263"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2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9"/>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20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88"/>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10,256,560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10,373,164</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Unvested shares of restricted stock and employee stock options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18,811</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 outstanding–diluted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10,256,560</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10,391,975</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500" w:type="dxa"/>
            <w:vAlign w:val="bottom"/>
          </w:tcPr>
          <w:p>
            <w:pPr>
              <w:spacing w:after="0"/>
              <w:rPr>
                <w:sz w:val="20"/>
                <w:szCs w:val="20"/>
                <w:color w:val="auto"/>
              </w:rPr>
            </w:pPr>
          </w:p>
        </w:tc>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number of potentially dilutive securities excluded from calculation</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717,015</w:t>
            </w: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523,485</w:t>
            </w:r>
          </w:p>
        </w:tc>
        <w:tc>
          <w:tcPr>
            <w:tcW w:w="80" w:type="dxa"/>
            <w:vAlign w:val="bottom"/>
          </w:tcPr>
          <w:p>
            <w:pPr>
              <w:spacing w:after="0"/>
              <w:rPr>
                <w:sz w:val="20"/>
                <w:szCs w:val="20"/>
                <w:color w:val="auto"/>
              </w:rPr>
            </w:pPr>
          </w:p>
        </w:tc>
      </w:tr>
      <w:tr>
        <w:trPr>
          <w:trHeight w:val="413"/>
        </w:trPr>
        <w:tc>
          <w:tcPr>
            <w:tcW w:w="500" w:type="dxa"/>
            <w:vAlign w:val="bottom"/>
          </w:tcPr>
          <w:p>
            <w:pPr>
              <w:spacing w:after="0"/>
              <w:rPr>
                <w:sz w:val="24"/>
                <w:szCs w:val="24"/>
                <w:color w:val="auto"/>
              </w:rPr>
            </w:pPr>
          </w:p>
        </w:tc>
        <w:tc>
          <w:tcPr>
            <w:tcW w:w="7360" w:type="dxa"/>
            <w:vAlign w:val="bottom"/>
            <w:tcBorders>
              <w:top w:val="single" w:sz="8" w:color="CCEEFF"/>
            </w:tcBorders>
          </w:tcPr>
          <w:p>
            <w:pPr>
              <w:ind w:left="4960"/>
              <w:spacing w:after="0"/>
              <w:rPr>
                <w:sz w:val="20"/>
                <w:szCs w:val="20"/>
                <w:color w:val="auto"/>
              </w:rPr>
            </w:pPr>
            <w:r>
              <w:rPr>
                <w:rFonts w:ascii="Arial" w:cs="Arial" w:eastAsia="Arial" w:hAnsi="Arial"/>
                <w:sz w:val="18"/>
                <w:szCs w:val="18"/>
                <w:color w:val="auto"/>
              </w:rPr>
              <w:t>F-14</w:t>
            </w:r>
          </w:p>
        </w:tc>
        <w:tc>
          <w:tcPr>
            <w:tcW w:w="1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73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50" w:name="page51"/>
    <w:bookmarkEnd w:id="50"/>
    <w:p>
      <w:pPr>
        <w:ind w:left="492"/>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492" w:right="340"/>
        <w:spacing w:after="0" w:line="290" w:lineRule="auto"/>
        <w:rPr>
          <w:sz w:val="20"/>
          <w:szCs w:val="20"/>
          <w:color w:val="auto"/>
        </w:rPr>
      </w:pPr>
      <w:r>
        <w:rPr>
          <w:rFonts w:ascii="Arial" w:cs="Arial" w:eastAsia="Arial" w:hAnsi="Arial"/>
          <w:sz w:val="16"/>
          <w:szCs w:val="16"/>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are currently evaluating the impact the adoption of these amendments will have on our consolidated financial statements.</w:t>
      </w:r>
    </w:p>
    <w:p>
      <w:pPr>
        <w:spacing w:after="0" w:line="165" w:lineRule="exact"/>
        <w:rPr>
          <w:sz w:val="20"/>
          <w:szCs w:val="20"/>
          <w:color w:val="auto"/>
        </w:rPr>
      </w:pPr>
    </w:p>
    <w:p>
      <w:pPr>
        <w:ind w:left="492"/>
        <w:spacing w:after="0" w:line="301" w:lineRule="auto"/>
        <w:rPr>
          <w:sz w:val="20"/>
          <w:szCs w:val="20"/>
          <w:color w:val="auto"/>
        </w:rPr>
      </w:pPr>
      <w:r>
        <w:rPr>
          <w:rFonts w:ascii="Arial" w:cs="Arial" w:eastAsia="Arial" w:hAnsi="Arial"/>
          <w:sz w:val="16"/>
          <w:szCs w:val="16"/>
          <w:color w:val="auto"/>
        </w:rPr>
        <w:t>In December 2019, the FASB issued amendments to the accounting for income taxes, which add new guidance to simplify the accounting for income taxes by removing certain exceptions to the general principles in ASC Topic 740 (Income Taxes) and changing the accounting for certain income tax transactions. The amendments are effective for us as of January 1, 2021. Early adoption is permitted. We plan to adopt the amendments when they become effective for us on January 1, 2021. We do not expect these amendments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92" w:hanging="492"/>
        <w:spacing w:after="0"/>
        <w:tabs>
          <w:tab w:leader="none" w:pos="49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EMS Segment Restructuring and Facility Consolidation</w:t>
      </w:r>
    </w:p>
    <w:p>
      <w:pPr>
        <w:spacing w:after="0" w:line="225" w:lineRule="exact"/>
        <w:rPr>
          <w:rFonts w:ascii="Arial" w:cs="Arial" w:eastAsia="Arial" w:hAnsi="Arial"/>
          <w:sz w:val="18"/>
          <w:szCs w:val="18"/>
          <w:b w:val="1"/>
          <w:bCs w:val="1"/>
          <w:color w:val="auto"/>
        </w:rPr>
      </w:pPr>
    </w:p>
    <w:p>
      <w:pPr>
        <w:ind w:left="492" w:right="1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September 21, 2020, we notified employees in our Fremont, California facility of a plan to consolidate all manufacturing for our EMS segment into our manufacturing operations located in Mt. Laurel, New Jersey. The consolidation was substantially completed during the fourth quarter of 2020 and resulted in the termination of certain employees at the Fremont location. Prior to the consolidation, our interface products were manufactured in the Fremont facility, and our manipulator and docking hardware products were manufactured in the Mt. Laurel facility. The consolidation was undertaken to better serve customers through streamlined operations and reduce the fixed annual operating costs for the EMS segment. A small engineering and sales office will be maintained in northern California.</w:t>
      </w:r>
    </w:p>
    <w:p>
      <w:pPr>
        <w:spacing w:after="0" w:line="177" w:lineRule="exact"/>
        <w:rPr>
          <w:rFonts w:ascii="Arial" w:cs="Arial" w:eastAsia="Arial" w:hAnsi="Arial"/>
          <w:sz w:val="18"/>
          <w:szCs w:val="18"/>
          <w:b w:val="1"/>
          <w:bCs w:val="1"/>
          <w:color w:val="auto"/>
        </w:rPr>
      </w:pPr>
    </w:p>
    <w:p>
      <w:pPr>
        <w:ind w:left="492"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a result of this action, we incurred charges for severance and other one-time termination benefits, other associated costs, including moving and production start-up costs, and charges related to exiting the facility, including an impairment charge related to the ROU asset for the lease of the Fremont facility. The total costs incurred in 2020 related to this action were $903. We expect to incur additional charges in the first half of 2021 as we finalize the integration of the manufacturing operations. These additional costs are expected to range from $100 to $150. We intend to try to sublease our facility located in Fremont, California. When manufacturing operations ceased in the Fremont facility on December 28, 2020, we recorded a non-cash impairment charge of $522 related to the ROU asset for the lease of the Fremont facility as we do not currently expect to sublet the facility for the full remaining term of the lease. As of December 31, 2020, after recording the impairment charge, the ROU asset related to this facility totaled $597.</w:t>
      </w:r>
    </w:p>
    <w:p>
      <w:pPr>
        <w:spacing w:after="0" w:line="191" w:lineRule="exact"/>
        <w:rPr>
          <w:rFonts w:ascii="Arial" w:cs="Arial" w:eastAsia="Arial" w:hAnsi="Arial"/>
          <w:sz w:val="18"/>
          <w:szCs w:val="18"/>
          <w:b w:val="1"/>
          <w:bCs w:val="1"/>
          <w:color w:val="auto"/>
        </w:rPr>
      </w:pPr>
    </w:p>
    <w:p>
      <w:pPr>
        <w:jc w:val="both"/>
        <w:ind w:left="492"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Details of the cash and non-cash charges recorded during the year ended December 31, 2020 related to the EMS segment restructuring and facility consolidation are below. These costs are included in restructuring and other charges on our consolidated statement of operations for the year ended December 31. 2020.</w:t>
      </w:r>
    </w:p>
    <w:p>
      <w:pPr>
        <w:spacing w:after="0" w:line="180" w:lineRule="exact"/>
        <w:rPr>
          <w:sz w:val="20"/>
          <w:szCs w:val="20"/>
          <w:color w:val="auto"/>
        </w:rPr>
      </w:pPr>
    </w:p>
    <w:tbl>
      <w:tblPr>
        <w:tblLayout w:type="fixed"/>
        <w:tblInd w:w="492"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Cash</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Non-Cash</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r>
      <w:tr>
        <w:trPr>
          <w:trHeight w:val="234"/>
        </w:trPr>
        <w:tc>
          <w:tcPr>
            <w:tcW w:w="4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Charges</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Charges</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Charges</w:t>
            </w:r>
          </w:p>
        </w:tc>
        <w:tc>
          <w:tcPr>
            <w:tcW w:w="100" w:type="dxa"/>
            <w:vAlign w:val="bottom"/>
          </w:tcPr>
          <w:p>
            <w:pPr>
              <w:spacing w:after="0"/>
              <w:rPr>
                <w:sz w:val="20"/>
                <w:szCs w:val="20"/>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other one-time termination benefits</w:t>
            </w:r>
          </w:p>
        </w:tc>
        <w:tc>
          <w:tcPr>
            <w:tcW w:w="18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180" w:type="dxa"/>
            <w:vAlign w:val="bottom"/>
            <w:shd w:val="clear" w:color="auto" w:fill="CCEEFF"/>
          </w:tcPr>
          <w:p>
            <w:pPr>
              <w:jc w:val="right"/>
              <w:ind w:right="1018"/>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associated costs</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11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ROU asset</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Costs related to subletting the Fremont, CA facility</w:t>
            </w:r>
          </w:p>
        </w:tc>
        <w:tc>
          <w:tcPr>
            <w:tcW w:w="7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153</w:t>
            </w:r>
          </w:p>
        </w:tc>
        <w:tc>
          <w:tcPr>
            <w:tcW w:w="1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1180" w:type="dxa"/>
            <w:vAlign w:val="bottom"/>
            <w:shd w:val="clear" w:color="auto" w:fill="CCEEFF"/>
          </w:tcPr>
          <w:p>
            <w:pPr>
              <w:jc w:val="right"/>
              <w:ind w:right="1018"/>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r>
      <w:tr>
        <w:trPr>
          <w:trHeight w:val="20"/>
        </w:trPr>
        <w:tc>
          <w:tcPr>
            <w:tcW w:w="4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92"/>
        <w:spacing w:after="0"/>
        <w:rPr>
          <w:sz w:val="20"/>
          <w:szCs w:val="20"/>
          <w:color w:val="auto"/>
        </w:rPr>
      </w:pPr>
      <w:r>
        <w:rPr>
          <w:rFonts w:ascii="Arial" w:cs="Arial" w:eastAsia="Arial" w:hAnsi="Arial"/>
          <w:sz w:val="18"/>
          <w:szCs w:val="18"/>
          <w:b w:val="1"/>
          <w:bCs w:val="1"/>
          <w:i w:val="1"/>
          <w:iCs w:val="1"/>
          <w:u w:val="single" w:color="auto"/>
          <w:color w:val="auto"/>
        </w:rPr>
        <w:t>Executive Management Changes</w:t>
      </w:r>
    </w:p>
    <w:p>
      <w:pPr>
        <w:spacing w:after="0" w:line="225" w:lineRule="exact"/>
        <w:rPr>
          <w:sz w:val="20"/>
          <w:szCs w:val="20"/>
          <w:color w:val="auto"/>
        </w:rPr>
      </w:pPr>
    </w:p>
    <w:p>
      <w:pPr>
        <w:ind w:left="492" w:right="40"/>
        <w:spacing w:after="0" w:line="275" w:lineRule="auto"/>
        <w:rPr>
          <w:sz w:val="20"/>
          <w:szCs w:val="20"/>
          <w:color w:val="auto"/>
        </w:rPr>
      </w:pPr>
      <w:r>
        <w:rPr>
          <w:rFonts w:ascii="Arial" w:cs="Arial" w:eastAsia="Arial" w:hAnsi="Arial"/>
          <w:sz w:val="17"/>
          <w:szCs w:val="17"/>
          <w:color w:val="auto"/>
        </w:rPr>
        <w:t>On August 6, 2020, James Pelrin resigned as President and Chief Executive Officer (“CEO”) and as a director. In connection with his resignation, we entered into a Separation and Consulting Agreement (the “Separation Agreement”) with Mr. Pelrin dated August 6, 2020 pursuant to which Mr. Pelrin agreed to provide consulting services for three months, subject to an extension of up to an additional three months at our option. The Separation Agreement also provides that Mr. Pelrin is entitled to severance and other benefits. The Separation Agreement is included as Exhibit 10.1 to our Current Report on Form 8-K (“8-K”) filed on August 11, 2020 with the SEC.</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51" w:name="page52"/>
    <w:bookmarkEnd w:id="51"/>
    <w:p>
      <w:pPr>
        <w:ind w:left="500" w:right="100"/>
        <w:spacing w:after="0" w:line="301" w:lineRule="auto"/>
        <w:rPr>
          <w:sz w:val="20"/>
          <w:szCs w:val="20"/>
          <w:color w:val="auto"/>
        </w:rPr>
      </w:pPr>
      <w:r>
        <w:rPr>
          <w:rFonts w:ascii="Arial" w:cs="Arial" w:eastAsia="Arial" w:hAnsi="Arial"/>
          <w:sz w:val="16"/>
          <w:szCs w:val="16"/>
          <w:color w:val="auto"/>
        </w:rPr>
        <w:t>On August 6, 2020, our Board of Directors approved, effective as of August 24, 2020 (the “Start Date”), the appointment of Richard N. Grant, Jr. to the position of President and CEO and to fill the vacancy on our Board of Directors left by Mr. Pelrin’s resignation. We entered into a letter agreement with Mr. Grant, subject to his appointment as our President, CEO and a director, which appointments occurred on August 6, 2020 and became effective as of the Start Date. The letter agreement is included as Exhibit 10.2 to our 8-K filed on August 11, 2020 with the SEC.</w:t>
      </w:r>
    </w:p>
    <w:p>
      <w:pPr>
        <w:spacing w:after="0" w:line="157"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Total costs incurred during the year ended December 31, 2020 related to these executive management changes were $514, which consisted of fees for the executive management search firm, legal fees related to the transition, and severance and consulting fees paid to our former CEO. These costs were partially offset by the reversal of $117 of expense related to stock-based compensation awards forfeited at his termination date by our former CEO.</w:t>
      </w:r>
    </w:p>
    <w:p>
      <w:pPr>
        <w:spacing w:after="0" w:line="187" w:lineRule="exact"/>
        <w:rPr>
          <w:sz w:val="20"/>
          <w:szCs w:val="20"/>
          <w:color w:val="auto"/>
        </w:rPr>
      </w:pPr>
    </w:p>
    <w:p>
      <w:pPr>
        <w:ind w:left="500" w:right="140"/>
        <w:spacing w:after="0" w:line="273" w:lineRule="auto"/>
        <w:rPr>
          <w:sz w:val="20"/>
          <w:szCs w:val="20"/>
          <w:color w:val="auto"/>
        </w:rPr>
      </w:pPr>
      <w:r>
        <w:rPr>
          <w:rFonts w:ascii="Arial" w:cs="Arial" w:eastAsia="Arial" w:hAnsi="Arial"/>
          <w:sz w:val="17"/>
          <w:szCs w:val="17"/>
          <w:color w:val="auto"/>
        </w:rPr>
        <w:t>In addition, in connection with these actions, we have reduced the administrative footprint in our Mansfield, Massachusetts corporate office associated with the reestablishment of the Mt. Laurel, New Jersey office as our corporate headquarters. We recorded a non-cash impairment charge of $90 during the fourth quarter of 2020 related to the ROU asset associated with the lease of the corporate space in Mansfield and a cash charge of $99 for other costs related to reducing the size of this facility. We intend to try to sublease this space, but we do not currently expect to sublet it for the full remaining term of the lease. As of December 31, 2020, after recording the impairment charge, the ROU asset related to this space totaled $139. We do not expect to incur any additional costs related to these actions after December 31, 2020.</w:t>
      </w:r>
    </w:p>
    <w:p>
      <w:pPr>
        <w:spacing w:after="0" w:line="178" w:lineRule="exact"/>
        <w:rPr>
          <w:sz w:val="20"/>
          <w:szCs w:val="20"/>
          <w:color w:val="auto"/>
        </w:rPr>
      </w:pPr>
    </w:p>
    <w:p>
      <w:pPr>
        <w:ind w:left="500" w:right="80"/>
        <w:spacing w:after="0" w:line="301" w:lineRule="auto"/>
        <w:rPr>
          <w:sz w:val="20"/>
          <w:szCs w:val="20"/>
          <w:color w:val="auto"/>
        </w:rPr>
      </w:pPr>
      <w:r>
        <w:rPr>
          <w:rFonts w:ascii="Arial" w:cs="Arial" w:eastAsia="Arial" w:hAnsi="Arial"/>
          <w:sz w:val="16"/>
          <w:szCs w:val="16"/>
          <w:color w:val="auto"/>
        </w:rPr>
        <w:t>Details of the cash and non-cash charges recorded during the year ended December 31, 2020 related to these actions are below. These severance and one-time termination benefits, the impairment charge and the costs associated with subletting the facility in Mansfield are included in restructuring and other charges on our consolidated statement of operations for the year ended December 31. 2020. The other associated costs in the table below are included in general and administrative expense on our consolidated statement of operations for the year ended December 31, 2020.</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Cash</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b w:val="1"/>
                <w:bCs w:val="1"/>
                <w:color w:val="auto"/>
              </w:rPr>
              <w:t>Non-Cash</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r>
      <w:tr>
        <w:trPr>
          <w:trHeight w:val="234"/>
        </w:trPr>
        <w:tc>
          <w:tcPr>
            <w:tcW w:w="4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Charges</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Charges</w:t>
            </w:r>
          </w:p>
        </w:tc>
        <w:tc>
          <w:tcPr>
            <w:tcW w:w="2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Charges</w:t>
            </w:r>
          </w:p>
        </w:tc>
        <w:tc>
          <w:tcPr>
            <w:tcW w:w="100" w:type="dxa"/>
            <w:vAlign w:val="bottom"/>
          </w:tcPr>
          <w:p>
            <w:pPr>
              <w:spacing w:after="0"/>
              <w:rPr>
                <w:sz w:val="20"/>
                <w:szCs w:val="20"/>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Severance and other one-time termination benefits</w:t>
            </w:r>
          </w:p>
        </w:tc>
        <w:tc>
          <w:tcPr>
            <w:tcW w:w="178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240" w:type="dxa"/>
            <w:vAlign w:val="bottom"/>
            <w:shd w:val="clear" w:color="auto" w:fill="CCEEFF"/>
          </w:tcPr>
          <w:p>
            <w:pPr>
              <w:jc w:val="right"/>
              <w:ind w:right="1078"/>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associated costs</w:t>
            </w: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12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ROU asset</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Costs related to subletting the Mansfield, MA facility</w:t>
            </w:r>
          </w:p>
        </w:tc>
        <w:tc>
          <w:tcPr>
            <w:tcW w:w="6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99</w:t>
            </w:r>
          </w:p>
        </w:tc>
        <w:tc>
          <w:tcPr>
            <w:tcW w:w="1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w:t>
            </w:r>
          </w:p>
        </w:tc>
        <w:tc>
          <w:tcPr>
            <w:tcW w:w="1240" w:type="dxa"/>
            <w:vAlign w:val="bottom"/>
            <w:shd w:val="clear" w:color="auto" w:fill="CCEEFF"/>
          </w:tcPr>
          <w:p>
            <w:pPr>
              <w:jc w:val="right"/>
              <w:ind w:right="1078"/>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r>
      <w:tr>
        <w:trPr>
          <w:trHeight w:val="20"/>
        </w:trPr>
        <w:tc>
          <w:tcPr>
            <w:tcW w:w="4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Other Charges</w:t>
      </w:r>
    </w:p>
    <w:p>
      <w:pPr>
        <w:spacing w:after="0" w:line="225"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In addition to the charges discussed above, during 2020, we recorded cash charges for severance and other one-time termination benefits of $46 and other costs of $14 related to headcount reductions and employee relocation. The headcount reductions were primarily in our Thermal segment as a result of a slow-down in business activity early in the year. These costs are included in restructuring and other charges on our consolidated statement of operations for the year ended December 31. 2020.</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Consolidation of Ambrell</w:t>
      </w: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 European Operations</w:t>
      </w:r>
    </w:p>
    <w:p>
      <w:pPr>
        <w:spacing w:after="0" w:line="225" w:lineRule="exact"/>
        <w:rPr>
          <w:sz w:val="20"/>
          <w:szCs w:val="20"/>
          <w:color w:val="auto"/>
        </w:rPr>
      </w:pPr>
    </w:p>
    <w:p>
      <w:pPr>
        <w:ind w:left="500" w:right="40"/>
        <w:spacing w:after="0" w:line="263" w:lineRule="auto"/>
        <w:rPr>
          <w:sz w:val="20"/>
          <w:szCs w:val="20"/>
          <w:color w:val="auto"/>
        </w:rPr>
      </w:pPr>
      <w:r>
        <w:rPr>
          <w:rFonts w:ascii="Arial" w:cs="Arial" w:eastAsia="Arial" w:hAnsi="Arial"/>
          <w:sz w:val="18"/>
          <w:szCs w:val="18"/>
          <w:color w:val="auto"/>
        </w:rPr>
        <w:t>During the year ended December 31, 2019, we recorded $240 of restructuring and other charges which were primarily related to the consolidation of Ambrell’s European operations. These costs included severance and other one-time termination benefits of $137 and other costs related to the consolidation of $103.</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Accrued Restructuring</w:t>
      </w:r>
    </w:p>
    <w:p>
      <w:pPr>
        <w:spacing w:after="0" w:line="225" w:lineRule="exact"/>
        <w:rPr>
          <w:sz w:val="20"/>
          <w:szCs w:val="20"/>
          <w:color w:val="auto"/>
        </w:rPr>
      </w:pPr>
    </w:p>
    <w:p>
      <w:pPr>
        <w:ind w:left="500" w:right="80"/>
        <w:spacing w:after="0" w:line="277" w:lineRule="auto"/>
        <w:rPr>
          <w:sz w:val="20"/>
          <w:szCs w:val="20"/>
          <w:color w:val="auto"/>
        </w:rPr>
      </w:pPr>
      <w:r>
        <w:rPr>
          <w:rFonts w:ascii="Arial" w:cs="Arial" w:eastAsia="Arial" w:hAnsi="Arial"/>
          <w:sz w:val="18"/>
          <w:szCs w:val="18"/>
          <w:color w:val="auto"/>
        </w:rPr>
        <w:t>The liability for accrued restructuring charges is included in other current liabilities on our consolidated balance sheet. Changes in the amount of the liability for accrued restructuring for the years ended December 31, 2020 and 2019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Accruals for severance and other one-time termination benefits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Accruals for costs related to the consolidation of Ambrell’s European operations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payments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Accruals for severance and other one-time termination benefits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Accruals for costs related to subletting the Fremont, CA facility</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Accruals for costs related to subletting the Mansfield, MA facility</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Balance - December 31, 2020</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840" w:type="dxa"/>
            <w:vAlign w:val="bottom"/>
            <w:vMerge w:val="restart"/>
          </w:tcPr>
          <w:p>
            <w:pPr>
              <w:ind w:left="4960"/>
              <w:spacing w:after="0"/>
              <w:rPr>
                <w:sz w:val="20"/>
                <w:szCs w:val="20"/>
                <w:color w:val="auto"/>
              </w:rPr>
            </w:pPr>
            <w:r>
              <w:rPr>
                <w:rFonts w:ascii="Arial" w:cs="Arial" w:eastAsia="Arial" w:hAnsi="Arial"/>
                <w:sz w:val="18"/>
                <w:szCs w:val="18"/>
                <w:color w:val="auto"/>
              </w:rPr>
              <w:t>F-16</w:t>
            </w:r>
          </w:p>
        </w:tc>
        <w:tc>
          <w:tcPr>
            <w:tcW w:w="1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68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52" w:name="page53"/>
    <w:bookmarkEnd w:id="52"/>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rFonts w:ascii="Arial" w:cs="Arial" w:eastAsia="Arial" w:hAnsi="Arial"/>
          <w:sz w:val="18"/>
          <w:szCs w:val="18"/>
          <w:b w:val="1"/>
          <w:bCs w:val="1"/>
          <w:color w:val="auto"/>
        </w:rPr>
      </w:pPr>
    </w:p>
    <w:p>
      <w:pPr>
        <w:ind w:left="50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have two operating segments which are also our reporting units: Thermal and EMS. Goodwill and intangible assets on our balance sheets are the result of our acquisitions of Sigma Systems Corp. ("Sigma") in October 2008, Thermonics, Inc. ("Thermonics") in January 2012 and Ambrell in May 2017. All of our goodwill and intangible assets are allocated to our Thermal segment.</w:t>
      </w:r>
    </w:p>
    <w:p>
      <w:pPr>
        <w:spacing w:after="0" w:line="1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Arial" w:cs="Arial" w:eastAsia="Arial" w:hAnsi="Arial"/>
                <w:sz w:val="18"/>
                <w:szCs w:val="18"/>
                <w:color w:val="auto"/>
                <w:w w:val="99"/>
              </w:rPr>
              <w:t>Goodwill totaled $13,738 at both December 31, 2020 and 2019 and was comprised of the following:</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Sigma</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Thermonics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Ambrell</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 of the carrying value of finite-lived intangible assets for the years ended December 31, 2020 and 2019 are as follows:</w:t>
      </w:r>
    </w:p>
    <w:p>
      <w:pPr>
        <w:spacing w:after="0" w:line="25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3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Amortization</w:t>
            </w:r>
          </w:p>
        </w:tc>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(1,257)</w:t>
            </w:r>
          </w:p>
        </w:tc>
      </w:tr>
      <w:tr>
        <w:trPr>
          <w:trHeight w:val="20"/>
        </w:trPr>
        <w:tc>
          <w:tcPr>
            <w:tcW w:w="5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Amortization</w:t>
            </w:r>
          </w:p>
        </w:tc>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(1,233)</w:t>
            </w:r>
          </w:p>
        </w:tc>
      </w:tr>
      <w:tr>
        <w:trPr>
          <w:trHeight w:val="20"/>
        </w:trPr>
        <w:tc>
          <w:tcPr>
            <w:tcW w:w="5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3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w:t>
            </w:r>
          </w:p>
        </w:tc>
      </w:tr>
      <w:tr>
        <w:trPr>
          <w:trHeight w:val="20"/>
        </w:trPr>
        <w:tc>
          <w:tcPr>
            <w:tcW w:w="50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further detail about our intangible assets as of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191"/>
        </w:trPr>
        <w:tc>
          <w:tcPr>
            <w:tcW w:w="5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Accumulated</w:t>
            </w: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6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Amortization</w:t>
            </w: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64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38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680" w:type="dxa"/>
            <w:vAlign w:val="bottom"/>
            <w:gridSpan w:val="2"/>
          </w:tcPr>
          <w:p>
            <w:pPr>
              <w:jc w:val="center"/>
              <w:ind w:left="10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10,480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4,912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5,568</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3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Patents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3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3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13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680" w:type="dxa"/>
            <w:vAlign w:val="bottom"/>
            <w:gridSpan w:val="2"/>
          </w:tcPr>
          <w:p>
            <w:pPr>
              <w:jc w:val="center"/>
              <w:ind w:left="10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18,790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6,369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12,421</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Accumulated</w:t>
            </w: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6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Amortization</w:t>
            </w: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64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38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680" w:type="dxa"/>
            <w:vAlign w:val="bottom"/>
            <w:gridSpan w:val="2"/>
          </w:tcPr>
          <w:p>
            <w:pPr>
              <w:jc w:val="center"/>
              <w:ind w:left="10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10,480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3,805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3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Patents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541</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3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3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5,136</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13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680" w:type="dxa"/>
            <w:vAlign w:val="bottom"/>
            <w:gridSpan w:val="2"/>
          </w:tcPr>
          <w:p>
            <w:pPr>
              <w:jc w:val="center"/>
              <w:ind w:left="10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18,790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5,136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13,654</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80" w:type="dxa"/>
            <w:vAlign w:val="bottom"/>
            <w:gridSpan w:val="2"/>
          </w:tcPr>
          <w:p>
            <w:pPr>
              <w:jc w:val="center"/>
              <w:ind w:left="1090"/>
              <w:spacing w:after="0"/>
              <w:rPr>
                <w:sz w:val="20"/>
                <w:szCs w:val="20"/>
                <w:color w:val="auto"/>
              </w:rPr>
            </w:pPr>
            <w:r>
              <w:rPr>
                <w:rFonts w:ascii="Arial" w:cs="Arial" w:eastAsia="Arial" w:hAnsi="Arial"/>
                <w:sz w:val="18"/>
                <w:szCs w:val="18"/>
                <w:color w:val="auto"/>
                <w:w w:val="91"/>
              </w:rPr>
              <w:t>F-17</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53" w:name="page54"/>
    <w:bookmarkEnd w:id="53"/>
    <w:p>
      <w:pPr>
        <w:jc w:val="both"/>
        <w:ind w:right="240"/>
        <w:spacing w:after="0" w:line="263"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jc w:val="right"/>
              <w:ind w:right="670"/>
              <w:spacing w:after="0"/>
              <w:rPr>
                <w:sz w:val="20"/>
                <w:szCs w:val="20"/>
                <w:color w:val="auto"/>
              </w:rPr>
            </w:pPr>
            <w:r>
              <w:rPr>
                <w:rFonts w:ascii="Arial" w:cs="Arial" w:eastAsia="Arial" w:hAnsi="Arial"/>
                <w:sz w:val="18"/>
                <w:szCs w:val="18"/>
                <w:color w:val="auto"/>
                <w:w w:val="90"/>
              </w:rPr>
              <w:t>The following table sets forth the estimated annual amortization expense for each of the next five years:</w:t>
            </w: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7740" w:type="dxa"/>
            <w:vAlign w:val="bottom"/>
            <w:shd w:val="clear" w:color="auto" w:fill="CCEEFF"/>
          </w:tcPr>
          <w:p>
            <w:pPr>
              <w:jc w:val="right"/>
              <w:ind w:right="7290"/>
              <w:spacing w:after="0"/>
              <w:rPr>
                <w:sz w:val="20"/>
                <w:szCs w:val="20"/>
                <w:color w:val="auto"/>
              </w:rPr>
            </w:pPr>
            <w:r>
              <w:rPr>
                <w:rFonts w:ascii="Arial" w:cs="Arial" w:eastAsia="Arial" w:hAnsi="Arial"/>
                <w:sz w:val="18"/>
                <w:szCs w:val="18"/>
                <w:color w:val="auto"/>
                <w:w w:val="84"/>
              </w:rPr>
              <w:t>2021</w:t>
            </w:r>
          </w:p>
        </w:tc>
        <w:tc>
          <w:tcPr>
            <w:tcW w:w="13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7740" w:type="dxa"/>
            <w:vAlign w:val="bottom"/>
          </w:tcPr>
          <w:p>
            <w:pPr>
              <w:jc w:val="right"/>
              <w:ind w:right="7290"/>
              <w:spacing w:after="0"/>
              <w:rPr>
                <w:sz w:val="20"/>
                <w:szCs w:val="20"/>
                <w:color w:val="auto"/>
              </w:rPr>
            </w:pPr>
            <w:r>
              <w:rPr>
                <w:rFonts w:ascii="Arial" w:cs="Arial" w:eastAsia="Arial" w:hAnsi="Arial"/>
                <w:sz w:val="18"/>
                <w:szCs w:val="18"/>
                <w:color w:val="auto"/>
                <w:w w:val="84"/>
              </w:rPr>
              <w:t>2022</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7740" w:type="dxa"/>
            <w:vAlign w:val="bottom"/>
            <w:shd w:val="clear" w:color="auto" w:fill="CCEEFF"/>
          </w:tcPr>
          <w:p>
            <w:pPr>
              <w:jc w:val="right"/>
              <w:ind w:right="7290"/>
              <w:spacing w:after="0"/>
              <w:rPr>
                <w:sz w:val="20"/>
                <w:szCs w:val="20"/>
                <w:color w:val="auto"/>
              </w:rPr>
            </w:pPr>
            <w:r>
              <w:rPr>
                <w:rFonts w:ascii="Arial" w:cs="Arial" w:eastAsia="Arial" w:hAnsi="Arial"/>
                <w:sz w:val="18"/>
                <w:szCs w:val="18"/>
                <w:color w:val="auto"/>
                <w:w w:val="84"/>
              </w:rPr>
              <w:t>2023</w:t>
            </w:r>
          </w:p>
        </w:tc>
        <w:tc>
          <w:tcPr>
            <w:tcW w:w="13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7740" w:type="dxa"/>
            <w:vAlign w:val="bottom"/>
          </w:tcPr>
          <w:p>
            <w:pPr>
              <w:jc w:val="right"/>
              <w:ind w:right="7290"/>
              <w:spacing w:after="0"/>
              <w:rPr>
                <w:sz w:val="20"/>
                <w:szCs w:val="20"/>
                <w:color w:val="auto"/>
              </w:rPr>
            </w:pPr>
            <w:r>
              <w:rPr>
                <w:rFonts w:ascii="Arial" w:cs="Arial" w:eastAsia="Arial" w:hAnsi="Arial"/>
                <w:sz w:val="18"/>
                <w:szCs w:val="18"/>
                <w:color w:val="auto"/>
                <w:w w:val="84"/>
              </w:rPr>
              <w:t>2024</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7740" w:type="dxa"/>
            <w:vAlign w:val="bottom"/>
            <w:shd w:val="clear" w:color="auto" w:fill="CCEEFF"/>
          </w:tcPr>
          <w:p>
            <w:pPr>
              <w:jc w:val="right"/>
              <w:ind w:right="7290"/>
              <w:spacing w:after="0"/>
              <w:rPr>
                <w:sz w:val="20"/>
                <w:szCs w:val="20"/>
                <w:color w:val="auto"/>
              </w:rPr>
            </w:pPr>
            <w:r>
              <w:rPr>
                <w:rFonts w:ascii="Arial" w:cs="Arial" w:eastAsia="Arial" w:hAnsi="Arial"/>
                <w:sz w:val="18"/>
                <w:szCs w:val="18"/>
                <w:color w:val="auto"/>
                <w:w w:val="84"/>
              </w:rPr>
              <w:t>2025</w:t>
            </w:r>
          </w:p>
        </w:tc>
        <w:tc>
          <w:tcPr>
            <w:tcW w:w="13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December 2020 and 2019, we assessed our goodwill and indefinite life intangible asset for impairment in accordance with the requirements of ASC Topic 350 using a quantitative approach. Our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discount rate used in 2020 and 2019 for the discounted cash flows was 20.0%. The selection of the rate in each year was based upon our analysis of market-based estimates of capital costs and discount rates.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6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During the goodwill impairment assessment in both 2020 and 2019, we compared the fair value of our Thermal reporting unit with its carrying value. This assessment indicated no impairment existed as the fair value of the reporting unit exceeded its carrying value in both 2020 and 2019.</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indefinite life intangible asset impairment assessment in both 2020 and 2019, we compared the fair value of our indefinite life intangible assets with their carrying values. This assessment indicated no impairment existed as the fair value of the indefinite life intangible assets exceeded their carrying values in both 2020 and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Impairment of Long-Lived Assets and Finite-lived Intangible Assets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During 2020 and 2019, we did not review any of our long-lived assets for impairment other than the ROU assets related to the leases for our facilities in Fremont, CA and Mansfield, MA as discussed further in Notes 3 and 8. There were no events or changes in business circumstances that would indicate an impairment might exist other than the events identified and discussed in Note 3 related to these specific long-lived assets.</w:t>
      </w:r>
    </w:p>
    <w:p>
      <w:pPr>
        <w:spacing w:after="0" w:line="14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820" w:top="800" w:right="419" w:bottom="1440" w:gutter="0" w:footer="0" w:header="0"/>
        </w:sectPr>
      </w:pPr>
    </w:p>
    <w:bookmarkStart w:id="54" w:name="page55"/>
    <w:bookmarkEnd w:id="54"/>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rFonts w:ascii="Arial" w:cs="Arial" w:eastAsia="Arial" w:hAnsi="Arial"/>
          <w:sz w:val="18"/>
          <w:szCs w:val="18"/>
          <w:b w:val="1"/>
          <w:bCs w:val="1"/>
          <w:color w:val="auto"/>
        </w:rPr>
      </w:pPr>
    </w:p>
    <w:p>
      <w:pPr>
        <w:ind w:left="500" w:right="2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following tables provide additional information about our revenue from contracts with customers, including revenue by customer and product type and revenue by market. See also Note 16 for information about revenue by operating segment and geographic region.</w:t>
      </w:r>
    </w:p>
    <w:p>
      <w:pPr>
        <w:spacing w:after="0" w:line="14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End user</w:t>
            </w: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48,041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55,074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5,586</w:t>
            </w:r>
          </w:p>
        </w:tc>
      </w:tr>
      <w:tr>
        <w:trPr>
          <w:trHeight w:val="20"/>
        </w:trPr>
        <w:tc>
          <w:tcPr>
            <w:tcW w:w="67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18"/>
                <w:szCs w:val="18"/>
                <w:color w:val="auto"/>
              </w:rPr>
            </w:pP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53,823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60,660</w:t>
            </w:r>
          </w:p>
        </w:tc>
      </w:tr>
      <w:tr>
        <w:trPr>
          <w:trHeight w:val="20"/>
        </w:trPr>
        <w:tc>
          <w:tcPr>
            <w:tcW w:w="6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Net revenues by product type:</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Thermal test</w:t>
            </w: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15,768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17,631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Thermal process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18,966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Semiconductor test</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13,112</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16,273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Service/other</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6,677</w:t>
            </w:r>
          </w:p>
        </w:tc>
      </w:tr>
      <w:tr>
        <w:trPr>
          <w:trHeight w:val="20"/>
        </w:trPr>
        <w:tc>
          <w:tcPr>
            <w:tcW w:w="67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18"/>
                <w:szCs w:val="18"/>
                <w:color w:val="auto"/>
              </w:rPr>
            </w:pP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53,823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60,660</w:t>
            </w:r>
          </w:p>
        </w:tc>
      </w:tr>
      <w:tr>
        <w:trPr>
          <w:trHeight w:val="20"/>
        </w:trPr>
        <w:tc>
          <w:tcPr>
            <w:tcW w:w="6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Net revenues by market:</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Semi Market</w:t>
            </w: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26,870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30,953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17,341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Defense/aerospace</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6,314</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4,842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 Multi Markets</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1,583</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1,789</w:t>
            </w:r>
          </w:p>
        </w:tc>
      </w:tr>
      <w:tr>
        <w:trPr>
          <w:trHeight w:val="20"/>
        </w:trPr>
        <w:tc>
          <w:tcPr>
            <w:tcW w:w="6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53,823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60,660</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amount of the allowance for doubtful accounts for the years ended December 31, 2020 and 2019 are as follows:</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Bad debt expense</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09"/>
        </w:trPr>
        <w:tc>
          <w:tcPr>
            <w:tcW w:w="8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 December 31, 2019</w:t>
            </w:r>
          </w:p>
        </w:tc>
        <w:tc>
          <w:tcPr>
            <w:tcW w:w="6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Bad debt expense</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Write-offs</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500" w:type="dxa"/>
            <w:vAlign w:val="bottom"/>
          </w:tcPr>
          <w:p>
            <w:pPr>
              <w:spacing w:after="0"/>
              <w:rPr>
                <w:sz w:val="20"/>
                <w:szCs w:val="20"/>
                <w:color w:val="auto"/>
              </w:rPr>
            </w:pPr>
            <w:r>
              <w:rPr>
                <w:rFonts w:ascii="Arial" w:cs="Arial" w:eastAsia="Arial" w:hAnsi="Arial"/>
                <w:sz w:val="18"/>
                <w:szCs w:val="18"/>
                <w:color w:val="auto"/>
              </w:rPr>
              <w:t>Balance - December 31, 2020</w:t>
            </w: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rFonts w:ascii="Arial" w:cs="Arial" w:eastAsia="Arial" w:hAnsi="Arial"/>
          <w:sz w:val="18"/>
          <w:szCs w:val="18"/>
          <w:b w:val="1"/>
          <w:bCs w:val="1"/>
          <w:color w:val="auto"/>
        </w:rPr>
      </w:pPr>
    </w:p>
    <w:p>
      <w:pPr>
        <w:ind w:left="50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year ended December 31, 2020, no customer accounted for 10% or more of our consolidated net revenues. During the year ended December 31, 2019, Texas Instruments Incorporated accounted 10% of our consolidated net revenues. While both of our operating segments sold products to this customer, these revenues were primarily generated by our EMS segment. During the year ended December 31, 2019, no other customer accounted for 10% or more of our consolidated net revenues.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Inventories held at December 31 were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5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Work in process</w:t>
            </w:r>
          </w:p>
        </w:tc>
        <w:tc>
          <w:tcPr>
            <w:tcW w:w="3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1,085</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3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Finished goods</w:t>
            </w:r>
          </w:p>
        </w:tc>
        <w:tc>
          <w:tcPr>
            <w:tcW w:w="3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975</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45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w:t>
            </w:r>
          </w:p>
        </w:tc>
        <w:tc>
          <w:tcPr>
            <w:tcW w:w="160" w:type="dxa"/>
            <w:vAlign w:val="bottom"/>
          </w:tcPr>
          <w:p>
            <w:pPr>
              <w:spacing w:after="0"/>
              <w:rPr>
                <w:sz w:val="21"/>
                <w:szCs w:val="21"/>
                <w:color w:val="auto"/>
              </w:rPr>
            </w:pPr>
          </w:p>
        </w:tc>
      </w:tr>
      <w:tr>
        <w:trPr>
          <w:trHeight w:val="412"/>
        </w:trPr>
        <w:tc>
          <w:tcPr>
            <w:tcW w:w="98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3480" w:type="dxa"/>
            <w:vAlign w:val="bottom"/>
            <w:tcBorders>
              <w:top w:val="single" w:sz="8" w:color="CCEEFF"/>
            </w:tcBorders>
          </w:tcPr>
          <w:p>
            <w:pPr>
              <w:ind w:left="1180"/>
              <w:spacing w:after="0"/>
              <w:rPr>
                <w:sz w:val="20"/>
                <w:szCs w:val="20"/>
                <w:color w:val="auto"/>
              </w:rPr>
            </w:pPr>
            <w:r>
              <w:rPr>
                <w:rFonts w:ascii="Arial" w:cs="Arial" w:eastAsia="Arial" w:hAnsi="Arial"/>
                <w:sz w:val="18"/>
                <w:szCs w:val="18"/>
                <w:color w:val="auto"/>
              </w:rPr>
              <w:t>F-19</w:t>
            </w: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55" w:name="page56"/>
    <w:bookmarkEnd w:id="55"/>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jc w:val="both"/>
        <w:ind w:left="500" w:right="2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 previously discussed in Note 2, we account for our leases in accordance with the guidance in ASC Topic 842. We lease our offices, warehouse facilities and certain equipment under non-cancellable operating leases that expire at various dates through 2031. Total operating lease and short-term lease costs for the years ended December 31, 2020 and 2019, respectively,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gridSpan w:val="10"/>
          </w:tcPr>
          <w:p>
            <w:pPr>
              <w:jc w:val="right"/>
              <w:ind w:right="580"/>
              <w:spacing w:after="0"/>
              <w:rPr>
                <w:sz w:val="20"/>
                <w:szCs w:val="20"/>
                <w:color w:val="auto"/>
              </w:rPr>
            </w:pPr>
            <w:r>
              <w:rPr>
                <w:rFonts w:ascii="Arial" w:cs="Arial" w:eastAsia="Arial" w:hAnsi="Arial"/>
                <w:sz w:val="18"/>
                <w:szCs w:val="18"/>
                <w:b w:val="1"/>
                <w:bCs w:val="1"/>
                <w:color w:val="auto"/>
              </w:rPr>
              <w:t>Years Ended December 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7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1,583</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Short-term lease cost</w:t>
            </w:r>
          </w:p>
        </w:tc>
        <w:tc>
          <w:tcPr>
            <w:tcW w:w="17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00" w:type="dxa"/>
            <w:vAlign w:val="bottom"/>
            <w:gridSpan w:val="2"/>
          </w:tcPr>
          <w:p>
            <w:pPr>
              <w:ind w:left="500"/>
              <w:spacing w:after="0"/>
              <w:rPr>
                <w:sz w:val="20"/>
                <w:szCs w:val="20"/>
                <w:color w:val="auto"/>
              </w:rPr>
            </w:pPr>
            <w:r>
              <w:rPr>
                <w:rFonts w:ascii="Arial" w:cs="Arial" w:eastAsia="Arial" w:hAnsi="Arial"/>
                <w:sz w:val="18"/>
                <w:szCs w:val="18"/>
                <w:color w:val="auto"/>
              </w:rPr>
              <w:t>The following is additional information about our leases as of December 31, 2020:</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vMerge w:val="restart"/>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to  10.0</w:t>
            </w:r>
          </w:p>
        </w:tc>
        <w:tc>
          <w:tcPr>
            <w:tcW w:w="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2"/>
              </w:rPr>
              <w:t>4.3%</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ind w:left="500"/>
              <w:spacing w:after="0"/>
              <w:rPr>
                <w:sz w:val="20"/>
                <w:szCs w:val="20"/>
                <w:color w:val="auto"/>
              </w:rPr>
            </w:pPr>
            <w:r>
              <w:rPr>
                <w:rFonts w:ascii="Arial" w:cs="Arial" w:eastAsia="Arial" w:hAnsi="Arial"/>
                <w:sz w:val="18"/>
                <w:szCs w:val="18"/>
                <w:color w:val="auto"/>
              </w:rPr>
              <w:t>Maturities of lease liabilities as of December 31, 2020 were as follows:</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Less imputed interest</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7,265</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80" w:type="dxa"/>
            <w:vAlign w:val="bottom"/>
          </w:tcPr>
          <w:p>
            <w:pPr>
              <w:spacing w:after="0"/>
              <w:rPr>
                <w:sz w:val="24"/>
                <w:szCs w:val="24"/>
                <w:color w:val="auto"/>
              </w:rPr>
            </w:pPr>
          </w:p>
        </w:tc>
        <w:tc>
          <w:tcPr>
            <w:tcW w:w="6220" w:type="dxa"/>
            <w:vAlign w:val="bottom"/>
            <w:tcBorders>
              <w:top w:val="single" w:sz="8" w:color="CCEEFF"/>
            </w:tcBorders>
          </w:tcPr>
          <w:p>
            <w:pPr>
              <w:ind w:left="4480"/>
              <w:spacing w:after="0"/>
              <w:rPr>
                <w:sz w:val="20"/>
                <w:szCs w:val="20"/>
                <w:color w:val="auto"/>
              </w:rPr>
            </w:pPr>
            <w:r>
              <w:rPr>
                <w:rFonts w:ascii="Arial" w:cs="Arial" w:eastAsia="Arial" w:hAnsi="Arial"/>
                <w:sz w:val="18"/>
                <w:szCs w:val="18"/>
                <w:color w:val="auto"/>
              </w:rPr>
              <w:t>F-20</w:t>
            </w:r>
          </w:p>
        </w:tc>
        <w:tc>
          <w:tcPr>
            <w:tcW w:w="7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u w:val="single" w:color="auto"/>
          <w:color w:val="auto"/>
        </w:rPr>
        <w:t>Cash Flow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of right of use assets for the years ended December 31, 2020 and 2019 was $1,294 and $1,251,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ROU Asset Impairment Charges</w:t>
      </w:r>
    </w:p>
    <w:p>
      <w:pPr>
        <w:spacing w:after="0" w:line="2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During the fourth quarter of 2020, we recorded charges for non-cash impairments related to certain of our ROU assets as discussed further in Note 3. The total of these charges was $612. In determining whether our ROU assets were impaired, we considered the intended future use of the assets, including whether we expect to be able to sublease the related facilities. In both cases, we expect to eventually be able to sublease the facilities, but we currently do not expect to successfully negotiate a sublease for either facility in 2021. Our projected future cash inflows from sublease income reflect this expectation. In order to determine whether an impairment existed, we compared all future cash outflows related to the lease for the underlying ROU asset and compared this with our projected future cash inflows from the sublease. We developed several scenarios to model the expected timing and amount of sublease income we expect to receive. In all cases, the future cash outflows exceeded the expected future cash inflows, resulting in the conclusion that the ROU assets were impaired. We then discounted the projected deficit in each scenario using our estimated cost of capital and probability weighted the results to determine the amount of the impairment charge to record. To the extent that our estimate of future cash inflows exceeds the amount we ultimately receive from any sublease we enter into for these facilities, we may need to record an additional impairment charge related to these ROU assets in a future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Modifications and Additions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years ended December 31, 2020 and 2019 was as follows: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-119380</wp:posOffset>
            </wp:positionV>
            <wp:extent cx="677227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Non-cash increases (decreases) in operating lease liabilities and ROU assets as a result of lease modifications and the execution of new leases:</w:t>
      </w:r>
    </w:p>
    <w:p>
      <w:pPr>
        <w:spacing w:after="0" w:line="4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Modification to lease for facility in Fremont, California</w:t>
            </w:r>
          </w:p>
        </w:tc>
        <w:tc>
          <w:tcPr>
            <w:tcW w:w="2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r>
      <w:tr>
        <w:trPr>
          <w:trHeight w:val="216"/>
        </w:trPr>
        <w:tc>
          <w:tcPr>
            <w:tcW w:w="6740" w:type="dxa"/>
            <w:vAlign w:val="bottom"/>
          </w:tcPr>
          <w:p>
            <w:pPr>
              <w:ind w:left="160"/>
              <w:spacing w:after="0"/>
              <w:rPr>
                <w:sz w:val="20"/>
                <w:szCs w:val="20"/>
                <w:color w:val="auto"/>
              </w:rPr>
            </w:pPr>
            <w:r>
              <w:rPr>
                <w:rFonts w:ascii="Arial" w:cs="Arial" w:eastAsia="Arial" w:hAnsi="Arial"/>
                <w:sz w:val="18"/>
                <w:szCs w:val="18"/>
                <w:color w:val="auto"/>
              </w:rPr>
              <w:t>Modification to lease for facility in Mt. Laurel, New Jersey</w:t>
            </w:r>
          </w:p>
        </w:tc>
        <w:tc>
          <w:tcPr>
            <w:tcW w:w="29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2,051</w:t>
            </w:r>
          </w:p>
        </w:tc>
      </w:tr>
      <w:tr>
        <w:trPr>
          <w:trHeight w:val="216"/>
        </w:trPr>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Modification to lease for Ambrell’s Netherlands facility</w:t>
            </w:r>
          </w:p>
        </w:tc>
        <w:tc>
          <w:tcPr>
            <w:tcW w:w="2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30"/>
        </w:trPr>
        <w:tc>
          <w:tcPr>
            <w:tcW w:w="6740" w:type="dxa"/>
            <w:vAlign w:val="bottom"/>
          </w:tcPr>
          <w:p>
            <w:pPr>
              <w:ind w:left="160"/>
              <w:spacing w:after="0"/>
              <w:rPr>
                <w:sz w:val="20"/>
                <w:szCs w:val="20"/>
                <w:color w:val="auto"/>
              </w:rPr>
            </w:pPr>
            <w:r>
              <w:rPr>
                <w:rFonts w:ascii="Arial" w:cs="Arial" w:eastAsia="Arial" w:hAnsi="Arial"/>
                <w:sz w:val="18"/>
                <w:szCs w:val="18"/>
                <w:color w:val="auto"/>
              </w:rPr>
              <w:t>Additions to automobile leases</w:t>
            </w:r>
          </w:p>
        </w:tc>
        <w:tc>
          <w:tcPr>
            <w:tcW w:w="29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w:t>
            </w:r>
          </w:p>
        </w:tc>
      </w:tr>
    </w:tbl>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January 23, 2020, we executed an amendment to the lease for our EMS facility in Fremont, California, which extended the term for a period of 61 months commencing on November 1, 2020 and expiring on November 30, 2025. At the effective date of this modification, we recorded an increase in our ROU assets and operating lease liabilities of approximately $1,176.</w:t>
      </w:r>
    </w:p>
    <w:p>
      <w:pPr>
        <w:spacing w:after="0" w:line="184"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On September 22, 2020, we executed an amendment to the lease for our EMS facility in Mt. Laurel, New Jersey, which extended the term of the existing lease for a period of 120 months commencing on May 1, 2021. At the effective date of this modification, we recorded an increase in our ROU assets and operating lease liabilities of approximately $2,051. In addition, effective on August 1, 2021, the leased space will be reduced to approximately 33,650 square feet.</w:t>
      </w:r>
    </w:p>
    <w:p>
      <w:pPr>
        <w:spacing w:after="0" w:line="187" w:lineRule="exact"/>
        <w:rPr>
          <w:sz w:val="20"/>
          <w:szCs w:val="20"/>
          <w:color w:val="auto"/>
        </w:rPr>
      </w:pPr>
    </w:p>
    <w:p>
      <w:pPr>
        <w:jc w:val="both"/>
        <w:ind w:right="400"/>
        <w:spacing w:after="0" w:line="308" w:lineRule="auto"/>
        <w:rPr>
          <w:sz w:val="20"/>
          <w:szCs w:val="20"/>
          <w:color w:val="auto"/>
        </w:rPr>
      </w:pPr>
      <w:r>
        <w:rPr>
          <w:rFonts w:ascii="Arial" w:cs="Arial" w:eastAsia="Arial" w:hAnsi="Arial"/>
          <w:sz w:val="17"/>
          <w:szCs w:val="17"/>
          <w:color w:val="auto"/>
        </w:rPr>
        <w:t>On October 1, 2020, the lease for Ambrell’s Netherlands facility automatically renewed for an additional three years. At the effective date of this modification, we recorded an increase in our ROU assets and operating lease liabilities of approximately $133.</w:t>
      </w:r>
    </w:p>
    <w:p>
      <w:pPr>
        <w:spacing w:after="0" w:line="14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During the fourth quarter of 2020, we executed new leases for automobiles for certain of our employees in Europe. At the dates of execution, we recorded increases in our ROU assets and operating lease liabilities. The total increase recorded in 2020 related to these new leases was approximately $91.</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820" w:top="584" w:right="259" w:bottom="1440" w:gutter="0" w:footer="0" w:header="0"/>
        </w:sectPr>
      </w:pPr>
    </w:p>
    <w:bookmarkStart w:id="57" w:name="page58"/>
    <w:bookmarkEnd w:id="57"/>
    <w:tbl>
      <w:tblPr>
        <w:tblLayout w:type="fixed"/>
        <w:tblInd w:w="66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w w:val="95"/>
              </w:rPr>
              <w:t>Non-cash increases (decreases) in operating lease liabilities and ROU assets as a result of lease modifications:</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Modification to lease for Ambrell’s U.K. facility</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16"/>
        </w:trPr>
        <w:tc>
          <w:tcPr>
            <w:tcW w:w="8500" w:type="dxa"/>
            <w:vAlign w:val="bottom"/>
          </w:tcPr>
          <w:p>
            <w:pPr>
              <w:ind w:left="160"/>
              <w:spacing w:after="0"/>
              <w:rPr>
                <w:sz w:val="20"/>
                <w:szCs w:val="20"/>
                <w:color w:val="auto"/>
              </w:rPr>
            </w:pPr>
            <w:r>
              <w:rPr>
                <w:rFonts w:ascii="Arial" w:cs="Arial" w:eastAsia="Arial" w:hAnsi="Arial"/>
                <w:sz w:val="18"/>
                <w:szCs w:val="18"/>
                <w:color w:val="auto"/>
              </w:rPr>
              <w:t>Modification to lease for facility in Mansfield, Massachusetts</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1,811</w:t>
            </w:r>
          </w:p>
        </w:tc>
      </w:tr>
      <w:tr>
        <w:trPr>
          <w:trHeight w:val="216"/>
        </w:trPr>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Modification to lease for Ambrell’s Netherlands facility</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202" w:lineRule="exact"/>
        <w:rPr>
          <w:sz w:val="20"/>
          <w:szCs w:val="20"/>
          <w:color w:val="auto"/>
        </w:rPr>
      </w:pPr>
    </w:p>
    <w:p>
      <w:pPr>
        <w:ind w:left="500" w:right="180"/>
        <w:spacing w:after="0" w:line="311" w:lineRule="auto"/>
        <w:rPr>
          <w:sz w:val="20"/>
          <w:szCs w:val="20"/>
          <w:color w:val="auto"/>
        </w:rPr>
      </w:pPr>
      <w:r>
        <w:rPr>
          <w:rFonts w:ascii="Arial" w:cs="Arial" w:eastAsia="Arial" w:hAnsi="Arial"/>
          <w:sz w:val="16"/>
          <w:szCs w:val="16"/>
          <w:color w:val="auto"/>
        </w:rPr>
        <w:t>The lease for Ambrell’s U.K. facility had an original term of 15 years, which extended through August 2029. The lease included the option to terminate the lease at specified points in time without penalty. We exercised this option in March 2019, and the lease expired in September 2019. At the effective date of this modification, we recorded a reduction in our ROU assets and operating lease liabilities of approximately $486.</w:t>
      </w:r>
    </w:p>
    <w:p>
      <w:pPr>
        <w:spacing w:after="0" w:line="149" w:lineRule="exact"/>
        <w:rPr>
          <w:sz w:val="20"/>
          <w:szCs w:val="20"/>
          <w:color w:val="auto"/>
        </w:rPr>
      </w:pPr>
    </w:p>
    <w:p>
      <w:pPr>
        <w:ind w:left="500" w:right="100"/>
        <w:spacing w:after="0" w:line="257" w:lineRule="auto"/>
        <w:rPr>
          <w:sz w:val="20"/>
          <w:szCs w:val="20"/>
          <w:color w:val="auto"/>
        </w:rPr>
      </w:pPr>
      <w:r>
        <w:rPr>
          <w:rFonts w:ascii="Arial" w:cs="Arial" w:eastAsia="Arial" w:hAnsi="Arial"/>
          <w:sz w:val="18"/>
          <w:szCs w:val="18"/>
          <w:color w:val="auto"/>
        </w:rPr>
        <w:t>On April 8, 2019, we executed an amendment to the lease for our facility in Mansfield, Massachusetts that extended the term of the lease for an additional forty months to December 31, 2024 and expanded the amount of leased space by approximately 6,100 square feet. The current rate per square foot that is in place through August 31, 2021 (the original expiration date of the lease) did not change. After August 31, 2021, there are predetermined fixed escalations of the rate as outlined in the amendment. As a result of this modification, we recorded an increase in our ROU assets and operating lease liabilities of approximately $1,811.</w:t>
      </w:r>
    </w:p>
    <w:p>
      <w:pPr>
        <w:spacing w:after="0" w:line="188" w:lineRule="exact"/>
        <w:rPr>
          <w:sz w:val="20"/>
          <w:szCs w:val="20"/>
          <w:color w:val="auto"/>
        </w:rPr>
      </w:pPr>
    </w:p>
    <w:p>
      <w:pPr>
        <w:ind w:left="500" w:right="360"/>
        <w:spacing w:after="0" w:line="263" w:lineRule="auto"/>
        <w:rPr>
          <w:sz w:val="20"/>
          <w:szCs w:val="20"/>
          <w:color w:val="auto"/>
        </w:rPr>
      </w:pPr>
      <w:r>
        <w:rPr>
          <w:rFonts w:ascii="Arial" w:cs="Arial" w:eastAsia="Arial" w:hAnsi="Arial"/>
          <w:sz w:val="18"/>
          <w:szCs w:val="18"/>
          <w:color w:val="auto"/>
        </w:rPr>
        <w:t>During the third quarter of 2019, the lease for a portion of Ambrell’s facility in the Netherlands was modified to reduce the term of that lease to expire in September 2019 as that portion of the space was no longer needed. At the effective date of this modification, we recorded a reduction in our ROU assets and operating lease liabilities of approximately $48.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liabilities at December 31 were comprised of the following:</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Accrued warranty</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334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r>
      <w:tr>
        <w:trPr>
          <w:trHeight w:val="20"/>
        </w:trPr>
        <w:tc>
          <w:tcPr>
            <w:tcW w:w="6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Total other current liabilities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497</w:t>
            </w:r>
          </w:p>
        </w:tc>
      </w:tr>
      <w:tr>
        <w:trPr>
          <w:trHeight w:val="20"/>
        </w:trPr>
        <w:tc>
          <w:tcPr>
            <w:tcW w:w="6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rFonts w:ascii="Arial" w:cs="Arial" w:eastAsia="Arial" w:hAnsi="Arial"/>
          <w:sz w:val="18"/>
          <w:szCs w:val="18"/>
          <w:b w:val="1"/>
          <w:bCs w:val="1"/>
          <w:color w:val="auto"/>
        </w:rPr>
      </w:pPr>
    </w:p>
    <w:p>
      <w:pPr>
        <w:ind w:left="500" w:right="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In accordance with the terms of our lease, the letter of credit related to our facility in Mt. Laurel, New Jersey was reduced from $125 to $90 on April 1, 2019. Our outstanding letters of credit at December 31, 2020 and 2019 consisted of the following:</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Letters of Credit</w:t>
            </w:r>
          </w:p>
        </w:tc>
      </w:tr>
      <w:tr>
        <w:trPr>
          <w:trHeight w:val="234"/>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L/C</w:t>
            </w:r>
          </w:p>
        </w:tc>
        <w:tc>
          <w:tcPr>
            <w:tcW w:w="138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6"/>
              </w:rPr>
              <w:t>Lease</w:t>
            </w:r>
          </w:p>
        </w:tc>
        <w:tc>
          <w:tcPr>
            <w:tcW w:w="24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Amount Outstanding</w:t>
            </w:r>
          </w:p>
        </w:tc>
      </w:tr>
      <w:tr>
        <w:trPr>
          <w:trHeight w:val="191"/>
        </w:trPr>
        <w:tc>
          <w:tcPr>
            <w:tcW w:w="5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1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7"/>
              </w:rPr>
              <w:t>Original L/C</w:t>
            </w:r>
          </w:p>
        </w:tc>
        <w:tc>
          <w:tcPr>
            <w:tcW w:w="12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5"/>
              </w:rPr>
              <w:t>Expiration</w:t>
            </w:r>
          </w:p>
        </w:tc>
        <w:tc>
          <w:tcPr>
            <w:tcW w:w="11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Expiration</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rPr>
              <w:t>Dec. 31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Dec. 31</w:t>
            </w:r>
          </w:p>
        </w:tc>
        <w:tc>
          <w:tcPr>
            <w:tcW w:w="100" w:type="dxa"/>
            <w:vAlign w:val="bottom"/>
          </w:tcPr>
          <w:p>
            <w:pPr>
              <w:spacing w:after="0"/>
              <w:rPr>
                <w:sz w:val="16"/>
                <w:szCs w:val="16"/>
                <w:color w:val="auto"/>
              </w:rPr>
            </w:pPr>
          </w:p>
        </w:tc>
      </w:tr>
      <w:tr>
        <w:trPr>
          <w:trHeight w:val="207"/>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Issue Date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38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2"/>
              </w:rPr>
              <w:t>Date</w:t>
            </w: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Mt. Laurel, NJ</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3/29/2010</w:t>
            </w:r>
          </w:p>
        </w:tc>
        <w:tc>
          <w:tcPr>
            <w:tcW w:w="12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4/30/2021</w:t>
            </w:r>
          </w:p>
        </w:tc>
        <w:tc>
          <w:tcPr>
            <w:tcW w:w="1380" w:type="dxa"/>
            <w:vAlign w:val="bottom"/>
            <w:gridSpan w:val="3"/>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4/30/2031 $</w:t>
            </w:r>
          </w:p>
        </w:tc>
        <w:tc>
          <w:tcPr>
            <w:tcW w:w="10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90</w:t>
            </w:r>
          </w:p>
        </w:tc>
        <w:tc>
          <w:tcPr>
            <w:tcW w:w="30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90</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10/27/2010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12/31/2024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12/31/2024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500" w:right="120"/>
        <w:spacing w:after="0" w:line="270" w:lineRule="auto"/>
        <w:rPr>
          <w:sz w:val="20"/>
          <w:szCs w:val="20"/>
          <w:color w:val="auto"/>
        </w:rPr>
      </w:pPr>
      <w:r>
        <w:rPr>
          <w:rFonts w:ascii="Arial" w:cs="Arial" w:eastAsia="Arial" w:hAnsi="Arial"/>
          <w:sz w:val="17"/>
          <w:szCs w:val="17"/>
          <w:color w:val="auto"/>
        </w:rPr>
        <w:t>On April 10, 2020 (the “Closing Date”) we entered into a Loan and Security Agreement (the “Agreement”) with M&amp;T Bank (“M&amp;T”) which was amended on December 16, 2020. Under the terms of the amended Agreement, M&amp;T has provided us with a $7,500 revolving credit facility under which our domestic subsidiaries, Ambrell, inTEST EMS LLC (“EMS LLC”), Temptronic Corporation (“Temptronic”) and inTEST Silicon Valley Corporation (“Silicon Valley”), are guarantors (collectively, the “Guarantors”). The revolving credit facility has a 364-day contract period that began on the Closing Date and expires on April 9, 2021 (the “Contract Period”). The principal balance of the revolving credit facility accrues interest at the LIBOR rate plus 2.0%. In the event the current LIBOR rate is no longer available or representative, the Agreement includes a mechanism for providing an alternate benchmark. Interest payments are due on a monthly basis, and principal payments are due, along with any accrued and unpaid interest thereon, on the earlier of (a) the expiration of the Contract Period, or (b) on demand upon the occurrence of an event of default that is continuing. As of December 31, 2020, we had $7,500 available to borrow under this facility.</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99" w:right="259" w:bottom="1440" w:gutter="0" w:footer="0" w:header="0"/>
        </w:sectPr>
      </w:pPr>
    </w:p>
    <w:bookmarkStart w:id="58" w:name="page59"/>
    <w:bookmarkEnd w:id="58"/>
    <w:p>
      <w:pPr>
        <w:ind w:left="500" w:right="140"/>
        <w:spacing w:after="0" w:line="273" w:lineRule="auto"/>
        <w:rPr>
          <w:sz w:val="20"/>
          <w:szCs w:val="20"/>
          <w:color w:val="auto"/>
        </w:rPr>
      </w:pPr>
      <w:r>
        <w:rPr>
          <w:rFonts w:ascii="Arial" w:cs="Arial" w:eastAsia="Arial" w:hAnsi="Arial"/>
          <w:sz w:val="17"/>
          <w:szCs w:val="17"/>
          <w:color w:val="auto"/>
        </w:rPr>
        <w:t>The Agreement contains customary events of default including, but not limited to, the failure by us to repay obligations when due, violation of provisions or representations provided in the Agreement, bankruptcy of inTEST Corporation, suspension of the business of inTEST Corporation or any of our subsidiaries and certain material judgments. After expiration of the Contract Period, or if during the continuance of an event of default, interest will accrue on the principal balance at a rate of 2% in excess of the then applicable non-default interest rate. Our obligations under the Agreement are secured by liens on substantially all our tangible and intangible assets. The Agreement includes customary affirmative, negative and financial covenants, including a maximum ratio of assets to liabilities and a fixed charge coverage ratio.</w:t>
      </w:r>
    </w:p>
    <w:p>
      <w:pPr>
        <w:spacing w:after="0" w:line="178" w:lineRule="exact"/>
        <w:rPr>
          <w:sz w:val="20"/>
          <w:szCs w:val="20"/>
          <w:color w:val="auto"/>
        </w:rPr>
      </w:pPr>
    </w:p>
    <w:p>
      <w:pPr>
        <w:ind w:left="500" w:right="100"/>
        <w:spacing w:after="0" w:line="263" w:lineRule="auto"/>
        <w:rPr>
          <w:sz w:val="20"/>
          <w:szCs w:val="20"/>
          <w:color w:val="auto"/>
        </w:rPr>
      </w:pPr>
      <w:r>
        <w:rPr>
          <w:rFonts w:ascii="Arial" w:cs="Arial" w:eastAsia="Arial" w:hAnsi="Arial"/>
          <w:sz w:val="18"/>
          <w:szCs w:val="18"/>
          <w:color w:val="auto"/>
        </w:rPr>
        <w:t>This facility was put in place to provide us with additional liquidity in response to the business environment, as a result of COVID-19. During the three months ended June 30, 2020, we drew down $2,800 on our revolving credit facility. This amount was fully repaid during this same period. We did not borrow under this revolving credit facility at any other time during 2020.</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Paycheck Protection Program Loans</w:t>
      </w:r>
    </w:p>
    <w:p>
      <w:pPr>
        <w:spacing w:after="0" w:line="225" w:lineRule="exact"/>
        <w:rPr>
          <w:sz w:val="20"/>
          <w:szCs w:val="20"/>
          <w:color w:val="auto"/>
        </w:rPr>
      </w:pPr>
    </w:p>
    <w:p>
      <w:pPr>
        <w:ind w:left="500"/>
        <w:spacing w:after="0" w:line="279" w:lineRule="auto"/>
        <w:rPr>
          <w:sz w:val="20"/>
          <w:szCs w:val="20"/>
          <w:color w:val="auto"/>
        </w:rPr>
      </w:pPr>
      <w:r>
        <w:rPr>
          <w:rFonts w:ascii="Arial" w:cs="Arial" w:eastAsia="Arial" w:hAnsi="Arial"/>
          <w:sz w:val="17"/>
          <w:szCs w:val="17"/>
          <w:color w:val="auto"/>
        </w:rPr>
        <w:t>As discussed more fully in Note 13 to our consolidated financial statements in our Quarterly Report on Form 10-Q for the three months ended March 31, 2020 filed on May 13, 2020 with the Securities and Exchange Commission, during April 2020 we applied for and received loans through the Paycheck Protection Program (the “PPP”) of the Coronavirus Aid, Relief, and Economic Security Act administered by the U.S. Small Business Administration totaling $2,829. We repaid the full amount of the PPP loans on May 5, 2020 with the applicable interest.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500" w:right="282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We are subject to Federal and certain state income taxes. In addition, we are taxed in certain foreign countries. Earnings (loss) before income taxes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1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(2,017)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Foreign</w:t>
            </w: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786</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98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(1,231)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16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4600" w:type="dxa"/>
            <w:vAlign w:val="bottom"/>
            <w:gridSpan w:val="2"/>
          </w:tcPr>
          <w:p>
            <w:pPr>
              <w:ind w:left="500"/>
              <w:spacing w:after="0"/>
              <w:rPr>
                <w:sz w:val="20"/>
                <w:szCs w:val="20"/>
                <w:color w:val="auto"/>
              </w:rPr>
            </w:pPr>
            <w:r>
              <w:rPr>
                <w:rFonts w:ascii="Arial" w:cs="Arial" w:eastAsia="Arial" w:hAnsi="Arial"/>
                <w:sz w:val="18"/>
                <w:szCs w:val="18"/>
                <w:color w:val="auto"/>
              </w:rPr>
              <w:t>Income tax expense (benefit) was as follows:</w:t>
            </w:r>
          </w:p>
        </w:tc>
        <w:tc>
          <w:tcPr>
            <w:tcW w:w="3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Domestic – Federal</w:t>
            </w:r>
          </w:p>
        </w:tc>
        <w:tc>
          <w:tcPr>
            <w:tcW w:w="41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 state</w:t>
            </w: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Foreign</w:t>
            </w: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31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 Federal</w:t>
            </w:r>
          </w:p>
        </w:tc>
        <w:tc>
          <w:tcPr>
            <w:tcW w:w="41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Domestic – state</w:t>
            </w: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Total</w:t>
            </w: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98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1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21"/>
                <w:szCs w:val="21"/>
                <w:color w:val="auto"/>
              </w:rPr>
            </w:pPr>
          </w:p>
        </w:tc>
      </w:tr>
      <w:tr>
        <w:trPr>
          <w:trHeight w:val="413"/>
        </w:trPr>
        <w:tc>
          <w:tcPr>
            <w:tcW w:w="980" w:type="dxa"/>
            <w:vAlign w:val="bottom"/>
          </w:tcPr>
          <w:p>
            <w:pPr>
              <w:spacing w:after="0"/>
              <w:rPr>
                <w:sz w:val="24"/>
                <w:szCs w:val="24"/>
                <w:color w:val="auto"/>
              </w:rPr>
            </w:pPr>
          </w:p>
        </w:tc>
        <w:tc>
          <w:tcPr>
            <w:tcW w:w="3620" w:type="dxa"/>
            <w:vAlign w:val="bottom"/>
            <w:tcBorders>
              <w:top w:val="single" w:sz="8" w:color="CCEEFF"/>
            </w:tcBorders>
          </w:tcPr>
          <w:p>
            <w:pPr>
              <w:spacing w:after="0"/>
              <w:rPr>
                <w:sz w:val="24"/>
                <w:szCs w:val="24"/>
                <w:color w:val="auto"/>
              </w:rPr>
            </w:pPr>
          </w:p>
        </w:tc>
        <w:tc>
          <w:tcPr>
            <w:tcW w:w="3160" w:type="dxa"/>
            <w:vAlign w:val="bottom"/>
            <w:tcBorders>
              <w:top w:val="single" w:sz="8" w:color="CCEEFF"/>
            </w:tcBorders>
          </w:tcPr>
          <w:p>
            <w:pPr>
              <w:ind w:left="860"/>
              <w:spacing w:after="0"/>
              <w:rPr>
                <w:sz w:val="20"/>
                <w:szCs w:val="20"/>
                <w:color w:val="auto"/>
              </w:rPr>
            </w:pPr>
            <w:r>
              <w:rPr>
                <w:rFonts w:ascii="Arial" w:cs="Arial" w:eastAsia="Arial" w:hAnsi="Arial"/>
                <w:sz w:val="18"/>
                <w:szCs w:val="18"/>
                <w:color w:val="auto"/>
              </w:rPr>
              <w:t>F-23</w:t>
            </w: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59" w:name="page60"/>
    <w:bookmarkEnd w:id="59"/>
    <w:p>
      <w:pPr>
        <w:ind w:right="60"/>
        <w:spacing w:after="0" w:line="263" w:lineRule="auto"/>
        <w:rPr>
          <w:sz w:val="20"/>
          <w:szCs w:val="20"/>
          <w:color w:val="auto"/>
        </w:rPr>
      </w:pPr>
      <w:r>
        <w:rPr>
          <w:rFonts w:ascii="Arial" w:cs="Arial" w:eastAsia="Arial" w:hAnsi="Arial"/>
          <w:sz w:val="18"/>
          <w:szCs w:val="18"/>
          <w:color w:val="auto"/>
        </w:rPr>
        <w:t>Deferred income taxes reflect the net tax effect of net operating loss and tax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2020 and 2019:</w:t>
      </w:r>
    </w:p>
    <w:p>
      <w:pPr>
        <w:spacing w:after="0" w:line="180"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1,601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Accrued vacation pay and stock-based compensation</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(state and foreign)</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warranty</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credit carryforwards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0"/>
        </w:trPr>
        <w:tc>
          <w:tcPr>
            <w:tcW w:w="6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2,558</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r>
      <w:tr>
        <w:trPr>
          <w:trHeight w:val="20"/>
        </w:trPr>
        <w:tc>
          <w:tcPr>
            <w:tcW w:w="6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w:t>
            </w:r>
          </w:p>
        </w:tc>
      </w:tr>
      <w:tr>
        <w:trPr>
          <w:trHeight w:val="209"/>
        </w:trPr>
        <w:tc>
          <w:tcPr>
            <w:tcW w:w="6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intangible assets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(2,697)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(2,923)</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Right of use assets</w:t>
            </w: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(1,400)</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(1,066)</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of property and equipment</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r>
      <w:tr>
        <w:trPr>
          <w:trHeight w:val="20"/>
        </w:trPr>
        <w:tc>
          <w:tcPr>
            <w:tcW w:w="67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7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(4,311)</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(4,158)</w:t>
            </w:r>
          </w:p>
        </w:tc>
      </w:tr>
      <w:tr>
        <w:trPr>
          <w:trHeight w:val="20"/>
        </w:trPr>
        <w:tc>
          <w:tcPr>
            <w:tcW w:w="6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000" w:type="dxa"/>
            <w:vAlign w:val="bottom"/>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(1,922)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(2,263)</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net change in the valuation allowance for the years ended December 31, 2020 and 2019 was a decrease of $65 and $7,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tax credit carryforwards which expire in various years through 2040.</w:t>
      </w:r>
    </w:p>
    <w:p>
      <w:pPr>
        <w:spacing w:after="0" w:line="1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 analysis of the effective tax rate for the years ended December 31, 2020 and 2019 and a reconciliation from the expected statutory rate of 21% is as follows:</w:t>
      </w:r>
    </w:p>
    <w:p>
      <w:pPr>
        <w:spacing w:after="0" w:line="166"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7"/>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expense (benefit) at U.S. statutory rate</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from foreign subsidiaries</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NOL carryforwards utilized</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compensation</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Global intangible low taxed income</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Nondeductible expenses</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Current year tax credits (foreign and research)</w:t>
            </w:r>
          </w:p>
        </w:tc>
        <w:tc>
          <w:tcPr>
            <w:tcW w:w="10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tax benefit, net of Federal benefit</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Changes in valuation allowance</w:t>
            </w:r>
          </w:p>
        </w:tc>
        <w:tc>
          <w:tcPr>
            <w:tcW w:w="10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income tax rate differences</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Section 250 foreign derived intangible income deduction</w:t>
            </w:r>
          </w:p>
        </w:tc>
        <w:tc>
          <w:tcPr>
            <w:tcW w:w="10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0"/>
        </w:trPr>
        <w:tc>
          <w:tcPr>
            <w:tcW w:w="67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0"/>
        </w:trPr>
        <w:tc>
          <w:tcPr>
            <w:tcW w:w="6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2020 and 2019, we did not have an accrual for uncertain tax positions.</w:t>
      </w:r>
    </w:p>
    <w:p>
      <w:pPr>
        <w:spacing w:after="0" w:line="17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file U.S. income tax returns and multiple state and foreign income tax returns. With few exceptions, the U.S. and state income tax returns filed for the tax years ended December 31, 2017 and thereafter are subject to examination by the relevant taxing authorities.</w:t>
      </w:r>
    </w:p>
    <w:p>
      <w:pPr>
        <w:spacing w:after="0" w:line="14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60" w:name="page61"/>
    <w:bookmarkEnd w:id="60"/>
    <w:p>
      <w:pPr>
        <w:ind w:left="492" w:hanging="492"/>
        <w:spacing w:after="0"/>
        <w:tabs>
          <w:tab w:leader="none" w:pos="49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9" w:lineRule="exact"/>
        <w:rPr>
          <w:rFonts w:ascii="Arial" w:cs="Arial" w:eastAsia="Arial" w:hAnsi="Arial"/>
          <w:sz w:val="18"/>
          <w:szCs w:val="18"/>
          <w:b w:val="1"/>
          <w:bCs w:val="1"/>
          <w:color w:val="auto"/>
        </w:rPr>
      </w:pPr>
    </w:p>
    <w:p>
      <w:pPr>
        <w:jc w:val="both"/>
        <w:ind w:left="492"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8" w:lineRule="exact"/>
        <w:rPr>
          <w:rFonts w:ascii="Arial" w:cs="Arial" w:eastAsia="Arial" w:hAnsi="Arial"/>
          <w:sz w:val="18"/>
          <w:szCs w:val="18"/>
          <w:b w:val="1"/>
          <w:bCs w:val="1"/>
          <w:color w:val="auto"/>
        </w:rPr>
      </w:pPr>
    </w:p>
    <w:p>
      <w:pPr>
        <w:ind w:left="492" w:hanging="492"/>
        <w:spacing w:after="0"/>
        <w:tabs>
          <w:tab w:leader="none" w:pos="49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229" w:lineRule="exact"/>
        <w:rPr>
          <w:rFonts w:ascii="Arial" w:cs="Arial" w:eastAsia="Arial" w:hAnsi="Arial"/>
          <w:sz w:val="18"/>
          <w:szCs w:val="18"/>
          <w:b w:val="1"/>
          <w:bCs w:val="1"/>
          <w:color w:val="auto"/>
        </w:rPr>
      </w:pPr>
    </w:p>
    <w:p>
      <w:pPr>
        <w:ind w:left="49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As of December 31, 2020, we have unvested restricted stock awards and stock options outstanding which were granted under the inTEST Corporation Third Amended and Restated 2014 Stock Plan (the "2014 Stock Plan"). The 2014 Stock Plan was originally approved at our annual meeting of stockholders held on June 25, 2014 and permitted the granting of stock options, restricted stock, stock appreciation rights or restricted stock units for up to 500,000 shares of our common stock to directors, officers, other key employees and consultants. On June 27, 2018, our stockholders approved the amendment and restatement of the 2014 Stock Plan to increase the number of shares of common stock that may be delivered pursuant to awards granted under the 2014 Stock Plan from 500,000 to 1,000,000 shares. On June 19, 2019, our stockholders approved the amendment and restatement of the 2014 Stock Plan to increase the number of shares of common stock that may be delivered pursuant to awards granted under the 2014 Stock Plan from 1,000,000 to 2,000,000 shares. As of December 31, 2020, there were 1,067,979 aggregate shares available to grant under the 2014 Plan.</w:t>
      </w:r>
    </w:p>
    <w:p>
      <w:pPr>
        <w:spacing w:after="0" w:line="180" w:lineRule="exact"/>
        <w:rPr>
          <w:rFonts w:ascii="Arial" w:cs="Arial" w:eastAsia="Arial" w:hAnsi="Arial"/>
          <w:sz w:val="18"/>
          <w:szCs w:val="18"/>
          <w:b w:val="1"/>
          <w:bCs w:val="1"/>
          <w:color w:val="auto"/>
        </w:rPr>
      </w:pPr>
    </w:p>
    <w:p>
      <w:pPr>
        <w:ind w:left="492" w:right="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Our unvested restricted stock awards and stock options are accounted for based on their grant date fair value. As of December 31, 2020, total compensation expense to be recognized in future periods is $1,353. The weighted average period over which this expense is expected to be recognized is 2.6 years.</w:t>
      </w:r>
    </w:p>
    <w:p>
      <w:pPr>
        <w:spacing w:after="0" w:line="183" w:lineRule="exact"/>
        <w:rPr>
          <w:rFonts w:ascii="Arial" w:cs="Arial" w:eastAsia="Arial" w:hAnsi="Arial"/>
          <w:sz w:val="18"/>
          <w:szCs w:val="18"/>
          <w:b w:val="1"/>
          <w:bCs w:val="1"/>
          <w:color w:val="auto"/>
        </w:rPr>
      </w:pPr>
    </w:p>
    <w:p>
      <w:pPr>
        <w:ind w:left="49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compensation expense we recorded during 2020 and 2019, related to unvested shares of restricted stock and stock options:</w:t>
      </w:r>
    </w:p>
    <w:p>
      <w:pPr>
        <w:spacing w:after="0" w:line="166"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7"/>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80" w:type="dxa"/>
            <w:vAlign w:val="bottom"/>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Selling expense</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617</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r>
      <w:tr>
        <w:trPr>
          <w:trHeight w:val="20"/>
        </w:trPr>
        <w:tc>
          <w:tcPr>
            <w:tcW w:w="6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There was no compensation expense capitalized in 2020 or 2019.</w:t>
      </w:r>
    </w:p>
    <w:p>
      <w:pPr>
        <w:spacing w:after="0" w:line="225" w:lineRule="exact"/>
        <w:rPr>
          <w:sz w:val="20"/>
          <w:szCs w:val="20"/>
          <w:color w:val="auto"/>
        </w:rPr>
      </w:pPr>
    </w:p>
    <w:p>
      <w:pPr>
        <w:ind w:left="492"/>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492" w:right="20"/>
        <w:spacing w:after="0" w:line="263"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4" w:lineRule="exact"/>
        <w:rPr>
          <w:sz w:val="20"/>
          <w:szCs w:val="20"/>
          <w:color w:val="auto"/>
        </w:rPr>
      </w:pPr>
    </w:p>
    <w:p>
      <w:pPr>
        <w:ind w:left="492" w:right="60"/>
        <w:spacing w:after="0" w:line="277" w:lineRule="auto"/>
        <w:rPr>
          <w:sz w:val="20"/>
          <w:szCs w:val="20"/>
          <w:color w:val="auto"/>
        </w:rPr>
      </w:pPr>
      <w:r>
        <w:rPr>
          <w:rFonts w:ascii="Arial" w:cs="Arial" w:eastAsia="Arial" w:hAnsi="Arial"/>
          <w:sz w:val="18"/>
          <w:szCs w:val="18"/>
          <w:color w:val="auto"/>
        </w:rPr>
        <w:t>The fair value for stock options granted during 2020 and 2019 was estimated at the date of grant using the Black-Scholes option pricing model with the following weighted average assumptions:</w:t>
      </w:r>
    </w:p>
    <w:p>
      <w:pPr>
        <w:spacing w:after="0" w:line="166" w:lineRule="exact"/>
        <w:rPr>
          <w:sz w:val="20"/>
          <w:szCs w:val="20"/>
          <w:color w:val="auto"/>
        </w:rPr>
      </w:pPr>
    </w:p>
    <w:tbl>
      <w:tblPr>
        <w:tblLayout w:type="fixed"/>
        <w:tblInd w:w="972"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left="492"/>
        <w:spacing w:after="0"/>
        <w:rPr>
          <w:sz w:val="20"/>
          <w:szCs w:val="20"/>
          <w:color w:val="auto"/>
        </w:rPr>
      </w:pPr>
      <w:r>
        <w:rPr>
          <w:rFonts w:ascii="Arial" w:cs="Arial" w:eastAsia="Arial" w:hAnsi="Arial"/>
          <w:sz w:val="18"/>
          <w:szCs w:val="18"/>
          <w:color w:val="auto"/>
        </w:rPr>
        <w:t>The per share weighted average fair value of stock options issued during 2020 and 2019 was $1.48 and $2.75, respectively.</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823" w:right="399" w:bottom="1440" w:gutter="0" w:footer="0" w:header="0"/>
        </w:sectPr>
      </w:pPr>
    </w:p>
    <w:bookmarkStart w:id="61" w:name="page62"/>
    <w:bookmarkEnd w:id="61"/>
    <w:p>
      <w:pPr>
        <w:ind w:left="492"/>
        <w:spacing w:after="0"/>
        <w:rPr>
          <w:sz w:val="20"/>
          <w:szCs w:val="20"/>
          <w:color w:val="auto"/>
        </w:rPr>
      </w:pPr>
      <w:r>
        <w:rPr>
          <w:rFonts w:ascii="Arial" w:cs="Arial" w:eastAsia="Arial" w:hAnsi="Arial"/>
          <w:sz w:val="18"/>
          <w:szCs w:val="18"/>
          <w:color w:val="auto"/>
        </w:rPr>
        <w:t>The following table summarizes the activity related to stock options for the two years ended December 31, 2020:</w:t>
      </w:r>
    </w:p>
    <w:p>
      <w:pPr>
        <w:spacing w:after="0" w:line="221"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67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January 1, 2019</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264,400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249,460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(7,050)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0"/>
        </w:trPr>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2019 (87,900 exercisable)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506,810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113,980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(182,590)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r>
      <w:tr>
        <w:trPr>
          <w:trHeight w:val="20"/>
        </w:trPr>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2020 (204,630 exercisable)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438,200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92"/>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jc w:val="both"/>
        <w:ind w:left="492" w:right="580"/>
        <w:spacing w:after="0" w:line="311"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49" w:lineRule="exact"/>
        <w:rPr>
          <w:sz w:val="20"/>
          <w:szCs w:val="20"/>
          <w:color w:val="auto"/>
        </w:rPr>
      </w:pPr>
    </w:p>
    <w:p>
      <w:pPr>
        <w:ind w:left="492"/>
        <w:spacing w:after="0" w:line="271" w:lineRule="auto"/>
        <w:rPr>
          <w:sz w:val="20"/>
          <w:szCs w:val="20"/>
          <w:color w:val="auto"/>
        </w:rPr>
      </w:pPr>
      <w:r>
        <w:rPr>
          <w:rFonts w:ascii="Arial" w:cs="Arial" w:eastAsia="Arial" w:hAnsi="Arial"/>
          <w:sz w:val="17"/>
          <w:szCs w:val="17"/>
          <w:color w:val="auto"/>
        </w:rPr>
        <w:t>On August 24, 2020, our new President and CEO received two restricted stock awards totaling 141,610 shares valued at $650 as of the date of grant, which was also his hire date. Of the total shares awarded, 66,448 shares vest over 4 years (25% at each anniversary) and 75,162 vest on the third anniversary of the grant date at a vesting percentage that could range from 0% to 150% of the number of shares awarded on August 24, 2020. The final vesting percentage will be based on the achievement of certain performance metrics, including net revenue compound annual growth rate and diluted earnings per share excluding amortization of intangibles, for specified time periods as determined by the Compensation Committee of our Board of Directors. As of December 31, 2020, we have estimated that these shares will vest at 100% of the original amount awarded and are recording expense based on this estimate on a straight-line basis over the three year vesting period. Our estimate of the final expected vesting percentage will be reassessed and adjusted, as needed, at the end of each reporting period.</w:t>
      </w:r>
    </w:p>
    <w:p>
      <w:pPr>
        <w:spacing w:after="0" w:line="178" w:lineRule="exact"/>
        <w:rPr>
          <w:sz w:val="20"/>
          <w:szCs w:val="20"/>
          <w:color w:val="auto"/>
        </w:rPr>
      </w:pPr>
    </w:p>
    <w:p>
      <w:pPr>
        <w:ind w:left="492"/>
        <w:spacing w:after="0"/>
        <w:rPr>
          <w:sz w:val="20"/>
          <w:szCs w:val="20"/>
          <w:color w:val="auto"/>
        </w:rPr>
      </w:pPr>
      <w:r>
        <w:rPr>
          <w:rFonts w:ascii="Arial" w:cs="Arial" w:eastAsia="Arial" w:hAnsi="Arial"/>
          <w:sz w:val="18"/>
          <w:szCs w:val="18"/>
          <w:color w:val="auto"/>
        </w:rPr>
        <w:t>The following table summarizes the activity related to unvested restricted stock awards for the two years ended December 31, 2020:</w:t>
      </w:r>
    </w:p>
    <w:p>
      <w:pPr>
        <w:spacing w:after="0" w:line="221"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7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2019</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114,750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132,580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(69,974)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(12,325)</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r>
      <w:tr>
        <w:trPr>
          <w:trHeight w:val="20"/>
        </w:trPr>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December 31, 2019</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165,031</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229,110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(89,861)</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(67,125)</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0"/>
        </w:trPr>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December 31, 2020</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237,155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92" w:right="80"/>
        <w:spacing w:after="0" w:line="277" w:lineRule="auto"/>
        <w:rPr>
          <w:sz w:val="20"/>
          <w:szCs w:val="20"/>
          <w:color w:val="auto"/>
        </w:rPr>
      </w:pPr>
      <w:r>
        <w:rPr>
          <w:rFonts w:ascii="Arial" w:cs="Arial" w:eastAsia="Arial" w:hAnsi="Arial"/>
          <w:sz w:val="18"/>
          <w:szCs w:val="18"/>
          <w:color w:val="auto"/>
        </w:rPr>
        <w:t>The total fair value of the restricted stock awards that vested during the years ended December 31, 2020 and 2019 was $357 and $426, respectively, as of the vesting dates of these awards.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2" w:hanging="492"/>
        <w:spacing w:after="0"/>
        <w:tabs>
          <w:tab w:leader="none" w:pos="49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PLANS</w:t>
      </w:r>
    </w:p>
    <w:p>
      <w:pPr>
        <w:spacing w:after="0" w:line="229" w:lineRule="exact"/>
        <w:rPr>
          <w:rFonts w:ascii="Arial" w:cs="Arial" w:eastAsia="Arial" w:hAnsi="Arial"/>
          <w:sz w:val="18"/>
          <w:szCs w:val="18"/>
          <w:b w:val="1"/>
          <w:bCs w:val="1"/>
          <w:color w:val="auto"/>
        </w:rPr>
      </w:pPr>
    </w:p>
    <w:p>
      <w:pPr>
        <w:ind w:left="492"/>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July 31, 2019, our Board of Directors authorized the repurchase of up to $3,000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may be made under a Rule 10b5-1 plan entered into with RW Baird &amp; Co., which would permit shares to be repurchased when we might otherwise be precluded from doing so under insider trading laws and our internal trading windows. The 2019 Repurchase Plan does not obligate us to purchase any particular amount of common stock and may be suspended or discontinued at any time without prior notice. The 2019 Repurchase Plan is funded using our operating cash flow or available cash. Purchases began on September 18, 2019 under this plan. During the quarter ended March 31, 2020, we repurchased 13,767 shares under the 2019 Repurchase Plan at a cost of $74, including fees paid to our broker. On March 2, 2020, we suspended repurchases under the 2019 Repurchase Plan. For the term of the 2019 Repurchase Plan through December 31, 2020, we have repurchased a total of 243,075 shares at a cost of $1,216, which includes fees paid to our broker of $6. All of the repurchased shares were retired.</w:t>
      </w:r>
    </w:p>
    <w:p>
      <w:pPr>
        <w:spacing w:after="0" w:line="16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4" w:right="379" w:bottom="1440" w:gutter="0" w:footer="0" w:header="0"/>
        </w:sectPr>
      </w:pPr>
    </w:p>
    <w:bookmarkStart w:id="62" w:name="page63"/>
    <w:bookmarkEnd w:id="62"/>
    <w:p>
      <w:pPr>
        <w:spacing w:after="0" w:line="62" w:lineRule="exact"/>
        <w:rPr>
          <w:sz w:val="20"/>
          <w:szCs w:val="20"/>
          <w:color w:val="auto"/>
        </w:rPr>
      </w:pPr>
    </w:p>
    <w:p>
      <w:pPr>
        <w:ind w:left="492" w:right="260"/>
        <w:spacing w:after="0" w:line="263" w:lineRule="auto"/>
        <w:rPr>
          <w:sz w:val="20"/>
          <w:szCs w:val="20"/>
          <w:color w:val="auto"/>
        </w:rPr>
      </w:pPr>
      <w:r>
        <w:rPr>
          <w:rFonts w:ascii="Arial" w:cs="Arial" w:eastAsia="Arial" w:hAnsi="Arial"/>
          <w:sz w:val="18"/>
          <w:szCs w:val="18"/>
          <w:color w:val="auto"/>
        </w:rPr>
        <w:t>In addition, on July 31, 2019, our Board of Directors terminated the 2015 Stock Repurchase Plan which had been authorized on October 27, 2015 and under which we had repurchased a total of 297,020 shares at a cost of $1,195. The shares were repurchased between December 2015 and January 2017. All of the repurchased shares were retired.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2" w:hanging="492"/>
        <w:spacing w:after="0"/>
        <w:tabs>
          <w:tab w:leader="none" w:pos="49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rFonts w:ascii="Arial" w:cs="Arial" w:eastAsia="Arial" w:hAnsi="Arial"/>
          <w:sz w:val="18"/>
          <w:szCs w:val="18"/>
          <w:b w:val="1"/>
          <w:bCs w:val="1"/>
          <w:color w:val="auto"/>
        </w:rPr>
      </w:pPr>
    </w:p>
    <w:p>
      <w:pPr>
        <w:ind w:left="492"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have defined contribution 401(k) plans for our employees who work in the U.S. All permanent employees of inTEST Corporation, EMS LLC, Temptronic and Silicon Valley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years ended December 31, 2020 and 2019 we recorded $331 and $382 of expense for matching contributions, respectively.</w:t>
      </w:r>
    </w:p>
    <w:p>
      <w:pPr>
        <w:spacing w:after="0" w:line="187" w:lineRule="exact"/>
        <w:rPr>
          <w:rFonts w:ascii="Arial" w:cs="Arial" w:eastAsia="Arial" w:hAnsi="Arial"/>
          <w:sz w:val="18"/>
          <w:szCs w:val="18"/>
          <w:b w:val="1"/>
          <w:bCs w:val="1"/>
          <w:color w:val="auto"/>
        </w:rPr>
      </w:pPr>
    </w:p>
    <w:p>
      <w:pPr>
        <w:ind w:left="492" w:right="3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six months of service, as defined in the Ambrell Plan. The Ambrell Plan allows eligible employees to make voluntary contributions up to 100% of compensation, up to the federal government contribution limits. We will make a matching contribution of 50% of each employee's contributions up to a maximum of 10% of the employee's deferral with a maximum limit of $5. For the years ended December 31, 2020 and 2019 we recorded $62 and $49 of expense for matching contributions, respectively.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492" w:hanging="492"/>
        <w:spacing w:after="0"/>
        <w:tabs>
          <w:tab w:leader="none" w:pos="49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492"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We have two reportable segments, Thermal and EMS, which are also our reporting units. Thermal includes the operations of Temptronic, Thermonics, Sigma, inTEST Thermal Solutions GmbH (Germany), inTEST Pte, Limited (Singapore) and Ambrell.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 EMS includes the operations of our manufacturing facilities in Mt. Laurel, New Jersey and Fremont, California. Sales of this segment consist primarily of manipulator, docking hardware and tester interface products, which we design, manufacture and market. See Note 3 for information related to the planned closure of our manufacturing facility in Fremont, California.</w:t>
      </w:r>
    </w:p>
    <w:p>
      <w:pPr>
        <w:spacing w:after="0" w:line="177" w:lineRule="exact"/>
        <w:rPr>
          <w:rFonts w:ascii="Arial" w:cs="Arial" w:eastAsia="Arial" w:hAnsi="Arial"/>
          <w:sz w:val="18"/>
          <w:szCs w:val="18"/>
          <w:b w:val="1"/>
          <w:bCs w:val="1"/>
          <w:color w:val="auto"/>
        </w:rPr>
      </w:pPr>
    </w:p>
    <w:p>
      <w:pPr>
        <w:ind w:left="49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Semi Market, including the automotive, defense/aerospace, industrial, medical, telecommunications and other markets.</w:t>
      </w:r>
    </w:p>
    <w:p>
      <w:pPr>
        <w:spacing w:after="0" w:line="161"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Thermal</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40,209</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43,823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13,614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16,837</w:t>
            </w:r>
          </w:p>
        </w:tc>
      </w:tr>
      <w:tr>
        <w:trPr>
          <w:trHeight w:val="20"/>
        </w:trPr>
        <w:tc>
          <w:tcPr>
            <w:tcW w:w="67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18"/>
                <w:szCs w:val="18"/>
                <w:color w:val="auto"/>
              </w:rPr>
            </w:pP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53,823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60,660</w:t>
            </w:r>
          </w:p>
        </w:tc>
      </w:tr>
      <w:tr>
        <w:trPr>
          <w:trHeight w:val="20"/>
        </w:trPr>
        <w:tc>
          <w:tcPr>
            <w:tcW w:w="6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Depreciation/amortization:</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Thermal</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1,727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1,810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Corporate</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0"/>
        </w:trPr>
        <w:tc>
          <w:tcPr>
            <w:tcW w:w="6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7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w:t>
            </w:r>
          </w:p>
        </w:tc>
      </w:tr>
      <w:tr>
        <w:trPr>
          <w:trHeight w:val="197"/>
        </w:trPr>
        <w:tc>
          <w:tcPr>
            <w:tcW w:w="67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Operating income (loss):</w:t>
            </w:r>
          </w:p>
        </w:tc>
        <w:tc>
          <w:tcPr>
            <w:tcW w:w="9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EMS</w:t>
            </w:r>
          </w:p>
        </w:tc>
        <w:tc>
          <w:tcPr>
            <w:tcW w:w="9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(1,113)</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w:t>
            </w:r>
          </w:p>
        </w:tc>
      </w:tr>
      <w:tr>
        <w:trPr>
          <w:trHeight w:val="20"/>
        </w:trPr>
        <w:tc>
          <w:tcPr>
            <w:tcW w:w="67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18"/>
                <w:szCs w:val="18"/>
                <w:color w:val="auto"/>
              </w:rPr>
            </w:pP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(1,217)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2,549</w:t>
            </w:r>
          </w:p>
        </w:tc>
      </w:tr>
      <w:tr>
        <w:trPr>
          <w:trHeight w:val="20"/>
        </w:trPr>
        <w:tc>
          <w:tcPr>
            <w:tcW w:w="6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Thermal</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Corporate</w:t>
            </w:r>
          </w:p>
        </w:tc>
        <w:tc>
          <w:tcPr>
            <w:tcW w:w="9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(1,533)</w:t>
            </w:r>
          </w:p>
        </w:tc>
      </w:tr>
      <w:tr>
        <w:trPr>
          <w:trHeight w:val="20"/>
        </w:trPr>
        <w:tc>
          <w:tcPr>
            <w:tcW w:w="6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7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r>
      <w:tr>
        <w:trPr>
          <w:trHeight w:val="196"/>
        </w:trPr>
        <w:tc>
          <w:tcPr>
            <w:tcW w:w="67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Income tax expense (benefit):</w:t>
            </w:r>
          </w:p>
        </w:tc>
        <w:tc>
          <w:tcPr>
            <w:tcW w:w="9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EMS</w:t>
            </w:r>
          </w:p>
        </w:tc>
        <w:tc>
          <w:tcPr>
            <w:tcW w:w="9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r>
      <w:tr>
        <w:trPr>
          <w:trHeight w:val="20"/>
        </w:trPr>
        <w:tc>
          <w:tcPr>
            <w:tcW w:w="67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780" w:type="dxa"/>
            <w:vAlign w:val="bottom"/>
          </w:tcPr>
          <w:p>
            <w:pPr>
              <w:spacing w:after="0"/>
              <w:rPr>
                <w:sz w:val="18"/>
                <w:szCs w:val="18"/>
                <w:color w:val="auto"/>
              </w:rPr>
            </w:pP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0"/>
        </w:trPr>
        <w:tc>
          <w:tcPr>
            <w:tcW w:w="6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Net earnings (loss):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Thermal</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Corporate</w:t>
            </w:r>
          </w:p>
        </w:tc>
        <w:tc>
          <w:tcPr>
            <w:tcW w:w="9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(1,364)</w:t>
            </w:r>
          </w:p>
        </w:tc>
      </w:tr>
      <w:tr>
        <w:trPr>
          <w:trHeight w:val="20"/>
        </w:trPr>
        <w:tc>
          <w:tcPr>
            <w:tcW w:w="6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7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r>
      <w:tr>
        <w:trPr>
          <w:trHeight w:val="197"/>
        </w:trPr>
        <w:tc>
          <w:tcPr>
            <w:tcW w:w="67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Capital expenditures:</w:t>
            </w:r>
          </w:p>
        </w:tc>
        <w:tc>
          <w:tcPr>
            <w:tcW w:w="9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EMS</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144"/>
        </w:trPr>
        <w:tc>
          <w:tcPr>
            <w:tcW w:w="67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ectPr>
          <w:pgSz w:w="11900" w:h="16900" w:orient="portrait"/>
          <w:cols w:equalWidth="0" w:num="1">
            <w:col w:w="11232"/>
          </w:cols>
          <w:pgMar w:left="328" w:top="584" w:right="3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jc w:val="right"/>
              <w:ind w:right="5970"/>
              <w:spacing w:after="0"/>
              <w:rPr>
                <w:sz w:val="20"/>
                <w:szCs w:val="20"/>
                <w:color w:val="auto"/>
              </w:rPr>
            </w:pPr>
            <w:r>
              <w:rPr>
                <w:rFonts w:ascii="Arial" w:cs="Arial" w:eastAsia="Arial" w:hAnsi="Arial"/>
                <w:sz w:val="18"/>
                <w:szCs w:val="18"/>
                <w:color w:val="auto"/>
                <w:w w:val="87"/>
              </w:rPr>
              <w:t>Corporate</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7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658</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7440" w:type="dxa"/>
            <w:vAlign w:val="bottom"/>
            <w:gridSpan w:val="2"/>
          </w:tcPr>
          <w:p>
            <w:pPr>
              <w:jc w:val="right"/>
              <w:ind w:right="2620"/>
              <w:spacing w:after="0"/>
              <w:rPr>
                <w:sz w:val="20"/>
                <w:szCs w:val="20"/>
                <w:color w:val="auto"/>
              </w:rPr>
            </w:pPr>
            <w:r>
              <w:rPr>
                <w:rFonts w:ascii="Arial" w:cs="Arial" w:eastAsia="Arial" w:hAnsi="Arial"/>
                <w:sz w:val="18"/>
                <w:szCs w:val="18"/>
                <w:color w:val="auto"/>
              </w:rPr>
              <w:t>F-27</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67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64" w:name="page65"/>
    <w:bookmarkEnd w:id="64"/>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2020</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Thermal</w:t>
            </w:r>
          </w:p>
        </w:tc>
        <w:tc>
          <w:tcPr>
            <w:tcW w:w="980" w:type="dxa"/>
            <w:vAlign w:val="bottom"/>
          </w:tcPr>
          <w:p>
            <w:pPr>
              <w:jc w:val="right"/>
              <w:ind w:right="821"/>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50,782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51,621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Corporate</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1,581</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62,030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58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ind w:right="82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22,211</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25,283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31,612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35,377</w:t>
            </w:r>
          </w:p>
        </w:tc>
      </w:tr>
      <w:tr>
        <w:trPr>
          <w:trHeight w:val="20"/>
        </w:trPr>
        <w:tc>
          <w:tcPr>
            <w:tcW w:w="67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18"/>
                <w:szCs w:val="18"/>
                <w:color w:val="auto"/>
              </w:rPr>
            </w:pPr>
          </w:p>
        </w:tc>
        <w:tc>
          <w:tcPr>
            <w:tcW w:w="980" w:type="dxa"/>
            <w:vAlign w:val="bottom"/>
          </w:tcPr>
          <w:p>
            <w:pPr>
              <w:jc w:val="right"/>
              <w:ind w:right="82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53,823</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60,660</w:t>
            </w:r>
          </w:p>
        </w:tc>
      </w:tr>
      <w:tr>
        <w:trPr>
          <w:trHeight w:val="20"/>
        </w:trPr>
        <w:tc>
          <w:tcPr>
            <w:tcW w:w="6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U.S.</w:t>
            </w:r>
          </w:p>
        </w:tc>
        <w:tc>
          <w:tcPr>
            <w:tcW w:w="46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2,053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6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2,350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640" w:type="dxa"/>
            <w:vAlign w:val="bottom"/>
            <w:gridSpan w:val="2"/>
          </w:tcPr>
          <w:p>
            <w:pPr>
              <w:jc w:val="right"/>
              <w:ind w:right="2890"/>
              <w:spacing w:after="0"/>
              <w:rPr>
                <w:sz w:val="20"/>
                <w:szCs w:val="20"/>
                <w:color w:val="auto"/>
              </w:rPr>
            </w:pPr>
            <w:r>
              <w:rPr>
                <w:rFonts w:ascii="Arial" w:cs="Arial" w:eastAsia="Arial" w:hAnsi="Arial"/>
                <w:sz w:val="18"/>
                <w:szCs w:val="18"/>
                <w:color w:val="auto"/>
              </w:rPr>
              <w:t>F-28</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5" w:name="page66"/>
    <w:bookmarkEnd w:id="65"/>
    <w:p>
      <w:pPr>
        <w:ind w:left="492" w:hanging="492"/>
        <w:spacing w:after="0"/>
        <w:tabs>
          <w:tab w:leader="none" w:pos="49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CONSOLIDATED FINANCIAL DATA (Unaudited)</w:t>
      </w:r>
    </w:p>
    <w:p>
      <w:pPr>
        <w:spacing w:after="0" w:line="229" w:lineRule="exact"/>
        <w:rPr>
          <w:rFonts w:ascii="Arial" w:cs="Arial" w:eastAsia="Arial" w:hAnsi="Arial"/>
          <w:sz w:val="18"/>
          <w:szCs w:val="18"/>
          <w:b w:val="1"/>
          <w:bCs w:val="1"/>
          <w:color w:val="auto"/>
        </w:rPr>
      </w:pPr>
    </w:p>
    <w:p>
      <w:pPr>
        <w:ind w:left="49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following tables present certain unaudited consolidated quarterly financial information for each of the eight quarters ended December 31, 2020.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71" w:lineRule="exact"/>
        <w:rPr>
          <w:rFonts w:ascii="Arial" w:cs="Arial" w:eastAsia="Arial" w:hAnsi="Arial"/>
          <w:sz w:val="18"/>
          <w:szCs w:val="18"/>
          <w:b w:val="1"/>
          <w:bCs w:val="1"/>
          <w:color w:val="auto"/>
        </w:rPr>
      </w:pPr>
    </w:p>
    <w:p>
      <w:pPr>
        <w:jc w:val="both"/>
        <w:ind w:left="492"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Year-over-year quarterly comparisons of our results of operations may not be as meaningful as the sequential quarterly comparisons set forth below that tend to reflect the cyclical and seasonal activity of the Semi Market. Quarterly fluctuations in expenses are related directly to sales activity and volume and may also reflect the timing of operating expenses incurred throughout the year.</w:t>
      </w:r>
    </w:p>
    <w:p>
      <w:pPr>
        <w:spacing w:after="0" w:line="180" w:lineRule="exact"/>
        <w:rPr>
          <w:sz w:val="20"/>
          <w:szCs w:val="20"/>
          <w:color w:val="auto"/>
        </w:rPr>
      </w:pPr>
    </w:p>
    <w:tbl>
      <w:tblPr>
        <w:tblLayout w:type="fixed"/>
        <w:tblInd w:w="492"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8"/>
                <w:szCs w:val="18"/>
                <w:b w:val="1"/>
                <w:bCs w:val="1"/>
                <w:color w:val="auto"/>
              </w:rPr>
              <w:t>Quarters Ended</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30"/>
              <w:spacing w:after="0" w:line="210" w:lineRule="exact"/>
              <w:rPr>
                <w:sz w:val="20"/>
                <w:szCs w:val="20"/>
                <w:color w:val="auto"/>
              </w:rPr>
            </w:pPr>
            <w:r>
              <w:rPr>
                <w:rFonts w:ascii="Arial" w:cs="Arial" w:eastAsia="Arial" w:hAnsi="Arial"/>
                <w:sz w:val="17"/>
                <w:szCs w:val="17"/>
                <w:b w:val="1"/>
                <w:bCs w:val="1"/>
                <w:color w:val="auto"/>
                <w:w w:val="99"/>
              </w:rPr>
              <w:t>3/31/20</w:t>
            </w:r>
            <w:r>
              <w:rPr>
                <w:rFonts w:ascii="Arial" w:cs="Arial" w:eastAsia="Arial" w:hAnsi="Arial"/>
                <w:sz w:val="24"/>
                <w:szCs w:val="24"/>
                <w:b w:val="1"/>
                <w:bCs w:val="1"/>
                <w:color w:val="auto"/>
                <w:w w:val="99"/>
                <w:vertAlign w:val="superscript"/>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1"/>
              <w:spacing w:after="0" w:line="210" w:lineRule="exact"/>
              <w:rPr>
                <w:sz w:val="20"/>
                <w:szCs w:val="20"/>
                <w:color w:val="auto"/>
              </w:rPr>
            </w:pPr>
            <w:r>
              <w:rPr>
                <w:rFonts w:ascii="Arial" w:cs="Arial" w:eastAsia="Arial" w:hAnsi="Arial"/>
                <w:sz w:val="17"/>
                <w:szCs w:val="17"/>
                <w:b w:val="1"/>
                <w:bCs w:val="1"/>
                <w:color w:val="auto"/>
                <w:w w:val="99"/>
              </w:rPr>
              <w:t>6/30/20</w:t>
            </w:r>
            <w:r>
              <w:rPr>
                <w:rFonts w:ascii="Arial" w:cs="Arial" w:eastAsia="Arial" w:hAnsi="Arial"/>
                <w:sz w:val="24"/>
                <w:szCs w:val="24"/>
                <w:b w:val="1"/>
                <w:bCs w:val="1"/>
                <w:color w:val="auto"/>
                <w:w w:val="99"/>
                <w:vertAlign w:val="superscript"/>
              </w:rPr>
              <w:t>(2)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1"/>
              <w:spacing w:after="0" w:line="210" w:lineRule="exact"/>
              <w:rPr>
                <w:sz w:val="20"/>
                <w:szCs w:val="20"/>
                <w:color w:val="auto"/>
              </w:rPr>
            </w:pPr>
            <w:r>
              <w:rPr>
                <w:rFonts w:ascii="Arial" w:cs="Arial" w:eastAsia="Arial" w:hAnsi="Arial"/>
                <w:sz w:val="17"/>
                <w:szCs w:val="17"/>
                <w:b w:val="1"/>
                <w:bCs w:val="1"/>
                <w:color w:val="auto"/>
                <w:w w:val="99"/>
              </w:rPr>
              <w:t>9/30/20</w:t>
            </w:r>
            <w:r>
              <w:rPr>
                <w:rFonts w:ascii="Arial" w:cs="Arial" w:eastAsia="Arial" w:hAnsi="Arial"/>
                <w:sz w:val="24"/>
                <w:szCs w:val="24"/>
                <w:b w:val="1"/>
                <w:bCs w:val="1"/>
                <w:color w:val="auto"/>
                <w:w w:val="99"/>
                <w:vertAlign w:val="superscript"/>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0"/>
              <w:spacing w:after="0" w:line="210" w:lineRule="exact"/>
              <w:rPr>
                <w:sz w:val="20"/>
                <w:szCs w:val="20"/>
                <w:color w:val="auto"/>
              </w:rPr>
            </w:pPr>
            <w:r>
              <w:rPr>
                <w:rFonts w:ascii="Arial" w:cs="Arial" w:eastAsia="Arial" w:hAnsi="Arial"/>
                <w:sz w:val="17"/>
                <w:szCs w:val="17"/>
                <w:b w:val="1"/>
                <w:bCs w:val="1"/>
                <w:color w:val="auto"/>
                <w:w w:val="97"/>
              </w:rPr>
              <w:t>12/31/20</w:t>
            </w:r>
            <w:r>
              <w:rPr>
                <w:rFonts w:ascii="Arial" w:cs="Arial" w:eastAsia="Arial" w:hAnsi="Arial"/>
                <w:sz w:val="24"/>
                <w:szCs w:val="24"/>
                <w:b w:val="1"/>
                <w:bCs w:val="1"/>
                <w:color w:val="auto"/>
                <w:w w:val="97"/>
                <w:vertAlign w:val="superscript"/>
              </w:rPr>
              <w:t>(4)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11,230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13,275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14,443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14,875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Gross margin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6,450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6,720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24,104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1"/>
              </w:rPr>
              <w:t>Earnings (loss) before income tax expense (benefit)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w w:val="95"/>
              </w:rPr>
              <w:t>Weighted average common shares outstanding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10,220,853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10,252,490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10,269,995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10,282,903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10,256,560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earnings (loss) per common share – diluted</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w w:val="95"/>
              </w:rPr>
              <w:t>Weighted average common shares outstanding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10,220,853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10,258,917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10,287,562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10,282,903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10,256,560</w:t>
            </w: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8"/>
                <w:szCs w:val="18"/>
                <w:b w:val="1"/>
                <w:bCs w:val="1"/>
                <w:color w:val="auto"/>
              </w:rPr>
              <w:t>Quarters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3/31/19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1"/>
              <w:spacing w:after="0" w:line="210" w:lineRule="exact"/>
              <w:rPr>
                <w:sz w:val="20"/>
                <w:szCs w:val="20"/>
                <w:color w:val="auto"/>
              </w:rPr>
            </w:pPr>
            <w:r>
              <w:rPr>
                <w:rFonts w:ascii="Arial" w:cs="Arial" w:eastAsia="Arial" w:hAnsi="Arial"/>
                <w:sz w:val="17"/>
                <w:szCs w:val="17"/>
                <w:b w:val="1"/>
                <w:bCs w:val="1"/>
                <w:color w:val="auto"/>
                <w:w w:val="99"/>
              </w:rPr>
              <w:t>6/30/19</w:t>
            </w:r>
            <w:r>
              <w:rPr>
                <w:rFonts w:ascii="Arial" w:cs="Arial" w:eastAsia="Arial" w:hAnsi="Arial"/>
                <w:sz w:val="24"/>
                <w:szCs w:val="24"/>
                <w:b w:val="1"/>
                <w:bCs w:val="1"/>
                <w:color w:val="auto"/>
                <w:w w:val="99"/>
                <w:vertAlign w:val="superscript"/>
              </w:rPr>
              <w:t>(5)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1"/>
              <w:spacing w:after="0" w:line="210" w:lineRule="exact"/>
              <w:rPr>
                <w:sz w:val="20"/>
                <w:szCs w:val="20"/>
                <w:color w:val="auto"/>
              </w:rPr>
            </w:pPr>
            <w:r>
              <w:rPr>
                <w:rFonts w:ascii="Arial" w:cs="Arial" w:eastAsia="Arial" w:hAnsi="Arial"/>
                <w:sz w:val="17"/>
                <w:szCs w:val="17"/>
                <w:b w:val="1"/>
                <w:bCs w:val="1"/>
                <w:color w:val="auto"/>
                <w:w w:val="99"/>
              </w:rPr>
              <w:t>9/30/19</w:t>
            </w:r>
            <w:r>
              <w:rPr>
                <w:rFonts w:ascii="Arial" w:cs="Arial" w:eastAsia="Arial" w:hAnsi="Arial"/>
                <w:sz w:val="24"/>
                <w:szCs w:val="24"/>
                <w:b w:val="1"/>
                <w:bCs w:val="1"/>
                <w:color w:val="auto"/>
                <w:w w:val="99"/>
                <w:vertAlign w:val="superscript"/>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12/31/19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18,062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14,352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14,632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Gross margin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8,836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6,465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29,225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1"/>
              </w:rPr>
              <w:t>Earnings (loss) before income tax expense (benefit)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w w:val="95"/>
              </w:rPr>
              <w:t>Weighted average common shares outstanding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10,385,017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10,411,276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10,421,383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10,274,980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10,373,164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earnings (loss) per common share – diluted</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w w:val="95"/>
              </w:rPr>
              <w:t>Weighted average common shares outstanding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10,414,330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10,411,276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10,429,536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10,298,535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10,391,975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72" w:hanging="486"/>
        <w:spacing w:after="0"/>
        <w:tabs>
          <w:tab w:leader="none" w:pos="9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March 31, 2020 includes $8 of restructuring and other charges which are discussed in Note 3.</w:t>
      </w:r>
    </w:p>
    <w:p>
      <w:pPr>
        <w:spacing w:after="0" w:line="36" w:lineRule="exact"/>
        <w:rPr>
          <w:rFonts w:ascii="Arial" w:cs="Arial" w:eastAsia="Arial" w:hAnsi="Arial"/>
          <w:sz w:val="18"/>
          <w:szCs w:val="18"/>
          <w:color w:val="auto"/>
        </w:rPr>
      </w:pPr>
    </w:p>
    <w:p>
      <w:pPr>
        <w:ind w:left="972" w:hanging="486"/>
        <w:spacing w:after="0"/>
        <w:tabs>
          <w:tab w:leader="none" w:pos="9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June 30, 2020 includes $38 of restructuring and other charges which are discussed in Note 3.</w:t>
      </w:r>
    </w:p>
    <w:p>
      <w:pPr>
        <w:spacing w:after="0" w:line="36" w:lineRule="exact"/>
        <w:rPr>
          <w:rFonts w:ascii="Arial" w:cs="Arial" w:eastAsia="Arial" w:hAnsi="Arial"/>
          <w:sz w:val="18"/>
          <w:szCs w:val="18"/>
          <w:color w:val="auto"/>
        </w:rPr>
      </w:pPr>
    </w:p>
    <w:p>
      <w:pPr>
        <w:ind w:left="972" w:hanging="486"/>
        <w:spacing w:after="0"/>
        <w:tabs>
          <w:tab w:leader="none" w:pos="9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September 30, 2020 includes $161 of restructuring and other charges which are discussed in Note 3.</w:t>
      </w:r>
    </w:p>
    <w:p>
      <w:pPr>
        <w:spacing w:after="0" w:line="36" w:lineRule="exact"/>
        <w:rPr>
          <w:rFonts w:ascii="Arial" w:cs="Arial" w:eastAsia="Arial" w:hAnsi="Arial"/>
          <w:sz w:val="18"/>
          <w:szCs w:val="18"/>
          <w:color w:val="auto"/>
        </w:rPr>
      </w:pPr>
    </w:p>
    <w:p>
      <w:pPr>
        <w:ind w:left="972" w:hanging="486"/>
        <w:spacing w:after="0"/>
        <w:tabs>
          <w:tab w:leader="none" w:pos="9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December 31, 2020 includes $1,078 of restructuring and other charges which are discussed in Note 3</w:t>
      </w:r>
    </w:p>
    <w:p>
      <w:pPr>
        <w:spacing w:after="0" w:line="36" w:lineRule="exact"/>
        <w:rPr>
          <w:rFonts w:ascii="Arial" w:cs="Arial" w:eastAsia="Arial" w:hAnsi="Arial"/>
          <w:sz w:val="18"/>
          <w:szCs w:val="18"/>
          <w:color w:val="auto"/>
        </w:rPr>
      </w:pPr>
    </w:p>
    <w:p>
      <w:pPr>
        <w:ind w:left="972" w:hanging="486"/>
        <w:spacing w:after="0"/>
        <w:tabs>
          <w:tab w:leader="none" w:pos="9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June 30, 2019 includes $223 of restructuring and other charges which are discussed in Note 3.</w:t>
      </w:r>
    </w:p>
    <w:p>
      <w:pPr>
        <w:spacing w:after="0" w:line="36" w:lineRule="exact"/>
        <w:rPr>
          <w:rFonts w:ascii="Arial" w:cs="Arial" w:eastAsia="Arial" w:hAnsi="Arial"/>
          <w:sz w:val="18"/>
          <w:szCs w:val="18"/>
          <w:color w:val="auto"/>
        </w:rPr>
      </w:pPr>
    </w:p>
    <w:p>
      <w:pPr>
        <w:ind w:left="972" w:hanging="486"/>
        <w:spacing w:after="0"/>
        <w:tabs>
          <w:tab w:leader="none" w:pos="9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 ended September 30, 2019 includes $17 of restructuring and other charges which are discussed in Note 3.</w:t>
      </w:r>
    </w:p>
    <w:p>
      <w:pPr>
        <w:spacing w:after="0" w:line="25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52"/>
          </w:cols>
          <w:pgMar w:left="328" w:top="823" w:right="419" w:bottom="1440" w:gutter="0" w:footer="0" w:header="0"/>
        </w:sectPr>
      </w:pPr>
    </w:p>
    <w:bookmarkStart w:id="66" w:name="page67"/>
    <w:bookmarkEnd w:id="66"/>
    <w:p>
      <w:pPr>
        <w:jc w:val="center"/>
        <w:ind w:right="-55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3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End of</w:t>
            </w:r>
          </w:p>
        </w:tc>
      </w:tr>
      <w:tr>
        <w:trPr>
          <w:trHeight w:val="234"/>
        </w:trPr>
        <w:tc>
          <w:tcPr>
            <w:tcW w:w="3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Period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(Recovery)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Deductions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w:t>
            </w:r>
          </w:p>
        </w:tc>
      </w:tr>
      <w:tr>
        <w:trPr>
          <w:trHeight w:val="209"/>
        </w:trPr>
        <w:tc>
          <w:tcPr>
            <w:tcW w:w="3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3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648"/>
        </w:trPr>
        <w:tc>
          <w:tcPr>
            <w:tcW w:w="3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F-30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680"/>
          </w:cols>
          <w:pgMar w:left="320" w:top="823" w:right="8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u w:val="single" w:color="auto"/>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COMPENSATORY ARRANGEMENTS OF DIRECTORS</w:t>
      </w:r>
    </w:p>
    <w:p>
      <w:pPr>
        <w:spacing w:after="0" w:line="200" w:lineRule="exact"/>
        <w:rPr>
          <w:sz w:val="20"/>
          <w:szCs w:val="20"/>
          <w:color w:val="auto"/>
        </w:rPr>
      </w:pPr>
    </w:p>
    <w:p>
      <w:pPr>
        <w:spacing w:after="0" w:line="24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Directors who are not also our officers (each a "non-employee director") currently receive an annual retainer of $25,000. The Chairman of the Board of Directors (the "Board") is paid an additional annual retainer of $40,000. The Chair of each of the committees of the Board are paid an additional annual fee as follows: the Chair of the Audit Committee is paid an additional annual fee of $20,000; the Chair of the Compensation Committee is paid an additional annual fee of $10,000; and the Chair of the Nominating and Corporate Governance Committee is paid an additional annual fee of $10,000. The members of the committees, other than the Chair, are paid additional annual fees as follows: members of the Audit Committee are paid an additional annual fee of $10,000, members of the Compensation Committee are paid an additional annual fee of $5,000, and members of the Nominating and Corporate Governance Committee are paid an additional annual fee of $5,000. Non-employee directors also receive a one-time award of restricted stock after their initial election to the Board that vests over four years and an annual award of restricted stock that vests fully in the year awarded, both of which are granted under our Third Amended and Restated 2014 Stock Plan. In addition, we reimburse non-employee directors' travel expenses and other costs associated with attending Board or committee meetings. We do not pay compensation to our executive officers for their service as directors.</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tcPr>
          <w:p>
            <w:pPr>
              <w:ind w:left="840"/>
              <w:spacing w:after="0"/>
              <w:rPr>
                <w:sz w:val="20"/>
                <w:szCs w:val="20"/>
                <w:color w:val="auto"/>
              </w:rPr>
            </w:pPr>
            <w:r>
              <w:rPr>
                <w:rFonts w:ascii="Arial" w:cs="Arial" w:eastAsia="Arial" w:hAnsi="Arial"/>
                <w:sz w:val="18"/>
                <w:szCs w:val="18"/>
                <w:b w:val="1"/>
                <w:bCs w:val="1"/>
                <w:color w:val="auto"/>
              </w:rPr>
              <w:t>Subsidiaries of the Registrant</w:t>
            </w:r>
          </w:p>
        </w:tc>
      </w:tr>
      <w:tr>
        <w:trPr>
          <w:trHeight w:val="846"/>
        </w:trPr>
        <w:tc>
          <w:tcPr>
            <w:tcW w:w="3640" w:type="dxa"/>
            <w:vAlign w:val="bottom"/>
          </w:tcPr>
          <w:p>
            <w:pPr>
              <w:spacing w:after="0"/>
              <w:rPr>
                <w:sz w:val="24"/>
                <w:szCs w:val="24"/>
                <w:color w:val="auto"/>
              </w:rPr>
            </w:pPr>
          </w:p>
        </w:tc>
        <w:tc>
          <w:tcPr>
            <w:tcW w:w="7600" w:type="dxa"/>
            <w:vAlign w:val="bottom"/>
          </w:tcPr>
          <w:p>
            <w:pPr>
              <w:jc w:val="center"/>
              <w:ind w:left="4230"/>
              <w:spacing w:after="0"/>
              <w:rPr>
                <w:sz w:val="20"/>
                <w:szCs w:val="20"/>
                <w:color w:val="auto"/>
              </w:rPr>
            </w:pPr>
            <w:r>
              <w:rPr>
                <w:rFonts w:ascii="Arial" w:cs="Arial" w:eastAsia="Arial" w:hAnsi="Arial"/>
                <w:sz w:val="18"/>
                <w:szCs w:val="18"/>
                <w:b w:val="1"/>
                <w:bCs w:val="1"/>
                <w:color w:val="auto"/>
                <w:w w:val="90"/>
              </w:rPr>
              <w:t>Jurisdiction</w:t>
            </w:r>
          </w:p>
        </w:tc>
      </w:tr>
      <w:tr>
        <w:trPr>
          <w:trHeight w:val="234"/>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Subsidiaries</w:t>
            </w:r>
          </w:p>
        </w:tc>
        <w:tc>
          <w:tcPr>
            <w:tcW w:w="7600" w:type="dxa"/>
            <w:vAlign w:val="bottom"/>
            <w:tcBorders>
              <w:bottom w:val="single" w:sz="8" w:color="auto"/>
            </w:tcBorders>
          </w:tcPr>
          <w:p>
            <w:pPr>
              <w:jc w:val="center"/>
              <w:ind w:left="4230"/>
              <w:spacing w:after="0"/>
              <w:rPr>
                <w:sz w:val="20"/>
                <w:szCs w:val="20"/>
                <w:color w:val="auto"/>
              </w:rPr>
            </w:pPr>
            <w:r>
              <w:rPr>
                <w:rFonts w:ascii="Arial" w:cs="Arial" w:eastAsia="Arial" w:hAnsi="Arial"/>
                <w:sz w:val="18"/>
                <w:szCs w:val="18"/>
                <w:b w:val="1"/>
                <w:bCs w:val="1"/>
                <w:color w:val="auto"/>
                <w:w w:val="92"/>
              </w:rPr>
              <w:t>of Incorporation</w:t>
            </w:r>
          </w:p>
        </w:tc>
      </w:tr>
      <w:tr>
        <w:trPr>
          <w:trHeight w:val="411"/>
        </w:trPr>
        <w:tc>
          <w:tcPr>
            <w:tcW w:w="3640" w:type="dxa"/>
            <w:vAlign w:val="bottom"/>
          </w:tcPr>
          <w:p>
            <w:pPr>
              <w:spacing w:after="0"/>
              <w:rPr>
                <w:sz w:val="20"/>
                <w:szCs w:val="20"/>
                <w:color w:val="auto"/>
              </w:rPr>
            </w:pPr>
            <w:r>
              <w:rPr>
                <w:rFonts w:ascii="Arial" w:cs="Arial" w:eastAsia="Arial" w:hAnsi="Arial"/>
                <w:sz w:val="18"/>
                <w:szCs w:val="18"/>
                <w:color w:val="auto"/>
              </w:rPr>
              <w:t>Ambrell Corporation</w:t>
            </w:r>
          </w:p>
        </w:tc>
        <w:tc>
          <w:tcPr>
            <w:tcW w:w="7600" w:type="dxa"/>
            <w:vAlign w:val="bottom"/>
          </w:tcPr>
          <w:p>
            <w:pPr>
              <w:jc w:val="center"/>
              <w:ind w:left="4210"/>
              <w:spacing w:after="0"/>
              <w:rPr>
                <w:sz w:val="20"/>
                <w:szCs w:val="20"/>
                <w:color w:val="auto"/>
              </w:rPr>
            </w:pPr>
            <w:r>
              <w:rPr>
                <w:rFonts w:ascii="Arial" w:cs="Arial" w:eastAsia="Arial" w:hAnsi="Arial"/>
                <w:sz w:val="18"/>
                <w:szCs w:val="18"/>
                <w:color w:val="auto"/>
                <w:w w:val="92"/>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inTEST EMS LLC (a)</w:t>
            </w:r>
          </w:p>
        </w:tc>
        <w:tc>
          <w:tcPr>
            <w:tcW w:w="7600" w:type="dxa"/>
            <w:vAlign w:val="bottom"/>
          </w:tcPr>
          <w:p>
            <w:pPr>
              <w:jc w:val="center"/>
              <w:ind w:left="4210"/>
              <w:spacing w:after="0"/>
              <w:rPr>
                <w:sz w:val="20"/>
                <w:szCs w:val="20"/>
                <w:color w:val="auto"/>
              </w:rPr>
            </w:pPr>
            <w:r>
              <w:rPr>
                <w:rFonts w:ascii="Arial" w:cs="Arial" w:eastAsia="Arial" w:hAnsi="Arial"/>
                <w:sz w:val="18"/>
                <w:szCs w:val="18"/>
                <w:color w:val="auto"/>
                <w:w w:val="92"/>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inTEST Silicon Valley Corporation (a)</w:t>
            </w:r>
          </w:p>
        </w:tc>
        <w:tc>
          <w:tcPr>
            <w:tcW w:w="7600" w:type="dxa"/>
            <w:vAlign w:val="bottom"/>
          </w:tcPr>
          <w:p>
            <w:pPr>
              <w:jc w:val="center"/>
              <w:ind w:left="4210"/>
              <w:spacing w:after="0"/>
              <w:rPr>
                <w:sz w:val="20"/>
                <w:szCs w:val="20"/>
                <w:color w:val="auto"/>
              </w:rPr>
            </w:pPr>
            <w:r>
              <w:rPr>
                <w:rFonts w:ascii="Arial" w:cs="Arial" w:eastAsia="Arial" w:hAnsi="Arial"/>
                <w:sz w:val="18"/>
                <w:szCs w:val="18"/>
                <w:color w:val="auto"/>
                <w:w w:val="92"/>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Temptronic Corporation (b)</w:t>
            </w:r>
          </w:p>
        </w:tc>
        <w:tc>
          <w:tcPr>
            <w:tcW w:w="7600" w:type="dxa"/>
            <w:vAlign w:val="bottom"/>
          </w:tcPr>
          <w:p>
            <w:pPr>
              <w:jc w:val="center"/>
              <w:ind w:left="4210"/>
              <w:spacing w:after="0"/>
              <w:rPr>
                <w:sz w:val="20"/>
                <w:szCs w:val="20"/>
                <w:color w:val="auto"/>
              </w:rPr>
            </w:pPr>
            <w:r>
              <w:rPr>
                <w:rFonts w:ascii="Arial" w:cs="Arial" w:eastAsia="Arial" w:hAnsi="Arial"/>
                <w:sz w:val="18"/>
                <w:szCs w:val="18"/>
                <w:color w:val="auto"/>
                <w:w w:val="92"/>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Ambrell B.V.</w:t>
            </w:r>
          </w:p>
        </w:tc>
        <w:tc>
          <w:tcPr>
            <w:tcW w:w="7600" w:type="dxa"/>
            <w:vAlign w:val="bottom"/>
          </w:tcPr>
          <w:p>
            <w:pPr>
              <w:jc w:val="center"/>
              <w:ind w:left="4210"/>
              <w:spacing w:after="0"/>
              <w:rPr>
                <w:sz w:val="20"/>
                <w:szCs w:val="20"/>
                <w:color w:val="auto"/>
              </w:rPr>
            </w:pPr>
            <w:r>
              <w:rPr>
                <w:rFonts w:ascii="Arial" w:cs="Arial" w:eastAsia="Arial" w:hAnsi="Arial"/>
                <w:sz w:val="18"/>
                <w:szCs w:val="18"/>
                <w:color w:val="auto"/>
                <w:w w:val="88"/>
              </w:rPr>
              <w:t>Netherlands</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Ambrell Limited</w:t>
            </w:r>
          </w:p>
        </w:tc>
        <w:tc>
          <w:tcPr>
            <w:tcW w:w="7600" w:type="dxa"/>
            <w:vAlign w:val="bottom"/>
          </w:tcPr>
          <w:p>
            <w:pPr>
              <w:jc w:val="center"/>
              <w:ind w:left="4210"/>
              <w:spacing w:after="0"/>
              <w:rPr>
                <w:sz w:val="20"/>
                <w:szCs w:val="20"/>
                <w:color w:val="auto"/>
              </w:rPr>
            </w:pPr>
            <w:r>
              <w:rPr>
                <w:rFonts w:ascii="Arial" w:cs="Arial" w:eastAsia="Arial" w:hAnsi="Arial"/>
                <w:sz w:val="18"/>
                <w:szCs w:val="18"/>
                <w:color w:val="auto"/>
                <w:w w:val="96"/>
              </w:rPr>
              <w:t>U.K.</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inTEST PTE, Ltd.</w:t>
            </w:r>
          </w:p>
        </w:tc>
        <w:tc>
          <w:tcPr>
            <w:tcW w:w="7600" w:type="dxa"/>
            <w:vAlign w:val="bottom"/>
          </w:tcPr>
          <w:p>
            <w:pPr>
              <w:jc w:val="center"/>
              <w:ind w:left="4210"/>
              <w:spacing w:after="0"/>
              <w:rPr>
                <w:sz w:val="20"/>
                <w:szCs w:val="20"/>
                <w:color w:val="auto"/>
              </w:rPr>
            </w:pPr>
            <w:r>
              <w:rPr>
                <w:rFonts w:ascii="Arial" w:cs="Arial" w:eastAsia="Arial" w:hAnsi="Arial"/>
                <w:sz w:val="18"/>
                <w:szCs w:val="18"/>
                <w:color w:val="auto"/>
                <w:w w:val="90"/>
              </w:rPr>
              <w:t>Singapore</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inTEST Thermal Solutions GmbH</w:t>
            </w:r>
          </w:p>
        </w:tc>
        <w:tc>
          <w:tcPr>
            <w:tcW w:w="7600" w:type="dxa"/>
            <w:vAlign w:val="bottom"/>
          </w:tcPr>
          <w:p>
            <w:pPr>
              <w:jc w:val="center"/>
              <w:ind w:left="4210"/>
              <w:spacing w:after="0"/>
              <w:rPr>
                <w:sz w:val="20"/>
                <w:szCs w:val="20"/>
                <w:color w:val="auto"/>
              </w:rPr>
            </w:pPr>
            <w:r>
              <w:rPr>
                <w:rFonts w:ascii="Arial" w:cs="Arial" w:eastAsia="Arial" w:hAnsi="Arial"/>
                <w:sz w:val="18"/>
                <w:szCs w:val="18"/>
                <w:color w:val="auto"/>
                <w:w w:val="89"/>
              </w:rPr>
              <w:t>Germany</w:t>
            </w:r>
          </w:p>
        </w:tc>
      </w:tr>
    </w:tbl>
    <w:p>
      <w:pPr>
        <w:spacing w:after="0" w:line="20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Doing business as inTEST EMS.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Doing business as inTEST Thermal Solutions Corp.</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(Nos. 333-145176, 333-197858, 333-226815, and 333-233297) on Form S-8 and the Registration Statement (No. 333-250047) on Form S-3 of inTEST Corporation of our report dated March 23, 2021, relating to the consolidated financial statements and the financial statement schedule of inTEST Corporation, appearing in this Annual Report on Form 10-K of inTEST Corporation for the year ended December 31, 2020.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Richard N. Grant, Jr., certify that:</w:t>
      </w:r>
    </w:p>
    <w:p>
      <w:pPr>
        <w:spacing w:after="0" w:line="225"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25" w:lineRule="exact"/>
        <w:rPr>
          <w:rFonts w:ascii="Arial" w:cs="Arial" w:eastAsia="Arial" w:hAnsi="Arial"/>
          <w:sz w:val="18"/>
          <w:szCs w:val="18"/>
          <w:color w:val="auto"/>
        </w:rPr>
      </w:pPr>
    </w:p>
    <w:p>
      <w:pPr>
        <w:ind w:right="120" w:firstLine="332"/>
        <w:spacing w:after="0" w:line="342" w:lineRule="auto"/>
        <w:tabs>
          <w:tab w:leader="none" w:pos="639"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332"/>
        <w:spacing w:after="0" w:line="277" w:lineRule="auto"/>
        <w:tabs>
          <w:tab w:leader="none" w:pos="6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6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180" w:firstLine="316"/>
        <w:spacing w:after="0" w:line="263" w:lineRule="auto"/>
        <w:tabs>
          <w:tab w:leader="none" w:pos="10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right="380" w:firstLine="316"/>
        <w:spacing w:after="0" w:line="263" w:lineRule="auto"/>
        <w:tabs>
          <w:tab w:leader="none" w:pos="10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520" w:firstLine="316"/>
        <w:spacing w:after="0" w:line="342" w:lineRule="auto"/>
        <w:tabs>
          <w:tab w:leader="none" w:pos="1044"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20" w:firstLine="316"/>
        <w:spacing w:after="0" w:line="263" w:lineRule="auto"/>
        <w:tabs>
          <w:tab w:leader="none" w:pos="10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332"/>
        <w:spacing w:after="0" w:line="308" w:lineRule="auto"/>
        <w:tabs>
          <w:tab w:leader="none" w:pos="6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740" w:firstLine="316"/>
        <w:spacing w:after="0" w:line="308" w:lineRule="auto"/>
        <w:tabs>
          <w:tab w:leader="none" w:pos="1034"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420" w:firstLine="316"/>
        <w:spacing w:after="0" w:line="277" w:lineRule="auto"/>
        <w:tabs>
          <w:tab w:leader="none" w:pos="10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Date:  March 23, 2021</w:t>
            </w: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/s/Richard N. Grant, Jr.</w:t>
            </w:r>
          </w:p>
        </w:tc>
      </w:tr>
      <w:tr>
        <w:trPr>
          <w:trHeight w:val="195"/>
        </w:trPr>
        <w:tc>
          <w:tcPr>
            <w:tcW w:w="58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N. Grant, Jr.</w:t>
            </w: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Hugh T. Regan, Jr., certify that:</w:t>
      </w:r>
    </w:p>
    <w:p>
      <w:pPr>
        <w:spacing w:after="0" w:line="225"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25" w:lineRule="exact"/>
        <w:rPr>
          <w:rFonts w:ascii="Arial" w:cs="Arial" w:eastAsia="Arial" w:hAnsi="Arial"/>
          <w:sz w:val="18"/>
          <w:szCs w:val="18"/>
          <w:color w:val="auto"/>
        </w:rPr>
      </w:pPr>
    </w:p>
    <w:p>
      <w:pPr>
        <w:ind w:right="120" w:firstLine="332"/>
        <w:spacing w:after="0" w:line="342" w:lineRule="auto"/>
        <w:tabs>
          <w:tab w:leader="none" w:pos="639"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332"/>
        <w:spacing w:after="0" w:line="277" w:lineRule="auto"/>
        <w:tabs>
          <w:tab w:leader="none" w:pos="6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6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180" w:firstLine="316"/>
        <w:spacing w:after="0" w:line="263" w:lineRule="auto"/>
        <w:tabs>
          <w:tab w:leader="none" w:pos="104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right="380" w:firstLine="316"/>
        <w:spacing w:after="0" w:line="263" w:lineRule="auto"/>
        <w:tabs>
          <w:tab w:leader="none" w:pos="105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520" w:firstLine="316"/>
        <w:spacing w:after="0" w:line="342" w:lineRule="auto"/>
        <w:tabs>
          <w:tab w:leader="none" w:pos="1044"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20" w:firstLine="316"/>
        <w:spacing w:after="0" w:line="263" w:lineRule="auto"/>
        <w:tabs>
          <w:tab w:leader="none" w:pos="105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332"/>
        <w:spacing w:after="0" w:line="308"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740" w:firstLine="316"/>
        <w:spacing w:after="0" w:line="308" w:lineRule="auto"/>
        <w:tabs>
          <w:tab w:leader="none" w:pos="1034"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420" w:firstLine="316"/>
        <w:spacing w:after="0" w:line="277" w:lineRule="auto"/>
        <w:tabs>
          <w:tab w:leader="none" w:pos="104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Date:  March 23, 2021</w:t>
            </w: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 Hugh T. Regan, Jr.</w:t>
            </w:r>
          </w:p>
        </w:tc>
      </w:tr>
      <w:tr>
        <w:trPr>
          <w:trHeight w:val="195"/>
        </w:trPr>
        <w:tc>
          <w:tcPr>
            <w:tcW w:w="58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Hugh T. Regan, Jr.</w:t>
            </w: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Secretary, Treasurer and Chief Financial Officer</w:t>
            </w:r>
          </w:p>
        </w:tc>
      </w:tr>
    </w:tbl>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Annual Report of inTEST Corporation (the "Company") on Form 10-K for the year ended December 31, 2020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Date:  March 23, 2021</w:t>
            </w: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 Richard N. Grant, Jr.</w:t>
            </w:r>
          </w:p>
        </w:tc>
      </w:tr>
      <w:tr>
        <w:trPr>
          <w:trHeight w:val="195"/>
        </w:trPr>
        <w:tc>
          <w:tcPr>
            <w:tcW w:w="58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N. Grant, Jr.</w:t>
            </w: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In connection with the Annual Report of inTEST Corporation (the "Company") on Form 10-K for the year ended December 31, 2020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Date:  March 23, 2021</w:t>
            </w: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 Hugh T. Regan, Jr.</w:t>
            </w:r>
          </w:p>
        </w:tc>
      </w:tr>
      <w:tr>
        <w:trPr>
          <w:trHeight w:val="195"/>
        </w:trPr>
        <w:tc>
          <w:tcPr>
            <w:tcW w:w="58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Hugh T. Regan, Jr.</w:t>
            </w: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Secretary, Treasurer and 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9"/>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9"/>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lowerLetter"/>
      <w:start w:val="1"/>
    </w:lvl>
    <w:lvl w:ilvl="1">
      <w:lvlJc w:val="left"/>
      <w:lvlText w:val="(%2)"/>
      <w:numFmt w:val="lowerRoman"/>
      <w:start w:val="1"/>
    </w:lvl>
  </w:abstractNum>
  <w:abstractNum w:abstractNumId="14">
    <w:nsid w:val="71F32454"/>
    <w:multiLevelType w:val="hybridMultilevel"/>
    <w:lvl w:ilvl="0">
      <w:lvlJc w:val="left"/>
      <w:lvlText w:val="%1"/>
      <w:numFmt w:val="decimal"/>
      <w:start w:val="21"/>
    </w:lvl>
  </w:abstractNum>
  <w:abstractNum w:abstractNumId="15">
    <w:nsid w:val="2CA88611"/>
    <w:multiLevelType w:val="hybridMultilevel"/>
    <w:lvl w:ilvl="0">
      <w:lvlJc w:val="left"/>
      <w:lvlText w:val="%1"/>
      <w:numFmt w:val="decimal"/>
      <w:start w:val="23"/>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9"/>
    </w:lvl>
  </w:abstractNum>
  <w:abstractNum w:abstractNumId="21">
    <w:nsid w:val="7C3DBD3D"/>
    <w:multiLevelType w:val="hybridMultilevel"/>
    <w:lvl w:ilvl="0">
      <w:lvlJc w:val="left"/>
      <w:lvlText w:val="(%1)"/>
      <w:numFmt w:val="decimal"/>
      <w:start w:val="2"/>
    </w:lvl>
  </w:abstractNum>
  <w:abstractNum w:abstractNumId="22">
    <w:nsid w:val="737B8DDC"/>
    <w:multiLevelType w:val="hybridMultilevel"/>
    <w:lvl w:ilvl="0">
      <w:lvlJc w:val="left"/>
      <w:lvlText w:val="(%1)"/>
      <w:numFmt w:val="decimal"/>
      <w:start w:val="3"/>
    </w:lvl>
  </w:abstractNum>
  <w:abstractNum w:abstractNumId="23">
    <w:nsid w:val="6CEAF087"/>
    <w:multiLevelType w:val="hybridMultilevel"/>
    <w:lvl w:ilvl="0">
      <w:lvlJc w:val="left"/>
      <w:lvlText w:val="(%1)"/>
      <w:numFmt w:val="decimal"/>
      <w:start w:val="4"/>
    </w:lvl>
  </w:abstractNum>
  <w:abstractNum w:abstractNumId="24">
    <w:nsid w:val="22221A70"/>
    <w:multiLevelType w:val="hybridMultilevel"/>
    <w:lvl w:ilvl="0">
      <w:lvlJc w:val="left"/>
      <w:lvlText w:val="(%1)"/>
      <w:numFmt w:val="decimal"/>
      <w:start w:val="5"/>
    </w:lvl>
  </w:abstractNum>
  <w:abstractNum w:abstractNumId="25">
    <w:nsid w:val="4516DDE9"/>
    <w:multiLevelType w:val="hybridMultilevel"/>
    <w:lvl w:ilvl="0">
      <w:lvlJc w:val="left"/>
      <w:lvlText w:val="(%1)"/>
      <w:numFmt w:val="decimal"/>
      <w:start w:val="6"/>
    </w:lvl>
  </w:abstractNum>
  <w:abstractNum w:abstractNumId="26">
    <w:nsid w:val="3006C83E"/>
    <w:multiLevelType w:val="hybridMultilevel"/>
    <w:lvl w:ilvl="0">
      <w:lvlJc w:val="left"/>
      <w:lvlText w:val="(%1)"/>
      <w:numFmt w:val="decimal"/>
      <w:start w:val="8"/>
    </w:lvl>
  </w:abstractNum>
  <w:abstractNum w:abstractNumId="27">
    <w:nsid w:val="614FD4A1"/>
    <w:multiLevelType w:val="hybridMultilevel"/>
    <w:lvl w:ilvl="0">
      <w:lvlJc w:val="left"/>
      <w:lvlText w:val="(%1)"/>
      <w:numFmt w:val="decimal"/>
      <w:start w:val="9"/>
    </w:lvl>
  </w:abstractNum>
  <w:abstractNum w:abstractNumId="28">
    <w:nsid w:val="419AC241"/>
    <w:multiLevelType w:val="hybridMultilevel"/>
    <w:lvl w:ilvl="0">
      <w:lvlJc w:val="left"/>
      <w:lvlText w:val="(%1)"/>
      <w:numFmt w:val="decimal"/>
      <w:start w:val="10"/>
    </w:lvl>
  </w:abstractNum>
  <w:abstractNum w:abstractNumId="29">
    <w:nsid w:val="5577F8E1"/>
    <w:multiLevelType w:val="hybridMultilevel"/>
    <w:lvl w:ilvl="0">
      <w:lvlJc w:val="left"/>
      <w:lvlText w:val="(%1)"/>
      <w:numFmt w:val="decimal"/>
      <w:start w:val="11"/>
    </w:lvl>
  </w:abstractNum>
  <w:abstractNum w:abstractNumId="30">
    <w:nsid w:val="440BADFC"/>
    <w:multiLevelType w:val="hybridMultilevel"/>
    <w:lvl w:ilvl="0">
      <w:lvlJc w:val="left"/>
      <w:lvlText w:val="(%1)"/>
      <w:numFmt w:val="decimal"/>
      <w:start w:val="12"/>
    </w:lvl>
  </w:abstractNum>
  <w:abstractNum w:abstractNumId="31">
    <w:nsid w:val="5072367"/>
    <w:multiLevelType w:val="hybridMultilevel"/>
    <w:lvl w:ilvl="0">
      <w:lvlJc w:val="left"/>
      <w:lvlText w:val="(%1)"/>
      <w:numFmt w:val="decimal"/>
      <w:start w:val="14"/>
    </w:lvl>
  </w:abstractNum>
  <w:abstractNum w:abstractNumId="32">
    <w:nsid w:val="3804823E"/>
    <w:multiLevelType w:val="hybridMultilevel"/>
    <w:lvl w:ilvl="0">
      <w:lvlJc w:val="left"/>
      <w:lvlText w:val="(%1)"/>
      <w:numFmt w:val="decimal"/>
      <w:start w:val="15"/>
    </w:lvl>
  </w:abstractNum>
  <w:abstractNum w:abstractNumId="33">
    <w:nsid w:val="77465F01"/>
    <w:multiLevelType w:val="hybridMultilevel"/>
    <w:lvl w:ilvl="0">
      <w:lvlJc w:val="left"/>
      <w:lvlText w:val="(%1)"/>
      <w:numFmt w:val="decimal"/>
      <w:start w:val="17"/>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70"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4.png"/><Relationship Id="rId73" Type="http://schemas.openxmlformats.org/officeDocument/2006/relationships/image" Target="media/image35.png"/><Relationship Id="rId74" Type="http://schemas.openxmlformats.org/officeDocument/2006/relationships/image" Target="media/image36.png"/><Relationship Id="rId75" Type="http://schemas.openxmlformats.org/officeDocument/2006/relationships/image" Target="media/image37.png"/><Relationship Id="rId76" Type="http://schemas.openxmlformats.org/officeDocument/2006/relationships/image" Target="media/image38.png"/><Relationship Id="rId77" Type="http://schemas.openxmlformats.org/officeDocument/2006/relationships/image" Target="media/image39.png"/><Relationship Id="rId78" Type="http://schemas.openxmlformats.org/officeDocument/2006/relationships/image" Target="media/image40.png"/><Relationship Id="rId79" Type="http://schemas.openxmlformats.org/officeDocument/2006/relationships/image" Target="media/image41.png"/><Relationship Id="rId80" Type="http://schemas.openxmlformats.org/officeDocument/2006/relationships/image" Target="media/image42.png"/><Relationship Id="rId81" Type="http://schemas.openxmlformats.org/officeDocument/2006/relationships/image" Target="media/image43.png"/><Relationship Id="rId82" Type="http://schemas.openxmlformats.org/officeDocument/2006/relationships/image" Target="media/image44.png"/><Relationship Id="rId83" Type="http://schemas.openxmlformats.org/officeDocument/2006/relationships/image" Target="media/image45.png"/><Relationship Id="rId84" Type="http://schemas.openxmlformats.org/officeDocument/2006/relationships/image" Target="media/image46.png"/><Relationship Id="rId85" Type="http://schemas.openxmlformats.org/officeDocument/2006/relationships/image" Target="media/image47.png"/><Relationship Id="rId86" Type="http://schemas.openxmlformats.org/officeDocument/2006/relationships/image" Target="media/image48.png"/><Relationship Id="rId87" Type="http://schemas.openxmlformats.org/officeDocument/2006/relationships/image" Target="media/image49.png"/><Relationship Id="rId88" Type="http://schemas.openxmlformats.org/officeDocument/2006/relationships/image" Target="media/image50.png"/><Relationship Id="rId89" Type="http://schemas.openxmlformats.org/officeDocument/2006/relationships/image" Target="media/image51.png"/><Relationship Id="rId90" Type="http://schemas.openxmlformats.org/officeDocument/2006/relationships/image" Target="media/image52.png"/><Relationship Id="rId91" Type="http://schemas.openxmlformats.org/officeDocument/2006/relationships/image" Target="media/image53.png"/><Relationship Id="rId92" Type="http://schemas.openxmlformats.org/officeDocument/2006/relationships/image" Target="media/image54.png"/><Relationship Id="rId39" Type="http://schemas.openxmlformats.org/officeDocument/2006/relationships/hyperlink" Target="http://www.sec.gov/Archives/edgar/data/1036262/000143774920005921/ex_177250.htm" TargetMode="External"/><Relationship Id="rId40" Type="http://schemas.openxmlformats.org/officeDocument/2006/relationships/hyperlink" Target="http://www.sec.gov/Archives/edgar/data/1036262/000143774918007703/ex_111081.htm" TargetMode="External"/><Relationship Id="rId41" Type="http://schemas.openxmlformats.org/officeDocument/2006/relationships/hyperlink" Target="http://www.sec.gov/Archives/edgar/data/1036262/000143774920005921/ex_177251.htm" TargetMode="External"/><Relationship Id="rId42" Type="http://schemas.openxmlformats.org/officeDocument/2006/relationships/hyperlink" Target="http://www.sec.gov/Archives/edgar/data/1036262/000103626210000025/ex101-8k051010.htm" TargetMode="External"/><Relationship Id="rId43" Type="http://schemas.openxmlformats.org/officeDocument/2006/relationships/hyperlink" Target="http://www.sec.gov/Archives/edgar/data/1036262/000143774920020176/ex_204864.htm" TargetMode="External"/><Relationship Id="rId44" Type="http://schemas.openxmlformats.org/officeDocument/2006/relationships/hyperlink" Target="http://www.sec.gov/Archives/edgar/data/1036262/000103626210000043/ex101-8k102710.htm" TargetMode="External"/><Relationship Id="rId45" Type="http://schemas.openxmlformats.org/officeDocument/2006/relationships/hyperlink" Target="http://www.sec.gov/Archives/edgar/data/1036262/000143774919007093/ex_140554.htm" TargetMode="External"/><Relationship Id="rId46" Type="http://schemas.openxmlformats.org/officeDocument/2006/relationships/hyperlink" Target="http://www.sec.gov/Archives/edgar/data/1036262/000103626212000022/ex101-10q033112.htm" TargetMode="External"/><Relationship Id="rId47" Type="http://schemas.openxmlformats.org/officeDocument/2006/relationships/hyperlink" Target="http://www.sec.gov/Archives/edgar/data/1036262/000103626216000065/exh101-f8k111816.htm" TargetMode="External"/><Relationship Id="rId48" Type="http://schemas.openxmlformats.org/officeDocument/2006/relationships/hyperlink" Target="http://www.sec.gov/Archives/edgar/data/1036262/000143774920001297/ex_170460.htm" TargetMode="External"/><Relationship Id="rId49" Type="http://schemas.openxmlformats.org/officeDocument/2006/relationships/hyperlink" Target="http://www.sec.gov/Archives/edgar/data/1036262/000103626212000022/ex102-10q033112.htm" TargetMode="External"/><Relationship Id="rId50" Type="http://schemas.openxmlformats.org/officeDocument/2006/relationships/hyperlink" Target="http://www.sec.gov/Archives/edgar/data/1036262/000143774917021126/ex_102407.htm" TargetMode="External"/><Relationship Id="rId51" Type="http://schemas.openxmlformats.org/officeDocument/2006/relationships/hyperlink" Target="http://www.sec.gov/Archives/edgar/data/1036262/000143774917021126/ex_102408.htm" TargetMode="External"/><Relationship Id="rId52" Type="http://schemas.openxmlformats.org/officeDocument/2006/relationships/hyperlink" Target="http://www.sec.gov/Archives/edgar/data/1036262/000143774920007769/ex_181352.htm" TargetMode="External"/><Relationship Id="rId53" Type="http://schemas.openxmlformats.org/officeDocument/2006/relationships/hyperlink" Target="http://www.sec.gov/Archives/edgar/data/1036262/000143774920007769/ex_181353.htm" TargetMode="External"/><Relationship Id="rId54" Type="http://schemas.openxmlformats.org/officeDocument/2006/relationships/hyperlink" Target="http://www.sec.gov/Archives/edgar/data/1036262/000143774920007769/ex_181288.htm" TargetMode="External"/><Relationship Id="rId55" Type="http://schemas.openxmlformats.org/officeDocument/2006/relationships/hyperlink" Target="http://www.sec.gov/Archives/edgar/data/1036262/000143774920007769/ex_181289.htm" TargetMode="External"/><Relationship Id="rId56" Type="http://schemas.openxmlformats.org/officeDocument/2006/relationships/hyperlink" Target="http://www.sec.gov/Archives/edgar/data/1036262/000143774920014043/ex_191785.htm" TargetMode="External"/><Relationship Id="rId57" Type="http://schemas.openxmlformats.org/officeDocument/2006/relationships/hyperlink" Target="http://www.sec.gov/Archives/edgar/data/1036262/000143774920023648/ex_212625.htm" TargetMode="External"/><Relationship Id="rId58" Type="http://schemas.openxmlformats.org/officeDocument/2006/relationships/hyperlink" Target="http://www.sec.gov/Archives/edgar/data/1036262/000143774918005659/ex_108795.htm" TargetMode="External"/><Relationship Id="rId59" Type="http://schemas.openxmlformats.org/officeDocument/2006/relationships/hyperlink" Target="http://www.sec.gov/Archives/edgar/data/1036262/000143774920017523/ex_198824.htm" TargetMode="External"/><Relationship Id="rId60" Type="http://schemas.openxmlformats.org/officeDocument/2006/relationships/hyperlink" Target="http://www.sec.gov/Archives/edgar/data/1036262/000143774920017523/ex_198825.htm" TargetMode="External"/><Relationship Id="rId61" Type="http://schemas.openxmlformats.org/officeDocument/2006/relationships/hyperlink" Target="http://www.sec.gov/Archives/edgar/data/1036262/000143774920023648/ex_212630.htm" TargetMode="External"/><Relationship Id="rId62" Type="http://schemas.openxmlformats.org/officeDocument/2006/relationships/hyperlink" Target="http://www.sec.gov/Archives/edgar/data/1036262/000143774920010587/ex_186226.htm" TargetMode="External"/><Relationship Id="rId63" Type="http://schemas.openxmlformats.org/officeDocument/2006/relationships/hyperlink" Target="http://www.sec.gov/Archives/edgar/data/1036262/000143774920010587/ex_186225.htm" TargetMode="External"/><Relationship Id="rId64" Type="http://schemas.openxmlformats.org/officeDocument/2006/relationships/hyperlink" Target="http://www.sec.gov/Archives/edgar/data/1036262/000143774920004744/ex_176438.htm" TargetMode="External"/><Relationship Id="rId65" Type="http://schemas.openxmlformats.org/officeDocument/2006/relationships/hyperlink" Target="http://www.sec.gov/Archives/edgar/data/1036262/000143774921006160/ex_234025.htm" TargetMode="External"/><Relationship Id="rId66" Type="http://schemas.openxmlformats.org/officeDocument/2006/relationships/hyperlink" Target="http://www.sec.gov/Archives/edgar/data/1036262/000143774920023648/ex_212626.htm" TargetMode="External"/><Relationship Id="rId67" Type="http://schemas.openxmlformats.org/officeDocument/2006/relationships/hyperlink" Target="http://www.sec.gov/Archives/edgar/data/1036262/000143774920023648/ex_212627.htm" TargetMode="External"/><Relationship Id="rId68" Type="http://schemas.openxmlformats.org/officeDocument/2006/relationships/hyperlink" Target="http://www.sec.gov/Archives/edgar/data/1036262/000143774921006160/ex_234027.htm" TargetMode="External"/><Relationship Id="rId69" Type="http://schemas.openxmlformats.org/officeDocument/2006/relationships/hyperlink" Target="http://www.sec.gov/Archives/edgar/data/1036262/000143774921006160/ex_2340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2021-03-25T17:18:47Z</dcterms:created>
  <dcterms:modified xsi:type="dcterms:W3CDTF">2021-03-25T17:18:47Z</dcterms:modified>
</cp:coreProperties>
</file>