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FORM 10-K</w:t>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720" w:right="2420" w:hanging="712"/>
        <w:spacing w:after="0" w:line="252" w:lineRule="auto"/>
        <w:tabs>
          <w:tab w:leader="none" w:pos="4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FF0000"/>
        </w:rPr>
        <w:t>December 31, 2013</w:t>
      </w:r>
      <w:r>
        <w:rPr>
          <w:rFonts w:ascii="Arial" w:cs="Arial" w:eastAsia="Arial" w:hAnsi="Arial"/>
          <w:sz w:val="18"/>
          <w:szCs w:val="18"/>
          <w:color w:val="auto"/>
        </w:rPr>
        <w:t xml:space="preserve"> or</w:t>
      </w:r>
    </w:p>
    <w:p>
      <w:pPr>
        <w:spacing w:after="0" w:line="194" w:lineRule="exact"/>
        <w:rPr>
          <w:sz w:val="24"/>
          <w:szCs w:val="24"/>
          <w:color w:val="auto"/>
        </w:rPr>
      </w:pPr>
    </w:p>
    <w:p>
      <w:pPr>
        <w:ind w:left="720" w:right="2060" w:hanging="712"/>
        <w:spacing w:after="0" w:line="275" w:lineRule="auto"/>
        <w:tabs>
          <w:tab w:leader="none" w:pos="20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1-36117</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inTEST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2"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6"/>
              </w:rPr>
              <w:t>DELAWARE</w:t>
            </w:r>
          </w:p>
        </w:tc>
        <w:tc>
          <w:tcPr>
            <w:tcW w:w="3060" w:type="dxa"/>
            <w:vAlign w:val="bottom"/>
          </w:tcPr>
          <w:p>
            <w:pPr>
              <w:jc w:val="right"/>
              <w:ind w:right="602"/>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172"/>
        </w:trPr>
        <w:tc>
          <w:tcPr>
            <w:tcW w:w="4160" w:type="dxa"/>
            <w:vAlign w:val="bottom"/>
          </w:tcPr>
          <w:p>
            <w:pPr>
              <w:jc w:val="center"/>
              <w:ind w:right="76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060" w:type="dxa"/>
            <w:vAlign w:val="bottom"/>
          </w:tcPr>
          <w:p>
            <w:pPr>
              <w:jc w:val="center"/>
              <w:ind w:left="782"/>
              <w:spacing w:after="0"/>
              <w:rPr>
                <w:sz w:val="20"/>
                <w:szCs w:val="20"/>
                <w:color w:val="auto"/>
              </w:rPr>
            </w:pPr>
            <w:r>
              <w:rPr>
                <w:rFonts w:ascii="Arial" w:cs="Arial" w:eastAsia="Arial" w:hAnsi="Arial"/>
                <w:sz w:val="14"/>
                <w:szCs w:val="14"/>
                <w:color w:val="auto"/>
                <w:w w:val="90"/>
              </w:rPr>
              <w:t>(I.R.S. Employer Identification Number)</w:t>
            </w:r>
          </w:p>
        </w:tc>
        <w:tc>
          <w:tcPr>
            <w:tcW w:w="0" w:type="dxa"/>
            <w:vAlign w:val="bottom"/>
          </w:tcPr>
          <w:p>
            <w:pPr>
              <w:spacing w:after="0"/>
              <w:rPr>
                <w:sz w:val="1"/>
                <w:szCs w:val="1"/>
                <w:color w:val="auto"/>
              </w:rPr>
            </w:pPr>
          </w:p>
        </w:tc>
      </w:tr>
      <w:tr>
        <w:trPr>
          <w:trHeight w:val="216"/>
        </w:trPr>
        <w:tc>
          <w:tcPr>
            <w:tcW w:w="4160" w:type="dxa"/>
            <w:vAlign w:val="bottom"/>
          </w:tcPr>
          <w:p>
            <w:pPr>
              <w:jc w:val="center"/>
              <w:ind w:right="760"/>
              <w:spacing w:after="0"/>
              <w:rPr>
                <w:sz w:val="20"/>
                <w:szCs w:val="20"/>
                <w:color w:val="auto"/>
              </w:rPr>
            </w:pPr>
            <w:r>
              <w:rPr>
                <w:rFonts w:ascii="Arial" w:cs="Arial" w:eastAsia="Arial" w:hAnsi="Arial"/>
                <w:sz w:val="18"/>
                <w:szCs w:val="18"/>
                <w:b w:val="1"/>
                <w:bCs w:val="1"/>
                <w:color w:val="auto"/>
                <w:w w:val="95"/>
              </w:rPr>
              <w:t>804 EAST GATE DRIVE, SUITE 200</w:t>
            </w:r>
          </w:p>
        </w:tc>
        <w:tc>
          <w:tcPr>
            <w:tcW w:w="3060" w:type="dxa"/>
            <w:vAlign w:val="bottom"/>
            <w:vMerge w:val="restart"/>
          </w:tcPr>
          <w:p>
            <w:pPr>
              <w:jc w:val="right"/>
              <w:ind w:right="802"/>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12"/>
        </w:trPr>
        <w:tc>
          <w:tcPr>
            <w:tcW w:w="4160" w:type="dxa"/>
            <w:vAlign w:val="bottom"/>
            <w:vMerge w:val="restart"/>
          </w:tcPr>
          <w:p>
            <w:pPr>
              <w:jc w:val="center"/>
              <w:ind w:right="760"/>
              <w:spacing w:after="0"/>
              <w:rPr>
                <w:sz w:val="20"/>
                <w:szCs w:val="20"/>
                <w:color w:val="auto"/>
              </w:rPr>
            </w:pPr>
            <w:r>
              <w:rPr>
                <w:rFonts w:ascii="Arial" w:cs="Arial" w:eastAsia="Arial" w:hAnsi="Arial"/>
                <w:sz w:val="18"/>
                <w:szCs w:val="18"/>
                <w:b w:val="1"/>
                <w:bCs w:val="1"/>
                <w:color w:val="auto"/>
                <w:w w:val="97"/>
              </w:rPr>
              <w:t>MT. LAUREL, NEW JERSEY</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3060" w:type="dxa"/>
            <w:vAlign w:val="bottom"/>
            <w:vMerge w:val="restart"/>
          </w:tcPr>
          <w:p>
            <w:pPr>
              <w:jc w:val="center"/>
              <w:ind w:left="782"/>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64"/>
        </w:trPr>
        <w:tc>
          <w:tcPr>
            <w:tcW w:w="4160" w:type="dxa"/>
            <w:vAlign w:val="bottom"/>
            <w:vMerge w:val="restart"/>
          </w:tcPr>
          <w:p>
            <w:pPr>
              <w:jc w:val="center"/>
              <w:ind w:right="760"/>
              <w:spacing w:after="0"/>
              <w:rPr>
                <w:sz w:val="20"/>
                <w:szCs w:val="20"/>
                <w:color w:val="auto"/>
              </w:rPr>
            </w:pPr>
            <w:r>
              <w:rPr>
                <w:rFonts w:ascii="Arial" w:cs="Arial" w:eastAsia="Arial" w:hAnsi="Arial"/>
                <w:sz w:val="14"/>
                <w:szCs w:val="14"/>
                <w:color w:val="auto"/>
                <w:w w:val="89"/>
              </w:rPr>
              <w:t>(Address of Principal Executive Offices)</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(856) 505-8800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80" w:type="dxa"/>
            <w:vAlign w:val="bottom"/>
          </w:tcPr>
          <w:p>
            <w:pPr>
              <w:ind w:left="500"/>
              <w:spacing w:after="0"/>
              <w:rPr>
                <w:sz w:val="20"/>
                <w:szCs w:val="20"/>
                <w:color w:val="auto"/>
              </w:rPr>
            </w:pPr>
            <w:r>
              <w:rPr>
                <w:rFonts w:ascii="Arial" w:cs="Arial" w:eastAsia="Arial" w:hAnsi="Arial"/>
                <w:sz w:val="14"/>
                <w:szCs w:val="14"/>
                <w:b w:val="1"/>
                <w:bCs w:val="1"/>
                <w:color w:val="auto"/>
              </w:rPr>
              <w:t>Title of Each Class</w:t>
            </w:r>
          </w:p>
        </w:tc>
        <w:tc>
          <w:tcPr>
            <w:tcW w:w="1260" w:type="dxa"/>
            <w:vAlign w:val="bottom"/>
          </w:tcPr>
          <w:p>
            <w:pPr>
              <w:spacing w:after="0"/>
              <w:rPr>
                <w:sz w:val="14"/>
                <w:szCs w:val="14"/>
                <w:color w:val="auto"/>
              </w:rPr>
            </w:pPr>
          </w:p>
        </w:tc>
        <w:tc>
          <w:tcPr>
            <w:tcW w:w="3480" w:type="dxa"/>
            <w:vAlign w:val="bottom"/>
            <w:gridSpan w:val="2"/>
          </w:tcPr>
          <w:p>
            <w:pPr>
              <w:jc w:val="center"/>
              <w:ind w:left="772"/>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60" w:type="dxa"/>
            <w:vAlign w:val="bottom"/>
            <w:vMerge w:val="restart"/>
          </w:tcPr>
          <w:p>
            <w:pPr>
              <w:ind w:left="60"/>
              <w:spacing w:after="0"/>
              <w:rPr>
                <w:sz w:val="20"/>
                <w:szCs w:val="20"/>
                <w:color w:val="auto"/>
              </w:rPr>
            </w:pPr>
            <w:r>
              <w:rPr>
                <w:rFonts w:ascii="Arial" w:cs="Arial" w:eastAsia="Arial" w:hAnsi="Arial"/>
                <w:sz w:val="18"/>
                <w:szCs w:val="18"/>
                <w:color w:val="auto"/>
              </w:rPr>
              <w:t>share</w:t>
            </w:r>
          </w:p>
        </w:tc>
        <w:tc>
          <w:tcPr>
            <w:tcW w:w="8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86"/>
              </w:rPr>
              <w:t>Common Stock, par value $0.01 per</w:t>
            </w:r>
          </w:p>
        </w:tc>
        <w:tc>
          <w:tcPr>
            <w:tcW w:w="12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NYSE MKT</w:t>
            </w: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ind w:right="1960"/>
        <w:spacing w:after="0" w:line="3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72"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right="3360"/>
        <w:spacing w:after="0" w:line="261" w:lineRule="auto"/>
        <w:rPr>
          <w:sz w:val="20"/>
          <w:szCs w:val="20"/>
          <w:color w:val="auto"/>
        </w:rPr>
      </w:pPr>
      <w:r>
        <w:rPr>
          <w:rFonts w:ascii="Arial" w:cs="Arial" w:eastAsia="Arial" w:hAnsi="Arial"/>
          <w:sz w:val="18"/>
          <w:szCs w:val="18"/>
          <w:color w:val="auto"/>
        </w:rPr>
        <w:t>Large accelerated filer / / Accelerated filer / / Non-accelerated filer (Do not check if a smaller reporting company)/ / Smaller reporting company /X/</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2013 (the last business day of the registrant's most recently completed second fiscal quarter), was: $29,988,259.</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19, 2014, was 10,557,678.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85" w:lineRule="exact"/>
        <w:rPr>
          <w:sz w:val="24"/>
          <w:szCs w:val="24"/>
          <w:color w:val="auto"/>
        </w:rPr>
      </w:pPr>
    </w:p>
    <w:p>
      <w:pPr>
        <w:jc w:val="both"/>
        <w:ind w:right="720"/>
        <w:spacing w:after="0" w:line="332" w:lineRule="auto"/>
        <w:rPr>
          <w:sz w:val="20"/>
          <w:szCs w:val="20"/>
          <w:color w:val="auto"/>
        </w:rPr>
      </w:pPr>
      <w:r>
        <w:rPr>
          <w:rFonts w:ascii="Arial" w:cs="Arial" w:eastAsia="Arial" w:hAnsi="Arial"/>
          <w:sz w:val="16"/>
          <w:szCs w:val="16"/>
          <w:color w:val="auto"/>
        </w:rPr>
        <w:t>Portions of the definitive proxy statement of the Registrant for the Registrant's 2014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340" w:type="dxa"/>
            <w:vAlign w:val="bottom"/>
          </w:tcPr>
          <w:p>
            <w:pPr>
              <w:ind w:left="2900"/>
              <w:spacing w:after="0"/>
              <w:rPr>
                <w:sz w:val="20"/>
                <w:szCs w:val="20"/>
                <w:color w:val="auto"/>
              </w:rPr>
            </w:pPr>
            <w:r>
              <w:rPr>
                <w:rFonts w:ascii="Arial" w:cs="Arial" w:eastAsia="Arial" w:hAnsi="Arial"/>
                <w:sz w:val="18"/>
                <w:szCs w:val="18"/>
                <w:b w:val="1"/>
                <w:bCs w:val="1"/>
                <w:color w:val="auto"/>
              </w:rPr>
              <w:t>PART I</w:t>
            </w:r>
          </w:p>
        </w:tc>
        <w:tc>
          <w:tcPr>
            <w:tcW w:w="2220" w:type="dxa"/>
            <w:vAlign w:val="bottom"/>
            <w:gridSpan w:val="2"/>
          </w:tcPr>
          <w:p>
            <w:pPr>
              <w:ind w:left="1860"/>
              <w:spacing w:after="0"/>
              <w:rPr>
                <w:sz w:val="20"/>
                <w:szCs w:val="20"/>
                <w:color w:val="auto"/>
              </w:rPr>
            </w:pPr>
            <w:r>
              <w:rPr>
                <w:rFonts w:ascii="Arial" w:cs="Arial" w:eastAsia="Arial" w:hAnsi="Arial"/>
                <w:sz w:val="18"/>
                <w:szCs w:val="18"/>
                <w:b w:val="1"/>
                <w:bCs w:val="1"/>
                <w:i w:val="1"/>
                <w:iCs w:val="1"/>
                <w:color w:val="auto"/>
                <w:w w:val="78"/>
              </w:rPr>
              <w:t>Page</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53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860" w:type="dxa"/>
            <w:vAlign w:val="bottom"/>
          </w:tcPr>
          <w:p>
            <w:pPr>
              <w:spacing w:after="0"/>
              <w:rPr>
                <w:sz w:val="22"/>
                <w:szCs w:val="22"/>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53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13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534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18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534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19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53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19</w:t>
            </w:r>
          </w:p>
        </w:tc>
      </w:tr>
    </w:tbl>
    <w:p>
      <w:pPr>
        <w:sectPr>
          <w:pgSz w:w="11900" w:h="16949"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70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86"/>
        </w:trPr>
        <w:tc>
          <w:tcPr>
            <w:tcW w:w="780" w:type="dxa"/>
            <w:vAlign w:val="bottom"/>
          </w:tcPr>
          <w:p>
            <w:pPr>
              <w:spacing w:after="0"/>
              <w:rPr>
                <w:sz w:val="24"/>
                <w:szCs w:val="24"/>
                <w:color w:val="auto"/>
              </w:rPr>
            </w:pPr>
          </w:p>
        </w:tc>
        <w:tc>
          <w:tcPr>
            <w:tcW w:w="7020" w:type="dxa"/>
            <w:vAlign w:val="bottom"/>
          </w:tcPr>
          <w:p>
            <w:pPr>
              <w:ind w:left="286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24"/>
                <w:szCs w:val="24"/>
                <w:color w:val="auto"/>
              </w:rPr>
            </w:pPr>
          </w:p>
        </w:tc>
      </w:tr>
      <w:tr>
        <w:trPr>
          <w:trHeight w:val="480"/>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7020" w:type="dxa"/>
            <w:vAlign w:val="bottom"/>
          </w:tcPr>
          <w:p>
            <w:pPr>
              <w:ind w:left="14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780" w:type="dxa"/>
            <w:vAlign w:val="bottom"/>
          </w:tcPr>
          <w:p>
            <w:pPr>
              <w:spacing w:after="0"/>
              <w:rPr>
                <w:sz w:val="19"/>
                <w:szCs w:val="19"/>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70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7020" w:type="dxa"/>
            <w:vAlign w:val="bottom"/>
          </w:tcPr>
          <w:p>
            <w:pPr>
              <w:ind w:left="140"/>
              <w:spacing w:after="0"/>
              <w:rPr>
                <w:sz w:val="20"/>
                <w:szCs w:val="20"/>
                <w:color w:val="auto"/>
              </w:rPr>
            </w:pPr>
            <w:r>
              <w:rPr>
                <w:rFonts w:ascii="Arial" w:cs="Arial" w:eastAsia="Arial" w:hAnsi="Arial"/>
                <w:sz w:val="18"/>
                <w:szCs w:val="18"/>
                <w:color w:val="auto"/>
                <w:w w:val="96"/>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70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70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7020" w:type="dxa"/>
            <w:vAlign w:val="bottom"/>
          </w:tcPr>
          <w:p>
            <w:pPr>
              <w:ind w:left="140"/>
              <w:spacing w:after="0"/>
              <w:rPr>
                <w:sz w:val="20"/>
                <w:szCs w:val="20"/>
                <w:color w:val="auto"/>
              </w:rPr>
            </w:pPr>
            <w:r>
              <w:rPr>
                <w:rFonts w:ascii="Arial" w:cs="Arial" w:eastAsia="Arial" w:hAnsi="Arial"/>
                <w:sz w:val="18"/>
                <w:szCs w:val="18"/>
                <w:color w:val="auto"/>
                <w:w w:val="96"/>
              </w:rPr>
              <w:t>Changes in and Disagreements with Accountants on Accounting and Financial 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70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70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86"/>
        </w:trPr>
        <w:tc>
          <w:tcPr>
            <w:tcW w:w="780" w:type="dxa"/>
            <w:vAlign w:val="bottom"/>
          </w:tcPr>
          <w:p>
            <w:pPr>
              <w:spacing w:after="0"/>
              <w:rPr>
                <w:sz w:val="24"/>
                <w:szCs w:val="24"/>
                <w:color w:val="auto"/>
              </w:rPr>
            </w:pPr>
          </w:p>
        </w:tc>
        <w:tc>
          <w:tcPr>
            <w:tcW w:w="7020" w:type="dxa"/>
            <w:vAlign w:val="bottom"/>
          </w:tcPr>
          <w:p>
            <w:pPr>
              <w:jc w:val="right"/>
              <w:ind w:right="3392"/>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702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70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7020" w:type="dxa"/>
            <w:vAlign w:val="bottom"/>
          </w:tcPr>
          <w:p>
            <w:pPr>
              <w:ind w:left="140"/>
              <w:spacing w:after="0"/>
              <w:rPr>
                <w:sz w:val="20"/>
                <w:szCs w:val="20"/>
                <w:color w:val="auto"/>
              </w:rPr>
            </w:pPr>
            <w:r>
              <w:rPr>
                <w:rFonts w:ascii="Arial" w:cs="Arial" w:eastAsia="Arial" w:hAnsi="Arial"/>
                <w:sz w:val="18"/>
                <w:szCs w:val="18"/>
                <w:color w:val="auto"/>
                <w:w w:val="93"/>
              </w:rPr>
              <w:t>Security Ownership of Certain Beneficial Owners and Management and Related Stockholder</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780" w:type="dxa"/>
            <w:vAlign w:val="bottom"/>
          </w:tcPr>
          <w:p>
            <w:pPr>
              <w:spacing w:after="0"/>
              <w:rPr>
                <w:sz w:val="19"/>
                <w:szCs w:val="19"/>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Matters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70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702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86"/>
        </w:trPr>
        <w:tc>
          <w:tcPr>
            <w:tcW w:w="780" w:type="dxa"/>
            <w:vAlign w:val="bottom"/>
          </w:tcPr>
          <w:p>
            <w:pPr>
              <w:spacing w:after="0"/>
              <w:rPr>
                <w:sz w:val="24"/>
                <w:szCs w:val="24"/>
                <w:color w:val="auto"/>
              </w:rPr>
            </w:pPr>
          </w:p>
        </w:tc>
        <w:tc>
          <w:tcPr>
            <w:tcW w:w="7020" w:type="dxa"/>
            <w:vAlign w:val="bottom"/>
          </w:tcPr>
          <w:p>
            <w:pPr>
              <w:jc w:val="right"/>
              <w:ind w:right="3392"/>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7020" w:type="dxa"/>
            <w:vAlign w:val="bottom"/>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80" w:type="dxa"/>
            <w:vAlign w:val="bottom"/>
          </w:tcPr>
          <w:p>
            <w:pPr>
              <w:spacing w:after="0"/>
              <w:rPr>
                <w:sz w:val="21"/>
                <w:szCs w:val="21"/>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1"/>
                <w:szCs w:val="21"/>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Index to Exhibits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80" w:type="dxa"/>
            <w:vAlign w:val="bottom"/>
          </w:tcPr>
          <w:p>
            <w:pPr>
              <w:spacing w:after="0"/>
              <w:rPr>
                <w:sz w:val="21"/>
                <w:szCs w:val="21"/>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837"/>
        </w:trPr>
        <w:tc>
          <w:tcPr>
            <w:tcW w:w="780" w:type="dxa"/>
            <w:vAlign w:val="bottom"/>
          </w:tcPr>
          <w:p>
            <w:pPr>
              <w:spacing w:after="0"/>
              <w:rPr>
                <w:sz w:val="24"/>
                <w:szCs w:val="24"/>
                <w:color w:val="auto"/>
              </w:rPr>
            </w:pPr>
          </w:p>
        </w:tc>
        <w:tc>
          <w:tcPr>
            <w:tcW w:w="7020" w:type="dxa"/>
            <w:vAlign w:val="bottom"/>
          </w:tcPr>
          <w:p>
            <w:pPr>
              <w:jc w:val="right"/>
              <w:ind w:right="3392"/>
              <w:spacing w:after="0"/>
              <w:rPr>
                <w:sz w:val="20"/>
                <w:szCs w:val="20"/>
                <w:color w:val="auto"/>
              </w:rPr>
            </w:pPr>
            <w:r>
              <w:rPr>
                <w:rFonts w:ascii="Arial" w:cs="Arial" w:eastAsia="Arial" w:hAnsi="Arial"/>
                <w:sz w:val="18"/>
                <w:szCs w:val="18"/>
                <w:color w:val="auto"/>
              </w:rPr>
              <w:t>- 2 -</w:t>
            </w:r>
          </w:p>
        </w:tc>
        <w:tc>
          <w:tcPr>
            <w:tcW w:w="4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0"/>
        <w:spacing w:after="0" w:line="250" w:lineRule="auto"/>
        <w:rPr>
          <w:sz w:val="20"/>
          <w:szCs w:val="20"/>
          <w:color w:val="auto"/>
        </w:rPr>
      </w:pPr>
      <w:r>
        <w:rPr>
          <w:rFonts w:ascii="Arial" w:cs="Arial" w:eastAsia="Arial" w:hAnsi="Arial"/>
          <w:sz w:val="18"/>
          <w:szCs w:val="18"/>
          <w:color w:val="auto"/>
        </w:rPr>
        <w:t>indications of a change in the market cycles in the integrated circuit, or IC, and automatic test equipment, or ATE, markets or other markets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developments and trends in the IC and 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00"/>
        <w:spacing w:after="0" w:line="250" w:lineRule="auto"/>
        <w:rPr>
          <w:sz w:val="20"/>
          <w:szCs w:val="20"/>
          <w:color w:val="auto"/>
        </w:rPr>
      </w:pPr>
      <w:r>
        <w:rPr>
          <w:rFonts w:ascii="Arial" w:cs="Arial" w:eastAsia="Arial" w:hAnsi="Arial"/>
          <w:sz w:val="18"/>
          <w:szCs w:val="18"/>
          <w:color w:val="auto"/>
        </w:rPr>
        <w:t>the success of our strategy to diversify our business by entering markets outside the IC and ATE markets, including the automotive, consumer electronics, defense/aerospace, energy, industrial and telecommunications markets; the possibility of future acquisitions or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implementation of new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and retention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general economic conditions both domestically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effects of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stock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160"/>
          </w:cols>
          <w:pgMar w:left="240" w:top="374" w:right="499" w:bottom="0" w:gutter="0" w:footer="0" w:header="0"/>
        </w:sectPr>
      </w:pPr>
    </w:p>
    <w:bookmarkStart w:id="2" w:name="page3"/>
    <w:bookmarkEnd w:id="2"/>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anticipated market for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60"/>
        <w:spacing w:after="0" w:line="261" w:lineRule="auto"/>
        <w:rPr>
          <w:sz w:val="20"/>
          <w:szCs w:val="20"/>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We are an independent designer, manufacturer and marketer of thermal, mechanical and electrical products that are used by semiconductor manufacturers in conjunction with ATE, in the testing of ICs. In addition, in recent years we have marketed our thermal products in markets outside the ATE market, such as the automotive, consumer electronics, defense/aerospace, energy, industrial and telecommunications markets. Our high performance products are designed to enable our customers to improve the efficiency of their test processes and, consequently, their profitability.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Our largest customers include Advanced Semiconductor Engineering, Inc., Avago Technologies Limited, Chain-Logic International Corp., Emerson Electric Co., Hakuto Co. Ltd., LTX-Credence Corporation, NXP Semiconductors N.V., ON Semiconductor Corporation, Teradyne, Inc. and Texas Instruments Incorporated.</w:t>
      </w:r>
    </w:p>
    <w:p>
      <w:pPr>
        <w:spacing w:after="0" w:line="197" w:lineRule="exact"/>
        <w:rPr>
          <w:sz w:val="20"/>
          <w:szCs w:val="20"/>
          <w:color w:val="auto"/>
        </w:rPr>
      </w:pPr>
    </w:p>
    <w:p>
      <w:pPr>
        <w:ind w:left="540" w:right="140"/>
        <w:spacing w:after="0" w:line="306"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inTEST Corporation was incorporated in New Jersey in 1981 and reincorporated in Delaware in April 1997. We manage our business as three product segments, as more fully discussed under "Our Segments" below, which consist of our Thermal Products, Mechanical Products and Electrical Products segments.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Our business has historically focused exclusively on the ATE market, which provides automated test equipment to the semiconductor market, however, in recent years we have begun to diversify our served markets to address the thermal test requirements of several other markets outside the ATE market. These include the automotive, consumer electronics, defense/aerospace, energy, industrial and telecommunications markets. In the last four years, our net revenues from sales in markets outside the ATE market have ranged from 17% to 30%. As we are a new market entrant in these markets outside the ATE market, our sales into these markets have varied significantly from period to period and we expect they will continue to do so in future periods. One of our goals is to further expand our sales in these markets outside the ATE market. For the years ended December 31, 2013 and 2012, our net revenues in markets outside the ATE market and those revenues as a percentage of our total revenues were $10.1 million, or 26%, and $7.8 million, or 18%, respectively.</w:t>
      </w:r>
    </w:p>
    <w:p>
      <w:pPr>
        <w:spacing w:after="0" w:line="172"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level of our net revenues in the various markets we serve outside the ATE market varies significantly from market to market. During 2013, our net revenues into the telecommunications, industrial and defense/aerospace markets represented 10%, 6% and 6%, respectively of our total net revenues. The level of our net revenues in these non-ATE markets has varied significantly in the past and we expect will vary significantly in the future as we build our presence in these markets and establish new markets for our products. Because we are a recent market entrant in these markets, we have not yet developed meaningful market shares in these non-ATE markets. Consequently, we are continuing to evaluate buying patterns and opportunities for growth in these markets that may affect our performance. The following discussion of our markets, therefore, is limited to only the ATE and semiconductor markets, which currently represent the majority of our net revenues.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Semiconductor and ATE Markets</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72"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53" w:orient="portrait"/>
          <w:cols w:equalWidth="0" w:num="1">
            <w:col w:w="11400"/>
          </w:cols>
          <w:pgMar w:left="240" w:top="131" w:right="259" w:bottom="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1"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97"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67" w:lineRule="exact"/>
        <w:rPr>
          <w:sz w:val="20"/>
          <w:szCs w:val="20"/>
          <w:color w:val="auto"/>
        </w:rPr>
      </w:pPr>
    </w:p>
    <w:p>
      <w:pPr>
        <w:ind w:left="540" w:right="420"/>
        <w:spacing w:after="0" w:line="256"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and the number of test heads (typically one or two) with which each tester is configured. Probers and handlers range in price from approximately $50,000 to $500,000. A typical test floor of a large semiconductor manufacturer may have 100 test heads and 100 probers or 250 handlers supplied by various vendors for use at any one time.</w:t>
      </w:r>
    </w:p>
    <w:p>
      <w:pPr>
        <w:spacing w:after="0" w:line="197"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94"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 level testing. Creating a uniform thermal profile over much larger wafer areas represents a significant engineering and design challenge for ATE manufacturers.</w:t>
      </w:r>
    </w:p>
    <w:p>
      <w:pPr>
        <w:spacing w:after="0" w:line="197" w:lineRule="exact"/>
        <w:rPr>
          <w:sz w:val="20"/>
          <w:szCs w:val="20"/>
          <w:color w:val="auto"/>
        </w:rPr>
      </w:pPr>
    </w:p>
    <w:p>
      <w:pPr>
        <w:ind w:left="540" w:right="140"/>
        <w:spacing w:after="0" w:line="306"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61"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 ways to</w:t>
      </w:r>
      <w:r>
        <w:rPr>
          <w:rFonts w:ascii="Arial" w:cs="Arial" w:eastAsia="Arial" w:hAnsi="Arial"/>
          <w:sz w:val="16"/>
          <w:szCs w:val="16"/>
          <w:i w:val="1"/>
          <w:iCs w:val="1"/>
          <w:color w:val="auto"/>
        </w:rPr>
        <w:t xml:space="preserve"> </w:t>
      </w:r>
      <w:r>
        <w:rPr>
          <w:rFonts w:ascii="Arial" w:cs="Arial" w:eastAsia="Arial" w:hAnsi="Arial"/>
          <w:sz w:val="16"/>
          <w:szCs w:val="16"/>
          <w:color w:val="auto"/>
        </w:rPr>
        <w:t>streamline the testing process to make it more cost-effective, such as the trend to use massive parallel test, in which semiconductor manufacturers test multiple ICs on the wafer simultaneously. We believe that this factor will lead to more front-end, wafer-level testing.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SOLUTIONS</w:t>
      </w:r>
    </w:p>
    <w:p>
      <w:pPr>
        <w:sectPr>
          <w:pgSz w:w="11900" w:h="16838" w:orient="portrait"/>
          <w:cols w:equalWidth="0" w:num="1">
            <w:col w:w="11380"/>
          </w:cols>
          <w:pgMar w:left="240" w:top="125" w:right="279" w:bottom="0" w:gutter="0" w:footer="0" w:header="0"/>
        </w:sectPr>
      </w:pPr>
    </w:p>
    <w:bookmarkStart w:id="4" w:name="page5"/>
    <w:bookmarkEnd w:id="4"/>
    <w:p>
      <w:pPr>
        <w:ind w:left="540" w:right="100"/>
        <w:spacing w:after="0" w:line="298" w:lineRule="auto"/>
        <w:rPr>
          <w:sz w:val="20"/>
          <w:szCs w:val="20"/>
          <w:color w:val="auto"/>
        </w:rPr>
      </w:pPr>
      <w:r>
        <w:rPr>
          <w:rFonts w:ascii="Arial" w:cs="Arial" w:eastAsia="Arial" w:hAnsi="Arial"/>
          <w:sz w:val="16"/>
          <w:szCs w:val="16"/>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and other markets that we serve, which we believe provide the following advantages:</w:t>
      </w:r>
    </w:p>
    <w:p>
      <w:pPr>
        <w:spacing w:after="0" w:line="167" w:lineRule="exact"/>
        <w:rPr>
          <w:sz w:val="20"/>
          <w:szCs w:val="20"/>
          <w:color w:val="auto"/>
        </w:rPr>
      </w:pPr>
    </w:p>
    <w:p>
      <w:pPr>
        <w:ind w:left="540" w:right="160"/>
        <w:spacing w:after="0" w:line="310" w:lineRule="auto"/>
        <w:rPr>
          <w:sz w:val="20"/>
          <w:szCs w:val="20"/>
          <w:color w:val="auto"/>
        </w:rPr>
      </w:pPr>
      <w:r>
        <w:rPr>
          <w:rFonts w:ascii="Arial" w:cs="Arial" w:eastAsia="Arial" w:hAnsi="Arial"/>
          <w:sz w:val="15"/>
          <w:szCs w:val="15"/>
          <w:i w:val="1"/>
          <w:iCs w:val="1"/>
          <w:color w:val="auto"/>
        </w:rPr>
        <w:t>Temperature-Controlled Testing</w:t>
      </w:r>
      <w:r>
        <w:rPr>
          <w:rFonts w:ascii="Arial" w:cs="Arial" w:eastAsia="Arial" w:hAnsi="Arial"/>
          <w:sz w:val="15"/>
          <w:szCs w:val="15"/>
          <w:color w:val="auto"/>
        </w:rPr>
        <w:t>. Our Thermostream (R) products are used by manufacturers in a number of markets to stress test a variety of</w:t>
      </w:r>
      <w:r>
        <w:rPr>
          <w:rFonts w:ascii="Arial" w:cs="Arial" w:eastAsia="Arial" w:hAnsi="Arial"/>
          <w:sz w:val="15"/>
          <w:szCs w:val="15"/>
          <w:i w:val="1"/>
          <w:iCs w:val="1"/>
          <w:color w:val="auto"/>
        </w:rPr>
        <w:t xml:space="preserve"> </w:t>
      </w:r>
      <w:r>
        <w:rPr>
          <w:rFonts w:ascii="Arial" w:cs="Arial" w:eastAsia="Arial" w:hAnsi="Arial"/>
          <w:sz w:val="15"/>
          <w:szCs w:val="15"/>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have significantly increased our product offerings in the area of temperature-controlled testing. Sigma's thermal platforms and temperature chambers can accommodate large thermal masses and are found in both laboratory and production environments. Thermonics products provide a range of precision temperature forcing systems used throughout various markets to verify the performance of products at a range of temperatures.</w:t>
      </w:r>
    </w:p>
    <w:p>
      <w:pPr>
        <w:spacing w:after="0" w:line="162"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74" w:lineRule="exact"/>
        <w:rPr>
          <w:sz w:val="20"/>
          <w:szCs w:val="20"/>
          <w:color w:val="auto"/>
        </w:rPr>
      </w:pPr>
    </w:p>
    <w:p>
      <w:pPr>
        <w:ind w:left="540" w:right="280"/>
        <w:spacing w:after="0" w:line="306" w:lineRule="auto"/>
        <w:rPr>
          <w:sz w:val="20"/>
          <w:szCs w:val="20"/>
          <w:color w:val="auto"/>
        </w:rPr>
      </w:pPr>
      <w:r>
        <w:rPr>
          <w:rFonts w:ascii="Arial" w:cs="Arial" w:eastAsia="Arial" w:hAnsi="Arial"/>
          <w:sz w:val="16"/>
          <w:szCs w:val="16"/>
          <w:i w:val="1"/>
          <w:iCs w:val="1"/>
          <w:color w:val="auto"/>
        </w:rPr>
        <w:t>Compatibility and Integration</w:t>
      </w:r>
      <w:r>
        <w:rPr>
          <w:rFonts w:ascii="Arial" w:cs="Arial" w:eastAsia="Arial" w:hAnsi="Arial"/>
          <w:sz w:val="16"/>
          <w:szCs w:val="16"/>
          <w:color w:val="auto"/>
        </w:rPr>
        <w:t>. A hallmark of our products has been, and continues to be, compatibility with a wide variety of ATE. Our mechanical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61"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i w:val="1"/>
          <w:iCs w:val="1"/>
          <w:color w:val="auto"/>
        </w:rPr>
        <w:t>Worldwide Customer Service and Support</w:t>
      </w:r>
      <w:r>
        <w:rPr>
          <w:rFonts w:ascii="Arial" w:cs="Arial" w:eastAsia="Arial" w:hAnsi="Arial"/>
          <w:sz w:val="16"/>
          <w:szCs w:val="16"/>
          <w:color w:val="auto"/>
        </w:rPr>
        <w:t>. We have long recognized the need to maintain a physical presence near our customers' facilities.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we had domestic manufacturing facilities in New Jersey, Massachusetts and California and provided service to our customers from sales and service offices in the U.S., U.K., Germany and Singapore.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We remain committed to our goals of being recognized in our markets as the designer and manufacturer of the highest quality and most cost effective products and becoming the key supplier of all of our customers' product testing needs, other than probers, handlers and testers. Our strategies to achieve these goals include the following:</w:t>
      </w:r>
    </w:p>
    <w:p>
      <w:pPr>
        <w:spacing w:after="0" w:line="19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Pursuing Synergistic Acquisitions</w:t>
      </w:r>
      <w:r>
        <w:rPr>
          <w:rFonts w:ascii="Arial" w:cs="Arial" w:eastAsia="Arial" w:hAnsi="Arial"/>
          <w:sz w:val="16"/>
          <w:szCs w:val="16"/>
          <w:color w:val="auto"/>
        </w:rPr>
        <w:t>. A key element of our growth strategy has been to acquire businesses, technologies or products that are complementary</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current product offerings. Since our initial public offering in 1997, we have acquired several businesses which have enabled us to expand our line of product offerings and have given us the opportunity to market a broader range of products to our customer base. In particular, the acquisitions of Temptronic in 2000, Sigma in 2008, and Thermonics in 2012, provided access to markets that are less sensitive to cyclicality than the ATE market. We seek to make acquisitions that will further expand our product lines as well as increase our exposure to markets outside of the ATE market.</w:t>
      </w:r>
    </w:p>
    <w:p>
      <w:pPr>
        <w:spacing w:after="0" w:line="170"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i w:val="1"/>
          <w:iCs w:val="1"/>
          <w:color w:val="auto"/>
        </w:rPr>
        <w:t xml:space="preserve">Pursuing Revenue Growth Opportunities Outside the Semiconductor ATE Market. </w:t>
      </w:r>
      <w:r>
        <w:rPr>
          <w:rFonts w:ascii="Arial" w:cs="Arial" w:eastAsia="Arial" w:hAnsi="Arial"/>
          <w:sz w:val="16"/>
          <w:szCs w:val="16"/>
          <w:color w:val="auto"/>
        </w:rPr>
        <w:t>Another element of our growth strategy is to pursue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markets we have not traditionally served, such as the automotive, consumer electronics, defense/aerospace, energy, industrial and telecommunications markets. We believe that we may be able to reduce some of the cyclicality that we have historically experienced by further diversifying our revenue streams outside the semiconductor ATE market. We see the most potential for this within our Thermal Products segment. For the years ended December 31, 2013 and 2012 approximately $10.1 million or 26% and $7.8 million or 18%, respectively, of our consolidated net revenues were derived from markets outside semiconductor test. These revenues were all generated by our Thermal Products segment. We cannot determine at this time whether we will be successful in building our sales in these non-traditional markets or what the growth rate of our sales in these markets will be in future periods.</w:t>
      </w:r>
    </w:p>
    <w:p>
      <w:pPr>
        <w:spacing w:after="0" w:line="172"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94"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pacing w:after="0" w:line="167"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i w:val="1"/>
          <w:iCs w:val="1"/>
          <w:color w:val="auto"/>
        </w:rPr>
        <w:t>Maintaining Our International Presence</w:t>
      </w:r>
      <w:r>
        <w:rPr>
          <w:rFonts w:ascii="Arial" w:cs="Arial" w:eastAsia="Arial" w:hAnsi="Arial"/>
          <w:sz w:val="16"/>
          <w:szCs w:val="16"/>
          <w:color w:val="auto"/>
        </w:rPr>
        <w:t>. Our existing and potential customers are concentrated in certain regions throughout the world.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must maintain a presence in the markets in which our customers operate. We currently have offices in the U.S., U.K., Germany and Singapore.</w:t>
      </w:r>
    </w:p>
    <w:p>
      <w:pPr>
        <w:spacing w:after="0" w:line="139" w:lineRule="exact"/>
        <w:rPr>
          <w:sz w:val="20"/>
          <w:szCs w:val="20"/>
          <w:color w:val="auto"/>
        </w:rPr>
      </w:pPr>
    </w:p>
    <w:p>
      <w:pPr>
        <w:ind w:left="540" w:right="40"/>
        <w:spacing w:after="0" w:line="370" w:lineRule="auto"/>
        <w:rPr>
          <w:sz w:val="20"/>
          <w:szCs w:val="20"/>
          <w:color w:val="auto"/>
        </w:rPr>
      </w:pPr>
      <w:r>
        <w:rPr>
          <w:rFonts w:ascii="Arial" w:cs="Arial" w:eastAsia="Arial" w:hAnsi="Arial"/>
          <w:sz w:val="15"/>
          <w:szCs w:val="15"/>
          <w:i w:val="1"/>
          <w:iCs w:val="1"/>
          <w:color w:val="auto"/>
        </w:rPr>
        <w:t xml:space="preserve">Controlling costs. </w:t>
      </w:r>
      <w:r>
        <w:rPr>
          <w:rFonts w:ascii="Arial" w:cs="Arial" w:eastAsia="Arial" w:hAnsi="Arial"/>
          <w:sz w:val="15"/>
          <w:szCs w:val="15"/>
          <w:color w:val="auto"/>
        </w:rPr>
        <w:t>At the same time as we are pursuing growth opportunities, we will seek ways to more aggressively streamline our cost structure, so that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positioned to offer products at prices that provide the margin for a reasonable profit as well as the resources for continual product development.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SEGMENTS</w:t>
      </w:r>
    </w:p>
    <w:p>
      <w:pPr>
        <w:sectPr>
          <w:pgSz w:w="11900" w:h="16838" w:orient="portrait"/>
          <w:cols w:equalWidth="0" w:num="1">
            <w:col w:w="11420"/>
          </w:cols>
          <w:pgMar w:left="240" w:top="131" w:right="239" w:bottom="0" w:gutter="0" w:footer="0" w:header="0"/>
        </w:sectPr>
      </w:pPr>
    </w:p>
    <w:bookmarkStart w:id="5" w:name="page6"/>
    <w:bookmarkEnd w:id="5"/>
    <w:p>
      <w:pPr>
        <w:ind w:left="540" w:right="320"/>
        <w:spacing w:after="0" w:line="294" w:lineRule="auto"/>
        <w:rPr>
          <w:sz w:val="20"/>
          <w:szCs w:val="20"/>
          <w:color w:val="auto"/>
        </w:rPr>
      </w:pPr>
      <w:r>
        <w:rPr>
          <w:rFonts w:ascii="Arial" w:cs="Arial" w:eastAsia="Arial" w:hAnsi="Arial"/>
          <w:sz w:val="16"/>
          <w:szCs w:val="16"/>
          <w:color w:val="auto"/>
        </w:rPr>
        <w:t>Our business is managed as three segments, which are also our reporting units: Thermal Products, Mechanical Products and Electrical Products. Our Thermal Products segment consists of our subsidiaries in Mansfield, Massachusetts (Temptronic Corporation, which manufactures products under the Temptronic, Sigma and Thermonics brand names), Germany (inTEST Thermal Solutions GmbH), and Singapore (inTEST Pte Ltd.). Our Mechanical Products segment consists of our manufacturing operation in Mt. Laurel, New Jersey. Our Electrical Products segment consists of our subsidiary in Fremont, California (inTEST Silicon Valley Corporation).</w:t>
      </w:r>
    </w:p>
    <w:p>
      <w:pPr>
        <w:spacing w:after="0" w:line="170"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consumer electronics, defense/aerospace, energy, industrial and telecommunications markets. We custom design most of our products for each customer's particular combination of ATE.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540" w:right="220"/>
        <w:spacing w:after="0" w:line="298" w:lineRule="auto"/>
        <w:rPr>
          <w:sz w:val="20"/>
          <w:szCs w:val="20"/>
          <w:color w:val="auto"/>
        </w:rPr>
      </w:pPr>
      <w:r>
        <w:rPr>
          <w:rFonts w:ascii="Arial" w:cs="Arial" w:eastAsia="Arial" w:hAnsi="Arial"/>
          <w:sz w:val="16"/>
          <w:szCs w:val="16"/>
          <w:color w:val="auto"/>
        </w:rPr>
        <w:t>Our thermal products are sold into the environmental test market encompassing a wide variety of markets including the ATE, automotive, consumer electronics, defense/aerospace, energy, industrial and telecommunications markets. Our thermal products enable a manufacturer to test semiconductor wafers and ICs, electronic components and assemblies, mechanical assemblies and electromechanical assemblies. These products provide the ability to characterize and stress test a variety of materials over extreme and variable temperature conditions that can occur in actual use.</w:t>
      </w:r>
    </w:p>
    <w:p>
      <w:pPr>
        <w:spacing w:after="0" w:line="167"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semiconductor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ThermoStream(R) products provide a source of heated and cooled air which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70"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markets testing such things as electronic sub-assemblies, sensor assemblies, and printed circuit boards.</w:t>
      </w:r>
    </w:p>
    <w:p>
      <w:pPr>
        <w:spacing w:after="0" w:line="167"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color w:val="auto"/>
        </w:rPr>
        <w:t>Traditionally, our customers used ThermoStream(R) products primarily in engineering, quality assurance and small-run manufacturing environments. However, increasingly, our customers use ThermoStream(R) products in longer-run production applications. Sigma has significantly broadened our product line by providing the ability to thermally test devices and assemblies requiring a far larger scale, both physically and thermally, than previously achievable. ThermoStream(R) and MobileTemp products range in price from approximately $15,000 to $50,000.</w:t>
      </w:r>
    </w:p>
    <w:p>
      <w:pPr>
        <w:spacing w:after="0" w:line="167" w:lineRule="exact"/>
        <w:rPr>
          <w:sz w:val="20"/>
          <w:szCs w:val="20"/>
          <w:color w:val="auto"/>
        </w:rPr>
      </w:pPr>
    </w:p>
    <w:p>
      <w:pPr>
        <w:ind w:left="540" w:right="60"/>
        <w:spacing w:after="0" w:line="298"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67"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616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70"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i w:val="1"/>
          <w:iCs w:val="1"/>
          <w:color w:val="auto"/>
        </w:rPr>
        <w:t>ThermoChuck(R) Products</w:t>
      </w:r>
      <w:r>
        <w:rPr>
          <w:rFonts w:ascii="Arial" w:cs="Arial" w:eastAsia="Arial" w:hAnsi="Arial"/>
          <w:sz w:val="18"/>
          <w:szCs w:val="18"/>
          <w:color w:val="auto"/>
        </w:rPr>
        <w:t>: Our ThermoChuck(R) precision vacuum platform assemblies, used primarily in the semiconductor market, quickly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stabilize the temperature of semiconductor wafers accurately and uniformly during testing without removing the wafer from its testing environment. Such temperatures can range from as low as -65 degrees Celsius to as high as +300 degrees Celsius. ThermoChucks(R) are incorporated into wafer prober equipment for laboratory analysis and for in-line production testing of semiconductor wafers. ThermoChuck(R) products range in price from approximately $16,000 to $120,000.</w:t>
      </w:r>
    </w:p>
    <w:p>
      <w:pPr>
        <w:spacing w:after="0" w:line="197" w:lineRule="exact"/>
        <w:rPr>
          <w:sz w:val="20"/>
          <w:szCs w:val="20"/>
          <w:color w:val="auto"/>
        </w:rPr>
      </w:pPr>
    </w:p>
    <w:p>
      <w:pPr>
        <w:jc w:val="both"/>
        <w:ind w:left="540" w:right="440"/>
        <w:spacing w:after="0" w:line="259" w:lineRule="auto"/>
        <w:rPr>
          <w:sz w:val="20"/>
          <w:szCs w:val="20"/>
          <w:color w:val="auto"/>
        </w:rPr>
      </w:pPr>
      <w:r>
        <w:rPr>
          <w:rFonts w:ascii="Arial" w:cs="Arial" w:eastAsia="Arial" w:hAnsi="Arial"/>
          <w:sz w:val="18"/>
          <w:szCs w:val="18"/>
          <w:i w:val="1"/>
          <w:iCs w:val="1"/>
          <w:color w:val="auto"/>
        </w:rPr>
        <w:t xml:space="preserve">Thermonics(R) Products: </w:t>
      </w:r>
      <w:r>
        <w:rPr>
          <w:rFonts w:ascii="Arial" w:cs="Arial" w:eastAsia="Arial" w:hAnsi="Arial"/>
          <w:sz w:val="18"/>
          <w:szCs w:val="18"/>
          <w:color w:val="auto"/>
        </w:rPr>
        <w:t>Our Thermonics temperature conditioning products provide tempered gas or fluid to enable customers to maintain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conditions within their tool or process. Applications include general industrial, chemical processing, energy, electronics and semiconductor industries. Prices range from $20,000 to greater than $100,000.</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2013</w:t>
      </w:r>
    </w:p>
    <w:p>
      <w:pPr>
        <w:sectPr>
          <w:pgSz w:w="11900" w:h="16838" w:orient="portrait"/>
          <w:cols w:equalWidth="0" w:num="1">
            <w:col w:w="11380"/>
          </w:cols>
          <w:pgMar w:left="240" w:top="131" w:right="279" w:bottom="59" w:gutter="0" w:footer="0" w:header="0"/>
        </w:sectPr>
      </w:pP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ectPr>
          <w:pgSz w:w="11900" w:h="16838" w:orient="portrait"/>
          <w:cols w:equalWidth="0" w:num="1">
            <w:col w:w="11380"/>
          </w:cols>
          <w:pgMar w:left="240" w:top="131" w:right="279" w:bottom="59" w:gutter="0" w:footer="0" w:header="0"/>
          <w:type w:val="continuous"/>
        </w:sectPr>
      </w:pPr>
    </w:p>
    <w:bookmarkStart w:id="6" w:name="page7"/>
    <w:bookmarkEnd w:id="6"/>
    <w:p>
      <w:pPr>
        <w:spacing w:after="0" w:line="2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Mechanical Products</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three lines of manipulator products: the in2(R), the Aero Series and the Cobal Series. These free-standing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manipulators can hold a variety of test heads and enable an operator to reposition a test head for alternate use with any one of several probers or handlers on a test floor. Certain members of the Aero family are also available as a lower-cost solution for dedicated prober-only or handler-only test cell applications.</w:t>
      </w:r>
    </w:p>
    <w:p>
      <w:pPr>
        <w:spacing w:after="0" w:line="197"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in2(R) and Cobal Series of manipulator products incorporate our balanced floating-head design. This design permits a test head weighing up to 3,000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$60,000.</w:t>
      </w:r>
    </w:p>
    <w:p>
      <w:pPr>
        <w:spacing w:after="0" w:line="172"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Aero Series of manipulator products consists of the Aero 450H and Aero 150P manipulators. These manipulators are designed to handle test heads weighing less than 1,500 pounds. The up and down movement is supported by an air-pressure-based floating state technology. The Aero Series manipulators range in price from $10,000 to $30,000.</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Our docking hardware products protect the delicate interface contacts and ensure proper repeatable and precise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test head's interface board and the prober's probing assembly or the handler's test socket as they are brought together, or "docked." A simple cam action docks and locks the test head to the prober or handler, thus eliminating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72"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Electrical Products</w:t>
      </w:r>
    </w:p>
    <w:p>
      <w:pPr>
        <w:spacing w:after="0" w:line="225"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products range in price from approximately $7,000 to $40,000.</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Please see Note 16 of our consolidated financial statements included in Item 8 of this Report on Form 10-K for additional data regarding net revenues, profit or loss and total assets of each of our segments and revenues attributable to foreign countries.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market and sell our products primarily in markets where semiconductors are manufactured. North American and European semiconductor manufacturers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97"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i w:val="1"/>
          <w:iCs w:val="1"/>
          <w:color w:val="auto"/>
        </w:rPr>
        <w:t>Thermal Products</w:t>
      </w:r>
      <w:r>
        <w:rPr>
          <w:rFonts w:ascii="Arial" w:cs="Arial" w:eastAsia="Arial" w:hAnsi="Arial"/>
          <w:sz w:val="16"/>
          <w:szCs w:val="16"/>
          <w:color w:val="auto"/>
        </w:rPr>
        <w:t>: We market our thermal products brands, Temptronic, Sigma Systems and Thermonics, under the umbrella name of inTEST Thermal</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visit our distributors regularly and have trained them to sell and service all of our thermal products.</w:t>
      </w:r>
    </w:p>
    <w:p>
      <w:pPr>
        <w:spacing w:after="0" w:line="174" w:lineRule="exact"/>
        <w:rPr>
          <w:sz w:val="20"/>
          <w:szCs w:val="20"/>
          <w:color w:val="auto"/>
        </w:rPr>
      </w:pPr>
    </w:p>
    <w:p>
      <w:pPr>
        <w:ind w:left="540" w:right="320"/>
        <w:spacing w:after="0" w:line="370" w:lineRule="auto"/>
        <w:rPr>
          <w:sz w:val="20"/>
          <w:szCs w:val="20"/>
          <w:color w:val="auto"/>
        </w:rPr>
      </w:pPr>
      <w:r>
        <w:rPr>
          <w:rFonts w:ascii="Arial" w:cs="Arial" w:eastAsia="Arial" w:hAnsi="Arial"/>
          <w:sz w:val="15"/>
          <w:szCs w:val="15"/>
          <w:i w:val="1"/>
          <w:iCs w:val="1"/>
          <w:color w:val="auto"/>
        </w:rPr>
        <w:t>Mechanical and Electrical Products</w:t>
      </w:r>
      <w:r>
        <w:rPr>
          <w:rFonts w:ascii="Arial" w:cs="Arial" w:eastAsia="Arial" w:hAnsi="Arial"/>
          <w:sz w:val="15"/>
          <w:szCs w:val="15"/>
          <w:color w:val="auto"/>
        </w:rPr>
        <w:t>: In North America, we sell to semiconductor manufacturers principally through the use of independent,</w:t>
      </w:r>
      <w:r>
        <w:rPr>
          <w:rFonts w:ascii="Arial" w:cs="Arial" w:eastAsia="Arial" w:hAnsi="Arial"/>
          <w:sz w:val="15"/>
          <w:szCs w:val="15"/>
          <w:i w:val="1"/>
          <w:iCs w:val="1"/>
          <w:color w:val="auto"/>
        </w:rPr>
        <w:t xml:space="preserve"> </w:t>
      </w:r>
      <w:r>
        <w:rPr>
          <w:rFonts w:ascii="Arial" w:cs="Arial" w:eastAsia="Arial" w:hAnsi="Arial"/>
          <w:sz w:val="15"/>
          <w:szCs w:val="15"/>
          <w:color w:val="auto"/>
        </w:rPr>
        <w:t>commissioned sales representatives. North American sales representatives also coordinate product installation and support with our technical staff and</w:t>
      </w:r>
    </w:p>
    <w:p>
      <w:pPr>
        <w:sectPr>
          <w:pgSz w:w="11900" w:h="16867" w:orient="portrait"/>
          <w:cols w:equalWidth="0" w:num="1">
            <w:col w:w="11420"/>
          </w:cols>
          <w:pgMar w:left="240" w:top="131" w:right="239" w:bottom="0" w:gutter="0" w:footer="0" w:header="0"/>
        </w:sectPr>
      </w:pPr>
    </w:p>
    <w:bookmarkStart w:id="7" w:name="page8"/>
    <w:bookmarkEnd w:id="7"/>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participate in trade shows.</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internal sales staff handles sales to ATE manufacturers and is responsible for a portfolio of customer accounts and for managing certain independent sales representatives. In addition, our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97"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In Europe we sell to semiconductor and ATE manufacturers through our internal sales staff and through the use of independent sales representatives. Technical support is provided to European customers by an employee based in the UK or by independent sales representatives who we have trained. In China, Malaysia, the Philippines, Singapore, South Korea, Taiwan and Thailand, we sell through the use of independent sales representatives who are supervised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houses,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industrial and telecommunications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74"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Texas Instruments Incorporated accounted for 13% and 14% of our consolidated net revenues in 2013 and 2012, respectively. Teradyne, Inc. accounted for 11% of our consolidated net revenues in 2012 (and was under 10% in 2013). While all three of our operating segments sold to these customers, these revenues were primarily generated by our Mechanical Products and Electrical Products segments. Our ten largest customers accounted for approximately 47% of our consolidated net revenues in both 2013 and 2012. The loss of any one or more of our largest customers, or a reduction in orders by a major customer, could materially reduce our net revenues or otherwise materially affect our business, financial condition, or results of operations.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largest customers in 2013 include:</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w w:val="84"/>
              </w:rPr>
              <w:t>Semiconductor Manufacturers</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i w:val="1"/>
                <w:iCs w:val="1"/>
                <w:color w:val="auto"/>
                <w:w w:val="87"/>
              </w:rPr>
              <w:t>ATE Manufacturers</w:t>
            </w:r>
          </w:p>
        </w:tc>
        <w:tc>
          <w:tcPr>
            <w:tcW w:w="1080" w:type="dxa"/>
            <w:vAlign w:val="bottom"/>
          </w:tcPr>
          <w:p>
            <w:pPr>
              <w:spacing w:after="0"/>
              <w:rPr>
                <w:sz w:val="14"/>
                <w:szCs w:val="14"/>
                <w:color w:val="auto"/>
              </w:rPr>
            </w:pPr>
          </w:p>
        </w:tc>
        <w:tc>
          <w:tcPr>
            <w:tcW w:w="1800" w:type="dxa"/>
            <w:vAlign w:val="bottom"/>
            <w:gridSpan w:val="3"/>
          </w:tcPr>
          <w:p>
            <w:pPr>
              <w:ind w:left="300"/>
              <w:spacing w:after="0"/>
              <w:rPr>
                <w:sz w:val="20"/>
                <w:szCs w:val="20"/>
                <w:color w:val="auto"/>
              </w:rPr>
            </w:pPr>
            <w:r>
              <w:rPr>
                <w:rFonts w:ascii="Arial" w:cs="Arial" w:eastAsia="Arial" w:hAnsi="Arial"/>
                <w:sz w:val="14"/>
                <w:szCs w:val="14"/>
                <w:b w:val="1"/>
                <w:bCs w:val="1"/>
                <w:i w:val="1"/>
                <w:iCs w:val="1"/>
                <w:color w:val="auto"/>
              </w:rPr>
              <w:t>Other</w:t>
            </w:r>
          </w:p>
        </w:tc>
      </w:tr>
      <w:tr>
        <w:trPr>
          <w:trHeight w:val="20"/>
        </w:trPr>
        <w:tc>
          <w:tcPr>
            <w:tcW w:w="1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1"/>
        </w:trPr>
        <w:tc>
          <w:tcPr>
            <w:tcW w:w="3380" w:type="dxa"/>
            <w:vAlign w:val="bottom"/>
            <w:gridSpan w:val="2"/>
          </w:tcPr>
          <w:p>
            <w:pPr>
              <w:spacing w:after="0"/>
              <w:rPr>
                <w:sz w:val="20"/>
                <w:szCs w:val="20"/>
                <w:color w:val="auto"/>
              </w:rPr>
            </w:pPr>
            <w:r>
              <w:rPr>
                <w:rFonts w:ascii="Arial" w:cs="Arial" w:eastAsia="Arial" w:hAnsi="Arial"/>
                <w:sz w:val="18"/>
                <w:szCs w:val="18"/>
                <w:color w:val="auto"/>
                <w:w w:val="97"/>
              </w:rPr>
              <w:t>Advanced Semiconductor Engineering, Inc.</w:t>
            </w:r>
          </w:p>
        </w:tc>
        <w:tc>
          <w:tcPr>
            <w:tcW w:w="2500" w:type="dxa"/>
            <w:vAlign w:val="bottom"/>
            <w:gridSpan w:val="3"/>
          </w:tcPr>
          <w:p>
            <w:pPr>
              <w:ind w:left="280"/>
              <w:spacing w:after="0"/>
              <w:rPr>
                <w:sz w:val="20"/>
                <w:szCs w:val="20"/>
                <w:color w:val="auto"/>
              </w:rPr>
            </w:pPr>
            <w:r>
              <w:rPr>
                <w:rFonts w:ascii="Arial" w:cs="Arial" w:eastAsia="Arial" w:hAnsi="Arial"/>
                <w:sz w:val="18"/>
                <w:szCs w:val="18"/>
                <w:color w:val="auto"/>
              </w:rPr>
              <w:t>Teradyne, Inc.</w:t>
            </w:r>
          </w:p>
        </w:tc>
        <w:tc>
          <w:tcPr>
            <w:tcW w:w="1800" w:type="dxa"/>
            <w:vAlign w:val="bottom"/>
            <w:gridSpan w:val="3"/>
          </w:tcPr>
          <w:p>
            <w:pPr>
              <w:ind w:left="300"/>
              <w:spacing w:after="0"/>
              <w:rPr>
                <w:sz w:val="20"/>
                <w:szCs w:val="20"/>
                <w:color w:val="auto"/>
              </w:rPr>
            </w:pPr>
            <w:r>
              <w:rPr>
                <w:rFonts w:ascii="Arial" w:cs="Arial" w:eastAsia="Arial" w:hAnsi="Arial"/>
                <w:sz w:val="18"/>
                <w:szCs w:val="18"/>
                <w:color w:val="auto"/>
                <w:w w:val="87"/>
              </w:rPr>
              <w:t>Emerson Electric Co.</w:t>
            </w: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Avago Technologies</w:t>
            </w:r>
          </w:p>
        </w:tc>
        <w:tc>
          <w:tcPr>
            <w:tcW w:w="2500" w:type="dxa"/>
            <w:vAlign w:val="bottom"/>
            <w:gridSpan w:val="3"/>
          </w:tcPr>
          <w:p>
            <w:pPr>
              <w:ind w:left="280"/>
              <w:spacing w:after="0"/>
              <w:rPr>
                <w:sz w:val="20"/>
                <w:szCs w:val="20"/>
                <w:color w:val="auto"/>
              </w:rPr>
            </w:pPr>
            <w:r>
              <w:rPr>
                <w:rFonts w:ascii="Arial" w:cs="Arial" w:eastAsia="Arial" w:hAnsi="Arial"/>
                <w:sz w:val="18"/>
                <w:szCs w:val="18"/>
                <w:color w:val="auto"/>
              </w:rPr>
              <w:t>LTX-Credence Corporation</w:t>
            </w:r>
          </w:p>
        </w:tc>
        <w:tc>
          <w:tcPr>
            <w:tcW w:w="1800" w:type="dxa"/>
            <w:vAlign w:val="bottom"/>
            <w:gridSpan w:val="3"/>
          </w:tcPr>
          <w:p>
            <w:pPr>
              <w:ind w:left="300"/>
              <w:spacing w:after="0"/>
              <w:rPr>
                <w:sz w:val="20"/>
                <w:szCs w:val="20"/>
                <w:color w:val="auto"/>
              </w:rPr>
            </w:pPr>
            <w:r>
              <w:rPr>
                <w:rFonts w:ascii="Arial" w:cs="Arial" w:eastAsia="Arial" w:hAnsi="Arial"/>
                <w:sz w:val="18"/>
                <w:szCs w:val="18"/>
                <w:color w:val="auto"/>
              </w:rPr>
              <w:t>Hakuto Co. Ltd.</w:t>
            </w: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Chain-Logic International Corp.</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NXP Semiconductors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ON Semiconductor Corporation</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338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As of December 31, 2013, our principal manufacturing operations consisted of assembly and testing at our facilities in Massachusetts, New Jersey and California.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72"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2001, we obtained ISO 9001:1994 certification at our New Jersey facility. During 2003, we made the determination to upgrade to ISO 9001:2000 at our New Jersey facility, which was completed in 2007. In May 2003, our California facility obtained ISO 9001:2000 certification. Neither our New Jersey nor our California facility have completed their 2009 ISO audits due to the loss of most of our internal ISO auditors in our reductions in force during 2009. As a result, we are no longer ISO 9001 certified, although we continue to employ all the practices embodied in the ISO 9001:2000 standard. We believe that the loss of ISO 9001 certification for our New Jersey and California facilities has not negatively impacted our working relationships with our customers or prevented us from obtaining orders from our customers. Our Massachusetts facility completed ISO 9001:2000 certification in November 2004 and upgraded to ISO 9001:2008 in November 2009 and has maintained certification with the ISO 9001:2008 standard since that time.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ENGINEERING AND PRODUCT DEVELOPMENT</w:t>
      </w:r>
    </w:p>
    <w:p>
      <w:pPr>
        <w:sectPr>
          <w:pgSz w:w="11900" w:h="16880" w:orient="portrait"/>
          <w:cols w:equalWidth="0" w:num="1">
            <w:col w:w="11420"/>
          </w:cols>
          <w:pgMar w:left="240" w:top="131" w:right="239" w:bottom="0" w:gutter="0" w:footer="0" w:header="0"/>
        </w:sectPr>
      </w:pPr>
    </w:p>
    <w:bookmarkStart w:id="8" w:name="page9"/>
    <w:bookmarkEnd w:id="8"/>
    <w:p>
      <w:pPr>
        <w:ind w:left="540" w:right="40"/>
        <w:spacing w:after="0" w:line="289"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2013, we employed a total of 27 engineers, who were engaged full time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2"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 We spent approximately $3.7 million in 2013 and $3.9 million in 2012 on engineering and product development,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Our policy is to protect our technology by filing patent applications for the technologies that we consider important to our business. We also rely on trademarks, trade secrets, copyrights and unpatentable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0" w:lineRule="exact"/>
        <w:rPr>
          <w:sz w:val="20"/>
          <w:szCs w:val="20"/>
          <w:color w:val="auto"/>
        </w:rPr>
      </w:pPr>
    </w:p>
    <w:p>
      <w:pPr>
        <w:ind w:left="540" w:right="240"/>
        <w:spacing w:after="0" w:line="294" w:lineRule="auto"/>
        <w:rPr>
          <w:sz w:val="20"/>
          <w:szCs w:val="20"/>
          <w:color w:val="auto"/>
        </w:rPr>
      </w:pPr>
      <w:r>
        <w:rPr>
          <w:rFonts w:ascii="Arial" w:cs="Arial" w:eastAsia="Arial" w:hAnsi="Arial"/>
          <w:sz w:val="16"/>
          <w:szCs w:val="16"/>
          <w:color w:val="auto"/>
        </w:rPr>
        <w:t>As of December 31, 2013, we held 47 active U.S. patents and had 13 pending U.S. patent applications covering various aspects of our technology. Our U.S. patents expire at various times beginning in 2014 and extending through 2031. During 2013, five U.S. patents were issued and we had three U.S. patents expire. We do not believe that the expiration of these patents or the upcoming expiration of certain of our patents in 2014 will have a material impact on our business. We also hold foreign patents and file foreign patent applications, in selected cases corresponding to our U.S. patents and patent applications, to the extent management deems appropriate.</w:t>
      </w:r>
    </w:p>
    <w:p>
      <w:pPr>
        <w:spacing w:after="0" w:line="170"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semiconductor equipment market,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 "</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We operate in an increasingly competitive environment within each of our product segments. Some of our competitors have greater financial resources and more extensive design and production capabilities than we do. Certain markets in which we operate have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58"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competitors include independent manufacturers, ATE manufacturers and, to a lesser extent, semiconductor manufacturers' in-house ATE interface groups. Competitive factors in our market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67"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Our principal competitor for Thermostream products is FTS Systems. Our principal competitors for Thermochuck products include ERS Electronik GmbH, Advanced Temperature Test Systems GmbH and Espec Corp. Our principal competitors for environmental chambers are Thermotron Industries, Cincinnati Sub-Zero Products, Inc. and Espec Corp. Our principal competitor for thermal platforms is Environmental Stress Systems Inc.</w:t>
      </w:r>
    </w:p>
    <w:p>
      <w:pPr>
        <w:spacing w:after="0" w:line="16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Our principal competitors for manipulator products are Esmo AG and Reid-Ashman Manufacturing. Our principal competitors for docking hardware products include Esmo AG, Knight Automation and Reid-Ashman Manufacturing. We also compete with the ATE manufacturers Advantest Corporation and Teradyne (who are also our customers) on the sale of docking hardware and manipulators.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principal competitors for tester interface products are Reid-Ashman Manufacturing, Esmo AG, Teradyne and Advantest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ectPr>
          <w:pgSz w:w="11900" w:h="16838" w:orient="portrait"/>
          <w:cols w:equalWidth="0" w:num="1">
            <w:col w:w="11400"/>
          </w:cols>
          <w:pgMar w:left="240" w:top="347" w:right="259" w:bottom="19" w:gutter="0" w:footer="0" w:header="0"/>
        </w:sectPr>
      </w:pPr>
    </w:p>
    <w:bookmarkStart w:id="9" w:name="page10"/>
    <w:bookmarkEnd w:id="9"/>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At December 31, 2013, our backlog of unfilled orders for all products was approximately $3.1 million compared with approximately $4.2 million at December 31, 2012. Our backlog includes customer orders which we have accepted, substantially all of which we expect to deliver in 2014.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At December 31, 2013, we had 127 full time employees, including 58 in manufacturing operations, 48 in customer support/operations and 21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Our sales are affected by the cyclicality of the semiconductor and ATE markets, which causes our operating results to fluctuate significantly.</w:t>
      </w:r>
    </w:p>
    <w:p>
      <w:pPr>
        <w:spacing w:after="0" w:line="254"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is subject to intense competition.</w:t>
      </w:r>
    </w:p>
    <w:p>
      <w:pPr>
        <w:spacing w:after="0" w:line="23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face significant competition throughout the world in each of our product segments. Some of our competitors have substantial financial resources and more extensive design and production capabilities than we do.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right="100"/>
        <w:spacing w:after="0" w:line="310" w:lineRule="auto"/>
        <w:rPr>
          <w:sz w:val="20"/>
          <w:szCs w:val="20"/>
          <w:color w:val="auto"/>
        </w:rPr>
      </w:pPr>
      <w:r>
        <w:rPr>
          <w:rFonts w:ascii="Arial" w:cs="Arial" w:eastAsia="Arial" w:hAnsi="Arial"/>
          <w:sz w:val="16"/>
          <w:szCs w:val="16"/>
          <w:b w:val="1"/>
          <w:bCs w:val="1"/>
          <w:color w:val="auto"/>
        </w:rPr>
        <w:t>We seek to further diversify the markets for our thermal products in order to increase the proportion of our sales attributable to markets which are less subject to cyclicality than the semiconductor and ATE markets. If we are unable to do so, our future performance will remain substantially exposed to the fluctuations of the cyclicality of the semiconductor and ATE markets.</w:t>
      </w:r>
    </w:p>
    <w:p>
      <w:pPr>
        <w:spacing w:after="0" w:line="157"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recent years, we began selling our thermal products in markets outside of the ATE market, including the automotive, consumer electronics, defense/aerospace, energy, industrial and telecommunications markets. Our sales to these non-ATE markets were $10.1 million or 26% of our consolidated net revenues in 2013 compared to $7.8 million or 18% of our net revenues in 2012. Our goal is to increase our sales into these and other non-ATE markets; however, in most cases, the expansion of our thermal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If we are unable to expand our sales in non-ATE markets, our net revenues and results of operations will remain substantially dependent upon the cycles of the semiconductor and ATE markets.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seek to acquire additional businesses. If we are unable to do so, our future rate of growth may be reduced or limited.</w:t>
      </w:r>
    </w:p>
    <w:p>
      <w:pPr>
        <w:spacing w:after="0" w:line="231" w:lineRule="exact"/>
        <w:rPr>
          <w:sz w:val="20"/>
          <w:szCs w:val="20"/>
          <w:color w:val="auto"/>
        </w:rPr>
      </w:pPr>
    </w:p>
    <w:p>
      <w:pPr>
        <w:jc w:val="both"/>
        <w:ind w:left="540" w:right="40"/>
        <w:spacing w:after="0" w:line="259"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We seek to make acquisitions that will further expand our product lines as well as increase our exposure to markets outside the ATE market. We may not be able to execute our acquisition strategy if:</w:t>
      </w:r>
    </w:p>
    <w:p>
      <w:pPr>
        <w:spacing w:after="0" w:line="154" w:lineRule="exact"/>
        <w:rPr>
          <w:sz w:val="20"/>
          <w:szCs w:val="20"/>
          <w:color w:val="auto"/>
        </w:rPr>
      </w:pPr>
    </w:p>
    <w:p>
      <w:pPr>
        <w:ind w:left="1080" w:right="4420"/>
        <w:spacing w:after="0" w:line="306" w:lineRule="auto"/>
        <w:rPr>
          <w:sz w:val="20"/>
          <w:szCs w:val="20"/>
          <w:color w:val="auto"/>
        </w:rPr>
      </w:pPr>
      <w:r>
        <w:rPr>
          <w:rFonts w:ascii="Arial" w:cs="Arial" w:eastAsia="Arial" w:hAnsi="Arial"/>
          <w:sz w:val="16"/>
          <w:szCs w:val="16"/>
          <w:color w:val="auto"/>
        </w:rPr>
        <w:t>we are unable to identify suitable businesses, technologies or products to acquire; we do not have sufficient cash or access to required capital at the necessary time; or we are unwilling or unable to outbid larger, more resourceful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-401955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-264795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-127635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77" w:orient="portrait"/>
          <w:cols w:equalWidth="0" w:num="1">
            <w:col w:w="11400"/>
          </w:cols>
          <w:pgMar w:left="240" w:top="131" w:right="259" w:bottom="0" w:gutter="0" w:footer="0" w:header="0"/>
        </w:sectPr>
      </w:pPr>
    </w:p>
    <w:bookmarkStart w:id="10" w:name="page11"/>
    <w:bookmarkEnd w:id="10"/>
    <w:p>
      <w:pPr>
        <w:ind w:left="5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40"/>
        <w:spacing w:after="0" w:line="254" w:lineRule="auto"/>
        <w:rPr>
          <w:sz w:val="20"/>
          <w:szCs w:val="20"/>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540"/>
        <w:spacing w:after="0" w:line="281" w:lineRule="auto"/>
        <w:rPr>
          <w:sz w:val="20"/>
          <w:szCs w:val="20"/>
          <w:color w:val="auto"/>
        </w:rPr>
      </w:pPr>
      <w:r>
        <w:rPr>
          <w:rFonts w:ascii="Arial" w:cs="Arial" w:eastAsia="Arial" w:hAnsi="Arial"/>
          <w:sz w:val="16"/>
          <w:szCs w:val="16"/>
          <w:color w:val="auto"/>
        </w:rPr>
        <w:t>we might not be able to integrate future acquisitions into our business successfully or operate acquired businesses profitably; 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impose covenants on us which could, among other things, restrict our ability to increase capital expenditures or to acquire additional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Global economic cycles, which are difficult to predict, have had an impact on our business and may continue to do so.</w:t>
      </w:r>
    </w:p>
    <w:p>
      <w:pPr>
        <w:spacing w:after="0" w:line="23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Demand for our products and our operating results have in the past been negatively affected by sudden downturns in the global economies and the resulting reduction in customer capital investment. In the last several years, political instability in Europe, the Middle East and North Africa has negatively affected global financial markets. In the past, these uncertainties have caused our customers to cancel or postpone deliveries of ordered systems and not to place new orders. Continued global economic uncertainties in these or other regions may continue to depress future sales of our products and services.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31"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Historically,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state of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40"/>
        <w:spacing w:after="0" w:line="250" w:lineRule="auto"/>
        <w:rPr>
          <w:sz w:val="20"/>
          <w:szCs w:val="20"/>
          <w:color w:val="auto"/>
        </w:rPr>
      </w:pPr>
      <w:r>
        <w:rPr>
          <w:rFonts w:ascii="Arial" w:cs="Arial" w:eastAsia="Arial" w:hAnsi="Arial"/>
          <w:sz w:val="18"/>
          <w:szCs w:val="18"/>
          <w:color w:val="auto"/>
        </w:rPr>
        <w:t>quantities of our inventories greater than is reasonably likely to be utilized in future periods; fluctuations in the level of product warranty charges;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implementing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900"/>
        <w:spacing w:after="0" w:line="250" w:lineRule="auto"/>
        <w:rPr>
          <w:sz w:val="20"/>
          <w:szCs w:val="20"/>
          <w:color w:val="auto"/>
        </w:rPr>
      </w:pPr>
      <w:r>
        <w:rPr>
          <w:rFonts w:ascii="Arial" w:cs="Arial" w:eastAsia="Arial" w:hAnsi="Arial"/>
          <w:sz w:val="18"/>
          <w:szCs w:val="18"/>
          <w:color w:val="auto"/>
        </w:rPr>
        <w:t>costs and timing of integration of our acquisitions and plant consolidations and relocations; our ability to obtain raw materials or fabricated parts when needed; increases in costs of component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80" w:lineRule="exact"/>
        <w:rPr>
          <w:sz w:val="20"/>
          <w:szCs w:val="20"/>
          <w:color w:val="auto"/>
        </w:rPr>
      </w:pPr>
    </w:p>
    <w:p>
      <w:pPr>
        <w:ind w:left="540" w:right="460"/>
        <w:spacing w:after="0" w:line="339"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34"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In addition to the cyclicality of the semiconductor and ATE markets,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customers requiring products with a greater range of use at the lowest cost, and (iv) customer supply line management groups demanding lower prices and spreading purchases across multiple vendors.</w:t>
      </w:r>
    </w:p>
    <w:p>
      <w:pPr>
        <w:sectPr>
          <w:pgSz w:w="11900" w:h="16838" w:orient="portrait"/>
          <w:cols w:equalWidth="0" w:num="1">
            <w:col w:w="11400"/>
          </w:cols>
          <w:pgMar w:left="240" w:top="341" w:right="259" w:bottom="0" w:gutter="0" w:footer="0" w:header="0"/>
        </w:sectPr>
      </w:pPr>
    </w:p>
    <w:bookmarkStart w:id="11" w:name="page12"/>
    <w:bookmarkEnd w:id="11"/>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160"/>
        <w:spacing w:after="0" w:line="306" w:lineRule="auto"/>
        <w:rPr>
          <w:sz w:val="20"/>
          <w:szCs w:val="20"/>
          <w:color w:val="auto"/>
        </w:rPr>
      </w:pPr>
      <w:r>
        <w:rPr>
          <w:rFonts w:ascii="Arial" w:cs="Arial" w:eastAsia="Arial" w:hAnsi="Arial"/>
          <w:sz w:val="16"/>
          <w:szCs w:val="16"/>
          <w:color w:val="auto"/>
        </w:rPr>
        <w:t>These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55" w:lineRule="exact"/>
        <w:rPr>
          <w:sz w:val="20"/>
          <w:szCs w:val="20"/>
          <w:color w:val="auto"/>
        </w:rPr>
      </w:pPr>
    </w:p>
    <w:p>
      <w:pPr>
        <w:ind w:left="540" w:right="400"/>
        <w:spacing w:after="0" w:line="275"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80"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Texas Instruments Incorporated accounted for 13% and 14% of our consolidated net revenues in 2013 and 2012, respectively. Teradyne, Inc. accounted for 11% of our consolidated net revenues in 2012. While all three of our operating segments sold to these customers, these revenues were primarily generated by our Mechanical Products and Electrical Products segments. Our ten largest customers accounted for approximately 47% of our net revenues in both 2013 and 2012. The loss of any one or more of our largest customers, or a reduction in orders by a major customer, could materially reduce our net revenues or otherwise materially affect our business, financial condition or results of operations.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We may experience significant variability in our effective tax rates and may have exposure to additional tax liabilities and costs.</w:t>
      </w:r>
    </w:p>
    <w:p>
      <w:pPr>
        <w:spacing w:after="0" w:line="254"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91"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and ATE markets.</w:t>
      </w:r>
    </w:p>
    <w:p>
      <w:pPr>
        <w:spacing w:after="0" w:line="180"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Semiconductor technology continues to become more complex as manufacturers incorporate ICs into an increasing variety of products. This trend, and the changes needed in automatic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New regulations related to conflict minerals may adversely affect us.</w:t>
      </w:r>
    </w:p>
    <w:p>
      <w:pPr>
        <w:spacing w:after="0" w:line="231"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The Dodd-Frank Wall Street Reform and Consumer Protection Act imposes new disclosure requirements regarding the use of "conflict" minerals mined from the Democratic Republic of Congo and adjoining countries in our products. This new requirement could affect the pricing, sourcing and availability of minerals used in the manufacture of components we use in our products. In addition,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a result, we may be unable to certify that our products are conflict mineral free.</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31"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New statutory and regulatory requirements, tax increases and changes in government spending could adversely affect our operating results.</w:t>
      </w:r>
    </w:p>
    <w:p>
      <w:pPr>
        <w:spacing w:after="0" w:line="254" w:lineRule="exact"/>
        <w:rPr>
          <w:sz w:val="20"/>
          <w:szCs w:val="20"/>
          <w:color w:val="auto"/>
        </w:rPr>
      </w:pPr>
    </w:p>
    <w:p>
      <w:pPr>
        <w:ind w:left="540" w:right="100"/>
        <w:spacing w:after="0" w:line="286" w:lineRule="auto"/>
        <w:rPr>
          <w:sz w:val="20"/>
          <w:szCs w:val="20"/>
          <w:color w:val="auto"/>
        </w:rPr>
      </w:pPr>
      <w:r>
        <w:rPr>
          <w:rFonts w:ascii="Arial" w:cs="Arial" w:eastAsia="Arial" w:hAnsi="Arial"/>
          <w:sz w:val="16"/>
          <w:szCs w:val="16"/>
          <w:color w:val="auto"/>
        </w:rPr>
        <w:t>In recent years, the Federal government launched an aggressive statutory and regulatory agenda with the goal of enacting social and economic reforms. This agenda includes health care reform legislation and financial system regulatory reform, as well as proposed climate change and other environmental legislation and regulations. In addition, the Federal and many state and local governments are faced with budget crises that are causing these bodies to consider enacting significant tax increases, reducing or eliminating the use of net operating loss carryforwards and making significant budget cuts. It is uncertain how the applicable government agencies will enact the regulations necessary to carry out the statutory requirements. Accordingly, we cannot determine the costs and other effects of new legal requirements with certainty. For example, new legislation or regulations may cause us to experience increased costs as a direct result of our compliance efforts. At this point, we are unable to determine the impact that newly enacted federal healthcare legislation could have on our employer-sponsored medical plans. We may also indirectly experience increased costs to the extent such legal requirements increase the prices of goods and services that we purchase as a result of increased compliance costs to the vendors who provide these goods and services to us or the reduced availability of raw materials that we need to purchase. In addition, we cannot determine the impact that new legal requirements, tax increases or state and local government spending cuts will have on the business operations of our customers, where</w:t>
      </w:r>
    </w:p>
    <w:p>
      <w:pPr>
        <w:sectPr>
          <w:pgSz w:w="11900" w:h="16897" w:orient="portrait"/>
          <w:cols w:equalWidth="0" w:num="1">
            <w:col w:w="11420"/>
          </w:cols>
          <w:pgMar w:left="240" w:top="131" w:right="239" w:bottom="0" w:gutter="0" w:footer="0" w:header="0"/>
        </w:sectPr>
      </w:pPr>
    </w:p>
    <w:bookmarkStart w:id="12" w:name="page13"/>
    <w:bookmarkEnd w:id="12"/>
    <w:p>
      <w:pPr>
        <w:ind w:left="540" w:right="620"/>
        <w:spacing w:after="0" w:line="259" w:lineRule="auto"/>
        <w:rPr>
          <w:sz w:val="20"/>
          <w:szCs w:val="20"/>
          <w:color w:val="auto"/>
        </w:rPr>
      </w:pPr>
      <w:r>
        <w:rPr>
          <w:rFonts w:ascii="Arial" w:cs="Arial" w:eastAsia="Arial" w:hAnsi="Arial"/>
          <w:sz w:val="18"/>
          <w:szCs w:val="18"/>
          <w:color w:val="auto"/>
        </w:rPr>
        <w:t>significant increases in operating costs due to the costs to comply with new legal requirements or tax increases may reduce their future product development and capital spending budgets. Our revenues and results of operations may be adversely affected by these new legal requirements and government actions.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may suffer if we are unable to attract and retain key employees.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which has caused us to experience operating losses, we have implemented temporary salary and benefit reductions and eliminations that have remained in place until our operations returned to profitability. As global economic conditions improve and employment opportunities increase, if we are unable to increase employee salaries and maintain employee benefits commensurate with competitive opportunities, we may not be able to retain our senior management and other key employees. Our business could suffer if we were to lose one of more of our senior officers or other key employees.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If we are not able to obtain patents on or otherwise preserve and protect our proprietary technologies, our business may suffer.</w:t>
      </w:r>
    </w:p>
    <w:p>
      <w:pPr>
        <w:spacing w:after="0" w:line="25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We have obtained domestic and foreign patents covering some of our products which expire between the years 2014 and 2031, and we have applications pending for additional patents. Some of our products utilize proprietary technology that is not covered by a patent or similar protection, and, in many cases, cannot be protected. We cannot be certain that:</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180"/>
        <w:spacing w:after="0" w:line="250" w:lineRule="auto"/>
        <w:rPr>
          <w:sz w:val="20"/>
          <w:szCs w:val="20"/>
          <w:color w:val="auto"/>
        </w:rPr>
      </w:pPr>
      <w:r>
        <w:rPr>
          <w:rFonts w:ascii="Arial" w:cs="Arial" w:eastAsia="Arial" w:hAnsi="Arial"/>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cannot obtain patent or other protection for our proprietary technologies, our ability to compete in our markets could be impaired.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3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3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16% and 11% of consolidated net revenues in 2013 and 2012, respectively. Net revenues from foreign customers totaled $26.1 million, or 66% of consolidated net revenues in 2013 and $27.5 million, or 63% of consolidated net revenues in 2012.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080"/>
        <w:spacing w:after="0" w:line="281" w:lineRule="auto"/>
        <w:rPr>
          <w:sz w:val="20"/>
          <w:szCs w:val="20"/>
          <w:color w:val="auto"/>
        </w:rPr>
      </w:pPr>
      <w:r>
        <w:rPr>
          <w:rFonts w:ascii="Arial" w:cs="Arial" w:eastAsia="Arial" w:hAnsi="Arial"/>
          <w:sz w:val="16"/>
          <w:szCs w:val="16"/>
          <w:color w:val="auto"/>
        </w:rPr>
        <w:t>the imposition of financial and operational controls and regulatory restrictions by foreign governments; the need to comply with a wide variety of U.S. and foreign import and export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20"/>
        <w:spacing w:after="0" w:line="250" w:lineRule="auto"/>
        <w:rPr>
          <w:sz w:val="20"/>
          <w:szCs w:val="20"/>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(FCPA) and other anti-corruption laws and regulations;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significant portion of our cash position is maintained overseas.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Our financial condition and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results of operations could be adversely impacted if we are unable to maintain a sufficient level of cash flow in the U.S. to address our cash</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requirements or we are unable to efficiently and timely repatriate cash from overseas. Any payment of distributions, loans or advances to us by our foreign</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subsidiaries could be subject to restrictions on, or taxation of, dividends or repatriation of earnings under applicable local law, monetary transfer</w:t>
      </w:r>
    </w:p>
    <w:p>
      <w:pPr>
        <w:sectPr>
          <w:pgSz w:w="11900" w:h="16838" w:orient="portrait"/>
          <w:cols w:equalWidth="0" w:num="1">
            <w:col w:w="11420"/>
          </w:cols>
          <w:pgMar w:left="240" w:top="131" w:right="239" w:bottom="0" w:gutter="0" w:footer="0" w:header="0"/>
        </w:sectPr>
      </w:pPr>
    </w:p>
    <w:bookmarkStart w:id="13" w:name="page14"/>
    <w:bookmarkEnd w:id="13"/>
    <w:p>
      <w:pPr>
        <w:spacing w:after="0" w:line="138" w:lineRule="exact"/>
        <w:rPr>
          <w:sz w:val="20"/>
          <w:szCs w:val="20"/>
          <w:color w:val="auto"/>
        </w:rPr>
      </w:pPr>
    </w:p>
    <w:p>
      <w:pPr>
        <w:ind w:left="540" w:right="120"/>
        <w:spacing w:after="0" w:line="332" w:lineRule="auto"/>
        <w:rPr>
          <w:sz w:val="20"/>
          <w:szCs w:val="20"/>
          <w:color w:val="auto"/>
        </w:rPr>
      </w:pPr>
      <w:r>
        <w:rPr>
          <w:rFonts w:ascii="Arial" w:cs="Arial" w:eastAsia="Arial" w:hAnsi="Arial"/>
          <w:sz w:val="16"/>
          <w:szCs w:val="16"/>
          <w:color w:val="auto"/>
        </w:rPr>
        <w:t>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At December 31, 2013, we leased 6 facilities worldwide. The following chart provides information regarding each of our principal facilities that we occupied at December 31, 2013:</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3"/>
              </w:rPr>
              <w:t>Approx.</w:t>
            </w: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49"/>
        </w:trPr>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80"/>
              </w:rPr>
              <w:t>Lease</w:t>
            </w:r>
          </w:p>
        </w:tc>
        <w:tc>
          <w:tcPr>
            <w:tcW w:w="3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84"/>
              </w:rPr>
              <w:t>Square</w:t>
            </w: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6"/>
        </w:trPr>
        <w:tc>
          <w:tcPr>
            <w:tcW w:w="500" w:type="dxa"/>
            <w:vAlign w:val="bottom"/>
          </w:tcPr>
          <w:p>
            <w:pPr>
              <w:spacing w:after="0"/>
              <w:rPr>
                <w:sz w:val="12"/>
                <w:szCs w:val="12"/>
                <w:color w:val="auto"/>
              </w:rPr>
            </w:pPr>
          </w:p>
        </w:tc>
        <w:tc>
          <w:tcPr>
            <w:tcW w:w="50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Location</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300" w:type="dxa"/>
            <w:vAlign w:val="bottom"/>
          </w:tcPr>
          <w:p>
            <w:pPr>
              <w:spacing w:after="0"/>
              <w:rPr>
                <w:sz w:val="12"/>
                <w:szCs w:val="12"/>
                <w:color w:val="auto"/>
              </w:rPr>
            </w:pPr>
          </w:p>
        </w:tc>
        <w:tc>
          <w:tcPr>
            <w:tcW w:w="8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4"/>
              </w:rPr>
              <w:t>Footage</w:t>
            </w:r>
          </w:p>
        </w:tc>
        <w:tc>
          <w:tcPr>
            <w:tcW w:w="280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Principal Uses</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44"/>
        </w:trPr>
        <w:tc>
          <w:tcPr>
            <w:tcW w:w="1400" w:type="dxa"/>
            <w:vAlign w:val="bottom"/>
            <w:gridSpan w:val="3"/>
          </w:tcPr>
          <w:p>
            <w:pPr>
              <w:spacing w:after="0"/>
              <w:rPr>
                <w:sz w:val="20"/>
                <w:szCs w:val="20"/>
                <w:color w:val="auto"/>
              </w:rPr>
            </w:pPr>
            <w:r>
              <w:rPr>
                <w:rFonts w:ascii="Arial" w:cs="Arial" w:eastAsia="Arial" w:hAnsi="Arial"/>
                <w:sz w:val="18"/>
                <w:szCs w:val="18"/>
                <w:color w:val="auto"/>
              </w:rPr>
              <w:t>Mt. Laurel, NJ</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4/21</w:t>
            </w:r>
          </w:p>
        </w:tc>
        <w:tc>
          <w:tcPr>
            <w:tcW w:w="28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54,897</w:t>
            </w:r>
          </w:p>
        </w:tc>
        <w:tc>
          <w:tcPr>
            <w:tcW w:w="2800" w:type="dxa"/>
            <w:vAlign w:val="bottom"/>
            <w:gridSpan w:val="2"/>
          </w:tcPr>
          <w:p>
            <w:pPr>
              <w:spacing w:after="0"/>
              <w:rPr>
                <w:sz w:val="20"/>
                <w:szCs w:val="20"/>
                <w:color w:val="auto"/>
              </w:rPr>
            </w:pPr>
            <w:r>
              <w:rPr>
                <w:rFonts w:ascii="Arial" w:cs="Arial" w:eastAsia="Arial" w:hAnsi="Arial"/>
                <w:sz w:val="18"/>
                <w:szCs w:val="18"/>
                <w:color w:val="auto"/>
                <w:w w:val="86"/>
              </w:rPr>
              <w:t>Corporate headquarters and Mechanical</w:t>
            </w:r>
          </w:p>
        </w:tc>
      </w:tr>
      <w:tr>
        <w:trPr>
          <w:trHeight w:val="222"/>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Products segment operations.</w:t>
            </w:r>
          </w:p>
        </w:tc>
      </w:tr>
      <w:tr>
        <w:trPr>
          <w:trHeight w:val="243"/>
        </w:trPr>
        <w:tc>
          <w:tcPr>
            <w:tcW w:w="1400" w:type="dxa"/>
            <w:vAlign w:val="bottom"/>
            <w:gridSpan w:val="3"/>
          </w:tcPr>
          <w:p>
            <w:pPr>
              <w:spacing w:after="0"/>
              <w:rPr>
                <w:sz w:val="20"/>
                <w:szCs w:val="20"/>
                <w:color w:val="auto"/>
              </w:rPr>
            </w:pPr>
            <w:r>
              <w:rPr>
                <w:rFonts w:ascii="Arial" w:cs="Arial" w:eastAsia="Arial" w:hAnsi="Arial"/>
                <w:sz w:val="18"/>
                <w:szCs w:val="18"/>
                <w:color w:val="auto"/>
              </w:rPr>
              <w:t>Mansfield, MA</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8/21</w:t>
            </w:r>
          </w:p>
        </w:tc>
        <w:tc>
          <w:tcPr>
            <w:tcW w:w="280" w:type="dxa"/>
            <w:vAlign w:val="bottom"/>
          </w:tcPr>
          <w:p>
            <w:pPr>
              <w:spacing w:after="0"/>
              <w:rPr>
                <w:sz w:val="21"/>
                <w:szCs w:val="21"/>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52,700</w:t>
            </w: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Thermal Products segment operations.</w:t>
            </w:r>
          </w:p>
        </w:tc>
      </w:tr>
      <w:tr>
        <w:trPr>
          <w:trHeight w:val="459"/>
        </w:trPr>
        <w:tc>
          <w:tcPr>
            <w:tcW w:w="1400" w:type="dxa"/>
            <w:vAlign w:val="bottom"/>
            <w:gridSpan w:val="3"/>
          </w:tcPr>
          <w:p>
            <w:pPr>
              <w:spacing w:after="0"/>
              <w:rPr>
                <w:sz w:val="20"/>
                <w:szCs w:val="20"/>
                <w:color w:val="auto"/>
              </w:rPr>
            </w:pPr>
            <w:r>
              <w:rPr>
                <w:rFonts w:ascii="Arial" w:cs="Arial" w:eastAsia="Arial" w:hAnsi="Arial"/>
                <w:sz w:val="18"/>
                <w:szCs w:val="18"/>
                <w:color w:val="auto"/>
              </w:rPr>
              <w:t>Fremont, CA</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color w:val="auto"/>
                <w:w w:val="85"/>
              </w:rPr>
              <w:t>9/17</w:t>
            </w:r>
          </w:p>
        </w:tc>
        <w:tc>
          <w:tcPr>
            <w:tcW w:w="28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15,746</w:t>
            </w:r>
          </w:p>
        </w:tc>
        <w:tc>
          <w:tcPr>
            <w:tcW w:w="2800" w:type="dxa"/>
            <w:vAlign w:val="bottom"/>
            <w:gridSpan w:val="2"/>
          </w:tcPr>
          <w:p>
            <w:pPr>
              <w:spacing w:after="0"/>
              <w:rPr>
                <w:sz w:val="20"/>
                <w:szCs w:val="20"/>
                <w:color w:val="auto"/>
              </w:rPr>
            </w:pPr>
            <w:r>
              <w:rPr>
                <w:rFonts w:ascii="Arial" w:cs="Arial" w:eastAsia="Arial" w:hAnsi="Arial"/>
                <w:sz w:val="18"/>
                <w:szCs w:val="18"/>
                <w:color w:val="auto"/>
                <w:w w:val="87"/>
              </w:rPr>
              <w:t>Electrical Products segment operations.</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135890</wp:posOffset>
            </wp:positionV>
            <wp:extent cx="365760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II</w:t>
      </w:r>
    </w:p>
    <w:p>
      <w:pPr>
        <w:spacing w:after="0" w:line="200" w:lineRule="exact"/>
        <w:rPr>
          <w:sz w:val="20"/>
          <w:szCs w:val="20"/>
          <w:color w:val="auto"/>
        </w:rPr>
      </w:pPr>
    </w:p>
    <w:p>
      <w:pPr>
        <w:spacing w:after="0" w:line="20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Since October 15, 2013, our common stock has been traded on NYSE MKT under the symbol "INTT." Prior to that, our common stock was traded on the NASDAQ under the symbol "INTT". The following table sets forth the high and low sale prices of our common stock, as reported on the NYSE MKT LLC or the NASDAQ Capital Market, as the case may be, for the periods indicated. Sale prices have been rounded to the nearest full cent.</w:t>
      </w:r>
    </w:p>
    <w:p>
      <w:pPr>
        <w:spacing w:after="0" w:line="116"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98"/>
              </w:rPr>
              <w:t>Sales Price</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0" w:type="dxa"/>
            <w:vAlign w:val="bottom"/>
            <w:vMerge w:val="restart"/>
          </w:tcPr>
          <w:p>
            <w:pPr>
              <w:spacing w:after="0"/>
              <w:rPr>
                <w:sz w:val="20"/>
                <w:szCs w:val="20"/>
                <w:color w:val="auto"/>
              </w:rPr>
            </w:pPr>
            <w:r>
              <w:rPr>
                <w:rFonts w:ascii="Arial" w:cs="Arial" w:eastAsia="Arial" w:hAnsi="Arial"/>
                <w:sz w:val="18"/>
                <w:szCs w:val="18"/>
                <w:color w:val="auto"/>
                <w:w w:val="84"/>
              </w:rPr>
              <w:t>2013</w:t>
            </w:r>
          </w:p>
        </w:tc>
        <w:tc>
          <w:tcPr>
            <w:tcW w:w="1920" w:type="dxa"/>
            <w:vAlign w:val="bottom"/>
            <w:vMerge w:val="restart"/>
          </w:tcPr>
          <w:p>
            <w:pPr>
              <w:spacing w:after="0"/>
              <w:rPr>
                <w:sz w:val="21"/>
                <w:szCs w:val="21"/>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3"/>
              </w:rPr>
              <w:t>High</w:t>
            </w:r>
          </w:p>
        </w:tc>
        <w:tc>
          <w:tcPr>
            <w:tcW w:w="140" w:type="dxa"/>
            <w:vAlign w:val="bottom"/>
            <w:vMerge w:val="restart"/>
          </w:tcPr>
          <w:p>
            <w:pPr>
              <w:spacing w:after="0"/>
              <w:rPr>
                <w:sz w:val="21"/>
                <w:szCs w:val="21"/>
                <w:color w:val="auto"/>
              </w:rPr>
            </w:pPr>
          </w:p>
        </w:tc>
        <w:tc>
          <w:tcPr>
            <w:tcW w:w="600" w:type="dxa"/>
            <w:vAlign w:val="bottom"/>
            <w:tcBorders>
              <w:top w:val="single" w:sz="8" w:color="auto"/>
              <w:bottom w:val="single" w:sz="8" w:color="auto"/>
            </w:tcBorders>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78"/>
              </w:rPr>
              <w:t>Low</w:t>
            </w:r>
          </w:p>
        </w:tc>
        <w:tc>
          <w:tcPr>
            <w:tcW w:w="4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60" w:type="dxa"/>
            <w:vAlign w:val="bottom"/>
            <w:tcBorders>
              <w:bottom w:val="single" w:sz="8" w:color="auto"/>
            </w:tcBorders>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22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459"/>
        </w:trPr>
        <w:tc>
          <w:tcPr>
            <w:tcW w:w="2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3.87</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459"/>
        </w:trPr>
        <w:tc>
          <w:tcPr>
            <w:tcW w:w="22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459"/>
        </w:trPr>
        <w:tc>
          <w:tcPr>
            <w:tcW w:w="22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691"/>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2012</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22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459"/>
        </w:trPr>
        <w:tc>
          <w:tcPr>
            <w:tcW w:w="22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459"/>
        </w:trPr>
        <w:tc>
          <w:tcPr>
            <w:tcW w:w="22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20" w:type="dxa"/>
            <w:vAlign w:val="bottom"/>
            <w:gridSpan w:val="3"/>
          </w:tcPr>
          <w:p>
            <w:pPr>
              <w:jc w:val="right"/>
              <w:ind w:right="252"/>
              <w:spacing w:after="0"/>
              <w:rPr>
                <w:sz w:val="20"/>
                <w:szCs w:val="20"/>
                <w:color w:val="auto"/>
              </w:rPr>
            </w:pPr>
            <w:r>
              <w:rPr>
                <w:rFonts w:ascii="Arial" w:cs="Arial" w:eastAsia="Arial" w:hAnsi="Arial"/>
                <w:sz w:val="18"/>
                <w:szCs w:val="18"/>
                <w:color w:val="auto"/>
              </w:rPr>
              <w:t>3 03</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2 31</w:t>
            </w:r>
          </w:p>
        </w:tc>
        <w:tc>
          <w:tcPr>
            <w:tcW w:w="0" w:type="dxa"/>
            <w:vAlign w:val="bottom"/>
          </w:tcPr>
          <w:p>
            <w:pPr>
              <w:spacing w:after="0"/>
              <w:rPr>
                <w:sz w:val="1"/>
                <w:szCs w:val="1"/>
                <w:color w:val="auto"/>
              </w:rPr>
            </w:pPr>
          </w:p>
        </w:tc>
      </w:tr>
    </w:tbl>
    <w:p>
      <w:pPr>
        <w:sectPr>
          <w:pgSz w:w="11900" w:h="16976" w:orient="portrait"/>
          <w:cols w:equalWidth="0" w:num="1">
            <w:col w:w="11400"/>
          </w:cols>
          <w:pgMar w:left="240" w:top="131" w:right="259" w:bottom="0" w:gutter="0" w:footer="0" w:header="0"/>
        </w:sectPr>
      </w:pPr>
    </w:p>
    <w:bookmarkStart w:id="14" w:name="page15"/>
    <w:bookmarkEnd w:id="14"/>
    <w:p>
      <w:pPr>
        <w:ind w:left="1100"/>
        <w:spacing w:after="0"/>
        <w:rPr>
          <w:sz w:val="20"/>
          <w:szCs w:val="20"/>
          <w:color w:val="auto"/>
        </w:rPr>
      </w:pPr>
      <w:r>
        <w:rPr>
          <w:rFonts w:ascii="Arial" w:cs="Arial" w:eastAsia="Arial" w:hAnsi="Arial"/>
          <w:sz w:val="18"/>
          <w:szCs w:val="18"/>
          <w:color w:val="auto"/>
        </w:rPr>
        <w:t>Fourth Quarter</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color w:val="auto"/>
        </w:rPr>
        <w:t>(Continued)</w:t>
      </w:r>
    </w:p>
    <w:p>
      <w:pPr>
        <w:spacing w:after="0" w:line="139"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On March 19, 2014, the closing price for our common stock as reported on the NYSE MKT LLC was $4.05. As of March 19, 2014, we had 10,557,678 shares outstanding that were held of record by approximately 1,000 beneficial and record holders.</w:t>
      </w:r>
    </w:p>
    <w:p>
      <w:pPr>
        <w:spacing w:after="0" w:line="186"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No dividends were paid on our common stock in the year ended December 31, 2013. On December 3, 2012, the Board of Directors declared a one-time special dividend of $0.08 per share paid on December 17, 2012 to stockholders of record at the close of business on December 10, 2012. Payment of any future dividends will be at the discretion of our Board of Directors.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left="540" w:right="20"/>
        <w:spacing w:after="0" w:line="335" w:lineRule="auto"/>
        <w:rPr>
          <w:sz w:val="20"/>
          <w:szCs w:val="20"/>
          <w:color w:val="auto"/>
        </w:rPr>
      </w:pPr>
      <w:r>
        <w:rPr>
          <w:rFonts w:ascii="Arial" w:cs="Arial" w:eastAsia="Arial" w:hAnsi="Arial"/>
          <w:sz w:val="15"/>
          <w:szCs w:val="15"/>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9"/>
          </w:tcPr>
          <w:p>
            <w:pPr>
              <w:jc w:val="center"/>
              <w:ind w:right="300"/>
              <w:spacing w:after="0"/>
              <w:rPr>
                <w:sz w:val="20"/>
                <w:szCs w:val="20"/>
                <w:color w:val="auto"/>
              </w:rPr>
            </w:pPr>
            <w:r>
              <w:rPr>
                <w:rFonts w:ascii="Arial" w:cs="Arial" w:eastAsia="Arial" w:hAnsi="Arial"/>
                <w:sz w:val="14"/>
                <w:szCs w:val="14"/>
                <w:b w:val="1"/>
                <w:bCs w:val="1"/>
                <w:i w:val="1"/>
                <w:iCs w:val="1"/>
                <w:color w:val="auto"/>
                <w:w w:val="82"/>
              </w:rPr>
              <w:t>Years Ended December 31,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w w:val="91"/>
              </w:rPr>
              <w:t>Condensed Consolidated Statement of Operations Data:</w:t>
            </w:r>
          </w:p>
        </w:tc>
        <w:tc>
          <w:tcPr>
            <w:tcW w:w="5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200" w:type="dxa"/>
            <w:vAlign w:val="bottom"/>
          </w:tcPr>
          <w:p>
            <w:pPr>
              <w:spacing w:after="0"/>
              <w:rPr>
                <w:sz w:val="13"/>
                <w:szCs w:val="13"/>
                <w:color w:val="auto"/>
              </w:rPr>
            </w:pPr>
          </w:p>
        </w:tc>
        <w:tc>
          <w:tcPr>
            <w:tcW w:w="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i w:val="1"/>
                <w:iCs w:val="1"/>
                <w:color w:val="auto"/>
              </w:rPr>
              <w:t>2011</w:t>
            </w:r>
          </w:p>
        </w:tc>
        <w:tc>
          <w:tcPr>
            <w:tcW w:w="620" w:type="dxa"/>
            <w:vAlign w:val="bottom"/>
            <w:gridSpan w:val="3"/>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16"/>
          </w:tcPr>
          <w:p>
            <w:pPr>
              <w:jc w:val="center"/>
              <w:ind w:right="160"/>
              <w:spacing w:after="0"/>
              <w:rPr>
                <w:sz w:val="20"/>
                <w:szCs w:val="20"/>
                <w:color w:val="auto"/>
              </w:rPr>
            </w:pPr>
            <w:r>
              <w:rPr>
                <w:rFonts w:ascii="Arial" w:cs="Arial" w:eastAsia="Arial" w:hAnsi="Arial"/>
                <w:sz w:val="18"/>
                <w:szCs w:val="18"/>
                <w:color w:val="auto"/>
                <w:w w:val="85"/>
              </w:rPr>
              <w:t>(in thousands, except per share data)</w:t>
            </w: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Net revenues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$39,426</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86"/>
              </w:rPr>
              <w:t>$43,376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$47,266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$46,204</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$23,499</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19,015</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19,059</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22,893</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22,145</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3,962</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2,996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7,578</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7,350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Net earnings (loss)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3,077</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2,156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9,863</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7,252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Net earnings (loss) per common share:</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$0.30</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$0.21</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$0.97</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$0.72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$0.30</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$0.21</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$0.96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$0.72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Weighted average common shares outstanding :</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Basic</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10,364</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10,273</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10,148</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10,019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10,419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10,347</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10,286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10,142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650"/>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tcPr>
          <w:p>
            <w:pPr>
              <w:jc w:val="center"/>
              <w:ind w:right="500"/>
              <w:spacing w:after="0"/>
              <w:rPr>
                <w:sz w:val="20"/>
                <w:szCs w:val="20"/>
                <w:color w:val="auto"/>
              </w:rPr>
            </w:pPr>
            <w:r>
              <w:rPr>
                <w:rFonts w:ascii="Arial" w:cs="Arial" w:eastAsia="Arial" w:hAnsi="Arial"/>
                <w:sz w:val="14"/>
                <w:szCs w:val="14"/>
                <w:b w:val="1"/>
                <w:bCs w:val="1"/>
                <w:i w:val="1"/>
                <w:iCs w:val="1"/>
                <w:color w:val="auto"/>
                <w:w w:val="83"/>
              </w:rPr>
              <w:t>As of December 31,</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2013</w:t>
            </w:r>
          </w:p>
        </w:tc>
        <w:tc>
          <w:tcPr>
            <w:tcW w:w="20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i w:val="1"/>
                <w:iCs w:val="1"/>
                <w:color w:val="auto"/>
              </w:rPr>
              <w:t>2011</w:t>
            </w: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i w:val="1"/>
                <w:iCs w:val="1"/>
                <w:color w:val="auto"/>
              </w:rPr>
              <w:t>2010</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$19,018</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w w:val="86"/>
              </w:rPr>
              <w:t>$15,576</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$13,957</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$ 6,895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$ 2,647</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Working capital</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24,749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21,000</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19,759</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11,793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35,481</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32,399</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31,237</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21,408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15,144</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31,149</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27,820</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26,199</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16,104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540" w:right="1600" w:hanging="539"/>
        <w:spacing w:after="0" w:line="4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w:t>
      </w:r>
    </w:p>
    <w:p>
      <w:pPr>
        <w:sectPr>
          <w:pgSz w:w="11900" w:h="16838" w:orient="portrait"/>
          <w:cols w:equalWidth="0" w:num="1">
            <w:col w:w="11340"/>
          </w:cols>
          <w:pgMar w:left="240" w:top="131" w:right="319" w:bottom="0" w:gutter="0" w:footer="0" w:header="0"/>
        </w:sectPr>
      </w:pPr>
    </w:p>
    <w:bookmarkStart w:id="15" w:name="page16"/>
    <w:bookmarkEnd w:id="15"/>
    <w:p>
      <w:pPr>
        <w:ind w:left="540" w:right="580"/>
        <w:spacing w:after="0" w:line="332" w:lineRule="auto"/>
        <w:rPr>
          <w:sz w:val="20"/>
          <w:szCs w:val="20"/>
          <w:color w:val="auto"/>
        </w:rPr>
      </w:pPr>
      <w:r>
        <w:rPr>
          <w:rFonts w:ascii="Arial" w:cs="Arial" w:eastAsia="Arial" w:hAnsi="Arial"/>
          <w:sz w:val="16"/>
          <w:szCs w:val="16"/>
          <w:color w:val="auto"/>
        </w:rPr>
        <w:t>Item 1 - "Business - Cautionary Statement Regarding Forward-Looking Statements" for examples of statements made in this report which may be "forward-looking statements." These statements involve risks and uncertainties and are based on various assumptions. Although we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believe that our expectations are based on reasonable assumptions, investors and prospective investors are cautioned that such statements are only projections, and there cannot be any assurance that these events or results will occur. 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w:t>
      </w:r>
    </w:p>
    <w:p>
      <w:pPr>
        <w:spacing w:after="0" w:line="17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w:t>
      </w:r>
    </w:p>
    <w:p>
      <w:pPr>
        <w:spacing w:after="0" w:line="18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As part of our diversification strategy to reduce the impact of ATE market volatility on our business operations, we market our Thermostream temperature management systems in markets outside the ATE market, such as the automotive, consumer electronics, defense/aerospace, energy, industrial and telecommunications markets. Because we are a recent market entrant in these markets, we have not yet developed meaningful market shares in these non-ATE markets. Consequently, we are continuing to evaluate customer buying patterns or market trends in these non-ATE markets. We believe that these markets usually are less cyclical than the ATE market.</w:t>
      </w:r>
    </w:p>
    <w:p>
      <w:pPr>
        <w:spacing w:after="0" w:line="170"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orders received from unaffiliated customers both by product segment and market.</w:t>
      </w:r>
    </w:p>
    <w:p>
      <w:pPr>
        <w:sectPr>
          <w:pgSz w:w="11900" w:h="16838" w:orient="portrait"/>
          <w:cols w:equalWidth="0" w:num="1">
            <w:col w:w="11380"/>
          </w:cols>
          <w:pgMar w:left="240" w:top="131" w:right="279" w:bottom="0" w:gutter="0" w:footer="0" w:header="0"/>
        </w:sectPr>
      </w:pPr>
    </w:p>
    <w:bookmarkStart w:id="16" w:name="page17"/>
    <w:bookmarkEnd w:id="16"/>
    <w:p>
      <w:pPr>
        <w:spacing w:after="0" w:line="322"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Orders from unaffiliated customers: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00" w:type="dxa"/>
            <w:vAlign w:val="bottom"/>
            <w:gridSpan w:val="4"/>
          </w:tcPr>
          <w:p>
            <w:pPr>
              <w:jc w:val="right"/>
              <w:ind w:right="140"/>
              <w:spacing w:after="0"/>
              <w:rPr>
                <w:sz w:val="20"/>
                <w:szCs w:val="20"/>
                <w:color w:val="auto"/>
              </w:rPr>
            </w:pPr>
            <w:r>
              <w:rPr>
                <w:rFonts w:ascii="Arial" w:cs="Arial" w:eastAsia="Arial" w:hAnsi="Arial"/>
                <w:sz w:val="14"/>
                <w:szCs w:val="14"/>
                <w:b w:val="1"/>
                <w:bCs w:val="1"/>
                <w:i w:val="1"/>
                <w:iCs w:val="1"/>
                <w:color w:val="auto"/>
                <w:w w:val="81"/>
              </w:rPr>
              <w:t>December 31,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w w:val="93"/>
              </w:rPr>
              <w:t>Change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ind w:left="360"/>
              <w:spacing w:after="0"/>
              <w:rPr>
                <w:sz w:val="20"/>
                <w:szCs w:val="20"/>
                <w:color w:val="auto"/>
              </w:rPr>
            </w:pPr>
            <w:r>
              <w:rPr>
                <w:rFonts w:ascii="Arial" w:cs="Arial" w:eastAsia="Arial" w:hAnsi="Arial"/>
                <w:sz w:val="14"/>
                <w:szCs w:val="14"/>
                <w:b w:val="1"/>
                <w:bCs w:val="1"/>
                <w:i w:val="1"/>
                <w:iCs w:val="1"/>
                <w:color w:val="auto"/>
              </w:rPr>
              <w:t>$ Amount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r>
      <w:tr>
        <w:trPr>
          <w:trHeight w:val="264"/>
        </w:trPr>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2013</w:t>
            </w:r>
          </w:p>
        </w:tc>
        <w:tc>
          <w:tcPr>
            <w:tcW w:w="500" w:type="dxa"/>
            <w:vAlign w:val="bottom"/>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2012</w:t>
            </w:r>
          </w:p>
        </w:tc>
        <w:tc>
          <w:tcPr>
            <w:tcW w:w="3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r>
    </w:tbl>
    <w:p>
      <w:pPr>
        <w:spacing w:after="0" w:line="19" w:lineRule="exact"/>
        <w:rPr>
          <w:sz w:val="20"/>
          <w:szCs w:val="20"/>
          <w:color w:val="auto"/>
        </w:rPr>
      </w:pPr>
    </w:p>
    <w:p>
      <w:pPr>
        <w:sectPr>
          <w:pgSz w:w="11900" w:h="16900" w:orient="portrait"/>
          <w:cols w:equalWidth="0" w:num="2">
            <w:col w:w="4400" w:space="720"/>
            <w:col w:w="6300"/>
          </w:cols>
          <w:pgMar w:left="240" w:top="195" w:right="239" w:bottom="0" w:gutter="0" w:footer="0" w:header="0"/>
        </w:sectPr>
      </w:pPr>
    </w:p>
    <w:tbl>
      <w:tblPr>
        <w:tblLayout w:type="fixed"/>
        <w:tblInd w:w="1100" w:type="dxa"/>
        <w:tblCellMar>
          <w:top w:w="0" w:type="dxa"/>
          <w:left w:w="0" w:type="dxa"/>
          <w:bottom w:w="0" w:type="dxa"/>
          <w:right w:w="0" w:type="dxa"/>
        </w:tblCellMar>
      </w:tblP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Thermal Products</w:t>
            </w:r>
          </w:p>
        </w:tc>
        <w:tc>
          <w:tcPr>
            <w:tcW w:w="1480" w:type="dxa"/>
            <w:vAlign w:val="bottom"/>
            <w:gridSpan w:val="6"/>
          </w:tcPr>
          <w:p>
            <w:pPr>
              <w:jc w:val="right"/>
              <w:ind w:right="100"/>
              <w:spacing w:after="0"/>
              <w:rPr>
                <w:sz w:val="20"/>
                <w:szCs w:val="20"/>
                <w:color w:val="auto"/>
              </w:rPr>
            </w:pPr>
            <w:r>
              <w:rPr>
                <w:rFonts w:ascii="Arial" w:cs="Arial" w:eastAsia="Arial" w:hAnsi="Arial"/>
                <w:sz w:val="18"/>
                <w:szCs w:val="18"/>
                <w:color w:val="auto"/>
              </w:rPr>
              <w:t>$(1,891)</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4480" w:type="dxa"/>
            <w:vAlign w:val="bottom"/>
            <w:gridSpan w:val="2"/>
          </w:tcPr>
          <w:p>
            <w:pPr>
              <w:jc w:val="right"/>
              <w:spacing w:after="0"/>
              <w:rPr>
                <w:sz w:val="20"/>
                <w:szCs w:val="20"/>
                <w:color w:val="auto"/>
              </w:rPr>
            </w:pPr>
            <w:r>
              <w:rPr>
                <w:rFonts w:ascii="Arial" w:cs="Arial" w:eastAsia="Arial" w:hAnsi="Arial"/>
                <w:sz w:val="18"/>
                <w:szCs w:val="18"/>
                <w:color w:val="auto"/>
              </w:rPr>
              <w:t>$21,953</w:t>
            </w:r>
          </w:p>
        </w:tc>
        <w:tc>
          <w:tcPr>
            <w:tcW w:w="200" w:type="dxa"/>
            <w:vAlign w:val="bottom"/>
          </w:tcPr>
          <w:p>
            <w:pPr>
              <w:spacing w:after="0"/>
              <w:rPr>
                <w:sz w:val="19"/>
                <w:szCs w:val="19"/>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w w:val="86"/>
              </w:rPr>
              <w:t>$23,844</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4680" w:type="dxa"/>
            <w:vAlign w:val="bottom"/>
            <w:gridSpan w:val="3"/>
          </w:tcPr>
          <w:p>
            <w:pPr>
              <w:spacing w:after="0"/>
              <w:rPr>
                <w:sz w:val="20"/>
                <w:szCs w:val="20"/>
                <w:color w:val="auto"/>
              </w:rPr>
            </w:pPr>
            <w:r>
              <w:rPr>
                <w:rFonts w:ascii="Arial" w:cs="Arial" w:eastAsia="Arial" w:hAnsi="Arial"/>
                <w:sz w:val="18"/>
                <w:szCs w:val="18"/>
                <w:color w:val="auto"/>
              </w:rPr>
              <w:t>Mechanical Products</w:t>
            </w:r>
          </w:p>
        </w:tc>
        <w:tc>
          <w:tcPr>
            <w:tcW w:w="1480" w:type="dxa"/>
            <w:vAlign w:val="bottom"/>
            <w:gridSpan w:val="6"/>
          </w:tcPr>
          <w:p>
            <w:pPr>
              <w:jc w:val="right"/>
              <w:ind w:right="140"/>
              <w:spacing w:after="0"/>
              <w:rPr>
                <w:sz w:val="20"/>
                <w:szCs w:val="20"/>
                <w:color w:val="auto"/>
              </w:rPr>
            </w:pPr>
            <w:r>
              <w:rPr>
                <w:rFonts w:ascii="Arial" w:cs="Arial" w:eastAsia="Arial" w:hAnsi="Arial"/>
                <w:sz w:val="18"/>
                <w:szCs w:val="18"/>
                <w:color w:val="auto"/>
              </w:rPr>
              <w:t>642</w:t>
            </w:r>
          </w:p>
        </w:tc>
        <w:tc>
          <w:tcPr>
            <w:tcW w:w="440" w:type="dxa"/>
            <w:vAlign w:val="bottom"/>
            <w:gridSpan w:val="4"/>
          </w:tcPr>
          <w:p>
            <w:pPr>
              <w:jc w:val="right"/>
              <w:ind w:right="180"/>
              <w:spacing w:after="0"/>
              <w:rPr>
                <w:sz w:val="20"/>
                <w:szCs w:val="20"/>
                <w:color w:val="auto"/>
              </w:rPr>
            </w:pPr>
            <w:r>
              <w:rPr>
                <w:rFonts w:ascii="Arial" w:cs="Arial" w:eastAsia="Arial" w:hAnsi="Arial"/>
                <w:sz w:val="18"/>
                <w:szCs w:val="18"/>
                <w:color w:val="auto"/>
              </w:rPr>
              <w:t>7</w:t>
            </w:r>
          </w:p>
        </w:tc>
      </w:tr>
      <w:tr>
        <w:trPr>
          <w:trHeight w:val="222"/>
        </w:trPr>
        <w:tc>
          <w:tcPr>
            <w:tcW w:w="4480" w:type="dxa"/>
            <w:vAlign w:val="bottom"/>
            <w:gridSpan w:val="2"/>
          </w:tcPr>
          <w:p>
            <w:pPr>
              <w:jc w:val="right"/>
              <w:spacing w:after="0"/>
              <w:rPr>
                <w:sz w:val="20"/>
                <w:szCs w:val="20"/>
                <w:color w:val="auto"/>
              </w:rPr>
            </w:pPr>
            <w:r>
              <w:rPr>
                <w:rFonts w:ascii="Arial" w:cs="Arial" w:eastAsia="Arial" w:hAnsi="Arial"/>
                <w:sz w:val="18"/>
                <w:szCs w:val="18"/>
                <w:color w:val="auto"/>
              </w:rPr>
              <w:t>10,115</w:t>
            </w:r>
          </w:p>
        </w:tc>
        <w:tc>
          <w:tcPr>
            <w:tcW w:w="200" w:type="dxa"/>
            <w:vAlign w:val="bottom"/>
          </w:tcPr>
          <w:p>
            <w:pPr>
              <w:spacing w:after="0"/>
              <w:rPr>
                <w:sz w:val="19"/>
                <w:szCs w:val="19"/>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rPr>
              <w:t>9,473</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5"/>
        </w:trPr>
        <w:tc>
          <w:tcPr>
            <w:tcW w:w="4680" w:type="dxa"/>
            <w:vAlign w:val="bottom"/>
            <w:gridSpan w:val="3"/>
          </w:tcPr>
          <w:p>
            <w:pPr>
              <w:spacing w:after="0" w:line="205" w:lineRule="exact"/>
              <w:rPr>
                <w:sz w:val="20"/>
                <w:szCs w:val="20"/>
                <w:color w:val="auto"/>
              </w:rPr>
            </w:pPr>
            <w:r>
              <w:rPr>
                <w:rFonts w:ascii="Arial" w:cs="Arial" w:eastAsia="Arial" w:hAnsi="Arial"/>
                <w:sz w:val="18"/>
                <w:szCs w:val="18"/>
                <w:color w:val="auto"/>
              </w:rPr>
              <w:t>Electrical Products</w:t>
            </w:r>
          </w:p>
        </w:tc>
        <w:tc>
          <w:tcPr>
            <w:tcW w:w="1480" w:type="dxa"/>
            <w:vAlign w:val="bottom"/>
            <w:gridSpan w:val="6"/>
          </w:tcPr>
          <w:p>
            <w:pPr>
              <w:jc w:val="right"/>
              <w:ind w:right="100"/>
              <w:spacing w:after="0" w:line="205" w:lineRule="exact"/>
              <w:rPr>
                <w:sz w:val="20"/>
                <w:szCs w:val="20"/>
                <w:color w:val="auto"/>
              </w:rPr>
            </w:pPr>
            <w:r>
              <w:rPr>
                <w:rFonts w:ascii="Arial" w:cs="Arial" w:eastAsia="Arial" w:hAnsi="Arial"/>
                <w:sz w:val="18"/>
                <w:szCs w:val="18"/>
                <w:color w:val="auto"/>
              </w:rPr>
              <w:t>(3,150)</w:t>
            </w:r>
          </w:p>
        </w:tc>
        <w:tc>
          <w:tcPr>
            <w:tcW w:w="44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w w:val="87"/>
              </w:rPr>
              <w:t>(33)</w:t>
            </w:r>
          </w:p>
        </w:tc>
      </w:tr>
      <w:tr>
        <w:trPr>
          <w:trHeight w:val="196"/>
        </w:trPr>
        <w:tc>
          <w:tcPr>
            <w:tcW w:w="392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6,291</w:t>
            </w:r>
          </w:p>
        </w:tc>
        <w:tc>
          <w:tcPr>
            <w:tcW w:w="2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9,441</w:t>
            </w:r>
          </w:p>
        </w:tc>
        <w:tc>
          <w:tcPr>
            <w:tcW w:w="2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3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10"/>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(4,399) (10)%</w:t>
            </w:r>
          </w:p>
        </w:tc>
      </w:tr>
      <w:tr>
        <w:trPr>
          <w:trHeight w:val="196"/>
        </w:trPr>
        <w:tc>
          <w:tcPr>
            <w:tcW w:w="448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38,359</w:t>
            </w:r>
          </w:p>
        </w:tc>
        <w:tc>
          <w:tcPr>
            <w:tcW w:w="200" w:type="dxa"/>
            <w:vAlign w:val="bottom"/>
          </w:tcPr>
          <w:p>
            <w:pPr>
              <w:spacing w:after="0"/>
              <w:rPr>
                <w:sz w:val="17"/>
                <w:szCs w:val="17"/>
                <w:color w:val="auto"/>
              </w:rPr>
            </w:pPr>
          </w:p>
        </w:tc>
        <w:tc>
          <w:tcPr>
            <w:tcW w:w="780" w:type="dxa"/>
            <w:vAlign w:val="bottom"/>
            <w:gridSpan w:val="2"/>
          </w:tcPr>
          <w:p>
            <w:pPr>
              <w:jc w:val="right"/>
              <w:ind w:right="112"/>
              <w:spacing w:after="0" w:line="196"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42,758</w:t>
            </w:r>
          </w:p>
        </w:tc>
        <w:tc>
          <w:tcPr>
            <w:tcW w:w="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25"/>
        </w:trPr>
        <w:tc>
          <w:tcPr>
            <w:tcW w:w="3920" w:type="dxa"/>
            <w:vAlign w:val="bottom"/>
          </w:tcPr>
          <w:p>
            <w:pPr>
              <w:spacing w:after="0"/>
              <w:rPr>
                <w:sz w:val="20"/>
                <w:szCs w:val="20"/>
                <w:color w:val="auto"/>
              </w:rPr>
            </w:pPr>
            <w:r>
              <w:rPr>
                <w:rFonts w:ascii="Arial" w:cs="Arial" w:eastAsia="Arial" w:hAnsi="Arial"/>
                <w:sz w:val="18"/>
                <w:szCs w:val="18"/>
                <w:color w:val="auto"/>
              </w:rPr>
              <w:t>ATE market</w:t>
            </w: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gridSpan w:val="9"/>
          </w:tcPr>
          <w:p>
            <w:pPr>
              <w:jc w:val="right"/>
              <w:spacing w:after="0"/>
              <w:rPr>
                <w:sz w:val="20"/>
                <w:szCs w:val="20"/>
                <w:color w:val="auto"/>
              </w:rPr>
            </w:pPr>
            <w:r>
              <w:rPr>
                <w:rFonts w:ascii="Arial" w:cs="Arial" w:eastAsia="Arial" w:hAnsi="Arial"/>
                <w:sz w:val="18"/>
                <w:szCs w:val="18"/>
                <w:color w:val="auto"/>
              </w:rPr>
              <w:t>$(6,860) (19)%</w:t>
            </w:r>
          </w:p>
        </w:tc>
      </w:tr>
      <w:tr>
        <w:trPr>
          <w:trHeight w:val="222"/>
        </w:trPr>
        <w:tc>
          <w:tcPr>
            <w:tcW w:w="4480" w:type="dxa"/>
            <w:vAlign w:val="bottom"/>
            <w:gridSpan w:val="2"/>
          </w:tcPr>
          <w:p>
            <w:pPr>
              <w:jc w:val="right"/>
              <w:spacing w:after="0"/>
              <w:rPr>
                <w:sz w:val="20"/>
                <w:szCs w:val="20"/>
                <w:color w:val="auto"/>
              </w:rPr>
            </w:pPr>
            <w:r>
              <w:rPr>
                <w:rFonts w:ascii="Arial" w:cs="Arial" w:eastAsia="Arial" w:hAnsi="Arial"/>
                <w:sz w:val="18"/>
                <w:szCs w:val="18"/>
                <w:color w:val="auto"/>
              </w:rPr>
              <w:t>$28,896</w:t>
            </w:r>
          </w:p>
        </w:tc>
        <w:tc>
          <w:tcPr>
            <w:tcW w:w="200" w:type="dxa"/>
            <w:vAlign w:val="bottom"/>
          </w:tcPr>
          <w:p>
            <w:pPr>
              <w:spacing w:after="0"/>
              <w:rPr>
                <w:sz w:val="19"/>
                <w:szCs w:val="19"/>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8"/>
                <w:szCs w:val="18"/>
                <w:color w:val="auto"/>
                <w:w w:val="86"/>
              </w:rPr>
              <w:t>$35,756</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5"/>
        </w:trPr>
        <w:tc>
          <w:tcPr>
            <w:tcW w:w="4680" w:type="dxa"/>
            <w:vAlign w:val="bottom"/>
            <w:gridSpan w:val="3"/>
          </w:tcPr>
          <w:p>
            <w:pPr>
              <w:spacing w:after="0" w:line="205" w:lineRule="exact"/>
              <w:rPr>
                <w:sz w:val="20"/>
                <w:szCs w:val="20"/>
                <w:color w:val="auto"/>
              </w:rPr>
            </w:pPr>
            <w:r>
              <w:rPr>
                <w:rFonts w:ascii="Arial" w:cs="Arial" w:eastAsia="Arial" w:hAnsi="Arial"/>
                <w:sz w:val="18"/>
                <w:szCs w:val="18"/>
                <w:color w:val="auto"/>
              </w:rPr>
              <w:t>Non-ATE market</w:t>
            </w:r>
          </w:p>
        </w:tc>
        <w:tc>
          <w:tcPr>
            <w:tcW w:w="1480" w:type="dxa"/>
            <w:vAlign w:val="bottom"/>
            <w:gridSpan w:val="6"/>
          </w:tcPr>
          <w:p>
            <w:pPr>
              <w:jc w:val="right"/>
              <w:ind w:right="140"/>
              <w:spacing w:after="0" w:line="205" w:lineRule="exact"/>
              <w:rPr>
                <w:sz w:val="20"/>
                <w:szCs w:val="20"/>
                <w:color w:val="auto"/>
              </w:rPr>
            </w:pPr>
            <w:r>
              <w:rPr>
                <w:rFonts w:ascii="Arial" w:cs="Arial" w:eastAsia="Arial" w:hAnsi="Arial"/>
                <w:sz w:val="18"/>
                <w:szCs w:val="18"/>
                <w:color w:val="auto"/>
              </w:rPr>
              <w:t>2,461</w:t>
            </w:r>
          </w:p>
        </w:tc>
        <w:tc>
          <w:tcPr>
            <w:tcW w:w="440" w:type="dxa"/>
            <w:vAlign w:val="bottom"/>
            <w:gridSpan w:val="4"/>
          </w:tcPr>
          <w:p>
            <w:pPr>
              <w:jc w:val="right"/>
              <w:ind w:right="180"/>
              <w:spacing w:after="0" w:line="205" w:lineRule="exact"/>
              <w:rPr>
                <w:sz w:val="20"/>
                <w:szCs w:val="20"/>
                <w:color w:val="auto"/>
              </w:rPr>
            </w:pPr>
            <w:r>
              <w:rPr>
                <w:rFonts w:ascii="Arial" w:cs="Arial" w:eastAsia="Arial" w:hAnsi="Arial"/>
                <w:sz w:val="18"/>
                <w:szCs w:val="18"/>
                <w:color w:val="auto"/>
              </w:rPr>
              <w:t>35</w:t>
            </w:r>
          </w:p>
        </w:tc>
      </w:tr>
      <w:tr>
        <w:trPr>
          <w:trHeight w:val="196"/>
        </w:trPr>
        <w:tc>
          <w:tcPr>
            <w:tcW w:w="392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9,463</w:t>
            </w:r>
          </w:p>
        </w:tc>
        <w:tc>
          <w:tcPr>
            <w:tcW w:w="2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3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10"/>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(4,399) (10)%</w:t>
            </w:r>
          </w:p>
        </w:tc>
      </w:tr>
      <w:tr>
        <w:trPr>
          <w:trHeight w:val="196"/>
        </w:trPr>
        <w:tc>
          <w:tcPr>
            <w:tcW w:w="448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38,359</w:t>
            </w:r>
          </w:p>
        </w:tc>
        <w:tc>
          <w:tcPr>
            <w:tcW w:w="200" w:type="dxa"/>
            <w:vAlign w:val="bottom"/>
          </w:tcPr>
          <w:p>
            <w:pPr>
              <w:spacing w:after="0"/>
              <w:rPr>
                <w:sz w:val="17"/>
                <w:szCs w:val="17"/>
                <w:color w:val="auto"/>
              </w:rPr>
            </w:pPr>
          </w:p>
        </w:tc>
        <w:tc>
          <w:tcPr>
            <w:tcW w:w="780" w:type="dxa"/>
            <w:vAlign w:val="bottom"/>
            <w:gridSpan w:val="2"/>
          </w:tcPr>
          <w:p>
            <w:pPr>
              <w:jc w:val="right"/>
              <w:ind w:right="112"/>
              <w:spacing w:after="0" w:line="196"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42,758</w:t>
            </w:r>
          </w:p>
        </w:tc>
        <w:tc>
          <w:tcPr>
            <w:tcW w:w="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Total consolidated orders for the year ended December 31, 2013 were $38.4 million compared to $42.8 million for 2012. The decline in consolidated orders reflected the weakened ATE demand that we began to experience in early 2012 and that continued throughout 2013. ATE orders declined $6.9 million or 19% during 2013 as compared to 2012. Both our Thermal and Electrical Products segments experienced declines in their orders during 2013 as compared to 2012, however, each segment saw differing levels of reduction in demand. Our Thermal Products segment experienced a decline in demand from their ATE customers; however, this decline was partially offset by an increase in demand from customers in markets outside the ATE market, including the telecommunications, industrial and defense/aerospace markets. We attribute the higher percentage decrease in 2013 as compared to 2012 for our Electrical Products segment to the fact that during 2012, our Electrical Products segment experienced an unusually high level of demand from one particular OEM customer that was non-recurring.</w:t>
      </w:r>
    </w:p>
    <w:p>
      <w:pPr>
        <w:spacing w:after="0" w:line="172"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Mechanical Products segment experienced an increase in demand in 2013, reflecting increased demand from certain customers in the fourth quarter of 2013 as compared to the same period in 2012. We believe this increase in demand, although primarily driven by certain specific customers, also signals the beginning of a period of improved demand within the ATE market generally. Although we have experienced fluctuating levels of demand in the fourth quarter of 2013 and in the first quarter of 2014 for all of our products segments, we currently expect that demand in the ATE market will improve for all of our product segments during 2014. However, we cannot be certain how long this trend will continue nor can we be certain how significant the increases in demand will be for any future period for any of our product segments.</w:t>
      </w:r>
    </w:p>
    <w:p>
      <w:pPr>
        <w:spacing w:after="0" w:line="174"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Orders from customers in various markets outside of the ATE market for the year ended December 31, 2013, grew by 35% during 2013 as compared to 2012 and increased from 16% of our consolidated orders in 2012 to 25% in 2013. We believe the increases in both our orders from customers in various markets outside the ATE market and those orders as a percentage of our consolidated orders reflect improved demand from the customers we serve in several of the markets outside the ATE market, including the telecommunications, industrial and defense/aerospace markets. The level of our orders in these non-ATE markets has varied in the past, and we expect it will vary significantly in the future as we build our presence in these markets and establish new markets for our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December 31, 2013, our backlog of unfilled orders for all products was approximately $3.1 million compared with approximately $4.2 million at December 31, 2012. Our backlog includes customer orders which we have accepted, substantially all of which we expect to deliver in 2014.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market.</w:t>
      </w:r>
    </w:p>
    <w:p>
      <w:pPr>
        <w:sectPr>
          <w:pgSz w:w="11900" w:h="16900" w:orient="portrait"/>
          <w:cols w:equalWidth="0" w:num="1">
            <w:col w:w="11420"/>
          </w:cols>
          <w:pgMar w:left="240" w:top="195" w:right="239" w:bottom="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4"/>
                <w:szCs w:val="14"/>
                <w:b w:val="1"/>
                <w:bCs w:val="1"/>
                <w:i w:val="1"/>
                <w:iCs w:val="1"/>
                <w:color w:val="auto"/>
                <w:w w:val="80"/>
              </w:rPr>
              <w:t>Years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140" w:type="dxa"/>
            <w:vAlign w:val="bottom"/>
          </w:tcPr>
          <w:p>
            <w:pPr>
              <w:spacing w:after="0"/>
              <w:rPr>
                <w:sz w:val="12"/>
                <w:szCs w:val="12"/>
                <w:color w:val="auto"/>
              </w:rPr>
            </w:pPr>
          </w:p>
        </w:tc>
        <w:tc>
          <w:tcPr>
            <w:tcW w:w="900" w:type="dxa"/>
            <w:vAlign w:val="bottom"/>
            <w:gridSpan w:val="4"/>
          </w:tcPr>
          <w:p>
            <w:pPr>
              <w:jc w:val="center"/>
              <w:ind w:right="140"/>
              <w:spacing w:after="0" w:line="146" w:lineRule="exact"/>
              <w:rPr>
                <w:sz w:val="20"/>
                <w:szCs w:val="20"/>
                <w:color w:val="auto"/>
              </w:rPr>
            </w:pPr>
            <w:r>
              <w:rPr>
                <w:rFonts w:ascii="Arial" w:cs="Arial" w:eastAsia="Arial" w:hAnsi="Arial"/>
                <w:sz w:val="14"/>
                <w:szCs w:val="14"/>
                <w:b w:val="1"/>
                <w:bCs w:val="1"/>
                <w:i w:val="1"/>
                <w:iCs w:val="1"/>
                <w:color w:val="auto"/>
                <w:w w:val="83"/>
              </w:rPr>
              <w:t>December 31,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ind w:left="60"/>
              <w:spacing w:after="0" w:line="146" w:lineRule="exact"/>
              <w:rPr>
                <w:sz w:val="20"/>
                <w:szCs w:val="20"/>
                <w:color w:val="auto"/>
              </w:rPr>
            </w:pPr>
            <w:r>
              <w:rPr>
                <w:rFonts w:ascii="Arial" w:cs="Arial" w:eastAsia="Arial" w:hAnsi="Arial"/>
                <w:sz w:val="14"/>
                <w:szCs w:val="14"/>
                <w:b w:val="1"/>
                <w:bCs w:val="1"/>
                <w:i w:val="1"/>
                <w:iCs w:val="1"/>
                <w:color w:val="auto"/>
                <w:w w:val="93"/>
              </w:rPr>
              <w:t>Change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4"/>
          </w:tcPr>
          <w:p>
            <w:pPr>
              <w:ind w:left="360"/>
              <w:spacing w:after="0" w:line="155" w:lineRule="exact"/>
              <w:rPr>
                <w:sz w:val="20"/>
                <w:szCs w:val="20"/>
                <w:color w:val="auto"/>
              </w:rPr>
            </w:pPr>
            <w:r>
              <w:rPr>
                <w:rFonts w:ascii="Arial" w:cs="Arial" w:eastAsia="Arial" w:hAnsi="Arial"/>
                <w:sz w:val="14"/>
                <w:szCs w:val="14"/>
                <w:b w:val="1"/>
                <w:bCs w:val="1"/>
                <w:i w:val="1"/>
                <w:iCs w:val="1"/>
                <w:color w:val="auto"/>
              </w:rPr>
              <w:t>$ Amount</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r>
      <w:tr>
        <w:trPr>
          <w:trHeight w:val="264"/>
        </w:trPr>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2013</w:t>
            </w:r>
          </w:p>
        </w:tc>
        <w:tc>
          <w:tcPr>
            <w:tcW w:w="500" w:type="dxa"/>
            <w:vAlign w:val="bottom"/>
          </w:tcPr>
          <w:p>
            <w:pPr>
              <w:spacing w:after="0"/>
              <w:rPr>
                <w:sz w:val="22"/>
                <w:szCs w:val="22"/>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2012</w:t>
            </w:r>
          </w:p>
        </w:tc>
        <w:tc>
          <w:tcPr>
            <w:tcW w:w="3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r>
    </w:tbl>
    <w:p>
      <w:pPr>
        <w:spacing w:after="0" w:line="19" w:lineRule="exact"/>
        <w:rPr>
          <w:sz w:val="20"/>
          <w:szCs w:val="20"/>
          <w:color w:val="auto"/>
        </w:rPr>
      </w:pPr>
    </w:p>
    <w:p>
      <w:pPr>
        <w:sectPr>
          <w:pgSz w:w="11900" w:h="16900" w:orient="portrait"/>
          <w:cols w:equalWidth="0" w:num="2">
            <w:col w:w="4400" w:space="720"/>
            <w:col w:w="6300"/>
          </w:cols>
          <w:pgMar w:left="240" w:top="195" w:right="239" w:bottom="0" w:gutter="0" w:footer="0" w:header="0"/>
          <w:type w:val="continuous"/>
        </w:sectPr>
      </w:pPr>
    </w:p>
    <w:tbl>
      <w:tblPr>
        <w:tblLayout w:type="fixed"/>
        <w:tblInd w:w="1100" w:type="dxa"/>
        <w:tblCellMar>
          <w:top w:w="0" w:type="dxa"/>
          <w:left w:w="0" w:type="dxa"/>
          <w:bottom w:w="0" w:type="dxa"/>
          <w:right w:w="0" w:type="dxa"/>
        </w:tblCellMar>
      </w:tblP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Thermal Products</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$(1,345)</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4480" w:type="dxa"/>
            <w:vAlign w:val="bottom"/>
            <w:gridSpan w:val="2"/>
          </w:tcPr>
          <w:p>
            <w:pPr>
              <w:jc w:val="right"/>
              <w:spacing w:after="0"/>
              <w:rPr>
                <w:sz w:val="20"/>
                <w:szCs w:val="20"/>
                <w:color w:val="auto"/>
              </w:rPr>
            </w:pPr>
            <w:r>
              <w:rPr>
                <w:rFonts w:ascii="Arial" w:cs="Arial" w:eastAsia="Arial" w:hAnsi="Arial"/>
                <w:sz w:val="18"/>
                <w:szCs w:val="18"/>
                <w:color w:val="auto"/>
              </w:rPr>
              <w:t>$22,962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$24,307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Mechanical Products</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58</w:t>
            </w:r>
          </w:p>
        </w:tc>
        <w:tc>
          <w:tcPr>
            <w:tcW w:w="440" w:type="dxa"/>
            <w:vAlign w:val="bottom"/>
            <w:gridSpan w:val="4"/>
          </w:tcPr>
          <w:p>
            <w:pPr>
              <w:jc w:val="right"/>
              <w:ind w:right="180"/>
              <w:spacing w:after="0"/>
              <w:rPr>
                <w:sz w:val="20"/>
                <w:szCs w:val="20"/>
                <w:color w:val="auto"/>
              </w:rPr>
            </w:pPr>
            <w:r>
              <w:rPr>
                <w:rFonts w:ascii="Arial" w:cs="Arial" w:eastAsia="Arial" w:hAnsi="Arial"/>
                <w:sz w:val="18"/>
                <w:szCs w:val="18"/>
                <w:color w:val="auto"/>
              </w:rPr>
              <w:t>1</w:t>
            </w:r>
          </w:p>
        </w:tc>
      </w:tr>
      <w:tr>
        <w:trPr>
          <w:trHeight w:val="222"/>
        </w:trPr>
        <w:tc>
          <w:tcPr>
            <w:tcW w:w="4480" w:type="dxa"/>
            <w:vAlign w:val="bottom"/>
            <w:gridSpan w:val="2"/>
          </w:tcPr>
          <w:p>
            <w:pPr>
              <w:jc w:val="right"/>
              <w:spacing w:after="0"/>
              <w:rPr>
                <w:sz w:val="20"/>
                <w:szCs w:val="20"/>
                <w:color w:val="auto"/>
              </w:rPr>
            </w:pPr>
            <w:r>
              <w:rPr>
                <w:rFonts w:ascii="Arial" w:cs="Arial" w:eastAsia="Arial" w:hAnsi="Arial"/>
                <w:sz w:val="18"/>
                <w:szCs w:val="18"/>
                <w:color w:val="auto"/>
              </w:rPr>
              <w:t>9,962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5"/>
        </w:trPr>
        <w:tc>
          <w:tcPr>
            <w:tcW w:w="4480" w:type="dxa"/>
            <w:vAlign w:val="bottom"/>
            <w:gridSpan w:val="2"/>
          </w:tcPr>
          <w:p>
            <w:pPr>
              <w:spacing w:after="0" w:line="205" w:lineRule="exact"/>
              <w:rPr>
                <w:sz w:val="20"/>
                <w:szCs w:val="20"/>
                <w:color w:val="auto"/>
              </w:rPr>
            </w:pPr>
            <w:r>
              <w:rPr>
                <w:rFonts w:ascii="Arial" w:cs="Arial" w:eastAsia="Arial" w:hAnsi="Arial"/>
                <w:sz w:val="18"/>
                <w:szCs w:val="18"/>
                <w:color w:val="auto"/>
              </w:rPr>
              <w:t>Electrical Products</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(2,663)</w:t>
            </w:r>
          </w:p>
        </w:tc>
        <w:tc>
          <w:tcPr>
            <w:tcW w:w="440" w:type="dxa"/>
            <w:vAlign w:val="bottom"/>
            <w:gridSpan w:val="4"/>
          </w:tcPr>
          <w:p>
            <w:pPr>
              <w:jc w:val="right"/>
              <w:ind w:right="140"/>
              <w:spacing w:after="0" w:line="205" w:lineRule="exact"/>
              <w:rPr>
                <w:sz w:val="20"/>
                <w:szCs w:val="20"/>
                <w:color w:val="auto"/>
              </w:rPr>
            </w:pPr>
            <w:r>
              <w:rPr>
                <w:rFonts w:ascii="Arial" w:cs="Arial" w:eastAsia="Arial" w:hAnsi="Arial"/>
                <w:sz w:val="18"/>
                <w:szCs w:val="18"/>
                <w:color w:val="auto"/>
                <w:w w:val="87"/>
              </w:rPr>
              <w:t>(29)</w:t>
            </w:r>
          </w:p>
        </w:tc>
      </w:tr>
      <w:tr>
        <w:trPr>
          <w:trHeight w:val="196"/>
        </w:trPr>
        <w:tc>
          <w:tcPr>
            <w:tcW w:w="3960" w:type="dxa"/>
            <w:vAlign w:val="bottom"/>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6,502</w:t>
            </w:r>
          </w:p>
        </w:tc>
        <w:tc>
          <w:tcPr>
            <w:tcW w:w="24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4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39,426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43,376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(3,950)</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ectPr>
          <w:pgSz w:w="11900" w:h="16900" w:orient="portrait"/>
          <w:cols w:equalWidth="0" w:num="1">
            <w:col w:w="11420"/>
          </w:cols>
          <w:pgMar w:left="240" w:top="195" w:right="239" w:bottom="0" w:gutter="0" w:footer="0" w:header="0"/>
          <w:type w:val="continuous"/>
        </w:sectPr>
      </w:pPr>
    </w:p>
    <w:bookmarkStart w:id="17" w:name="page18"/>
    <w:bookmarkEnd w:id="17"/>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ATE market</w:t>
            </w:r>
          </w:p>
        </w:tc>
        <w:tc>
          <w:tcPr>
            <w:tcW w:w="2120" w:type="dxa"/>
            <w:vAlign w:val="bottom"/>
            <w:gridSpan w:val="10"/>
          </w:tcPr>
          <w:p>
            <w:pPr>
              <w:ind w:left="980"/>
              <w:spacing w:after="0"/>
              <w:rPr>
                <w:sz w:val="20"/>
                <w:szCs w:val="20"/>
                <w:color w:val="auto"/>
              </w:rPr>
            </w:pPr>
            <w:r>
              <w:rPr>
                <w:rFonts w:ascii="Arial" w:cs="Arial" w:eastAsia="Arial" w:hAnsi="Arial"/>
                <w:sz w:val="18"/>
                <w:szCs w:val="18"/>
                <w:color w:val="auto"/>
                <w:w w:val="93"/>
              </w:rPr>
              <w:t>$(6,205) (17)%</w:t>
            </w:r>
          </w:p>
        </w:tc>
      </w:tr>
      <w:tr>
        <w:trPr>
          <w:trHeight w:val="222"/>
        </w:trPr>
        <w:tc>
          <w:tcPr>
            <w:tcW w:w="4480" w:type="dxa"/>
            <w:vAlign w:val="bottom"/>
            <w:gridSpan w:val="2"/>
          </w:tcPr>
          <w:p>
            <w:pPr>
              <w:jc w:val="right"/>
              <w:spacing w:after="0"/>
              <w:rPr>
                <w:sz w:val="20"/>
                <w:szCs w:val="20"/>
                <w:color w:val="auto"/>
              </w:rPr>
            </w:pPr>
            <w:r>
              <w:rPr>
                <w:rFonts w:ascii="Arial" w:cs="Arial" w:eastAsia="Arial" w:hAnsi="Arial"/>
                <w:sz w:val="18"/>
                <w:szCs w:val="18"/>
                <w:color w:val="auto"/>
              </w:rPr>
              <w:t>$29,349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$35,554</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5"/>
        </w:trPr>
        <w:tc>
          <w:tcPr>
            <w:tcW w:w="4480" w:type="dxa"/>
            <w:vAlign w:val="bottom"/>
            <w:gridSpan w:val="2"/>
          </w:tcPr>
          <w:p>
            <w:pPr>
              <w:spacing w:after="0" w:line="205" w:lineRule="exact"/>
              <w:rPr>
                <w:sz w:val="20"/>
                <w:szCs w:val="20"/>
                <w:color w:val="auto"/>
              </w:rPr>
            </w:pPr>
            <w:r>
              <w:rPr>
                <w:rFonts w:ascii="Arial" w:cs="Arial" w:eastAsia="Arial" w:hAnsi="Arial"/>
                <w:sz w:val="18"/>
                <w:szCs w:val="18"/>
                <w:color w:val="auto"/>
              </w:rPr>
              <w:t>Non-ATE market</w:t>
            </w:r>
          </w:p>
        </w:tc>
        <w:tc>
          <w:tcPr>
            <w:tcW w:w="1720" w:type="dxa"/>
            <w:vAlign w:val="bottom"/>
            <w:gridSpan w:val="7"/>
          </w:tcPr>
          <w:p>
            <w:pPr>
              <w:jc w:val="right"/>
              <w:ind w:right="180"/>
              <w:spacing w:after="0" w:line="205" w:lineRule="exact"/>
              <w:rPr>
                <w:sz w:val="20"/>
                <w:szCs w:val="20"/>
                <w:color w:val="auto"/>
              </w:rPr>
            </w:pPr>
            <w:r>
              <w:rPr>
                <w:rFonts w:ascii="Arial" w:cs="Arial" w:eastAsia="Arial" w:hAnsi="Arial"/>
                <w:sz w:val="18"/>
                <w:szCs w:val="18"/>
                <w:color w:val="auto"/>
              </w:rPr>
              <w:t>2,255</w:t>
            </w:r>
          </w:p>
        </w:tc>
        <w:tc>
          <w:tcPr>
            <w:tcW w:w="400" w:type="dxa"/>
            <w:vAlign w:val="bottom"/>
            <w:gridSpan w:val="3"/>
          </w:tcPr>
          <w:p>
            <w:pPr>
              <w:ind w:left="40"/>
              <w:spacing w:after="0" w:line="205" w:lineRule="exact"/>
              <w:rPr>
                <w:sz w:val="20"/>
                <w:szCs w:val="20"/>
                <w:color w:val="auto"/>
              </w:rPr>
            </w:pPr>
            <w:r>
              <w:rPr>
                <w:rFonts w:ascii="Arial" w:cs="Arial" w:eastAsia="Arial" w:hAnsi="Arial"/>
                <w:sz w:val="18"/>
                <w:szCs w:val="18"/>
                <w:color w:val="auto"/>
              </w:rPr>
              <w:t>29</w:t>
            </w:r>
          </w:p>
        </w:tc>
      </w:tr>
      <w:tr>
        <w:trPr>
          <w:trHeight w:val="196"/>
        </w:trPr>
        <w:tc>
          <w:tcPr>
            <w:tcW w:w="3960" w:type="dxa"/>
            <w:vAlign w:val="bottom"/>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10,077</w:t>
            </w:r>
          </w:p>
        </w:tc>
        <w:tc>
          <w:tcPr>
            <w:tcW w:w="240" w:type="dxa"/>
            <w:vAlign w:val="bottom"/>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7,822</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3"/>
        </w:trPr>
        <w:tc>
          <w:tcPr>
            <w:tcW w:w="3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gridSpan w:val="7"/>
          </w:tcPr>
          <w:p>
            <w:pPr>
              <w:ind w:left="9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(3,950)</w:t>
            </w:r>
          </w:p>
        </w:tc>
        <w:tc>
          <w:tcPr>
            <w:tcW w:w="400" w:type="dxa"/>
            <w:vAlign w:val="bottom"/>
            <w:gridSpan w:val="3"/>
          </w:tcPr>
          <w:p>
            <w:pPr>
              <w:ind w:left="40"/>
              <w:spacing w:after="0"/>
              <w:rPr>
                <w:sz w:val="20"/>
                <w:szCs w:val="20"/>
                <w:color w:val="auto"/>
              </w:rPr>
            </w:pPr>
            <w:r>
              <w:rPr>
                <w:rFonts w:ascii="Arial" w:cs="Arial" w:eastAsia="Arial" w:hAnsi="Arial"/>
                <w:sz w:val="18"/>
                <w:szCs w:val="18"/>
                <w:color w:val="auto"/>
                <w:w w:val="89"/>
              </w:rPr>
              <w:t>(9)%</w:t>
            </w:r>
          </w:p>
        </w:tc>
      </w:tr>
      <w:tr>
        <w:trPr>
          <w:trHeight w:val="196"/>
        </w:trPr>
        <w:tc>
          <w:tcPr>
            <w:tcW w:w="4480" w:type="dxa"/>
            <w:vAlign w:val="bottom"/>
            <w:gridSpan w:val="2"/>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39,426</w:t>
            </w:r>
          </w:p>
        </w:tc>
        <w:tc>
          <w:tcPr>
            <w:tcW w:w="980" w:type="dxa"/>
            <w:vAlign w:val="bottom"/>
            <w:gridSpan w:val="3"/>
          </w:tcPr>
          <w:p>
            <w:pPr>
              <w:jc w:val="right"/>
              <w:ind w:right="20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43,376</w:t>
            </w:r>
          </w:p>
        </w:tc>
        <w:tc>
          <w:tcPr>
            <w:tcW w:w="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The trends in our consolidated net revenues in 2013 were similar to the trends previously discussed with regard to our orders. We believe the reduced level of net revenues from the ATE market in 2013 as compared to 2012, primarily for our Thermal and Electrical Products segments, are indicative of weakened demand in the ATE market. We believe the increased level of net revenues from customers outside the ATE market reflects increased penetration into these new markets.</w:t>
      </w:r>
    </w:p>
    <w:p>
      <w:pPr>
        <w:spacing w:after="0" w:line="197"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In addition, in the past several years we have seen a developing trend towards increasing captive manufacturing of manipulators by some tester manufacturers. While this trend began several years ago, it is only since 2012 that this action began to significantly reduce the size of the available market for non-captive manufactured manipulator products. This trend has resulted in reduced levels of net revenues in our Mechanical Products segment in 2012 and 2013 as compared to prior years. As a result, our Mechanical Products segment has experienced significant operating losses in both 2012 and 2013. We are currently exploring various options with a goal of both increasing our level of net revenues as well as reducing our overall level of variable and fixed costs for this product segment.</w:t>
      </w:r>
    </w:p>
    <w:p>
      <w:pPr>
        <w:spacing w:after="0" w:line="198"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Although we have seen a similar trend towards increasing captive manufacturing develop in the available markets for docking hardware and tester interface products as well, our net revenues for docking hardware and tester interface products have not been as negatively affected by this trend as those of our manipulator products.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years ended December 31, 2013 and 2012, our OEM sales as a percentage of net revenues were 12% and 16%, respectively.</w:t>
      </w:r>
    </w:p>
    <w:p>
      <w:pPr>
        <w:spacing w:after="0" w:line="170"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Year Ended December 31, 2013 Compared to Year Ended December 31, 2012</w:t>
      </w:r>
    </w:p>
    <w:p>
      <w:pPr>
        <w:spacing w:after="0" w:line="225" w:lineRule="exact"/>
        <w:rPr>
          <w:sz w:val="20"/>
          <w:szCs w:val="20"/>
          <w:color w:val="auto"/>
        </w:rPr>
      </w:pPr>
    </w:p>
    <w:p>
      <w:pPr>
        <w:ind w:left="540" w:right="100"/>
        <w:spacing w:after="0" w:line="323" w:lineRule="auto"/>
        <w:rPr>
          <w:sz w:val="20"/>
          <w:szCs w:val="20"/>
          <w:color w:val="auto"/>
        </w:rPr>
      </w:pPr>
      <w:r>
        <w:rPr>
          <w:rFonts w:ascii="Arial" w:cs="Arial" w:eastAsia="Arial" w:hAnsi="Arial"/>
          <w:sz w:val="15"/>
          <w:szCs w:val="15"/>
          <w:i w:val="1"/>
          <w:iCs w:val="1"/>
          <w:color w:val="auto"/>
        </w:rPr>
        <w:t xml:space="preserve">Net Revenues. </w:t>
      </w:r>
      <w:r>
        <w:rPr>
          <w:rFonts w:ascii="Arial" w:cs="Arial" w:eastAsia="Arial" w:hAnsi="Arial"/>
          <w:sz w:val="15"/>
          <w:szCs w:val="15"/>
          <w:color w:val="auto"/>
        </w:rPr>
        <w:t>Net revenues were $39.4 million for the year ended December 31, 2013 compared to $43.4 million for the same period in 2012, a decrease</w:t>
      </w:r>
      <w:r>
        <w:rPr>
          <w:rFonts w:ascii="Arial" w:cs="Arial" w:eastAsia="Arial" w:hAnsi="Arial"/>
          <w:sz w:val="15"/>
          <w:szCs w:val="15"/>
          <w:i w:val="1"/>
          <w:iCs w:val="1"/>
          <w:color w:val="auto"/>
        </w:rPr>
        <w:t xml:space="preserve"> </w:t>
      </w:r>
      <w:r>
        <w:rPr>
          <w:rFonts w:ascii="Arial" w:cs="Arial" w:eastAsia="Arial" w:hAnsi="Arial"/>
          <w:sz w:val="15"/>
          <w:szCs w:val="15"/>
          <w:color w:val="auto"/>
        </w:rPr>
        <w:t>of $4.0 million or 9%. For the year ended December 31, 2013, the net revenues of our Thermal and Electrical Products segments decreased $1.3 million or 6% and $2.7 million or 29%, respectively, while the net revenues of our Mechanical Products segment were relatively unchanged as compared to the same period in 2012. We believe the decrease in our net revenues during 2013 primarily reflects the factors previously discussed in the Overview.</w:t>
      </w:r>
    </w:p>
    <w:p>
      <w:pPr>
        <w:spacing w:after="0" w:line="152" w:lineRule="exact"/>
        <w:rPr>
          <w:sz w:val="20"/>
          <w:szCs w:val="20"/>
          <w:color w:val="auto"/>
        </w:rPr>
      </w:pPr>
    </w:p>
    <w:p>
      <w:pPr>
        <w:ind w:left="540" w:right="60"/>
        <w:spacing w:after="0" w:line="318"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48% for the year ended December 31, 2013 compared to 44% for the same period in 2012. The improvement in the</w:t>
      </w:r>
      <w:r>
        <w:rPr>
          <w:rFonts w:ascii="Arial" w:cs="Arial" w:eastAsia="Arial" w:hAnsi="Arial"/>
          <w:sz w:val="15"/>
          <w:szCs w:val="15"/>
          <w:i w:val="1"/>
          <w:iCs w:val="1"/>
          <w:color w:val="auto"/>
        </w:rPr>
        <w:t xml:space="preserve"> </w:t>
      </w:r>
      <w:r>
        <w:rPr>
          <w:rFonts w:ascii="Arial" w:cs="Arial" w:eastAsia="Arial" w:hAnsi="Arial"/>
          <w:sz w:val="15"/>
          <w:szCs w:val="15"/>
          <w:color w:val="auto"/>
        </w:rPr>
        <w:t>gross margin was primarily the result of a reduction in our component material costs as a percentage of net revenues, which decreased from 36% of net revenues for 2012 to 34% of net revenues for 2013. We attribute the decrease to changes in customer and product mix. In addition, the improvement in gross margin reflects a $377,000 reduction in the level of charges for obsolete and excess inventory in 2013 as compared to 2012. The reduction in these charges primarily reflects fewer items falling into our standard objective criteria. Finally, our fixed operating costs decreased from 16% of net revenues in</w:t>
      </w:r>
    </w:p>
    <w:p>
      <w:pPr>
        <w:spacing w:after="0" w:line="20" w:lineRule="exact"/>
        <w:rPr>
          <w:sz w:val="20"/>
          <w:szCs w:val="20"/>
          <w:color w:val="auto"/>
        </w:rPr>
      </w:pPr>
    </w:p>
    <w:p>
      <w:pPr>
        <w:sectPr>
          <w:pgSz w:w="11900" w:h="16838" w:orient="portrait"/>
          <w:cols w:equalWidth="0" w:num="1">
            <w:col w:w="11420"/>
          </w:cols>
          <w:pgMar w:left="240" w:top="860" w:right="239" w:bottom="0" w:gutter="0" w:footer="0" w:header="0"/>
        </w:sectPr>
      </w:pPr>
    </w:p>
    <w:bookmarkStart w:id="18" w:name="page19"/>
    <w:bookmarkEnd w:id="18"/>
    <w:p>
      <w:pPr>
        <w:ind w:left="540" w:right="520"/>
        <w:spacing w:after="0" w:line="268" w:lineRule="auto"/>
        <w:rPr>
          <w:sz w:val="20"/>
          <w:szCs w:val="20"/>
          <w:color w:val="auto"/>
        </w:rPr>
      </w:pPr>
      <w:r>
        <w:rPr>
          <w:rFonts w:ascii="Arial" w:cs="Arial" w:eastAsia="Arial" w:hAnsi="Arial"/>
          <w:sz w:val="18"/>
          <w:szCs w:val="18"/>
          <w:color w:val="auto"/>
        </w:rPr>
        <w:t>2012 to 15% of net revenues in 2013. In absolute dollar terms, these costs declined $979,000 in 2013 as compared to 2012. This decrease primarily reflects reduced headcount in our Thermal and Mechanical Products segments.</w:t>
      </w:r>
    </w:p>
    <w:p>
      <w:pPr>
        <w:spacing w:after="0" w:line="186"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relatively unchanged at $5.4 million for each of the years ended December 31, 2013 and 2012, respectively. During</w:t>
      </w:r>
      <w:r>
        <w:rPr>
          <w:rFonts w:ascii="Arial" w:cs="Arial" w:eastAsia="Arial" w:hAnsi="Arial"/>
          <w:sz w:val="16"/>
          <w:szCs w:val="16"/>
          <w:i w:val="1"/>
          <w:iCs w:val="1"/>
          <w:color w:val="auto"/>
        </w:rPr>
        <w:t xml:space="preserve"> </w:t>
      </w:r>
      <w:r>
        <w:rPr>
          <w:rFonts w:ascii="Arial" w:cs="Arial" w:eastAsia="Arial" w:hAnsi="Arial"/>
          <w:sz w:val="16"/>
          <w:szCs w:val="16"/>
          <w:color w:val="auto"/>
        </w:rPr>
        <w:t>2013, commissions paid to our internal sales staff in our Thermal and Electrical Products segments declined $148,000 reflecting the lower revenues levels in these segments during 2013 as compared to 2012. To a lesser extent, there were reductions in warranty related expenses, freight and installation costs, also driven by the reduced sales levels in 2013. These decreases were almost fully offset by a $255,000 increase in salary and benefits expense primarily as a result of an increase in our sales staff in our Thermal and Electrical Products segments.</w:t>
      </w:r>
    </w:p>
    <w:p>
      <w:pPr>
        <w:spacing w:after="0" w:line="170"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$3.7 million for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$3.9 million for the same period in 2012, a decrease of $212,000 or 5%. The decrease primarily reflects a reduction in the use of third party product development consultants and related development supplies in our Thermal Products segment. These decreases were partially offset by an increase in patent legal costs in our Mechanical and Thermal Products segments.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60"/>
        <w:spacing w:after="0" w:line="29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$6.0 million for the year ended December 31, 2013 compared to $6.4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2012, a decrease of $455,000 or 7%. During 2012, we recorded $337,000 in costs associated with the acquisition of Thermonics and $55,000 in costs related to the relocation of our Electrical Products segment's operation in California. There were no similar costs recorded in 2013. To a lesser extent, the decrease also reflects lower levels of professional fees.</w:t>
      </w:r>
    </w:p>
    <w:p>
      <w:pPr>
        <w:spacing w:after="0" w:line="167"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i w:val="1"/>
          <w:iCs w:val="1"/>
          <w:color w:val="auto"/>
        </w:rPr>
        <w:t xml:space="preserve">Restructuring and Other Charges. </w:t>
      </w:r>
      <w:r>
        <w:rPr>
          <w:rFonts w:ascii="Arial" w:cs="Arial" w:eastAsia="Arial" w:hAnsi="Arial"/>
          <w:sz w:val="18"/>
          <w:szCs w:val="18"/>
          <w:color w:val="auto"/>
        </w:rPr>
        <w:t>Restructuring and other charges were $313,000 for 2012. There were no similar charges for 2013. The restructuring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charges recorded during 2012 represent facility closure costs related to the closure of the Sunnyvale, California facility occupied by Thermonics at the time of our acquisition of this operation.</w:t>
      </w:r>
    </w:p>
    <w:p>
      <w:pPr>
        <w:spacing w:after="0" w:line="194"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year ended December 31, 2013, we recorded income tax expense of $931,000 compared to $897,000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effective tax rate was 23% for 2013 compared to 29% for 2012. On a quarterly basis, we record income tax expense or benefit based on the expected annualized effective tax rate for the various taxing jurisdictions in which we operate our businesses. The reduction in our effective tax rate in 2013 as compared to 2012 primarily reflects the recording of the effect of the reinstatement of certain domestic research and development tax credits which was enacted in January 2013, as well as the recording of additional benefits in connection with the finalization of an audit of our German operation and, to a lesser extent, additional foreign tax credits determined as a part of the process of finalizing and filing our 2012 federal income tax return, both of which occurred in September 2013.</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5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December 31,</w:t>
            </w:r>
          </w:p>
        </w:tc>
        <w:tc>
          <w:tcPr>
            <w:tcW w:w="400" w:type="dxa"/>
            <w:vAlign w:val="bottom"/>
            <w:gridSpan w:val="2"/>
          </w:tcPr>
          <w:p>
            <w:pPr>
              <w:spacing w:after="0"/>
              <w:rPr>
                <w:sz w:val="13"/>
                <w:szCs w:val="13"/>
                <w:color w:val="auto"/>
              </w:rPr>
            </w:pPr>
          </w:p>
        </w:tc>
      </w:tr>
      <w:tr>
        <w:trPr>
          <w:trHeight w:val="210"/>
        </w:trPr>
        <w:tc>
          <w:tcPr>
            <w:tcW w:w="27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2013</w:t>
            </w:r>
          </w:p>
        </w:tc>
        <w:tc>
          <w:tcPr>
            <w:tcW w:w="3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2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2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auto"/>
              </w:rPr>
              <w:t>$19,018</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$15,576</w:t>
            </w:r>
          </w:p>
        </w:tc>
      </w:tr>
      <w:tr>
        <w:trPr>
          <w:trHeight w:val="459"/>
        </w:trPr>
        <w:tc>
          <w:tcPr>
            <w:tcW w:w="2780" w:type="dxa"/>
            <w:vAlign w:val="bottom"/>
          </w:tcPr>
          <w:p>
            <w:pPr>
              <w:spacing w:after="0"/>
              <w:rPr>
                <w:sz w:val="20"/>
                <w:szCs w:val="20"/>
                <w:color w:val="auto"/>
              </w:rPr>
            </w:pPr>
            <w:r>
              <w:rPr>
                <w:rFonts w:ascii="Arial" w:cs="Arial" w:eastAsia="Arial" w:hAnsi="Arial"/>
                <w:sz w:val="18"/>
                <w:szCs w:val="18"/>
                <w:color w:val="auto"/>
              </w:rPr>
              <w:t>Working capital</w:t>
            </w:r>
          </w:p>
        </w:tc>
        <w:tc>
          <w:tcPr>
            <w:tcW w:w="1700" w:type="dxa"/>
            <w:vAlign w:val="bottom"/>
            <w:gridSpan w:val="4"/>
          </w:tcPr>
          <w:p>
            <w:pPr>
              <w:jc w:val="right"/>
              <w:ind w:right="200"/>
              <w:spacing w:after="0"/>
              <w:rPr>
                <w:sz w:val="20"/>
                <w:szCs w:val="20"/>
                <w:color w:val="auto"/>
              </w:rPr>
            </w:pPr>
            <w:r>
              <w:rPr>
                <w:rFonts w:ascii="Arial" w:cs="Arial" w:eastAsia="Arial" w:hAnsi="Arial"/>
                <w:sz w:val="18"/>
                <w:szCs w:val="18"/>
                <w:color w:val="auto"/>
              </w:rPr>
              <w:t>$24,749</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$21,000</w:t>
            </w:r>
          </w:p>
        </w:tc>
      </w:tr>
    </w:tbl>
    <w:p>
      <w:pPr>
        <w:spacing w:after="0" w:line="200" w:lineRule="exact"/>
        <w:rPr>
          <w:sz w:val="20"/>
          <w:szCs w:val="20"/>
          <w:color w:val="auto"/>
        </w:rPr>
      </w:pPr>
    </w:p>
    <w:p>
      <w:pPr>
        <w:spacing w:after="0" w:line="239" w:lineRule="exact"/>
        <w:rPr>
          <w:sz w:val="20"/>
          <w:szCs w:val="20"/>
          <w:color w:val="auto"/>
        </w:rPr>
      </w:pPr>
    </w:p>
    <w:p>
      <w:pPr>
        <w:jc w:val="both"/>
        <w:ind w:left="540" w:right="60"/>
        <w:spacing w:after="0" w:line="306" w:lineRule="auto"/>
        <w:rPr>
          <w:sz w:val="20"/>
          <w:szCs w:val="20"/>
          <w:color w:val="auto"/>
        </w:rPr>
      </w:pPr>
      <w:r>
        <w:rPr>
          <w:rFonts w:ascii="Arial" w:cs="Arial" w:eastAsia="Arial" w:hAnsi="Arial"/>
          <w:sz w:val="16"/>
          <w:szCs w:val="16"/>
          <w:color w:val="auto"/>
        </w:rPr>
        <w:t>As of December 31, 2013, $2.3 million of our cash and cash equivalents was held by our foreign subsidiaries. If these funds are needed for our operations in the U.S., we may be required to accrue and pay U.S. taxes if we repatriate certain of these funds. Our intent is to indefinitely reinvest these funds in our foreign operations and we have no current plans that would require us to repatriate these funds to the 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do not currently have any credit facilities under which we can borrow to help fund our working capital or other requirements.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year ended December 31, 2013 was $3.8 million. During 2013, we recorded net earnings of</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$3.1 million, which included non-cash charges of $847,000 for depreciation and amortization, $311,000 for excess and obsolete inventory charges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$307,000 of deferred income tax expense. During 2013, accounts receivable and inventories increased $233,000 and $416,000, respectively, compared to</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levels at the end of 2012. These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131" w:right="239" w:bottom="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increases primarily reflect increased business activity during the fourth quarter of 2013 as compared to the fourth quarter of 2012. During 2013, deferred revenue and customer deposits decreased $182,000 primarily reflecting the completion during 2013 of certain long-term projects that had been ongoing at the end of 2012 in our Thermal Products segment.</w:t>
      </w:r>
    </w:p>
    <w:p>
      <w:pPr>
        <w:spacing w:after="0" w:line="194"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2013 purchases of property and equipment were $424,000 which primarily represent additions to leased systems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Products segment. We have no significant commitments for capital expenditures for 2014, however, depending upon changes in market demand, we may make such purchases as we deem necessary and appropriate.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2013 there were no significant cash flows from financing activities.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("U.S.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2013 and 2012, we recorded inventory obsolescence charges for excess and obsolete inventory of $311,000 and $688,000,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  MANAGEMENT'S DISCUSSION AND ANALYSIS OF FINANCIAL CONDITION AND RESULTS OF OPERATIONS</w:t>
      </w:r>
      <w:r>
        <w:rPr>
          <w:rFonts w:ascii="Arial" w:cs="Arial" w:eastAsia="Arial" w:hAnsi="Arial"/>
          <w:sz w:val="18"/>
          <w:szCs w:val="18"/>
          <w:color w:val="auto"/>
        </w:rPr>
        <w:t xml:space="preserve"> (Continued)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 As of December 31, 2013 and 2012, goodwill was $1.7 million. We did not record any impairment charges related to our goodwill during 2013 or 2012.</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w:t>
      </w:r>
    </w:p>
    <w:p>
      <w:pPr>
        <w:sectPr>
          <w:pgSz w:w="11900" w:h="16838" w:orient="portrait"/>
          <w:cols w:equalWidth="0" w:num="1">
            <w:col w:w="11420"/>
          </w:cols>
          <w:pgMar w:left="240" w:top="125" w:right="239" w:bottom="0" w:gutter="0" w:footer="0" w:header="0"/>
        </w:sectPr>
      </w:pPr>
    </w:p>
    <w:bookmarkStart w:id="20" w:name="page21"/>
    <w:bookmarkEnd w:id="20"/>
    <w:p>
      <w:pPr>
        <w:ind w:left="540" w:right="20"/>
        <w:spacing w:after="0" w:line="290" w:lineRule="auto"/>
        <w:rPr>
          <w:sz w:val="20"/>
          <w:szCs w:val="20"/>
          <w:color w:val="auto"/>
        </w:rPr>
      </w:pPr>
      <w:r>
        <w:rPr>
          <w:rFonts w:ascii="Arial" w:cs="Arial" w:eastAsia="Arial" w:hAnsi="Arial"/>
          <w:sz w:val="16"/>
          <w:szCs w:val="16"/>
          <w:color w:val="auto"/>
        </w:rPr>
        <w:t>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As of December 31, 2013 and 2012, our indefinite-lived intangible asset was $510,000. We did not record any impairment charges related to our indefinite-lived intangible asset during 2013 or 2012.</w:t>
      </w:r>
    </w:p>
    <w:p>
      <w:pPr>
        <w:spacing w:after="0" w:line="172" w:lineRule="exact"/>
        <w:rPr>
          <w:sz w:val="20"/>
          <w:szCs w:val="20"/>
          <w:color w:val="auto"/>
        </w:rPr>
      </w:pPr>
    </w:p>
    <w:p>
      <w:pPr>
        <w:ind w:left="540" w:right="120"/>
        <w:spacing w:after="0" w:line="314" w:lineRule="auto"/>
        <w:rPr>
          <w:sz w:val="20"/>
          <w:szCs w:val="20"/>
          <w:color w:val="auto"/>
        </w:rPr>
      </w:pPr>
      <w:r>
        <w:rPr>
          <w:rFonts w:ascii="Arial" w:cs="Arial" w:eastAsia="Arial" w:hAnsi="Arial"/>
          <w:sz w:val="15"/>
          <w:szCs w:val="15"/>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2013 and 2012, finite-lived intangibles and long-lived assets were $2.5 million and $2.9 million, respectively. We did not record any impairment charges related to our long-lived assets during 2013 or 2012.</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2013 and 2012, we had a net deferred tax asset of $1.7 million and $2.0 million, respectively, and a deferred tax valuation allowance of $287,000 and $573,000, respectively.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There were no off-balance sheet arrangements during the year ended December 31, 2013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540" w:right="40"/>
        <w:spacing w:after="0" w:line="301" w:lineRule="auto"/>
        <w:rPr>
          <w:sz w:val="20"/>
          <w:szCs w:val="20"/>
          <w:color w:val="auto"/>
        </w:rPr>
      </w:pPr>
      <w:r>
        <w:rPr>
          <w:rFonts w:ascii="Arial" w:cs="Arial" w:eastAsia="Arial" w:hAnsi="Arial"/>
          <w:sz w:val="16"/>
          <w:szCs w:val="16"/>
          <w:b w:val="1"/>
          <w:bCs w:val="1"/>
          <w:color w:val="auto"/>
        </w:rPr>
        <w:t xml:space="preserve">CEO and CFO Certifications. </w:t>
      </w:r>
      <w:r>
        <w:rPr>
          <w:rFonts w:ascii="Arial" w:cs="Arial" w:eastAsia="Arial" w:hAnsi="Arial"/>
          <w:sz w:val="16"/>
          <w:szCs w:val="16"/>
          <w:color w:val="auto"/>
        </w:rPr>
        <w:t>Included with this Annual Report as Exhibits 31.1 and 31.2 are two certifications, one by each of our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our Chief Financial Officer (the "Section 302 Certifications"). This Item 9A contains information concerning the evaluations of our disclosure controls and procedures and internal control over financial reporting that are referred to in the Section 302 Certifications. This information should be read in conjunction with the Section 302 Certifications for a more complete understanding of the topics presented.</w:t>
      </w:r>
    </w:p>
    <w:p>
      <w:pPr>
        <w:spacing w:after="0" w:line="157" w:lineRule="exact"/>
        <w:rPr>
          <w:sz w:val="20"/>
          <w:szCs w:val="20"/>
          <w:color w:val="auto"/>
        </w:rPr>
      </w:pPr>
    </w:p>
    <w:p>
      <w:pPr>
        <w:jc w:val="both"/>
        <w:ind w:left="540" w:right="340"/>
        <w:spacing w:after="0" w:line="262" w:lineRule="auto"/>
        <w:rPr>
          <w:sz w:val="20"/>
          <w:szCs w:val="20"/>
          <w:color w:val="auto"/>
        </w:rPr>
      </w:pPr>
      <w:r>
        <w:rPr>
          <w:rFonts w:ascii="Arial" w:cs="Arial" w:eastAsia="Arial" w:hAnsi="Arial"/>
          <w:sz w:val="18"/>
          <w:szCs w:val="18"/>
          <w:b w:val="1"/>
          <w:bCs w:val="1"/>
          <w:color w:val="auto"/>
        </w:rPr>
        <w:t xml:space="preserve">Evaluation of Our Disclosure Controls and Procedures. </w:t>
      </w:r>
      <w:r>
        <w:rPr>
          <w:rFonts w:ascii="Arial" w:cs="Arial" w:eastAsia="Arial" w:hAnsi="Arial"/>
          <w:sz w:val="18"/>
          <w:szCs w:val="18"/>
          <w:color w:val="auto"/>
        </w:rPr>
        <w:t>The SEC requires that as of the end of the year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b w:val="1"/>
          <w:bCs w:val="1"/>
          <w:color w:val="auto"/>
        </w:rPr>
        <w:t xml:space="preserve">Limitations on the Effectiveness of Controls. </w:t>
      </w:r>
      <w:r>
        <w:rPr>
          <w:rFonts w:ascii="Arial" w:cs="Arial" w:eastAsia="Arial" w:hAnsi="Arial"/>
          <w:sz w:val="15"/>
          <w:szCs w:val="15"/>
          <w:color w:val="auto"/>
        </w:rPr>
        <w:t>Our management, including the CEO and CFO, does not expect that our disclosure controls and</w:t>
      </w:r>
      <w:r>
        <w:rPr>
          <w:rFonts w:ascii="Arial" w:cs="Arial" w:eastAsia="Arial" w:hAnsi="Arial"/>
          <w:sz w:val="15"/>
          <w:szCs w:val="15"/>
          <w:b w:val="1"/>
          <w:bCs w:val="1"/>
          <w:color w:val="auto"/>
        </w:rPr>
        <w:t xml:space="preserve"> </w:t>
      </w:r>
      <w:r>
        <w:rPr>
          <w:rFonts w:ascii="Arial" w:cs="Arial" w:eastAsia="Arial" w:hAnsi="Arial"/>
          <w:sz w:val="15"/>
          <w:szCs w:val="15"/>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w:t>
      </w:r>
    </w:p>
    <w:p>
      <w:pPr>
        <w:sectPr>
          <w:pgSz w:w="11900" w:h="16838" w:orient="portrait"/>
          <w:cols w:equalWidth="0" w:num="1">
            <w:col w:w="11420"/>
          </w:cols>
          <w:pgMar w:left="240" w:top="131" w:right="239" w:bottom="0" w:gutter="0" w:footer="0" w:header="0"/>
        </w:sectPr>
      </w:pPr>
    </w:p>
    <w:bookmarkStart w:id="21" w:name="page22"/>
    <w:bookmarkEnd w:id="21"/>
    <w:p>
      <w:pPr>
        <w:jc w:val="both"/>
        <w:ind w:left="540" w:right="440"/>
        <w:spacing w:after="0" w:line="259" w:lineRule="auto"/>
        <w:rPr>
          <w:sz w:val="20"/>
          <w:szCs w:val="20"/>
          <w:color w:val="auto"/>
        </w:rPr>
      </w:pPr>
      <w:r>
        <w:rPr>
          <w:rFonts w:ascii="Arial" w:cs="Arial" w:eastAsia="Arial" w:hAnsi="Arial"/>
          <w:sz w:val="18"/>
          <w:szCs w:val="18"/>
          <w:color w:val="auto"/>
        </w:rPr>
        <w:t>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88"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 Our management is responsible for establishing and maintaining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statements for external purposes in accordance with generally accepted accounting principles and includes those policies and procedures that:</w:t>
      </w:r>
    </w:p>
    <w:p>
      <w:pPr>
        <w:spacing w:after="0" w:line="208" w:lineRule="exact"/>
        <w:rPr>
          <w:sz w:val="20"/>
          <w:szCs w:val="20"/>
          <w:color w:val="auto"/>
        </w:rPr>
      </w:pPr>
    </w:p>
    <w:p>
      <w:pPr>
        <w:ind w:left="1080" w:hanging="167"/>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38" w:lineRule="exact"/>
        <w:rPr>
          <w:rFonts w:ascii="Arial" w:cs="Arial" w:eastAsia="Arial" w:hAnsi="Arial"/>
          <w:sz w:val="16"/>
          <w:szCs w:val="16"/>
          <w:color w:val="auto"/>
        </w:rPr>
      </w:pPr>
    </w:p>
    <w:p>
      <w:pPr>
        <w:ind w:left="1080" w:right="20" w:hanging="167"/>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080" w:hanging="167"/>
        <w:spacing w:after="0" w:line="26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51" w:lineRule="exact"/>
        <w:rPr>
          <w:sz w:val="20"/>
          <w:szCs w:val="20"/>
          <w:color w:val="auto"/>
        </w:rPr>
      </w:pPr>
    </w:p>
    <w:p>
      <w:pPr>
        <w:jc w:val="both"/>
        <w:ind w:left="540" w:right="600"/>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2013. In making this assessment, management used the criteria set forth by the Committee of Sponsoring Organizations of the Treadway Commission (COSO) on Internal Control-Integrated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2013, our internal control over financial reporting is effective at a reasonable assurance level.</w:t>
      </w:r>
    </w:p>
    <w:p>
      <w:pPr>
        <w:spacing w:after="0" w:line="197" w:lineRule="exact"/>
        <w:rPr>
          <w:sz w:val="20"/>
          <w:szCs w:val="20"/>
          <w:color w:val="auto"/>
        </w:rPr>
      </w:pPr>
    </w:p>
    <w:p>
      <w:pPr>
        <w:ind w:left="540" w:right="200"/>
        <w:spacing w:after="0" w:line="370" w:lineRule="auto"/>
        <w:rPr>
          <w:sz w:val="20"/>
          <w:szCs w:val="20"/>
          <w:color w:val="auto"/>
        </w:rPr>
      </w:pPr>
      <w:r>
        <w:rPr>
          <w:rFonts w:ascii="Arial" w:cs="Arial" w:eastAsia="Arial" w:hAnsi="Arial"/>
          <w:sz w:val="15"/>
          <w:szCs w:val="15"/>
          <w:color w:val="auto"/>
        </w:rPr>
        <w:t>This annual report does not include an attestation report of our independent registered public accounting firm regarding internal control over financial reporting, as such an attestation is not required pursuant to rules of the Securities and Exchange Commission applicable to smaller reporting companies.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65760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2014 Annual Meeting of Stockholders to be filed with the SEC on or before April 30, 2014, or, if our proxy statement is not filed on or before April 30, 2014, will be filed by that date by an amendment to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2014 Annual Meeting of Stockholders to be filed with the SEC on or before April 30, 2014, or, if our proxy statement is not filed on or before April 30, 2014, will be filed by that date by an amendment to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2014 Annual Meeting of Stockholders to be filed with the SEC on or before April 30, 2014, or, if our proxy statement is not filed on or before April 30, 2014, will be filed by that date by an amendment to this Form 10-K.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2013</w:t>
      </w:r>
    </w:p>
    <w:p>
      <w:pPr>
        <w:spacing w:after="0" w:line="17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color w:val="auto"/>
        </w:rPr>
        <w:t>(Continued)</w:t>
      </w:r>
    </w:p>
    <w:p>
      <w:pPr>
        <w:sectPr>
          <w:pgSz w:w="11900" w:h="16838" w:orient="portrait"/>
          <w:cols w:equalWidth="0" w:num="1">
            <w:col w:w="11420"/>
          </w:cols>
          <w:pgMar w:left="240" w:top="131" w:right="239" w:bottom="62" w:gutter="0" w:footer="0" w:header="0"/>
        </w:sectPr>
      </w:pPr>
    </w:p>
    <w:bookmarkStart w:id="22" w:name="page23"/>
    <w:bookmarkEnd w:id="22"/>
    <w:p>
      <w:pPr>
        <w:ind w:left="540" w:right="36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2013:</w:t>
      </w:r>
    </w:p>
    <w:p>
      <w:pPr>
        <w:spacing w:after="0" w:line="15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i w:val="1"/>
                <w:iCs w:val="1"/>
                <w:color w:val="auto"/>
                <w:w w:val="83"/>
              </w:rPr>
              <w:t>Number of securities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83"/>
              </w:rPr>
              <w:t>Number of securities</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0"/>
              </w:rPr>
              <w:t>to be issued upon</w:t>
            </w:r>
          </w:p>
        </w:tc>
        <w:tc>
          <w:tcPr>
            <w:tcW w:w="100" w:type="dxa"/>
            <w:vAlign w:val="bottom"/>
          </w:tcPr>
          <w:p>
            <w:pPr>
              <w:spacing w:after="0"/>
              <w:rPr>
                <w:sz w:val="12"/>
                <w:szCs w:val="12"/>
                <w:color w:val="auto"/>
              </w:rPr>
            </w:pPr>
          </w:p>
        </w:tc>
        <w:tc>
          <w:tcPr>
            <w:tcW w:w="14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2"/>
              </w:rPr>
              <w:t>Weighted-average</w:t>
            </w: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remaining available</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1"/>
              </w:rPr>
              <w:t>exercise of</w:t>
            </w:r>
          </w:p>
        </w:tc>
        <w:tc>
          <w:tcPr>
            <w:tcW w:w="100" w:type="dxa"/>
            <w:vAlign w:val="bottom"/>
          </w:tcPr>
          <w:p>
            <w:pPr>
              <w:spacing w:after="0"/>
              <w:rPr>
                <w:sz w:val="12"/>
                <w:szCs w:val="12"/>
                <w:color w:val="auto"/>
              </w:rPr>
            </w:pPr>
          </w:p>
        </w:tc>
        <w:tc>
          <w:tcPr>
            <w:tcW w:w="14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1"/>
              </w:rPr>
              <w:t>exercise price of</w:t>
            </w: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2"/>
              </w:rPr>
              <w:t>for future issuance</w:t>
            </w:r>
          </w:p>
        </w:tc>
      </w:tr>
      <w:tr>
        <w:trPr>
          <w:trHeight w:val="149"/>
        </w:trPr>
        <w:tc>
          <w:tcPr>
            <w:tcW w:w="8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00" w:type="dxa"/>
            <w:vAlign w:val="bottom"/>
          </w:tcPr>
          <w:p>
            <w:pPr>
              <w:spacing w:after="0"/>
              <w:rPr>
                <w:sz w:val="12"/>
                <w:szCs w:val="12"/>
                <w:color w:val="auto"/>
              </w:rPr>
            </w:pPr>
          </w:p>
        </w:tc>
        <w:tc>
          <w:tcPr>
            <w:tcW w:w="14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under equity</w:t>
            </w:r>
          </w:p>
        </w:tc>
      </w:tr>
      <w:tr>
        <w:trPr>
          <w:trHeight w:val="146"/>
        </w:trPr>
        <w:tc>
          <w:tcPr>
            <w:tcW w:w="444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Plan Category</w:t>
            </w:r>
          </w:p>
        </w:tc>
        <w:tc>
          <w:tcPr>
            <w:tcW w:w="1580" w:type="dxa"/>
            <w:vAlign w:val="bottom"/>
            <w:gridSpan w:val="5"/>
          </w:tcPr>
          <w:p>
            <w:pPr>
              <w:jc w:val="center"/>
              <w:ind w:left="2"/>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580" w:type="dxa"/>
            <w:vAlign w:val="bottom"/>
            <w:gridSpan w:val="5"/>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280" w:type="dxa"/>
            <w:vAlign w:val="bottom"/>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compensation plans(2)</w:t>
            </w:r>
          </w:p>
        </w:tc>
      </w:tr>
      <w:tr>
        <w:trPr>
          <w:trHeight w:val="20"/>
        </w:trPr>
        <w:tc>
          <w:tcPr>
            <w:tcW w:w="8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451"/>
        </w:trPr>
        <w:tc>
          <w:tcPr>
            <w:tcW w:w="4440" w:type="dxa"/>
            <w:vAlign w:val="bottom"/>
            <w:gridSpan w:val="2"/>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jc w:val="right"/>
              <w:ind w:right="420"/>
              <w:spacing w:after="0"/>
              <w:rPr>
                <w:sz w:val="20"/>
                <w:szCs w:val="20"/>
                <w:color w:val="auto"/>
              </w:rPr>
            </w:pPr>
            <w:r>
              <w:rPr>
                <w:rFonts w:ascii="Arial" w:cs="Arial" w:eastAsia="Arial" w:hAnsi="Arial"/>
                <w:sz w:val="18"/>
                <w:szCs w:val="18"/>
                <w:color w:val="auto"/>
              </w:rPr>
              <w:t>$5.66</w:t>
            </w: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62,500</w:t>
            </w:r>
          </w:p>
        </w:tc>
        <w:tc>
          <w:tcPr>
            <w:tcW w:w="260" w:type="dxa"/>
            <w:vAlign w:val="bottom"/>
          </w:tcPr>
          <w:p>
            <w:pPr>
              <w:spacing w:after="0"/>
              <w:rPr>
                <w:sz w:val="24"/>
                <w:szCs w:val="24"/>
                <w:color w:val="auto"/>
              </w:rPr>
            </w:pPr>
          </w:p>
        </w:tc>
      </w:tr>
      <w:tr>
        <w:trPr>
          <w:trHeight w:val="421"/>
        </w:trPr>
        <w:tc>
          <w:tcPr>
            <w:tcW w:w="444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760" w:type="dxa"/>
            <w:vAlign w:val="bottom"/>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r>
      <w:tr>
        <w:trPr>
          <w:trHeight w:val="439"/>
        </w:trPr>
        <w:tc>
          <w:tcPr>
            <w:tcW w:w="4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5.66</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62,500</w:t>
            </w:r>
          </w:p>
        </w:tc>
        <w:tc>
          <w:tcPr>
            <w:tcW w:w="2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920" w:right="2420" w:hanging="358"/>
        <w:spacing w:after="0" w:line="266"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ind w:left="920" w:hanging="358"/>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2007 Stock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2014 Annual Meeting of Stockholders to be filed with the SEC on or before April 30, 2014, or, if our proxy statement is not filed on or before April 30, 2014, will be filed by that date by an amendment to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2014 Annual Meeting of Stockholders to be filed with the SEC on or before April 30, 2014, or, if our proxy statement is not filed on or before April 30, 2014,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65760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57600" cy="342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1" w:lineRule="exact"/>
        <w:rPr>
          <w:sz w:val="20"/>
          <w:szCs w:val="20"/>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184" w:lineRule="exact"/>
        <w:rPr>
          <w:rFonts w:ascii="Arial" w:cs="Arial" w:eastAsia="Arial" w:hAnsi="Arial"/>
          <w:sz w:val="18"/>
          <w:szCs w:val="18"/>
          <w:color w:val="auto"/>
        </w:rPr>
      </w:pPr>
    </w:p>
    <w:p>
      <w:pPr>
        <w:ind w:left="1080" w:right="100" w:firstLine="8"/>
        <w:spacing w:after="0" w:line="254" w:lineRule="auto"/>
        <w:tabs>
          <w:tab w:leader="none" w:pos="1465"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ind w:left="1480" w:hanging="392"/>
        <w:spacing w:after="0"/>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480" w:hanging="392"/>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178"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8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inTEST Corporation</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March 27, 2014</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Robert E. Matthiessen</w:t>
            </w:r>
          </w:p>
        </w:tc>
        <w:tc>
          <w:tcPr>
            <w:tcW w:w="398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27, 2014</w:t>
            </w:r>
          </w:p>
        </w:tc>
      </w:tr>
      <w:tr>
        <w:trPr>
          <w:trHeight w:val="235"/>
        </w:trPr>
        <w:tc>
          <w:tcPr>
            <w:tcW w:w="5760" w:type="dxa"/>
            <w:vAlign w:val="bottom"/>
            <w:gridSpan w:val="2"/>
          </w:tcPr>
          <w:p>
            <w:pPr>
              <w:spacing w:after="0"/>
              <w:rPr>
                <w:sz w:val="20"/>
                <w:szCs w:val="20"/>
                <w:color w:val="auto"/>
              </w:rPr>
            </w:pPr>
            <w:r>
              <w:rPr>
                <w:rFonts w:ascii="Arial" w:cs="Arial" w:eastAsia="Arial" w:hAnsi="Arial"/>
                <w:sz w:val="18"/>
                <w:szCs w:val="18"/>
                <w:color w:val="auto"/>
              </w:rPr>
              <w:t>Robert E. Matthiessen, President,</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131" w:right="239" w:bottom="0" w:gutter="0" w:footer="0" w:header="0"/>
        </w:sectPr>
      </w:pPr>
    </w:p>
    <w:bookmarkStart w:id="23" w:name="page24"/>
    <w:bookmarkEnd w:id="23"/>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6"/>
          </w:tcPr>
          <w:p>
            <w:pPr>
              <w:spacing w:after="0"/>
              <w:rPr>
                <w:sz w:val="20"/>
                <w:szCs w:val="20"/>
                <w:color w:val="auto"/>
              </w:rPr>
            </w:pPr>
            <w:r>
              <w:rPr>
                <w:rFonts w:ascii="Arial" w:cs="Arial" w:eastAsia="Arial" w:hAnsi="Arial"/>
                <w:sz w:val="18"/>
                <w:szCs w:val="18"/>
                <w:color w:val="auto"/>
              </w:rPr>
              <w:t>/s/ Hugh T. Regan, Jr.</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2014</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8"/>
        </w:trPr>
        <w:tc>
          <w:tcPr>
            <w:tcW w:w="5760" w:type="dxa"/>
            <w:vAlign w:val="bottom"/>
            <w:gridSpan w:val="6"/>
          </w:tcPr>
          <w:p>
            <w:pPr>
              <w:spacing w:after="0"/>
              <w:rPr>
                <w:sz w:val="20"/>
                <w:szCs w:val="20"/>
                <w:color w:val="auto"/>
              </w:rPr>
            </w:pPr>
            <w:r>
              <w:rPr>
                <w:rFonts w:ascii="Arial" w:cs="Arial" w:eastAsia="Arial" w:hAnsi="Arial"/>
                <w:sz w:val="18"/>
                <w:szCs w:val="18"/>
                <w:color w:val="auto"/>
              </w:rPr>
              <w:t>Hugh T. Regan, Jr., Treasurer, Chief</w:t>
            </w:r>
          </w:p>
        </w:tc>
        <w:tc>
          <w:tcPr>
            <w:tcW w:w="1120" w:type="dxa"/>
            <w:vAlign w:val="bottom"/>
          </w:tcPr>
          <w:p>
            <w:pPr>
              <w:spacing w:after="0"/>
              <w:rPr>
                <w:sz w:val="19"/>
                <w:szCs w:val="19"/>
                <w:color w:val="auto"/>
              </w:rPr>
            </w:pPr>
          </w:p>
        </w:tc>
      </w:tr>
      <w:tr>
        <w:trPr>
          <w:trHeight w:val="216"/>
        </w:trPr>
        <w:tc>
          <w:tcPr>
            <w:tcW w:w="5760" w:type="dxa"/>
            <w:vAlign w:val="bottom"/>
            <w:gridSpan w:val="6"/>
          </w:tcPr>
          <w:p>
            <w:pPr>
              <w:spacing w:after="0"/>
              <w:rPr>
                <w:sz w:val="20"/>
                <w:szCs w:val="20"/>
                <w:color w:val="auto"/>
              </w:rPr>
            </w:pPr>
            <w:r>
              <w:rPr>
                <w:rFonts w:ascii="Arial" w:cs="Arial" w:eastAsia="Arial" w:hAnsi="Arial"/>
                <w:sz w:val="18"/>
                <w:szCs w:val="18"/>
                <w:color w:val="auto"/>
              </w:rPr>
              <w:t>Financial Officer and Secretary</w:t>
            </w:r>
          </w:p>
        </w:tc>
        <w:tc>
          <w:tcPr>
            <w:tcW w:w="1120" w:type="dxa"/>
            <w:vAlign w:val="bottom"/>
          </w:tcPr>
          <w:p>
            <w:pPr>
              <w:spacing w:after="0"/>
              <w:rPr>
                <w:sz w:val="18"/>
                <w:szCs w:val="18"/>
                <w:color w:val="auto"/>
              </w:rPr>
            </w:pPr>
          </w:p>
        </w:tc>
      </w:tr>
      <w:tr>
        <w:trPr>
          <w:trHeight w:val="222"/>
        </w:trPr>
        <w:tc>
          <w:tcPr>
            <w:tcW w:w="5760" w:type="dxa"/>
            <w:vAlign w:val="bottom"/>
            <w:gridSpan w:val="6"/>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19"/>
                <w:szCs w:val="19"/>
                <w:color w:val="auto"/>
              </w:rPr>
            </w:pPr>
          </w:p>
        </w:tc>
      </w:tr>
      <w:tr>
        <w:trPr>
          <w:trHeight w:val="596"/>
        </w:trPr>
        <w:tc>
          <w:tcPr>
            <w:tcW w:w="5760" w:type="dxa"/>
            <w:vAlign w:val="bottom"/>
            <w:gridSpan w:val="6"/>
          </w:tcPr>
          <w:p>
            <w:pPr>
              <w:spacing w:after="0"/>
              <w:rPr>
                <w:sz w:val="20"/>
                <w:szCs w:val="20"/>
                <w:color w:val="auto"/>
              </w:rPr>
            </w:pPr>
            <w:r>
              <w:rPr>
                <w:rFonts w:ascii="Arial" w:cs="Arial" w:eastAsia="Arial" w:hAnsi="Arial"/>
                <w:sz w:val="18"/>
                <w:szCs w:val="18"/>
                <w:color w:val="auto"/>
              </w:rPr>
              <w:t>/s/ Alyn R. Holt</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2014</w:t>
            </w:r>
          </w:p>
        </w:tc>
      </w:tr>
      <w:tr>
        <w:trPr>
          <w:trHeight w:val="20"/>
        </w:trPr>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6"/>
          </w:tcPr>
          <w:p>
            <w:pPr>
              <w:spacing w:after="0"/>
              <w:rPr>
                <w:sz w:val="20"/>
                <w:szCs w:val="20"/>
                <w:color w:val="auto"/>
              </w:rPr>
            </w:pPr>
            <w:r>
              <w:rPr>
                <w:rFonts w:ascii="Arial" w:cs="Arial" w:eastAsia="Arial" w:hAnsi="Arial"/>
                <w:sz w:val="18"/>
                <w:szCs w:val="18"/>
                <w:color w:val="auto"/>
              </w:rPr>
              <w:t>Alyn R. Holt, Executive Chairman</w:t>
            </w:r>
          </w:p>
        </w:tc>
        <w:tc>
          <w:tcPr>
            <w:tcW w:w="1120" w:type="dxa"/>
            <w:vAlign w:val="bottom"/>
          </w:tcPr>
          <w:p>
            <w:pPr>
              <w:spacing w:after="0"/>
              <w:rPr>
                <w:sz w:val="20"/>
                <w:szCs w:val="20"/>
                <w:color w:val="auto"/>
              </w:rPr>
            </w:pPr>
          </w:p>
        </w:tc>
      </w:tr>
      <w:tr>
        <w:trPr>
          <w:trHeight w:val="596"/>
        </w:trPr>
        <w:tc>
          <w:tcPr>
            <w:tcW w:w="5760" w:type="dxa"/>
            <w:vAlign w:val="bottom"/>
            <w:gridSpan w:val="6"/>
          </w:tcPr>
          <w:p>
            <w:pPr>
              <w:spacing w:after="0"/>
              <w:rPr>
                <w:sz w:val="20"/>
                <w:szCs w:val="20"/>
                <w:color w:val="auto"/>
              </w:rPr>
            </w:pPr>
            <w:r>
              <w:rPr>
                <w:rFonts w:ascii="Arial" w:cs="Arial" w:eastAsia="Arial" w:hAnsi="Arial"/>
                <w:sz w:val="18"/>
                <w:szCs w:val="18"/>
                <w:color w:val="auto"/>
              </w:rPr>
              <w:t>/s/ Steven J. Abrams</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2014</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6"/>
          </w:tcPr>
          <w:p>
            <w:pPr>
              <w:spacing w:after="0"/>
              <w:rPr>
                <w:sz w:val="20"/>
                <w:szCs w:val="20"/>
                <w:color w:val="auto"/>
              </w:rPr>
            </w:pPr>
            <w:r>
              <w:rPr>
                <w:rFonts w:ascii="Arial" w:cs="Arial" w:eastAsia="Arial" w:hAnsi="Arial"/>
                <w:sz w:val="18"/>
                <w:szCs w:val="18"/>
                <w:color w:val="auto"/>
              </w:rPr>
              <w:t>Steven J. Abrams, Esq., Director</w:t>
            </w:r>
          </w:p>
        </w:tc>
        <w:tc>
          <w:tcPr>
            <w:tcW w:w="1120" w:type="dxa"/>
            <w:vAlign w:val="bottom"/>
          </w:tcPr>
          <w:p>
            <w:pPr>
              <w:spacing w:after="0"/>
              <w:rPr>
                <w:sz w:val="20"/>
                <w:szCs w:val="20"/>
                <w:color w:val="auto"/>
              </w:rPr>
            </w:pPr>
          </w:p>
        </w:tc>
      </w:tr>
      <w:tr>
        <w:trPr>
          <w:trHeight w:val="596"/>
        </w:trPr>
        <w:tc>
          <w:tcPr>
            <w:tcW w:w="5760" w:type="dxa"/>
            <w:vAlign w:val="bottom"/>
            <w:gridSpan w:val="6"/>
          </w:tcPr>
          <w:p>
            <w:pPr>
              <w:spacing w:after="0"/>
              <w:rPr>
                <w:sz w:val="20"/>
                <w:szCs w:val="20"/>
                <w:color w:val="auto"/>
              </w:rPr>
            </w:pPr>
            <w:r>
              <w:rPr>
                <w:rFonts w:ascii="Arial" w:cs="Arial" w:eastAsia="Arial" w:hAnsi="Arial"/>
                <w:sz w:val="18"/>
                <w:szCs w:val="18"/>
                <w:color w:val="auto"/>
              </w:rPr>
              <w:t>/s/ Stuart F. Daniels</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2014</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6"/>
          </w:tcPr>
          <w:p>
            <w:pPr>
              <w:spacing w:after="0"/>
              <w:rPr>
                <w:sz w:val="20"/>
                <w:szCs w:val="20"/>
                <w:color w:val="auto"/>
              </w:rPr>
            </w:pPr>
            <w:r>
              <w:rPr>
                <w:rFonts w:ascii="Arial" w:cs="Arial" w:eastAsia="Arial" w:hAnsi="Arial"/>
                <w:sz w:val="18"/>
                <w:szCs w:val="18"/>
                <w:color w:val="auto"/>
              </w:rPr>
              <w:t>Stuart F. Daniels, Ph.D, Director</w:t>
            </w:r>
          </w:p>
        </w:tc>
        <w:tc>
          <w:tcPr>
            <w:tcW w:w="1120" w:type="dxa"/>
            <w:vAlign w:val="bottom"/>
          </w:tcPr>
          <w:p>
            <w:pPr>
              <w:spacing w:after="0"/>
              <w:rPr>
                <w:sz w:val="20"/>
                <w:szCs w:val="20"/>
                <w:color w:val="auto"/>
              </w:rPr>
            </w:pPr>
          </w:p>
        </w:tc>
      </w:tr>
      <w:tr>
        <w:trPr>
          <w:trHeight w:val="596"/>
        </w:trPr>
        <w:tc>
          <w:tcPr>
            <w:tcW w:w="5760" w:type="dxa"/>
            <w:vAlign w:val="bottom"/>
            <w:gridSpan w:val="6"/>
          </w:tcPr>
          <w:p>
            <w:pPr>
              <w:spacing w:after="0"/>
              <w:rPr>
                <w:sz w:val="20"/>
                <w:szCs w:val="20"/>
                <w:color w:val="auto"/>
              </w:rPr>
            </w:pPr>
            <w:r>
              <w:rPr>
                <w:rFonts w:ascii="Arial" w:cs="Arial" w:eastAsia="Arial" w:hAnsi="Arial"/>
                <w:sz w:val="18"/>
                <w:szCs w:val="18"/>
                <w:color w:val="auto"/>
              </w:rPr>
              <w:t>/s/ William Kraut</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2014</w:t>
            </w:r>
          </w:p>
        </w:tc>
      </w:tr>
      <w:tr>
        <w:trPr>
          <w:trHeight w:val="20"/>
        </w:trPr>
        <w:tc>
          <w:tcPr>
            <w:tcW w:w="1220" w:type="dxa"/>
            <w:vAlign w:val="bottom"/>
            <w:gridSpan w:val="2"/>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6"/>
          </w:tcPr>
          <w:p>
            <w:pPr>
              <w:spacing w:after="0"/>
              <w:rPr>
                <w:sz w:val="20"/>
                <w:szCs w:val="20"/>
                <w:color w:val="auto"/>
              </w:rPr>
            </w:pPr>
            <w:r>
              <w:rPr>
                <w:rFonts w:ascii="Arial" w:cs="Arial" w:eastAsia="Arial" w:hAnsi="Arial"/>
                <w:sz w:val="18"/>
                <w:szCs w:val="18"/>
                <w:color w:val="auto"/>
              </w:rPr>
              <w:t>William Kraut, Director</w:t>
            </w:r>
          </w:p>
        </w:tc>
        <w:tc>
          <w:tcPr>
            <w:tcW w:w="1120" w:type="dxa"/>
            <w:vAlign w:val="bottom"/>
          </w:tcPr>
          <w:p>
            <w:pPr>
              <w:spacing w:after="0"/>
              <w:rPr>
                <w:sz w:val="20"/>
                <w:szCs w:val="20"/>
                <w:color w:val="auto"/>
              </w:rPr>
            </w:pPr>
          </w:p>
        </w:tc>
      </w:tr>
      <w:tr>
        <w:trPr>
          <w:trHeight w:val="596"/>
        </w:trPr>
        <w:tc>
          <w:tcPr>
            <w:tcW w:w="15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5"/>
              </w:rPr>
              <w:t>/s/ James W. Schwartz</w:t>
            </w:r>
          </w:p>
        </w:tc>
        <w:tc>
          <w:tcPr>
            <w:tcW w:w="418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27, 2014</w:t>
            </w:r>
          </w:p>
        </w:tc>
      </w:tr>
      <w:tr>
        <w:trPr>
          <w:trHeight w:val="235"/>
        </w:trPr>
        <w:tc>
          <w:tcPr>
            <w:tcW w:w="5760" w:type="dxa"/>
            <w:vAlign w:val="bottom"/>
            <w:gridSpan w:val="6"/>
          </w:tcPr>
          <w:p>
            <w:pPr>
              <w:spacing w:after="0"/>
              <w:rPr>
                <w:sz w:val="20"/>
                <w:szCs w:val="20"/>
                <w:color w:val="auto"/>
              </w:rPr>
            </w:pPr>
            <w:r>
              <w:rPr>
                <w:rFonts w:ascii="Arial" w:cs="Arial" w:eastAsia="Arial" w:hAnsi="Arial"/>
                <w:sz w:val="18"/>
                <w:szCs w:val="18"/>
                <w:color w:val="auto"/>
              </w:rPr>
              <w:t>James W. Schwartz, Esq., Director</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428"/>
        </w:trPr>
        <w:tc>
          <w:tcPr>
            <w:tcW w:w="4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Exhibit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r>
      <w:tr>
        <w:trPr>
          <w:trHeight w:val="146"/>
        </w:trPr>
        <w:tc>
          <w:tcPr>
            <w:tcW w:w="4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Number</w:t>
            </w:r>
          </w:p>
        </w:tc>
        <w:tc>
          <w:tcPr>
            <w:tcW w:w="240" w:type="dxa"/>
            <w:vAlign w:val="bottom"/>
          </w:tcPr>
          <w:p>
            <w:pPr>
              <w:spacing w:after="0"/>
              <w:rPr>
                <w:sz w:val="12"/>
                <w:szCs w:val="12"/>
                <w:color w:val="auto"/>
              </w:rPr>
            </w:pPr>
          </w:p>
        </w:tc>
        <w:tc>
          <w:tcPr>
            <w:tcW w:w="124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b w:val="1"/>
                <w:bCs w:val="1"/>
                <w:i w:val="1"/>
                <w:iCs w:val="1"/>
                <w:color w:val="auto"/>
                <w:w w:val="84"/>
              </w:rPr>
              <w:t>Description of Exhibit</w:t>
            </w:r>
          </w:p>
        </w:tc>
        <w:tc>
          <w:tcPr>
            <w:tcW w:w="7620" w:type="dxa"/>
            <w:vAlign w:val="bottom"/>
            <w:gridSpan w:val="3"/>
          </w:tcPr>
          <w:p>
            <w:pPr>
              <w:spacing w:after="0"/>
              <w:rPr>
                <w:sz w:val="12"/>
                <w:szCs w:val="12"/>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Certificate of Incorporation. (1)</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Bylaws as amended on December 5, 2013. (2)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Lease Agreement between Exeter 804 East Gate, LLC and the Company dated May 10, 2010.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88"/>
              </w:rPr>
              <w:t>Lease Agreement between AMB-SGP Seattle/Boston, LLC and Temptronic Corporation (a subsidiary of the Company), dated</w:t>
            </w:r>
          </w:p>
        </w:tc>
      </w:tr>
      <w:tr>
        <w:trPr>
          <w:trHeight w:val="222"/>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October 25, 2010. (4)</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89"/>
              </w:rPr>
              <w:t>Lease Agreements between Columbia California Warm Springs Industrial, LLC and inTEST Silicon Valley Corporation dated</w:t>
            </w:r>
          </w:p>
        </w:tc>
      </w:tr>
      <w:tr>
        <w:trPr>
          <w:trHeight w:val="222"/>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January 9, 2012. (5)</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89"/>
              </w:rPr>
              <w:t>Guaranty Agreements between Columbia California Warm Springs Industrial, LLC and inTEST Corporation dated January 9,</w:t>
            </w:r>
          </w:p>
        </w:tc>
      </w:tr>
      <w:tr>
        <w:trPr>
          <w:trHeight w:val="222"/>
        </w:trPr>
        <w:tc>
          <w:tcPr>
            <w:tcW w:w="4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2012. (5)</w:t>
            </w:r>
          </w:p>
        </w:tc>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inTEST Corporation Amended and Restated 1997 Stock Plan. (6)(*)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inTEST Corporation 2007 Stock Plan.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Form of Restricted Stock Grant.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Form of Stock Option Grant - Director.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Form of Stock Option Grant - Officer.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Change of Control Agreement dated August 27, 2007 between the Company and Robert E. Matthiessen. (9)(*)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Change of Control Agreement dated August 27, 2007 between the Company and Hugh T. Regan, Jr. (9)(*)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Change of Control Agreement dated May 5, 2008 between the Company and Daniel J. Graham. (10)(*)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Change of Control Agreement dated May 5, 2008 between the Company and James Pelrin. (10)(*)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89"/>
              </w:rPr>
              <w:t>Amendment to Change of Control Agreement dated December 31, 2008 between the Company and Robert E. Matthiessen.</w:t>
            </w:r>
          </w:p>
        </w:tc>
      </w:tr>
      <w:tr>
        <w:trPr>
          <w:trHeight w:val="222"/>
        </w:trPr>
        <w:tc>
          <w:tcPr>
            <w:tcW w:w="4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(11)(*)</w:t>
            </w:r>
          </w:p>
        </w:tc>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87"/>
              </w:rPr>
              <w:t>Amendment to Change of Control Agreement dated December 31, 2008 between the Company and Hugh T. Regan, Jr.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88"/>
              </w:rPr>
              <w:t>Amendment to Change of Control Agreement dated December 31, 2008 between the Company and Daniel J. Graham.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w w:val="91"/>
              </w:rPr>
              <w:t>Amendment to Change of Control Agreement dated December 31, 2008 between the Company and James Pelrin.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10 18</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Arial" w:cs="Arial" w:eastAsia="Arial" w:hAnsi="Arial"/>
                <w:sz w:val="18"/>
                <w:szCs w:val="18"/>
                <w:color w:val="auto"/>
              </w:rPr>
              <w:t>Compensatory Arrangements of Executive Officers and Directors (*)</w:t>
            </w:r>
          </w:p>
        </w:tc>
      </w:tr>
    </w:tbl>
    <w:p>
      <w:pPr>
        <w:sectPr>
          <w:pgSz w:w="11900" w:h="16976" w:orient="portrait"/>
          <w:cols w:equalWidth="0" w:num="1">
            <w:col w:w="10440"/>
          </w:cols>
          <w:pgMar w:left="260" w:top="131" w:right="1199" w:bottom="0" w:gutter="0" w:footer="0" w:header="0"/>
        </w:sectPr>
      </w:pPr>
    </w:p>
    <w:bookmarkStart w:id="24" w:name="page25"/>
    <w:bookmarkEnd w:id="24"/>
    <w:p>
      <w:pPr>
        <w:spacing w:after="0"/>
        <w:tabs>
          <w:tab w:leader="none" w:pos="6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Code of Ethics. (12)</w:t>
      </w:r>
    </w:p>
    <w:p>
      <w:pPr>
        <w:spacing w:after="0" w:line="117" w:lineRule="exact"/>
        <w:rPr>
          <w:sz w:val="20"/>
          <w:szCs w:val="20"/>
          <w:color w:val="auto"/>
        </w:rPr>
      </w:pPr>
    </w:p>
    <w:p>
      <w:pPr>
        <w:ind w:left="700" w:hanging="69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117" w:lineRule="exact"/>
        <w:rPr>
          <w:rFonts w:ascii="Arial" w:cs="Arial" w:eastAsia="Arial" w:hAnsi="Arial"/>
          <w:sz w:val="18"/>
          <w:szCs w:val="18"/>
          <w:color w:val="auto"/>
        </w:rPr>
      </w:pPr>
    </w:p>
    <w:p>
      <w:pPr>
        <w:ind w:left="700" w:hanging="69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of McGladrey LLP.</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13a-14(a).</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4720" w:hanging="96"/>
        <w:spacing w:after="0"/>
        <w:tabs>
          <w:tab w:leader="none" w:pos="4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32 -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273" w:lineRule="exact"/>
        <w:rPr>
          <w:sz w:val="20"/>
          <w:szCs w:val="20"/>
          <w:color w:val="auto"/>
        </w:rPr>
      </w:pPr>
    </w:p>
    <w:p>
      <w:pPr>
        <w:ind w:left="700" w:right="34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spacing w:after="0" w:line="77" w:lineRule="exact"/>
        <w:rPr>
          <w:rFonts w:ascii="Arial" w:cs="Arial" w:eastAsia="Arial" w:hAnsi="Arial"/>
          <w:sz w:val="18"/>
          <w:szCs w:val="18"/>
          <w:color w:val="auto"/>
        </w:rPr>
      </w:pPr>
    </w:p>
    <w:p>
      <w:pPr>
        <w:ind w:left="700" w:right="2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December 5, 2013, File No. 001-36117, filed December 9, 2013, and incorporated herein by reference.</w:t>
      </w:r>
    </w:p>
    <w:p>
      <w:pPr>
        <w:spacing w:after="0" w:line="77" w:lineRule="exact"/>
        <w:rPr>
          <w:rFonts w:ascii="Arial" w:cs="Arial" w:eastAsia="Arial" w:hAnsi="Arial"/>
          <w:sz w:val="18"/>
          <w:szCs w:val="18"/>
          <w:color w:val="auto"/>
        </w:rPr>
      </w:pPr>
    </w:p>
    <w:p>
      <w:pPr>
        <w:ind w:left="700" w:right="32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May 10, 2010, File No. 000-22529, filed May 13, 2010, and incorporated herein by reference.</w:t>
      </w:r>
    </w:p>
    <w:p>
      <w:pPr>
        <w:spacing w:after="0" w:line="77" w:lineRule="exact"/>
        <w:rPr>
          <w:rFonts w:ascii="Arial" w:cs="Arial" w:eastAsia="Arial" w:hAnsi="Arial"/>
          <w:sz w:val="18"/>
          <w:szCs w:val="18"/>
          <w:color w:val="auto"/>
        </w:rPr>
      </w:pPr>
    </w:p>
    <w:p>
      <w:pPr>
        <w:ind w:left="700" w:right="8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27, 2010, File No. 000-22529, filed October 29, 2010, and incorporated herein by reference.</w:t>
      </w:r>
    </w:p>
    <w:p>
      <w:pPr>
        <w:spacing w:after="0" w:line="77" w:lineRule="exact"/>
        <w:rPr>
          <w:rFonts w:ascii="Arial" w:cs="Arial" w:eastAsia="Arial" w:hAnsi="Arial"/>
          <w:sz w:val="18"/>
          <w:szCs w:val="18"/>
          <w:color w:val="auto"/>
        </w:rPr>
      </w:pPr>
    </w:p>
    <w:p>
      <w:pPr>
        <w:ind w:left="700" w:right="22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spacing w:after="0" w:line="77" w:lineRule="exact"/>
        <w:rPr>
          <w:rFonts w:ascii="Arial" w:cs="Arial" w:eastAsia="Arial" w:hAnsi="Arial"/>
          <w:sz w:val="18"/>
          <w:szCs w:val="18"/>
          <w:color w:val="auto"/>
        </w:rPr>
      </w:pPr>
    </w:p>
    <w:p>
      <w:pPr>
        <w:ind w:left="700" w:hanging="694"/>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25, 2002, and incorporated herein by reference.</w:t>
      </w:r>
    </w:p>
    <w:p>
      <w:pPr>
        <w:spacing w:after="0" w:line="140" w:lineRule="exact"/>
        <w:rPr>
          <w:rFonts w:ascii="Arial" w:cs="Arial" w:eastAsia="Arial" w:hAnsi="Arial"/>
          <w:sz w:val="16"/>
          <w:szCs w:val="16"/>
          <w:color w:val="auto"/>
        </w:rPr>
      </w:pPr>
    </w:p>
    <w:p>
      <w:pPr>
        <w:ind w:left="700" w:hanging="694"/>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27, 2007, and incorporated herein by reference.</w:t>
      </w:r>
    </w:p>
    <w:p>
      <w:pPr>
        <w:spacing w:after="0" w:line="140" w:lineRule="exact"/>
        <w:rPr>
          <w:rFonts w:ascii="Arial" w:cs="Arial" w:eastAsia="Arial" w:hAnsi="Arial"/>
          <w:sz w:val="16"/>
          <w:szCs w:val="16"/>
          <w:color w:val="auto"/>
        </w:rPr>
      </w:pPr>
    </w:p>
    <w:p>
      <w:pPr>
        <w:ind w:left="700" w:right="16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2004, File No. 000-22529, filed March 31, 2005, and incorporated herein by reference.</w:t>
      </w:r>
    </w:p>
    <w:p>
      <w:pPr>
        <w:spacing w:after="0" w:line="77" w:lineRule="exact"/>
        <w:rPr>
          <w:rFonts w:ascii="Arial" w:cs="Arial" w:eastAsia="Arial" w:hAnsi="Arial"/>
          <w:sz w:val="18"/>
          <w:szCs w:val="18"/>
          <w:color w:val="auto"/>
        </w:rPr>
      </w:pPr>
    </w:p>
    <w:p>
      <w:pPr>
        <w:ind w:left="700" w:right="16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spacing w:after="0" w:line="77" w:lineRule="exact"/>
        <w:rPr>
          <w:rFonts w:ascii="Arial" w:cs="Arial" w:eastAsia="Arial" w:hAnsi="Arial"/>
          <w:sz w:val="18"/>
          <w:szCs w:val="18"/>
          <w:color w:val="auto"/>
        </w:rPr>
      </w:pPr>
    </w:p>
    <w:p>
      <w:pPr>
        <w:ind w:left="70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spacing w:after="0" w:line="77" w:lineRule="exact"/>
        <w:rPr>
          <w:rFonts w:ascii="Arial" w:cs="Arial" w:eastAsia="Arial" w:hAnsi="Arial"/>
          <w:sz w:val="18"/>
          <w:szCs w:val="18"/>
          <w:color w:val="auto"/>
        </w:rPr>
      </w:pPr>
    </w:p>
    <w:p>
      <w:pPr>
        <w:ind w:left="70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spacing w:after="0" w:line="77" w:lineRule="exact"/>
        <w:rPr>
          <w:rFonts w:ascii="Arial" w:cs="Arial" w:eastAsia="Arial" w:hAnsi="Arial"/>
          <w:sz w:val="18"/>
          <w:szCs w:val="18"/>
          <w:color w:val="auto"/>
        </w:rPr>
      </w:pPr>
    </w:p>
    <w:p>
      <w:pPr>
        <w:ind w:left="700" w:right="160" w:hanging="694"/>
        <w:spacing w:after="0" w:line="268"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2003, File No. 000-22529, filed March 30, 2004, and incorporated herein by reference.</w:t>
      </w:r>
    </w:p>
    <w:p>
      <w:pPr>
        <w:spacing w:after="0" w:line="78" w:lineRule="exact"/>
        <w:rPr>
          <w:sz w:val="20"/>
          <w:szCs w:val="20"/>
          <w:color w:val="auto"/>
        </w:rPr>
      </w:pPr>
    </w:p>
    <w:p>
      <w:pPr>
        <w:ind w:left="700" w:right="420" w:hanging="694"/>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9600"/>
          </w:cols>
          <w:pgMar w:left="1140" w:top="455" w:right="1159" w:bottom="1440" w:gutter="0" w:footer="0" w:header="0"/>
        </w:sectPr>
      </w:pPr>
    </w:p>
    <w:bookmarkStart w:id="25" w:name="page26"/>
    <w:bookmarkEnd w:id="25"/>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3"/>
              </w:rPr>
              <w:t>Page</w:t>
            </w:r>
          </w:p>
        </w:tc>
        <w:tc>
          <w:tcPr>
            <w:tcW w:w="20" w:type="dxa"/>
            <w:vAlign w:val="bottom"/>
          </w:tcPr>
          <w:p>
            <w:pPr>
              <w:spacing w:after="0"/>
              <w:rPr>
                <w:sz w:val="17"/>
                <w:szCs w:val="17"/>
                <w:color w:val="auto"/>
              </w:rPr>
            </w:pPr>
          </w:p>
        </w:tc>
      </w:tr>
      <w:tr>
        <w:trPr>
          <w:trHeight w:val="451"/>
        </w:trPr>
        <w:tc>
          <w:tcPr>
            <w:tcW w:w="6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- 1</w:t>
            </w:r>
          </w:p>
        </w:tc>
      </w:tr>
      <w:tr>
        <w:trPr>
          <w:trHeight w:val="837"/>
        </w:trPr>
        <w:tc>
          <w:tcPr>
            <w:tcW w:w="63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2013 and 2012</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- 2</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2013 and 2012</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- 3</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Earnings for the years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2013 and 2012</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- 3</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2013 and 2012</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- 4</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2013 and 2012</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- 5</w:t>
            </w:r>
          </w:p>
        </w:tc>
      </w:tr>
      <w:tr>
        <w:trPr>
          <w:trHeight w:val="405"/>
        </w:trPr>
        <w:tc>
          <w:tcPr>
            <w:tcW w:w="63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- 6</w:t>
            </w:r>
          </w:p>
        </w:tc>
      </w:tr>
      <w:tr>
        <w:trPr>
          <w:trHeight w:val="405"/>
        </w:trPr>
        <w:tc>
          <w:tcPr>
            <w:tcW w:w="634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0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 - 24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inTEST Corporation and subsidiaries as of December 31, 2013 and 2012, and the related consolidated statements of operations, comprehensive earnings,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and schedule based on our audits.</w:t>
      </w:r>
    </w:p>
    <w:p>
      <w:pPr>
        <w:sectPr>
          <w:pgSz w:w="11900" w:h="16898" w:orient="portrait"/>
          <w:cols w:equalWidth="0" w:num="1">
            <w:col w:w="11320"/>
          </w:cols>
          <w:pgMar w:left="240" w:top="908" w:right="339" w:bottom="0" w:gutter="0" w:footer="0" w:header="0"/>
        </w:sectPr>
      </w:pPr>
    </w:p>
    <w:bookmarkStart w:id="26" w:name="page27"/>
    <w:bookmarkEnd w:id="26"/>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inTEST Corporation and subsidiaries as of December 31, 2013 and 2012,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 McGLADREY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5"/>
          </w:tcPr>
          <w:p>
            <w:pPr>
              <w:jc w:val="right"/>
              <w:ind w:right="42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280" w:type="dxa"/>
            <w:vAlign w:val="bottom"/>
          </w:tcPr>
          <w:p>
            <w:pPr>
              <w:spacing w:after="0"/>
              <w:rPr>
                <w:sz w:val="17"/>
                <w:szCs w:val="17"/>
                <w:color w:val="auto"/>
              </w:rPr>
            </w:pPr>
          </w:p>
        </w:tc>
        <w:tc>
          <w:tcPr>
            <w:tcW w:w="29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2013</w:t>
            </w:r>
          </w:p>
        </w:tc>
        <w:tc>
          <w:tcPr>
            <w:tcW w:w="28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2012</w:t>
            </w:r>
          </w:p>
        </w:tc>
        <w:tc>
          <w:tcPr>
            <w:tcW w:w="12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90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$19,018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$15,576</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$147 and $147, respectively</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5,748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5,501</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3,243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3,135</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1,004</w:t>
            </w:r>
          </w:p>
        </w:tc>
        <w:tc>
          <w:tcPr>
            <w:tcW w:w="120" w:type="dxa"/>
            <w:vAlign w:val="bottom"/>
          </w:tcPr>
          <w:p>
            <w:pPr>
              <w:spacing w:after="0"/>
              <w:rPr>
                <w:sz w:val="17"/>
                <w:szCs w:val="17"/>
                <w:color w:val="auto"/>
              </w:rPr>
            </w:pPr>
          </w:p>
        </w:tc>
      </w:tr>
      <w:tr>
        <w:trPr>
          <w:trHeight w:val="164"/>
        </w:trPr>
        <w:tc>
          <w:tcPr>
            <w:tcW w:w="62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9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371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363</w:t>
            </w:r>
          </w:p>
        </w:tc>
      </w:tr>
      <w:tr>
        <w:trPr>
          <w:trHeight w:val="20"/>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2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90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29,081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25,579</w:t>
            </w:r>
          </w:p>
        </w:tc>
      </w:tr>
      <w:tr>
        <w:trPr>
          <w:trHeight w:val="221"/>
        </w:trPr>
        <w:tc>
          <w:tcPr>
            <w:tcW w:w="62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9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3,948</w:t>
            </w:r>
          </w:p>
        </w:tc>
        <w:tc>
          <w:tcPr>
            <w:tcW w:w="120" w:type="dxa"/>
            <w:vAlign w:val="bottom"/>
          </w:tcPr>
          <w:p>
            <w:pPr>
              <w:spacing w:after="0"/>
              <w:rPr>
                <w:sz w:val="17"/>
                <w:szCs w:val="17"/>
                <w:color w:val="auto"/>
              </w:rPr>
            </w:pPr>
          </w:p>
        </w:tc>
      </w:tr>
      <w:tr>
        <w:trPr>
          <w:trHeight w:val="164"/>
        </w:trPr>
        <w:tc>
          <w:tcPr>
            <w:tcW w:w="62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9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594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591</w:t>
            </w:r>
          </w:p>
        </w:tc>
      </w:tr>
      <w:tr>
        <w:trPr>
          <w:trHeight w:val="221"/>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9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4,784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4,539</w:t>
            </w:r>
          </w:p>
        </w:tc>
        <w:tc>
          <w:tcPr>
            <w:tcW w:w="120" w:type="dxa"/>
            <w:vAlign w:val="bottom"/>
          </w:tcPr>
          <w:p>
            <w:pPr>
              <w:spacing w:after="0"/>
              <w:rPr>
                <w:sz w:val="19"/>
                <w:szCs w:val="19"/>
                <w:color w:val="auto"/>
              </w:rPr>
            </w:pPr>
          </w:p>
        </w:tc>
      </w:tr>
      <w:tr>
        <w:trPr>
          <w:trHeight w:val="164"/>
        </w:trPr>
        <w:tc>
          <w:tcPr>
            <w:tcW w:w="62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90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(3,530)</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(3,289)</w:t>
            </w:r>
          </w:p>
        </w:tc>
      </w:tr>
      <w:tr>
        <w:trPr>
          <w:trHeight w:val="20"/>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2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90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1,254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1,250</w:t>
            </w:r>
          </w:p>
        </w:tc>
      </w:tr>
      <w:tr>
        <w:trPr>
          <w:trHeight w:val="424"/>
        </w:trPr>
        <w:tc>
          <w:tcPr>
            <w:tcW w:w="62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90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1,030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1,034</w:t>
            </w:r>
          </w:p>
        </w:tc>
        <w:tc>
          <w:tcPr>
            <w:tcW w:w="120" w:type="dxa"/>
            <w:vAlign w:val="bottom"/>
          </w:tcPr>
          <w:p>
            <w:pPr>
              <w:spacing w:after="0"/>
              <w:rPr>
                <w:sz w:val="24"/>
                <w:szCs w:val="24"/>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2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2,194</w:t>
            </w:r>
          </w:p>
        </w:tc>
        <w:tc>
          <w:tcPr>
            <w:tcW w:w="12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20" w:type="dxa"/>
            <w:vAlign w:val="bottom"/>
          </w:tcPr>
          <w:p>
            <w:pPr>
              <w:spacing w:after="0"/>
              <w:rPr>
                <w:sz w:val="17"/>
                <w:szCs w:val="17"/>
                <w:color w:val="auto"/>
              </w:rPr>
            </w:pPr>
          </w:p>
        </w:tc>
      </w:tr>
      <w:tr>
        <w:trPr>
          <w:trHeight w:val="164"/>
        </w:trPr>
        <w:tc>
          <w:tcPr>
            <w:tcW w:w="62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9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212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186</w:t>
            </w:r>
          </w:p>
        </w:tc>
      </w:tr>
      <w:tr>
        <w:trPr>
          <w:trHeight w:val="20"/>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$32,399</w:t>
            </w:r>
          </w:p>
        </w:tc>
        <w:tc>
          <w:tcPr>
            <w:tcW w:w="120" w:type="dxa"/>
            <w:vAlign w:val="bottom"/>
          </w:tcPr>
          <w:p>
            <w:pPr>
              <w:spacing w:after="0"/>
              <w:rPr>
                <w:sz w:val="19"/>
                <w:szCs w:val="19"/>
                <w:color w:val="auto"/>
              </w:rPr>
            </w:pPr>
          </w:p>
        </w:tc>
      </w:tr>
      <w:tr>
        <w:trPr>
          <w:trHeight w:val="203"/>
        </w:trPr>
        <w:tc>
          <w:tcPr>
            <w:tcW w:w="6280" w:type="dxa"/>
            <w:vAlign w:val="bottom"/>
          </w:tcPr>
          <w:p>
            <w:pPr>
              <w:spacing w:after="0"/>
              <w:rPr>
                <w:sz w:val="17"/>
                <w:szCs w:val="17"/>
                <w:color w:val="auto"/>
              </w:rPr>
            </w:pP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$ 1,064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$ 1,041</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1,562</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385</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revenue and customer deposits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255</w:t>
            </w:r>
          </w:p>
        </w:tc>
        <w:tc>
          <w:tcPr>
            <w:tcW w:w="120" w:type="dxa"/>
            <w:vAlign w:val="bottom"/>
          </w:tcPr>
          <w:p>
            <w:pPr>
              <w:spacing w:after="0"/>
              <w:rPr>
                <w:sz w:val="17"/>
                <w:szCs w:val="17"/>
                <w:color w:val="auto"/>
              </w:rPr>
            </w:pPr>
          </w:p>
        </w:tc>
      </w:tr>
      <w:tr>
        <w:trPr>
          <w:trHeight w:val="203"/>
        </w:trPr>
        <w:tc>
          <w:tcPr>
            <w:tcW w:w="6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20" w:type="dxa"/>
            <w:vAlign w:val="bottom"/>
          </w:tcPr>
          <w:p>
            <w:pPr>
              <w:spacing w:after="0"/>
              <w:rPr>
                <w:sz w:val="17"/>
                <w:szCs w:val="17"/>
                <w:color w:val="auto"/>
              </w:rPr>
            </w:pPr>
          </w:p>
        </w:tc>
      </w:tr>
      <w:tr>
        <w:trPr>
          <w:trHeight w:val="164"/>
        </w:trPr>
        <w:tc>
          <w:tcPr>
            <w:tcW w:w="62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90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376</w:t>
            </w:r>
          </w:p>
        </w:tc>
      </w:tr>
      <w:tr>
        <w:trPr>
          <w:trHeight w:val="20"/>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2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0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4,332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4,579</w:t>
            </w:r>
          </w:p>
        </w:tc>
      </w:tr>
      <w:tr>
        <w:trPr>
          <w:trHeight w:val="20"/>
        </w:trPr>
        <w:tc>
          <w:tcPr>
            <w:tcW w:w="6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Commitments and Contingencies (Notes 11 and 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equity:</w:t>
      </w:r>
    </w:p>
    <w:p>
      <w:pPr>
        <w:ind w:left="220"/>
        <w:spacing w:after="0" w:line="238" w:lineRule="auto"/>
        <w:rPr>
          <w:sz w:val="20"/>
          <w:szCs w:val="20"/>
          <w:color w:val="auto"/>
        </w:rPr>
      </w:pPr>
      <w:r>
        <w:rPr>
          <w:rFonts w:ascii="Courier New" w:cs="Courier New" w:eastAsia="Courier New" w:hAnsi="Courier New"/>
          <w:sz w:val="18"/>
          <w:szCs w:val="18"/>
          <w:color w:val="auto"/>
        </w:rPr>
        <w:t>Preferred stock, $0.01 par value; 5,000,000 shares authorized;</w:t>
      </w:r>
    </w:p>
    <w:p>
      <w:pPr>
        <w:sectPr>
          <w:pgSz w:w="11900" w:h="16838" w:orient="portrait"/>
          <w:cols w:equalWidth="0" w:num="1">
            <w:col w:w="11360"/>
          </w:cols>
          <w:pgMar w:left="240" w:top="347" w:right="29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4"/>
        </w:trPr>
        <w:tc>
          <w:tcPr>
            <w:tcW w:w="5080" w:type="dxa"/>
            <w:vAlign w:val="bottom"/>
          </w:tcPr>
          <w:p>
            <w:pPr>
              <w:ind w:left="540"/>
              <w:spacing w:after="0"/>
              <w:rPr>
                <w:sz w:val="20"/>
                <w:szCs w:val="20"/>
                <w:color w:val="auto"/>
              </w:rPr>
            </w:pPr>
            <w:r>
              <w:rPr>
                <w:rFonts w:ascii="Courier New" w:cs="Courier New" w:eastAsia="Courier New" w:hAnsi="Courier New"/>
                <w:sz w:val="18"/>
                <w:szCs w:val="18"/>
                <w:color w:val="auto"/>
              </w:rPr>
              <w:t>no shares issued or outstanding</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706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10,590,755 and 10,453,255 shares issued, respectively</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10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26,187</w:t>
            </w:r>
          </w:p>
        </w:tc>
        <w:tc>
          <w:tcPr>
            <w:tcW w:w="10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26,030</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3,713</w:t>
            </w:r>
          </w:p>
        </w:tc>
        <w:tc>
          <w:tcPr>
            <w:tcW w:w="10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636</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1,347</w:t>
            </w:r>
          </w:p>
        </w:tc>
        <w:tc>
          <w:tcPr>
            <w:tcW w:w="10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1,253</w:t>
            </w:r>
          </w:p>
        </w:tc>
        <w:tc>
          <w:tcPr>
            <w:tcW w:w="120" w:type="dxa"/>
            <w:vAlign w:val="bottom"/>
          </w:tcPr>
          <w:p>
            <w:pPr>
              <w:spacing w:after="0"/>
              <w:rPr>
                <w:sz w:val="17"/>
                <w:szCs w:val="17"/>
                <w:color w:val="auto"/>
              </w:rPr>
            </w:pPr>
          </w:p>
        </w:tc>
      </w:tr>
      <w:tr>
        <w:trPr>
          <w:trHeight w:val="164"/>
        </w:trPr>
        <w:tc>
          <w:tcPr>
            <w:tcW w:w="7060" w:type="dxa"/>
            <w:vAlign w:val="bottom"/>
            <w:gridSpan w:val="4"/>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120" w:type="dxa"/>
            <w:vAlign w:val="bottom"/>
          </w:tcPr>
          <w:p>
            <w:pPr>
              <w:spacing w:after="0"/>
              <w:rPr>
                <w:sz w:val="14"/>
                <w:szCs w:val="14"/>
                <w:color w:val="auto"/>
              </w:rPr>
            </w:pPr>
          </w:p>
        </w:tc>
        <w:tc>
          <w:tcPr>
            <w:tcW w:w="840" w:type="dxa"/>
            <w:vAlign w:val="bottom"/>
            <w:gridSpan w:val="2"/>
          </w:tcPr>
          <w:p>
            <w:pPr>
              <w:jc w:val="right"/>
              <w:spacing w:after="0" w:line="164" w:lineRule="exact"/>
              <w:rPr>
                <w:sz w:val="20"/>
                <w:szCs w:val="20"/>
                <w:color w:val="auto"/>
              </w:rPr>
            </w:pPr>
            <w:r>
              <w:rPr>
                <w:rFonts w:ascii="Courier New" w:cs="Courier New" w:eastAsia="Courier New" w:hAnsi="Courier New"/>
                <w:sz w:val="18"/>
                <w:szCs w:val="18"/>
                <w:color w:val="auto"/>
              </w:rPr>
              <w:t>(204)</w:t>
            </w:r>
          </w:p>
        </w:tc>
        <w:tc>
          <w:tcPr>
            <w:tcW w:w="1160" w:type="dxa"/>
            <w:vAlign w:val="bottom"/>
            <w:gridSpan w:val="4"/>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31,149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ind w:right="120"/>
              <w:spacing w:after="0" w:line="182" w:lineRule="exact"/>
              <w:rPr>
                <w:sz w:val="20"/>
                <w:szCs w:val="20"/>
                <w:color w:val="auto"/>
              </w:rPr>
            </w:pPr>
            <w:r>
              <w:rPr>
                <w:rFonts w:ascii="Courier New" w:cs="Courier New" w:eastAsia="Courier New" w:hAnsi="Courier New"/>
                <w:sz w:val="18"/>
                <w:szCs w:val="18"/>
                <w:color w:val="auto"/>
              </w:rPr>
              <w:t>27,820</w:t>
            </w: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80" w:type="dxa"/>
            <w:vAlign w:val="bottom"/>
          </w:tcPr>
          <w:p>
            <w:pPr>
              <w:ind w:left="540"/>
              <w:spacing w:after="0"/>
              <w:rPr>
                <w:sz w:val="20"/>
                <w:szCs w:val="20"/>
                <w:color w:val="auto"/>
              </w:rPr>
            </w:pPr>
            <w:r>
              <w:rPr>
                <w:rFonts w:ascii="Courier New" w:cs="Courier New" w:eastAsia="Courier New" w:hAnsi="Courier New"/>
                <w:sz w:val="18"/>
                <w:szCs w:val="18"/>
                <w:color w:val="auto"/>
                <w:w w:val="99"/>
              </w:rPr>
              <w:t>Total liabilities and stockholders' equity</w:t>
            </w: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$32,399</w:t>
            </w:r>
          </w:p>
        </w:tc>
        <w:tc>
          <w:tcPr>
            <w:tcW w:w="1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392"/>
        </w:trPr>
        <w:tc>
          <w:tcPr>
            <w:tcW w:w="8020" w:type="dxa"/>
            <w:vAlign w:val="bottom"/>
            <w:gridSpan w:val="7"/>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1980" w:type="dxa"/>
            <w:vAlign w:val="bottom"/>
            <w:gridSpan w:val="3"/>
          </w:tcPr>
          <w:p>
            <w:pPr>
              <w:jc w:val="center"/>
              <w:ind w:right="720"/>
              <w:spacing w:after="0"/>
              <w:rPr>
                <w:sz w:val="20"/>
                <w:szCs w:val="20"/>
                <w:color w:val="auto"/>
              </w:rPr>
            </w:pPr>
            <w:r>
              <w:rPr>
                <w:rFonts w:ascii="Arial" w:cs="Arial" w:eastAsia="Arial" w:hAnsi="Arial"/>
                <w:sz w:val="18"/>
                <w:szCs w:val="18"/>
                <w:color w:val="auto"/>
                <w:w w:val="91"/>
              </w:rPr>
              <w:t>F - 2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71"/>
        </w:trPr>
        <w:tc>
          <w:tcPr>
            <w:tcW w:w="7060" w:type="dxa"/>
            <w:vAlign w:val="bottom"/>
            <w:gridSpan w:val="4"/>
          </w:tcPr>
          <w:p>
            <w:pPr>
              <w:jc w:val="center"/>
              <w:ind w:left="429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020" w:type="dxa"/>
            <w:vAlign w:val="bottom"/>
            <w:gridSpan w:val="7"/>
          </w:tcPr>
          <w:p>
            <w:pPr>
              <w:jc w:val="center"/>
              <w:ind w:left="331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8020" w:type="dxa"/>
            <w:vAlign w:val="bottom"/>
            <w:gridSpan w:val="7"/>
          </w:tcPr>
          <w:p>
            <w:pPr>
              <w:jc w:val="center"/>
              <w:ind w:left="3332"/>
              <w:spacing w:after="0"/>
              <w:rPr>
                <w:sz w:val="20"/>
                <w:szCs w:val="20"/>
                <w:color w:val="auto"/>
              </w:rPr>
            </w:pPr>
            <w:r>
              <w:rPr>
                <w:rFonts w:ascii="Arial" w:cs="Arial" w:eastAsia="Arial" w:hAnsi="Arial"/>
                <w:sz w:val="18"/>
                <w:szCs w:val="18"/>
                <w:color w:val="auto"/>
                <w:w w:val="85"/>
              </w:rPr>
              <w:t>(In thousands, except share and per share data)</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080" w:type="dxa"/>
            <w:vAlign w:val="bottom"/>
          </w:tcPr>
          <w:p>
            <w:pPr>
              <w:spacing w:after="0"/>
              <w:rPr>
                <w:sz w:val="24"/>
                <w:szCs w:val="24"/>
                <w:color w:val="auto"/>
              </w:rPr>
            </w:pPr>
          </w:p>
        </w:tc>
        <w:tc>
          <w:tcPr>
            <w:tcW w:w="4100" w:type="dxa"/>
            <w:vAlign w:val="bottom"/>
            <w:gridSpan w:val="10"/>
          </w:tcPr>
          <w:p>
            <w:pPr>
              <w:jc w:val="right"/>
              <w:ind w:right="54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080" w:type="dxa"/>
            <w:vAlign w:val="bottom"/>
          </w:tcPr>
          <w:p>
            <w:pPr>
              <w:spacing w:after="0"/>
              <w:rPr>
                <w:sz w:val="17"/>
                <w:szCs w:val="17"/>
                <w:color w:val="auto"/>
              </w:rPr>
            </w:pPr>
          </w:p>
        </w:tc>
        <w:tc>
          <w:tcPr>
            <w:tcW w:w="35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$39,426</w:t>
            </w:r>
          </w:p>
        </w:tc>
        <w:tc>
          <w:tcPr>
            <w:tcW w:w="200" w:type="dxa"/>
            <w:vAlign w:val="bottom"/>
          </w:tcPr>
          <w:p>
            <w:pPr>
              <w:spacing w:after="0"/>
              <w:rPr>
                <w:sz w:val="17"/>
                <w:szCs w:val="17"/>
                <w:color w:val="auto"/>
              </w:rPr>
            </w:pP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$43,376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4"/>
        </w:trPr>
        <w:tc>
          <w:tcPr>
            <w:tcW w:w="5080" w:type="dxa"/>
            <w:vAlign w:val="bottom"/>
          </w:tcPr>
          <w:p>
            <w:pPr>
              <w:spacing w:after="0" w:line="164" w:lineRule="exact"/>
              <w:rPr>
                <w:sz w:val="20"/>
                <w:szCs w:val="20"/>
                <w:color w:val="auto"/>
              </w:rPr>
            </w:pPr>
            <w:r>
              <w:rPr>
                <w:rFonts w:ascii="Courier New" w:cs="Courier New" w:eastAsia="Courier New" w:hAnsi="Courier New"/>
                <w:sz w:val="18"/>
                <w:szCs w:val="18"/>
                <w:color w:val="auto"/>
              </w:rPr>
              <w:t>Cost of revenues</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20,411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420"/>
              <w:spacing w:after="0" w:line="164" w:lineRule="exact"/>
              <w:rPr>
                <w:sz w:val="20"/>
                <w:szCs w:val="20"/>
                <w:color w:val="auto"/>
              </w:rPr>
            </w:pPr>
            <w:r>
              <w:rPr>
                <w:rFonts w:ascii="Courier New" w:cs="Courier New" w:eastAsia="Courier New" w:hAnsi="Courier New"/>
                <w:sz w:val="18"/>
                <w:szCs w:val="18"/>
                <w:color w:val="auto"/>
                <w:w w:val="92"/>
              </w:rPr>
              <w:t>24,317</w:t>
            </w:r>
          </w:p>
        </w:tc>
        <w:tc>
          <w:tcPr>
            <w:tcW w:w="1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10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19,015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420"/>
              <w:spacing w:after="0" w:line="182" w:lineRule="exact"/>
              <w:rPr>
                <w:sz w:val="20"/>
                <w:szCs w:val="20"/>
                <w:color w:val="auto"/>
              </w:rPr>
            </w:pPr>
            <w:r>
              <w:rPr>
                <w:rFonts w:ascii="Courier New" w:cs="Courier New" w:eastAsia="Courier New" w:hAnsi="Courier New"/>
                <w:sz w:val="18"/>
                <w:szCs w:val="18"/>
                <w:color w:val="auto"/>
                <w:w w:val="92"/>
              </w:rPr>
              <w:t>19,059</w:t>
            </w:r>
          </w:p>
        </w:tc>
        <w:tc>
          <w:tcPr>
            <w:tcW w:w="120" w:type="dxa"/>
            <w:vAlign w:val="bottom"/>
          </w:tcPr>
          <w:p>
            <w:pPr>
              <w:spacing w:after="0"/>
              <w:rPr>
                <w:sz w:val="15"/>
                <w:szCs w:val="15"/>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5,425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3,895</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5,975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6,430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4"/>
        </w:trPr>
        <w:tc>
          <w:tcPr>
            <w:tcW w:w="508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Restructuring and other charges</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420"/>
              <w:spacing w:after="0" w:line="164" w:lineRule="exact"/>
              <w:rPr>
                <w:sz w:val="20"/>
                <w:szCs w:val="20"/>
                <w:color w:val="auto"/>
              </w:rPr>
            </w:pPr>
            <w:r>
              <w:rPr>
                <w:rFonts w:ascii="Courier New" w:cs="Courier New" w:eastAsia="Courier New" w:hAnsi="Courier New"/>
                <w:sz w:val="18"/>
                <w:szCs w:val="18"/>
                <w:color w:val="auto"/>
              </w:rPr>
              <w:t>313</w:t>
            </w:r>
          </w:p>
        </w:tc>
        <w:tc>
          <w:tcPr>
            <w:tcW w:w="1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08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104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15,053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420"/>
              <w:spacing w:after="0" w:line="182" w:lineRule="exact"/>
              <w:rPr>
                <w:sz w:val="20"/>
                <w:szCs w:val="20"/>
                <w:color w:val="auto"/>
              </w:rPr>
            </w:pPr>
            <w:r>
              <w:rPr>
                <w:rFonts w:ascii="Courier New" w:cs="Courier New" w:eastAsia="Courier New" w:hAnsi="Courier New"/>
                <w:sz w:val="18"/>
                <w:szCs w:val="18"/>
                <w:color w:val="auto"/>
                <w:w w:val="92"/>
              </w:rPr>
              <w:t>16,063</w:t>
            </w:r>
          </w:p>
        </w:tc>
        <w:tc>
          <w:tcPr>
            <w:tcW w:w="120" w:type="dxa"/>
            <w:vAlign w:val="bottom"/>
          </w:tcPr>
          <w:p>
            <w:pPr>
              <w:spacing w:after="0"/>
              <w:rPr>
                <w:sz w:val="15"/>
                <w:szCs w:val="15"/>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0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3,962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Courier New" w:cs="Courier New" w:eastAsia="Courier New" w:hAnsi="Courier New"/>
                <w:sz w:val="18"/>
                <w:szCs w:val="18"/>
                <w:color w:val="auto"/>
              </w:rPr>
              <w:t>2,996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50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income</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46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420"/>
              <w:spacing w:after="0" w:line="164" w:lineRule="exact"/>
              <w:rPr>
                <w:sz w:val="20"/>
                <w:szCs w:val="20"/>
                <w:color w:val="auto"/>
              </w:rPr>
            </w:pPr>
            <w:r>
              <w:rPr>
                <w:rFonts w:ascii="Courier New" w:cs="Courier New" w:eastAsia="Courier New" w:hAnsi="Courier New"/>
                <w:sz w:val="18"/>
                <w:szCs w:val="18"/>
                <w:color w:val="auto"/>
              </w:rPr>
              <w:t>57</w:t>
            </w:r>
          </w:p>
        </w:tc>
        <w:tc>
          <w:tcPr>
            <w:tcW w:w="120" w:type="dxa"/>
            <w:vAlign w:val="bottom"/>
          </w:tcPr>
          <w:p>
            <w:pPr>
              <w:spacing w:after="0"/>
              <w:rPr>
                <w:sz w:val="14"/>
                <w:szCs w:val="14"/>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0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4,008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Courier New" w:cs="Courier New" w:eastAsia="Courier New" w:hAnsi="Courier New"/>
                <w:sz w:val="18"/>
                <w:szCs w:val="18"/>
                <w:color w:val="auto"/>
              </w:rPr>
              <w:t>3,053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4"/>
        </w:trPr>
        <w:tc>
          <w:tcPr>
            <w:tcW w:w="5080" w:type="dxa"/>
            <w:vAlign w:val="bottom"/>
          </w:tcPr>
          <w:p>
            <w:pPr>
              <w:spacing w:after="0" w:line="164" w:lineRule="exact"/>
              <w:rPr>
                <w:sz w:val="20"/>
                <w:szCs w:val="20"/>
                <w:color w:val="auto"/>
              </w:rPr>
            </w:pPr>
            <w:r>
              <w:rPr>
                <w:rFonts w:ascii="Courier New" w:cs="Courier New" w:eastAsia="Courier New" w:hAnsi="Courier New"/>
                <w:sz w:val="18"/>
                <w:szCs w:val="18"/>
                <w:color w:val="auto"/>
              </w:rPr>
              <w:t>Income tax expense</w:t>
            </w:r>
          </w:p>
        </w:tc>
        <w:tc>
          <w:tcPr>
            <w:tcW w:w="104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931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420"/>
              <w:spacing w:after="0" w:line="164" w:lineRule="exact"/>
              <w:rPr>
                <w:sz w:val="20"/>
                <w:szCs w:val="20"/>
                <w:color w:val="auto"/>
              </w:rPr>
            </w:pPr>
            <w:r>
              <w:rPr>
                <w:rFonts w:ascii="Courier New" w:cs="Courier New" w:eastAsia="Courier New" w:hAnsi="Courier New"/>
                <w:sz w:val="18"/>
                <w:szCs w:val="18"/>
                <w:color w:val="auto"/>
              </w:rPr>
              <w:t>897</w:t>
            </w:r>
          </w:p>
        </w:tc>
        <w:tc>
          <w:tcPr>
            <w:tcW w:w="1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80" w:type="dxa"/>
            <w:vAlign w:val="bottom"/>
          </w:tcPr>
          <w:p>
            <w:pPr>
              <w:ind w:left="640"/>
              <w:spacing w:after="0"/>
              <w:rPr>
                <w:sz w:val="20"/>
                <w:szCs w:val="20"/>
                <w:color w:val="auto"/>
              </w:rPr>
            </w:pPr>
            <w:r>
              <w:rPr>
                <w:rFonts w:ascii="Courier New" w:cs="Courier New" w:eastAsia="Courier New" w:hAnsi="Courier New"/>
                <w:sz w:val="18"/>
                <w:szCs w:val="18"/>
                <w:color w:val="auto"/>
              </w:rPr>
              <w:t>Net earnings</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$ 3,077</w:t>
            </w:r>
          </w:p>
        </w:tc>
        <w:tc>
          <w:tcPr>
            <w:tcW w:w="20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$ 2,156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 common share:</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$0.21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$0.21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980" w:type="dxa"/>
            <w:vAlign w:val="bottom"/>
            <w:gridSpan w:val="3"/>
          </w:tcPr>
          <w:p>
            <w:pPr>
              <w:jc w:val="right"/>
              <w:ind w:right="100"/>
              <w:spacing w:after="0" w:line="203" w:lineRule="exact"/>
              <w:rPr>
                <w:sz w:val="20"/>
                <w:szCs w:val="20"/>
                <w:color w:val="auto"/>
              </w:rPr>
            </w:pPr>
            <w:r>
              <w:rPr>
                <w:rFonts w:ascii="Courier New" w:cs="Courier New" w:eastAsia="Courier New" w:hAnsi="Courier New"/>
                <w:sz w:val="18"/>
                <w:szCs w:val="18"/>
                <w:color w:val="auto"/>
              </w:rPr>
              <w:t>10,363,678</w:t>
            </w:r>
          </w:p>
        </w:tc>
        <w:tc>
          <w:tcPr>
            <w:tcW w:w="2000" w:type="dxa"/>
            <w:vAlign w:val="bottom"/>
            <w:gridSpan w:val="6"/>
          </w:tcPr>
          <w:p>
            <w:pPr>
              <w:jc w:val="right"/>
              <w:ind w:right="300"/>
              <w:spacing w:after="0" w:line="203" w:lineRule="exact"/>
              <w:rPr>
                <w:sz w:val="20"/>
                <w:szCs w:val="20"/>
                <w:color w:val="auto"/>
              </w:rPr>
            </w:pPr>
            <w:r>
              <w:rPr>
                <w:rFonts w:ascii="Courier New" w:cs="Courier New" w:eastAsia="Courier New" w:hAnsi="Courier New"/>
                <w:sz w:val="18"/>
                <w:szCs w:val="18"/>
                <w:color w:val="auto"/>
              </w:rPr>
              <w:t>10,273,377</w:t>
            </w:r>
          </w:p>
        </w:tc>
        <w:tc>
          <w:tcPr>
            <w:tcW w:w="120" w:type="dxa"/>
            <w:vAlign w:val="bottom"/>
          </w:tcPr>
          <w:p>
            <w:pPr>
              <w:spacing w:after="0"/>
              <w:rPr>
                <w:sz w:val="17"/>
                <w:szCs w:val="17"/>
                <w:color w:val="auto"/>
              </w:rPr>
            </w:pPr>
          </w:p>
        </w:tc>
      </w:tr>
      <w:tr>
        <w:trPr>
          <w:trHeight w:val="203"/>
        </w:trPr>
        <w:tc>
          <w:tcPr>
            <w:tcW w:w="50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980" w:type="dxa"/>
            <w:vAlign w:val="bottom"/>
            <w:gridSpan w:val="3"/>
          </w:tcPr>
          <w:p>
            <w:pPr>
              <w:jc w:val="right"/>
              <w:ind w:right="100"/>
              <w:spacing w:after="0" w:line="203" w:lineRule="exact"/>
              <w:rPr>
                <w:sz w:val="20"/>
                <w:szCs w:val="20"/>
                <w:color w:val="auto"/>
              </w:rPr>
            </w:pPr>
            <w:r>
              <w:rPr>
                <w:rFonts w:ascii="Courier New" w:cs="Courier New" w:eastAsia="Courier New" w:hAnsi="Courier New"/>
                <w:sz w:val="18"/>
                <w:szCs w:val="18"/>
                <w:color w:val="auto"/>
              </w:rPr>
              <w:t>10,419,103</w:t>
            </w:r>
          </w:p>
        </w:tc>
        <w:tc>
          <w:tcPr>
            <w:tcW w:w="2000" w:type="dxa"/>
            <w:vAlign w:val="bottom"/>
            <w:gridSpan w:val="6"/>
          </w:tcPr>
          <w:p>
            <w:pPr>
              <w:jc w:val="right"/>
              <w:ind w:right="300"/>
              <w:spacing w:after="0" w:line="203" w:lineRule="exact"/>
              <w:rPr>
                <w:sz w:val="20"/>
                <w:szCs w:val="20"/>
                <w:color w:val="auto"/>
              </w:rPr>
            </w:pPr>
            <w:r>
              <w:rPr>
                <w:rFonts w:ascii="Courier New" w:cs="Courier New" w:eastAsia="Courier New" w:hAnsi="Courier New"/>
                <w:sz w:val="18"/>
                <w:szCs w:val="18"/>
                <w:color w:val="auto"/>
              </w:rPr>
              <w:t>10,347,077</w:t>
            </w:r>
          </w:p>
        </w:tc>
        <w:tc>
          <w:tcPr>
            <w:tcW w:w="120" w:type="dxa"/>
            <w:vAlign w:val="bottom"/>
          </w:tcPr>
          <w:p>
            <w:pPr>
              <w:spacing w:after="0"/>
              <w:rPr>
                <w:sz w:val="17"/>
                <w:szCs w:val="17"/>
                <w:color w:val="auto"/>
              </w:rPr>
            </w:pPr>
          </w:p>
        </w:tc>
      </w:tr>
      <w:tr>
        <w:trPr>
          <w:trHeight w:val="608"/>
        </w:trPr>
        <w:tc>
          <w:tcPr>
            <w:tcW w:w="8020" w:type="dxa"/>
            <w:vAlign w:val="bottom"/>
            <w:gridSpan w:val="7"/>
          </w:tcPr>
          <w:p>
            <w:pPr>
              <w:jc w:val="center"/>
              <w:ind w:left="3332"/>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71"/>
        </w:trPr>
        <w:tc>
          <w:tcPr>
            <w:tcW w:w="7060" w:type="dxa"/>
            <w:vAlign w:val="bottom"/>
            <w:gridSpan w:val="4"/>
          </w:tcPr>
          <w:p>
            <w:pPr>
              <w:jc w:val="center"/>
              <w:ind w:left="429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9180" w:type="dxa"/>
            <w:vAlign w:val="bottom"/>
            <w:gridSpan w:val="11"/>
          </w:tcPr>
          <w:p>
            <w:pPr>
              <w:jc w:val="center"/>
              <w:ind w:left="215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22"/>
        </w:trPr>
        <w:tc>
          <w:tcPr>
            <w:tcW w:w="5080" w:type="dxa"/>
            <w:vAlign w:val="bottom"/>
          </w:tcPr>
          <w:p>
            <w:pPr>
              <w:spacing w:after="0"/>
              <w:rPr>
                <w:sz w:val="19"/>
                <w:szCs w:val="19"/>
                <w:color w:val="auto"/>
              </w:rPr>
            </w:pPr>
          </w:p>
        </w:tc>
        <w:tc>
          <w:tcPr>
            <w:tcW w:w="1980" w:type="dxa"/>
            <w:vAlign w:val="bottom"/>
            <w:gridSpan w:val="3"/>
          </w:tcPr>
          <w:p>
            <w:pPr>
              <w:jc w:val="center"/>
              <w:ind w:right="720"/>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080" w:type="dxa"/>
            <w:vAlign w:val="bottom"/>
          </w:tcPr>
          <w:p>
            <w:pPr>
              <w:spacing w:after="0"/>
              <w:rPr>
                <w:sz w:val="24"/>
                <w:szCs w:val="24"/>
                <w:color w:val="auto"/>
              </w:rPr>
            </w:pPr>
          </w:p>
        </w:tc>
        <w:tc>
          <w:tcPr>
            <w:tcW w:w="4100" w:type="dxa"/>
            <w:vAlign w:val="bottom"/>
            <w:gridSpan w:val="10"/>
          </w:tcPr>
          <w:p>
            <w:pPr>
              <w:jc w:val="right"/>
              <w:ind w:right="54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080" w:type="dxa"/>
            <w:vAlign w:val="bottom"/>
          </w:tcPr>
          <w:p>
            <w:pPr>
              <w:spacing w:after="0"/>
              <w:rPr>
                <w:sz w:val="17"/>
                <w:szCs w:val="17"/>
                <w:color w:val="auto"/>
              </w:rPr>
            </w:pPr>
          </w:p>
        </w:tc>
        <w:tc>
          <w:tcPr>
            <w:tcW w:w="356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$ 3,077</w:t>
            </w:r>
          </w:p>
        </w:tc>
        <w:tc>
          <w:tcPr>
            <w:tcW w:w="200" w:type="dxa"/>
            <w:vAlign w:val="bottom"/>
          </w:tcPr>
          <w:p>
            <w:pPr>
              <w:spacing w:after="0"/>
              <w:rPr>
                <w:sz w:val="17"/>
                <w:szCs w:val="17"/>
                <w:color w:val="auto"/>
              </w:rPr>
            </w:pP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$ 2,156</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67"/>
        </w:trPr>
        <w:tc>
          <w:tcPr>
            <w:tcW w:w="5080" w:type="dxa"/>
            <w:vAlign w:val="bottom"/>
          </w:tcPr>
          <w:p>
            <w:pPr>
              <w:spacing w:after="0"/>
              <w:rPr>
                <w:sz w:val="20"/>
                <w:szCs w:val="20"/>
                <w:color w:val="auto"/>
              </w:rPr>
            </w:pPr>
            <w:r>
              <w:rPr>
                <w:rFonts w:ascii="Courier New" w:cs="Courier New" w:eastAsia="Courier New" w:hAnsi="Courier New"/>
                <w:sz w:val="18"/>
                <w:szCs w:val="18"/>
                <w:color w:val="auto"/>
              </w:rPr>
              <w:t>Foreign currency translation adjustments</w:t>
            </w:r>
          </w:p>
        </w:tc>
        <w:tc>
          <w:tcPr>
            <w:tcW w:w="10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94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420"/>
              <w:spacing w:after="0"/>
              <w:rPr>
                <w:sz w:val="20"/>
                <w:szCs w:val="20"/>
                <w:color w:val="auto"/>
              </w:rPr>
            </w:pPr>
            <w:r>
              <w:rPr>
                <w:rFonts w:ascii="Courier New" w:cs="Courier New" w:eastAsia="Courier New" w:hAnsi="Courier New"/>
                <w:sz w:val="18"/>
                <w:szCs w:val="18"/>
                <w:color w:val="auto"/>
              </w:rPr>
              <w:t>36</w:t>
            </w:r>
          </w:p>
        </w:tc>
        <w:tc>
          <w:tcPr>
            <w:tcW w:w="120" w:type="dxa"/>
            <w:vAlign w:val="bottom"/>
          </w:tcPr>
          <w:p>
            <w:pPr>
              <w:spacing w:after="0"/>
              <w:rPr>
                <w:sz w:val="24"/>
                <w:szCs w:val="24"/>
                <w:color w:val="auto"/>
              </w:rPr>
            </w:pPr>
          </w:p>
        </w:tc>
      </w:tr>
      <w:tr>
        <w:trPr>
          <w:trHeight w:val="20"/>
        </w:trPr>
        <w:tc>
          <w:tcPr>
            <w:tcW w:w="5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08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$ 3,171</w:t>
            </w:r>
          </w:p>
        </w:tc>
        <w:tc>
          <w:tcPr>
            <w:tcW w:w="20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$ 2,192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080" w:type="dxa"/>
            <w:vAlign w:val="bottom"/>
          </w:tcPr>
          <w:p>
            <w:pPr>
              <w:spacing w:after="0"/>
              <w:rPr>
                <w:sz w:val="17"/>
                <w:szCs w:val="17"/>
                <w:color w:val="auto"/>
              </w:rPr>
            </w:pP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5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0219"/>
          </w:cols>
          <w:pgMar w:left="240" w:top="136" w:right="1440" w:bottom="769" w:gutter="0" w:footer="0" w:header="0"/>
        </w:sectPr>
      </w:pPr>
    </w:p>
    <w:bookmarkStart w:id="28" w:name="page29"/>
    <w:bookmarkEnd w:id="28"/>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(Accumulated</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Accumulated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Deficit)</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9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Retained</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Comprehensive</w:t>
            </w:r>
          </w:p>
        </w:tc>
        <w:tc>
          <w:tcPr>
            <w:tcW w:w="16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Treasury Stockholders'</w:t>
            </w:r>
          </w:p>
        </w:tc>
      </w:tr>
      <w:tr>
        <w:trPr>
          <w:trHeight w:val="135"/>
        </w:trPr>
        <w:tc>
          <w:tcPr>
            <w:tcW w:w="220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9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Earnings</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140" w:type="dxa"/>
            <w:vAlign w:val="bottom"/>
          </w:tcPr>
          <w:p>
            <w:pPr>
              <w:spacing w:after="0"/>
              <w:rPr>
                <w:sz w:val="11"/>
                <w:szCs w:val="11"/>
                <w:color w:val="auto"/>
              </w:rPr>
            </w:pPr>
          </w:p>
        </w:tc>
        <w:tc>
          <w:tcPr>
            <w:tcW w:w="660" w:type="dxa"/>
            <w:vAlign w:val="bottom"/>
          </w:tcPr>
          <w:p>
            <w:pPr>
              <w:jc w:val="right"/>
              <w:ind w:right="239"/>
              <w:spacing w:after="0"/>
              <w:rPr>
                <w:sz w:val="20"/>
                <w:szCs w:val="20"/>
                <w:color w:val="auto"/>
              </w:rPr>
            </w:pPr>
            <w:r>
              <w:rPr>
                <w:rFonts w:ascii="Courier New" w:cs="Courier New" w:eastAsia="Courier New" w:hAnsi="Courier New"/>
                <w:sz w:val="12"/>
                <w:szCs w:val="12"/>
                <w:color w:val="auto"/>
                <w:w w:val="94"/>
              </w:rPr>
              <w:t>Stock</w:t>
            </w: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Equity</w:t>
            </w: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17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 -------------</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January 1, 2012</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10,463,255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$26,035</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(686)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$1,217</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(472)</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$26,199</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2,156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2,156</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Cash dividends of $0.08 per</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common share</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(834)</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(834)</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36</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36</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113</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113</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Issuance of 43,251 shares</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to satisfy profit sharing</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expense</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(118)</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268</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150</w:t>
            </w:r>
          </w:p>
        </w:tc>
      </w:tr>
      <w:tr>
        <w:trPr>
          <w:trHeight w:val="137"/>
        </w:trPr>
        <w:tc>
          <w:tcPr>
            <w:tcW w:w="2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70"/>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2012</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10,453,255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105</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26,030</w:t>
            </w:r>
          </w:p>
        </w:tc>
        <w:tc>
          <w:tcPr>
            <w:tcW w:w="32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636</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1,253</w:t>
            </w:r>
          </w:p>
        </w:tc>
        <w:tc>
          <w:tcPr>
            <w:tcW w:w="140" w:type="dxa"/>
            <w:vAlign w:val="bottom"/>
          </w:tcPr>
          <w:p>
            <w:pPr>
              <w:spacing w:after="0"/>
              <w:rPr>
                <w:sz w:val="23"/>
                <w:szCs w:val="23"/>
                <w:color w:val="auto"/>
              </w:rPr>
            </w:pP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27,820</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3,077</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3,077</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94</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94</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128</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128</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127,500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10,000</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30</w:t>
            </w:r>
          </w:p>
        </w:tc>
        <w:tc>
          <w:tcPr>
            <w:tcW w:w="32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w:t>
            </w:r>
          </w:p>
        </w:tc>
      </w:tr>
      <w:tr>
        <w:trPr>
          <w:trHeight w:val="137"/>
        </w:trPr>
        <w:tc>
          <w:tcPr>
            <w:tcW w:w="2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70"/>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2013</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10,590,755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$26,187</w:t>
            </w:r>
          </w:p>
        </w:tc>
        <w:tc>
          <w:tcPr>
            <w:tcW w:w="320" w:type="dxa"/>
            <w:vAlign w:val="bottom"/>
          </w:tcPr>
          <w:p>
            <w:pPr>
              <w:ind w:left="180"/>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3,713</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$1,347</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6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$31,149</w:t>
            </w:r>
          </w:p>
        </w:tc>
      </w:tr>
      <w:tr>
        <w:trPr>
          <w:trHeight w:val="270"/>
        </w:trPr>
        <w:tc>
          <w:tcPr>
            <w:tcW w:w="2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7"/>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7"/>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22"/>
        </w:trPr>
        <w:tc>
          <w:tcPr>
            <w:tcW w:w="6440" w:type="dxa"/>
            <w:vAlign w:val="bottom"/>
            <w:gridSpan w:val="2"/>
          </w:tcPr>
          <w:p>
            <w:pPr>
              <w:jc w:val="center"/>
              <w:ind w:left="4917"/>
              <w:spacing w:after="0"/>
              <w:rPr>
                <w:sz w:val="20"/>
                <w:szCs w:val="20"/>
                <w:color w:val="auto"/>
              </w:rPr>
            </w:pPr>
            <w:r>
              <w:rPr>
                <w:rFonts w:ascii="Arial" w:cs="Arial" w:eastAsia="Arial" w:hAnsi="Arial"/>
                <w:sz w:val="18"/>
                <w:szCs w:val="18"/>
                <w:color w:val="auto"/>
                <w:w w:val="88"/>
              </w:rPr>
              <w:t>(In thousands)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5340" w:type="dxa"/>
            <w:vAlign w:val="bottom"/>
          </w:tcPr>
          <w:p>
            <w:pPr>
              <w:spacing w:after="0"/>
              <w:rPr>
                <w:sz w:val="24"/>
                <w:szCs w:val="24"/>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center"/>
              <w:ind w:right="319"/>
              <w:spacing w:after="0"/>
              <w:rPr>
                <w:sz w:val="20"/>
                <w:szCs w:val="20"/>
                <w:color w:val="auto"/>
              </w:rPr>
            </w:pPr>
            <w:r>
              <w:rPr>
                <w:rFonts w:ascii="Courier New" w:cs="Courier New" w:eastAsia="Courier New" w:hAnsi="Courier New"/>
                <w:sz w:val="12"/>
                <w:szCs w:val="12"/>
                <w:color w:val="auto"/>
                <w:w w:val="97"/>
              </w:rPr>
              <w:t>2013</w:t>
            </w:r>
          </w:p>
        </w:tc>
        <w:tc>
          <w:tcPr>
            <w:tcW w:w="1340" w:type="dxa"/>
            <w:vAlign w:val="bottom"/>
          </w:tcPr>
          <w:p>
            <w:pPr>
              <w:jc w:val="right"/>
              <w:ind w:right="639"/>
              <w:spacing w:after="0"/>
              <w:rPr>
                <w:sz w:val="20"/>
                <w:szCs w:val="20"/>
                <w:color w:val="auto"/>
              </w:rPr>
            </w:pPr>
            <w:r>
              <w:rPr>
                <w:rFonts w:ascii="Courier New" w:cs="Courier New" w:eastAsia="Courier New" w:hAnsi="Courier New"/>
                <w:sz w:val="12"/>
                <w:szCs w:val="12"/>
                <w:color w:val="auto"/>
              </w:rPr>
              <w:t>2012</w:t>
            </w:r>
          </w:p>
        </w:tc>
        <w:tc>
          <w:tcPr>
            <w:tcW w:w="0" w:type="dxa"/>
            <w:vAlign w:val="bottom"/>
          </w:tcPr>
          <w:p>
            <w:pPr>
              <w:spacing w:after="0"/>
              <w:rPr>
                <w:sz w:val="1"/>
                <w:szCs w:val="1"/>
                <w:color w:val="auto"/>
              </w:rPr>
            </w:pPr>
          </w:p>
        </w:tc>
      </w:tr>
      <w:tr>
        <w:trPr>
          <w:trHeight w:val="137"/>
        </w:trPr>
        <w:tc>
          <w:tcPr>
            <w:tcW w:w="53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$ 3,077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$ 2,156</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847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933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311</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688</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(12)</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128</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113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150</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Gain on sale of property and equipment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32</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109</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307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443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(233)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1,868</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(416)</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948</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50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(18)</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23</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63</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(237)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(43)</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(227)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48</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122</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(19)</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(66)</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Deferred revenue and customer deposits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(182)</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(171)</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75</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(150)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(167)</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3,770</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6,645</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CASH FLOWS FROM INVESTING ACTIVITIES</w:t>
      </w:r>
    </w:p>
    <w:p>
      <w:pPr>
        <w:sectPr>
          <w:pgSz w:w="11900" w:h="16838" w:orient="portrait"/>
          <w:cols w:equalWidth="0" w:num="1">
            <w:col w:w="10219"/>
          </w:cols>
          <w:pgMar w:left="240" w:top="517" w:right="1440"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36"/>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Acquisition of business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(3,802)</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(424)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(431)</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(414)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(4,214)</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Cash dividends paid</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(834)</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financing activities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(834)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56</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3,442</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1,619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7"/>
              </w:rPr>
              <w:t>15,576</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w w:val="97"/>
              </w:rPr>
              <w:t>13,957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$19,018</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$15,576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623</w:t>
            </w:r>
          </w:p>
        </w:tc>
        <w:tc>
          <w:tcPr>
            <w:tcW w:w="4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379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Details of acquisition:</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Fair value of assets acquired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$ 4,026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Liabilities assumed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(274)</w:t>
            </w:r>
          </w:p>
        </w:tc>
        <w:tc>
          <w:tcPr>
            <w:tcW w:w="0" w:type="dxa"/>
            <w:vAlign w:val="bottom"/>
          </w:tcPr>
          <w:p>
            <w:pPr>
              <w:spacing w:after="0"/>
              <w:rPr>
                <w:sz w:val="1"/>
                <w:szCs w:val="1"/>
                <w:color w:val="auto"/>
              </w:rPr>
            </w:pPr>
          </w:p>
        </w:tc>
      </w:tr>
      <w:tr>
        <w:trPr>
          <w:trHeight w:val="115"/>
        </w:trPr>
        <w:tc>
          <w:tcPr>
            <w:tcW w:w="5300" w:type="dxa"/>
            <w:vAlign w:val="bottom"/>
          </w:tcPr>
          <w:p>
            <w:pPr>
              <w:ind w:left="160"/>
              <w:spacing w:after="0" w:line="115" w:lineRule="exact"/>
              <w:rPr>
                <w:sz w:val="20"/>
                <w:szCs w:val="20"/>
                <w:color w:val="auto"/>
              </w:rPr>
            </w:pPr>
            <w:r>
              <w:rPr>
                <w:rFonts w:ascii="Courier New" w:cs="Courier New" w:eastAsia="Courier New" w:hAnsi="Courier New"/>
                <w:sz w:val="12"/>
                <w:szCs w:val="12"/>
                <w:color w:val="auto"/>
              </w:rPr>
              <w:t>Goodwill resulting from acquisition</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spacing w:after="0" w:line="115" w:lineRule="exact"/>
              <w:rPr>
                <w:sz w:val="20"/>
                <w:szCs w:val="20"/>
                <w:color w:val="auto"/>
              </w:rPr>
            </w:pPr>
            <w:r>
              <w:rPr>
                <w:rFonts w:ascii="Courier New" w:cs="Courier New" w:eastAsia="Courier New" w:hAnsi="Courier New"/>
                <w:sz w:val="12"/>
                <w:szCs w:val="12"/>
                <w:color w:val="auto"/>
              </w:rPr>
              <w:t>50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paid for acquisition</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$ 3,802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462</w:t>
            </w:r>
          </w:p>
        </w:tc>
        <w:tc>
          <w:tcPr>
            <w:tcW w:w="4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4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(14)</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4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 On January 16, 2012, Temptronic Corporation ("Temptronic"), a wholly-owned subsidiary of inTEST Corporation, acquired substantially all of the assets and certain liabilities of Thermonics, Inc. ("Thermonics"), a division of Test Enterprises, Inc. The acquisition of the Thermonics business broadens the product line of inTEST's Thermal Products Segment. This acquisition is discussed further in Note 3.</w:t>
      </w:r>
    </w:p>
    <w:p>
      <w:pPr>
        <w:spacing w:after="0" w:line="198"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semiconductor market. As a result of these or other factors, we may experience significant period-to-period fluctuations in future operating results.</w:t>
      </w:r>
    </w:p>
    <w:p>
      <w:pPr>
        <w:spacing w:after="0" w:line="342" w:lineRule="exact"/>
        <w:rPr>
          <w:sz w:val="20"/>
          <w:szCs w:val="20"/>
          <w:color w:val="auto"/>
        </w:rPr>
      </w:pPr>
    </w:p>
    <w:p>
      <w:pPr>
        <w:ind w:left="540" w:right="6500" w:hanging="532"/>
        <w:spacing w:after="0" w:line="541" w:lineRule="auto"/>
        <w:tabs>
          <w:tab w:leader="none" w:pos="33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6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Short-term investments that have maturities of three months or less when purchased are considered to be cash equivalents and are carried at cost, which approximates market value.</w:t>
      </w:r>
    </w:p>
    <w:p>
      <w:pPr>
        <w:sectPr>
          <w:pgSz w:w="11900" w:h="16838" w:orient="portrait"/>
          <w:cols w:equalWidth="0" w:num="1">
            <w:col w:w="11420"/>
          </w:cols>
          <w:pgMar w:left="240" w:top="132" w:right="239"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t>F - 6</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Bad debt expense (recovery) was $0 and $(8) for the years ended December 31, 2013 and 2012, respectively. Cash flows from accounts receivable are recorded in operating cash flows.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Our financial instruments, principally accounts receivable and accounts payable, are carried at cost which approximates fair value, due to the short maturities of the accounts.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$311 and $688 for the years ended December 31, 2013 and 2012,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We record leasehold improvements made to our leased facilities based on the amount of the total cost to construct the improvements regardless of whether a portion of that cost was paid through an allowance provided by the facility's landlord. Expenditures for maintenance and repairs are charged to operations as incurred. Total depreciation expense was $401 and $457 for the years ended December 31, 2013 and 2012,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w:t>
      </w:r>
    </w:p>
    <w:p>
      <w:pPr>
        <w:sectPr>
          <w:pgSz w:w="11900" w:h="16838" w:orient="portrait"/>
          <w:cols w:equalWidth="0" w:num="1">
            <w:col w:w="11400"/>
          </w:cols>
          <w:pgMar w:left="240" w:top="523" w:right="259" w:bottom="0" w:gutter="0" w:footer="0" w:header="0"/>
        </w:sectPr>
      </w:pPr>
    </w:p>
    <w:bookmarkStart w:id="31" w:name="page32"/>
    <w:bookmarkEnd w:id="31"/>
    <w:p>
      <w:pPr>
        <w:jc w:val="both"/>
        <w:ind w:left="540" w:right="400"/>
        <w:spacing w:after="0" w:line="335" w:lineRule="auto"/>
        <w:rPr>
          <w:sz w:val="20"/>
          <w:szCs w:val="20"/>
          <w:color w:val="auto"/>
        </w:rPr>
      </w:pPr>
      <w:r>
        <w:rPr>
          <w:rFonts w:ascii="Arial" w:cs="Arial" w:eastAsia="Arial" w:hAnsi="Arial"/>
          <w:sz w:val="15"/>
          <w:szCs w:val="15"/>
          <w:color w:val="auto"/>
        </w:rPr>
        <w:t>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42" w:lineRule="exact"/>
        <w:rPr>
          <w:sz w:val="20"/>
          <w:szCs w:val="20"/>
          <w:color w:val="auto"/>
        </w:rPr>
      </w:pPr>
    </w:p>
    <w:p>
      <w:pPr>
        <w:ind w:left="540" w:right="20"/>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20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 in Note 14.</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2013, other than the approval of the inTEST Corporation 2014 Stock Plan, as discussed further in Note 18.</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540"/>
        <w:spacing w:after="0" w:line="332" w:lineRule="auto"/>
        <w:rPr>
          <w:sz w:val="20"/>
          <w:szCs w:val="20"/>
          <w:color w:val="auto"/>
        </w:rPr>
      </w:pPr>
      <w:r>
        <w:rPr>
          <w:rFonts w:ascii="Arial" w:cs="Arial" w:eastAsia="Arial" w:hAnsi="Arial"/>
          <w:sz w:val="16"/>
          <w:szCs w:val="16"/>
          <w:color w:val="auto"/>
        </w:rPr>
        <w:t>In addition, 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 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and equipment and intangible assets. Asset impairment charges are based on an estimate of the amounts and timing of future cash flows related to the expected future remaining use and ultimate sale or disposal of the asset.</w:t>
      </w:r>
    </w:p>
    <w:p>
      <w:pPr>
        <w:sectPr>
          <w:pgSz w:w="11900" w:h="16838" w:orient="portrait"/>
          <w:cols w:equalWidth="0" w:num="1">
            <w:col w:w="11420"/>
          </w:cols>
          <w:pgMar w:left="240" w:top="131" w:right="239" w:bottom="0" w:gutter="0" w:footer="0" w:header="0"/>
        </w:sectPr>
      </w:pPr>
    </w:p>
    <w:bookmarkStart w:id="32" w:name="page33"/>
    <w:bookmarkEnd w:id="32"/>
    <w:p>
      <w:pPr>
        <w:spacing w:after="0" w:line="4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For our foreign subsidiaries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2013 and 2012, foreign currency transaction gains (losses) were $(4) and $12,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67" w:lineRule="exact"/>
        <w:rPr>
          <w:sz w:val="20"/>
          <w:szCs w:val="20"/>
          <w:color w:val="auto"/>
        </w:rPr>
      </w:pPr>
    </w:p>
    <w:p>
      <w:pPr>
        <w:jc w:val="both"/>
        <w:ind w:left="540" w:right="64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9"/>
          </w:tcPr>
          <w:p>
            <w:pPr>
              <w:jc w:val="right"/>
              <w:ind w:right="180"/>
              <w:spacing w:after="0"/>
              <w:rPr>
                <w:sz w:val="20"/>
                <w:szCs w:val="20"/>
                <w:color w:val="auto"/>
              </w:rPr>
            </w:pPr>
            <w:r>
              <w:rPr>
                <w:rFonts w:ascii="Arial" w:cs="Arial" w:eastAsia="Arial" w:hAnsi="Arial"/>
                <w:sz w:val="14"/>
                <w:szCs w:val="14"/>
                <w:b w:val="1"/>
                <w:bCs w:val="1"/>
                <w:i w:val="1"/>
                <w:iCs w:val="1"/>
                <w:color w:val="auto"/>
                <w:w w:val="82"/>
              </w:rPr>
              <w:t>Years Ended December 31,</w:t>
            </w:r>
          </w:p>
        </w:tc>
      </w:tr>
      <w:tr>
        <w:trPr>
          <w:trHeight w:val="223"/>
        </w:trPr>
        <w:tc>
          <w:tcPr>
            <w:tcW w:w="4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2013</w:t>
            </w:r>
          </w:p>
        </w:tc>
        <w:tc>
          <w:tcPr>
            <w:tcW w:w="3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1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78"/>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10,363,678</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10,273,377</w:t>
            </w:r>
          </w:p>
        </w:tc>
      </w:tr>
      <w:tr>
        <w:trPr>
          <w:trHeight w:val="459"/>
        </w:trPr>
        <w:tc>
          <w:tcPr>
            <w:tcW w:w="48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1"/>
        </w:trPr>
        <w:tc>
          <w:tcPr>
            <w:tcW w:w="4840" w:type="dxa"/>
            <w:vAlign w:val="bottom"/>
          </w:tcPr>
          <w:p>
            <w:pPr>
              <w:ind w:left="220"/>
              <w:spacing w:after="0"/>
              <w:rPr>
                <w:sz w:val="20"/>
                <w:szCs w:val="20"/>
                <w:color w:val="auto"/>
              </w:rPr>
            </w:pPr>
            <w:r>
              <w:rPr>
                <w:rFonts w:ascii="Arial" w:cs="Arial" w:eastAsia="Arial" w:hAnsi="Arial"/>
                <w:sz w:val="18"/>
                <w:szCs w:val="18"/>
                <w:color w:val="auto"/>
                <w:w w:val="90"/>
              </w:rPr>
              <w:t>Employee stock options and unvested shares of restricted stock</w:t>
            </w:r>
          </w:p>
        </w:tc>
        <w:tc>
          <w:tcPr>
            <w:tcW w:w="200" w:type="dxa"/>
            <w:vAlign w:val="bottom"/>
            <w:gridSpan w:val="2"/>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55,425</w:t>
            </w:r>
          </w:p>
        </w:tc>
        <w:tc>
          <w:tcPr>
            <w:tcW w:w="60" w:type="dxa"/>
            <w:vAlign w:val="bottom"/>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73,700</w:t>
            </w:r>
          </w:p>
        </w:tc>
      </w:tr>
      <w:tr>
        <w:trPr>
          <w:trHeight w:val="439"/>
        </w:trPr>
        <w:tc>
          <w:tcPr>
            <w:tcW w:w="484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10,419,103</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w w:val="93"/>
              </w:rPr>
              <w:t>10,347,077</w:t>
            </w:r>
          </w:p>
        </w:tc>
      </w:tr>
      <w:tr>
        <w:trPr>
          <w:trHeight w:val="471"/>
        </w:trPr>
        <w:tc>
          <w:tcPr>
            <w:tcW w:w="4840" w:type="dxa"/>
            <w:vAlign w:val="bottom"/>
          </w:tcPr>
          <w:p>
            <w:pPr>
              <w:spacing w:after="0"/>
              <w:rPr>
                <w:sz w:val="20"/>
                <w:szCs w:val="20"/>
                <w:color w:val="auto"/>
              </w:rPr>
            </w:pPr>
            <w:r>
              <w:rPr>
                <w:rFonts w:ascii="Arial" w:cs="Arial" w:eastAsia="Arial" w:hAnsi="Arial"/>
                <w:sz w:val="18"/>
                <w:szCs w:val="18"/>
                <w:color w:val="auto"/>
              </w:rPr>
              <w:t>Average number of potentially dilutive securities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22"/>
        </w:trPr>
        <w:tc>
          <w:tcPr>
            <w:tcW w:w="4840" w:type="dxa"/>
            <w:vAlign w:val="bottom"/>
          </w:tcPr>
          <w:p>
            <w:pPr>
              <w:ind w:left="80"/>
              <w:spacing w:after="0"/>
              <w:rPr>
                <w:sz w:val="20"/>
                <w:szCs w:val="20"/>
                <w:color w:val="auto"/>
              </w:rPr>
            </w:pPr>
            <w:r>
              <w:rPr>
                <w:rFonts w:ascii="Arial" w:cs="Arial" w:eastAsia="Arial" w:hAnsi="Arial"/>
                <w:sz w:val="18"/>
                <w:szCs w:val="18"/>
                <w:color w:val="auto"/>
              </w:rPr>
              <w:t>excluded from calculation</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30,554</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39,209</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In February 2013, the FASB issued amendments to existing guidance on the accounting for accumulated other comprehensive income. The amendments require entities to provide information about the amounts reclassified out of accumulated other comprehensive income by component. In addition, an entity is required to present, either on the face of the financial statements or in the notes, significant amounts reclassified out of accumulated other comprehensive income by the respective line items of net income, but only if the amount reclassified is required to be reclassified in its entirety in the same reporting period. For amounts that are not required to be reclassified in their entirety to net income, an entity is required to cross-reference to other disclosures that provide additional details about those amounts. The amendments were effective for annual and interim periods beginning after December 15, 2012. We adopted these amendments on January 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On January 16, 2012, Temptronic acquired substantially all of the assets and certain liabilities of Thermonics pursuant to the Asset Purchase Agreement dated December 9, 2011. Thermonics is engaged in the business of designing, manufacturing, selling and distributing temperature forcing systems used in the testing of various products under temperature controlled situations. The acquisition of the Thermonics business broadened the product line of inTEST's Thermal Products segment.</w:t>
      </w:r>
    </w:p>
    <w:p>
      <w:pPr>
        <w:spacing w:after="0" w:line="197"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The purchase price for the assets was approximately $3,802 in cash, plus the assumption of specified liabilities, including trade payables and certain customer contract obligations. In connection with this acquisition, we also signed a separate one year lease for the facility then occupied by Thermonics in Sunnyvale, California. This facility was owned by certain shareholders of the seller. We ceased operations at this facility in February 2012 and relocated the Thermonics product line to our facility in Mansfield, Massachusetts where our Temptronic operations are located. During 2012, we recorded a restructuring charge of $313 related to this action. See Note 5 for further detail regarding this charge.</w:t>
      </w:r>
    </w:p>
    <w:p>
      <w:pPr>
        <w:sectPr>
          <w:pgSz w:w="11900" w:h="16882" w:orient="portrait"/>
          <w:cols w:equalWidth="0" w:num="1">
            <w:col w:w="11420"/>
          </w:cols>
          <w:pgMar w:left="240" w:top="131" w:right="239" w:bottom="0" w:gutter="0" w:footer="0" w:header="0"/>
        </w:sectPr>
      </w:pPr>
    </w:p>
    <w:bookmarkStart w:id="33" w:name="page34"/>
    <w:bookmarkEnd w:id="33"/>
    <w:p>
      <w:pPr>
        <w:ind w:left="540" w:right="160"/>
        <w:spacing w:after="0" w:line="268" w:lineRule="auto"/>
        <w:rPr>
          <w:sz w:val="20"/>
          <w:szCs w:val="20"/>
          <w:color w:val="auto"/>
        </w:rPr>
      </w:pPr>
      <w:r>
        <w:rPr>
          <w:rFonts w:ascii="Arial" w:cs="Arial" w:eastAsia="Arial" w:hAnsi="Arial"/>
          <w:sz w:val="18"/>
          <w:szCs w:val="18"/>
          <w:color w:val="auto"/>
        </w:rPr>
        <w:t>Total acquisition costs incurred to complete this transaction were $485. The portion of these costs that was incurred in 2011 was $148. Acquisition costs are expensed as incurred and included in general and administrative expense.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- 10</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ACQUISITION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Thermonics acquisition was accounted for as a purchase business combination and, accordingly, the results of Thermonics have been included in our consolidated results of operations from the date of acquisition. The allocation of the total purchase price of Thermonics net tangible and identifiable intangible assets was based on their estimated fair values as of the acquisition date. The tangible assets acquired include accounts receivable, inventory, and property and equipment. Liabilities assumed include trade payables, certain customer contract obligations and accrued payments under a non-compete/non-solicitation agreement with a former employee of Thermonics. Identifiable intangible assets acquired include customer relationships, customer backlog, the Thermonics trade name, patented technology, and a non-compete/non-solicitation agreement with a former employee of Thermonics. The excess of the purchase price over the identifiable intangible and net tangible assets in the amount of $50 was allocated to goodwill and is deductible for tax purposes. Goodwill is attributed to the synergies that are expected to result from the operations of the combined businesses. The determination of fair value reflects the assistance of third-party valuation specialists, as well as our own estimates and assumptions.</w:t>
      </w:r>
    </w:p>
    <w:p>
      <w:pPr>
        <w:spacing w:after="0" w:line="174"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w w:val="96"/>
              </w:rPr>
              <w:t>The following represents the allocation of the purchase price:</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5"/>
        </w:trPr>
        <w:tc>
          <w:tcPr>
            <w:tcW w:w="4680" w:type="dxa"/>
            <w:vAlign w:val="bottom"/>
          </w:tcPr>
          <w:p>
            <w:pPr>
              <w:ind w:left="560"/>
              <w:spacing w:after="0"/>
              <w:rPr>
                <w:sz w:val="20"/>
                <w:szCs w:val="20"/>
                <w:color w:val="auto"/>
              </w:rPr>
            </w:pPr>
            <w:r>
              <w:rPr>
                <w:rFonts w:ascii="Arial" w:cs="Arial" w:eastAsia="Arial" w:hAnsi="Arial"/>
                <w:sz w:val="18"/>
                <w:szCs w:val="18"/>
                <w:color w:val="auto"/>
              </w:rPr>
              <w:t>Goodwill</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Identifable intangible assets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1,728</w:t>
            </w:r>
          </w:p>
        </w:tc>
      </w:tr>
      <w:tr>
        <w:trPr>
          <w:trHeight w:val="459"/>
        </w:trPr>
        <w:tc>
          <w:tcPr>
            <w:tcW w:w="4680" w:type="dxa"/>
            <w:vAlign w:val="bottom"/>
          </w:tcPr>
          <w:p>
            <w:pPr>
              <w:ind w:left="560"/>
              <w:spacing w:after="0"/>
              <w:rPr>
                <w:sz w:val="20"/>
                <w:szCs w:val="20"/>
                <w:color w:val="auto"/>
              </w:rPr>
            </w:pPr>
            <w:r>
              <w:rPr>
                <w:rFonts w:ascii="Arial" w:cs="Arial" w:eastAsia="Arial" w:hAnsi="Arial"/>
                <w:sz w:val="18"/>
                <w:szCs w:val="18"/>
                <w:color w:val="auto"/>
              </w:rPr>
              <w:t>Tangible assets acquired and liabilities assumed: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1,161</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874</w:t>
            </w:r>
          </w:p>
        </w:tc>
      </w:tr>
      <w:tr>
        <w:trPr>
          <w:trHeight w:val="459"/>
        </w:trPr>
        <w:tc>
          <w:tcPr>
            <w:tcW w:w="4680" w:type="dxa"/>
            <w:vAlign w:val="bottom"/>
          </w:tcPr>
          <w:p>
            <w:pPr>
              <w:ind w:left="74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(77)</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non-compete/non-solicitation payments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459"/>
        </w:trPr>
        <w:tc>
          <w:tcPr>
            <w:tcW w:w="4680" w:type="dxa"/>
            <w:vAlign w:val="bottom"/>
          </w:tcPr>
          <w:p>
            <w:pPr>
              <w:ind w:left="720"/>
              <w:spacing w:after="0"/>
              <w:rPr>
                <w:sz w:val="20"/>
                <w:szCs w:val="20"/>
                <w:color w:val="auto"/>
              </w:rPr>
            </w:pPr>
            <w:r>
              <w:rPr>
                <w:rFonts w:ascii="Arial" w:cs="Arial" w:eastAsia="Arial" w:hAnsi="Arial"/>
                <w:sz w:val="18"/>
                <w:szCs w:val="18"/>
                <w:color w:val="auto"/>
              </w:rPr>
              <w:t>Accrued sales commissions</w:t>
            </w:r>
          </w:p>
        </w:tc>
        <w:tc>
          <w:tcPr>
            <w:tcW w:w="50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421"/>
        </w:trPr>
        <w:tc>
          <w:tcPr>
            <w:tcW w:w="4680" w:type="dxa"/>
            <w:vAlign w:val="bottom"/>
          </w:tcPr>
          <w:p>
            <w:pPr>
              <w:ind w:left="720"/>
              <w:spacing w:after="0"/>
              <w:rPr>
                <w:sz w:val="20"/>
                <w:szCs w:val="20"/>
                <w:color w:val="auto"/>
              </w:rPr>
            </w:pPr>
            <w:r>
              <w:rPr>
                <w:rFonts w:ascii="Arial" w:cs="Arial" w:eastAsia="Arial" w:hAnsi="Arial"/>
                <w:sz w:val="18"/>
                <w:szCs w:val="18"/>
                <w:color w:val="auto"/>
              </w:rPr>
              <w:t>Accrued warranty</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680" w:type="dxa"/>
            <w:vAlign w:val="bottom"/>
          </w:tcPr>
          <w:p>
            <w:pPr>
              <w:ind w:left="560"/>
              <w:spacing w:after="0"/>
              <w:rPr>
                <w:sz w:val="20"/>
                <w:szCs w:val="20"/>
                <w:color w:val="auto"/>
              </w:rPr>
            </w:pPr>
            <w:r>
              <w:rPr>
                <w:rFonts w:ascii="Arial" w:cs="Arial" w:eastAsia="Arial" w:hAnsi="Arial"/>
                <w:sz w:val="18"/>
                <w:szCs w:val="18"/>
                <w:color w:val="auto"/>
              </w:rPr>
              <w:t>Total purchase price</w:t>
            </w:r>
          </w:p>
        </w:tc>
        <w:tc>
          <w:tcPr>
            <w:tcW w:w="500" w:type="dxa"/>
            <w:vAlign w:val="bottom"/>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3,802</w:t>
            </w:r>
          </w:p>
        </w:tc>
      </w:tr>
    </w:tbl>
    <w:p>
      <w:pPr>
        <w:spacing w:after="0" w:line="200" w:lineRule="exact"/>
        <w:rPr>
          <w:sz w:val="20"/>
          <w:szCs w:val="20"/>
          <w:color w:val="auto"/>
        </w:rPr>
      </w:pPr>
    </w:p>
    <w:p>
      <w:pPr>
        <w:spacing w:after="0" w:line="264" w:lineRule="exact"/>
        <w:rPr>
          <w:sz w:val="20"/>
          <w:szCs w:val="20"/>
          <w:color w:val="auto"/>
        </w:rPr>
      </w:pPr>
    </w:p>
    <w:p>
      <w:pPr>
        <w:ind w:left="540" w:right="80"/>
        <w:spacing w:after="0" w:line="370" w:lineRule="auto"/>
        <w:rPr>
          <w:sz w:val="20"/>
          <w:szCs w:val="20"/>
          <w:color w:val="auto"/>
        </w:rPr>
      </w:pPr>
      <w:r>
        <w:rPr>
          <w:rFonts w:ascii="Arial" w:cs="Arial" w:eastAsia="Arial" w:hAnsi="Arial"/>
          <w:sz w:val="15"/>
          <w:szCs w:val="15"/>
          <w:color w:val="auto"/>
        </w:rPr>
        <w:t>We estimated the fair value of identifiable intangible assets acquired using a combination of the income, cost and market approaches. The following table provides further information about the finite-lived intangible assets acquired in connection with the acquisition of Thermonics as of the acquisition date:</w:t>
      </w:r>
    </w:p>
    <w:p>
      <w:pPr>
        <w:spacing w:after="0" w:line="11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9"/>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rPr>
              <w:t>Fair</w:t>
            </w: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6"/>
        </w:trPr>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i w:val="1"/>
                <w:iCs w:val="1"/>
                <w:color w:val="auto"/>
                <w:w w:val="85"/>
              </w:rPr>
              <w:t>Value</w:t>
            </w:r>
          </w:p>
        </w:tc>
        <w:tc>
          <w:tcPr>
            <w:tcW w:w="640" w:type="dxa"/>
            <w:vAlign w:val="bottom"/>
            <w:gridSpan w:val="2"/>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6"/>
              </w:rPr>
              <w:t>Useful Life</w:t>
            </w:r>
          </w:p>
        </w:tc>
      </w:tr>
      <w:tr>
        <w:trPr>
          <w:trHeight w:val="161"/>
        </w:trPr>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(in months)</w:t>
            </w:r>
          </w:p>
        </w:tc>
        <w:tc>
          <w:tcPr>
            <w:tcW w:w="20" w:type="dxa"/>
            <w:vAlign w:val="bottom"/>
          </w:tcPr>
          <w:p>
            <w:pPr>
              <w:spacing w:after="0"/>
              <w:rPr>
                <w:sz w:val="13"/>
                <w:szCs w:val="13"/>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$1,110</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Customer backlog</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Thermonics trade name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Arial" w:cs="Arial" w:eastAsia="Arial" w:hAnsi="Arial"/>
                <w:sz w:val="18"/>
                <w:szCs w:val="18"/>
                <w:color w:val="auto"/>
              </w:rPr>
              <w:t>Patented technology</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r>
      <w:tr>
        <w:trPr>
          <w:trHeight w:val="421"/>
        </w:trPr>
        <w:tc>
          <w:tcPr>
            <w:tcW w:w="3740" w:type="dxa"/>
            <w:vAlign w:val="bottom"/>
          </w:tcPr>
          <w:p>
            <w:pPr>
              <w:spacing w:after="0"/>
              <w:rPr>
                <w:sz w:val="20"/>
                <w:szCs w:val="20"/>
                <w:color w:val="auto"/>
              </w:rPr>
            </w:pPr>
            <w:r>
              <w:rPr>
                <w:rFonts w:ascii="Arial" w:cs="Arial" w:eastAsia="Arial" w:hAnsi="Arial"/>
                <w:sz w:val="18"/>
                <w:szCs w:val="18"/>
                <w:color w:val="auto"/>
              </w:rPr>
              <w:t>Non-compete/non-solicitation agreement</w:t>
            </w:r>
          </w:p>
        </w:tc>
        <w:tc>
          <w:tcPr>
            <w:tcW w:w="80" w:type="dxa"/>
            <w:vAlign w:val="bottom"/>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682"/>
        </w:trPr>
        <w:tc>
          <w:tcPr>
            <w:tcW w:w="37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1,728</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For the period from January 16, 2012 to December 31, 2012, Thermonics contributed $4,692 of net revenues. We do not track net income within our Thermal Products segment by product line. As a result, the net income for Thermonics for the period from January 16, 2012 to December 31, 2012 is not available.</w:t>
      </w:r>
    </w:p>
    <w:p>
      <w:pPr>
        <w:sectPr>
          <w:pgSz w:w="11900" w:h="16838" w:orient="portrait"/>
          <w:cols w:equalWidth="0" w:num="1">
            <w:col w:w="11400"/>
          </w:cols>
          <w:pgMar w:left="240" w:top="347" w:right="259" w:bottom="0" w:gutter="0" w:footer="0" w:header="0"/>
        </w:sectPr>
      </w:pPr>
    </w:p>
    <w:bookmarkStart w:id="34" w:name="page35"/>
    <w:bookmarkEnd w:id="34"/>
    <w:p>
      <w:pPr>
        <w:jc w:val="center"/>
        <w:ind w:right="-359"/>
        <w:spacing w:after="0"/>
        <w:rPr>
          <w:sz w:val="20"/>
          <w:szCs w:val="20"/>
          <w:color w:val="auto"/>
        </w:rPr>
      </w:pPr>
      <w:r>
        <w:rPr>
          <w:rFonts w:ascii="Arial" w:cs="Arial" w:eastAsia="Arial" w:hAnsi="Arial"/>
          <w:sz w:val="18"/>
          <w:szCs w:val="18"/>
          <w:color w:val="auto"/>
        </w:rPr>
        <w:t>F - 11</w:t>
      </w:r>
    </w:p>
    <w:p>
      <w:pPr>
        <w:spacing w:after="0" w:line="200" w:lineRule="exact"/>
        <w:rPr>
          <w:sz w:val="20"/>
          <w:szCs w:val="20"/>
          <w:color w:val="auto"/>
        </w:rPr>
      </w:pPr>
    </w:p>
    <w:p>
      <w:pPr>
        <w:spacing w:after="0" w:line="37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INTANGIBLE AND LONG-LIVED ASSETS</w:t>
      </w:r>
    </w:p>
    <w:p>
      <w:pPr>
        <w:spacing w:after="0" w:line="191" w:lineRule="exact"/>
        <w:rPr>
          <w:sz w:val="20"/>
          <w:szCs w:val="20"/>
          <w:color w:val="auto"/>
        </w:rPr>
      </w:pPr>
    </w:p>
    <w:p>
      <w:pPr>
        <w:ind w:left="540" w:right="52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 January 2012. The acquisition of Thermonics is discussed further in Note 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were no changes in the amount of the carrying value of goodwill for the year ended December 31, 2013.</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further detail about our intangible assets as of December 31, 2013 and 2012:</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i w:val="1"/>
                <w:iCs w:val="1"/>
                <w:color w:val="auto"/>
                <w:w w:val="85"/>
              </w:rPr>
              <w:t>December 31, 2013</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92"/>
              <w:spacing w:after="0"/>
              <w:rPr>
                <w:sz w:val="20"/>
                <w:szCs w:val="20"/>
                <w:color w:val="auto"/>
              </w:rPr>
            </w:pPr>
            <w:r>
              <w:rPr>
                <w:rFonts w:ascii="Arial" w:cs="Arial" w:eastAsia="Arial" w:hAnsi="Arial"/>
                <w:sz w:val="12"/>
                <w:szCs w:val="12"/>
                <w:b w:val="1"/>
                <w:bCs w:val="1"/>
                <w:i w:val="1"/>
                <w:iCs w:val="1"/>
                <w:color w:val="auto"/>
                <w:w w:val="80"/>
              </w:rPr>
              <w:t>Gross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20" w:type="dxa"/>
            <w:vAlign w:val="bottom"/>
          </w:tcPr>
          <w:p>
            <w:pPr>
              <w:spacing w:after="0"/>
              <w:rPr>
                <w:sz w:val="12"/>
                <w:szCs w:val="12"/>
                <w:color w:val="auto"/>
              </w:rPr>
            </w:pPr>
          </w:p>
        </w:tc>
        <w:tc>
          <w:tcPr>
            <w:tcW w:w="1460" w:type="dxa"/>
            <w:vAlign w:val="bottom"/>
            <w:gridSpan w:val="5"/>
          </w:tcPr>
          <w:p>
            <w:pPr>
              <w:jc w:val="center"/>
              <w:ind w:left="757"/>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8"/>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5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20" w:type="dxa"/>
            <w:vAlign w:val="bottom"/>
          </w:tcPr>
          <w:p>
            <w:pPr>
              <w:spacing w:after="0"/>
              <w:rPr>
                <w:sz w:val="12"/>
                <w:szCs w:val="12"/>
                <w:color w:val="auto"/>
              </w:rPr>
            </w:pPr>
          </w:p>
        </w:tc>
        <w:tc>
          <w:tcPr>
            <w:tcW w:w="1460" w:type="dxa"/>
            <w:vAlign w:val="bottom"/>
            <w:gridSpan w:val="5"/>
          </w:tcPr>
          <w:p>
            <w:pPr>
              <w:jc w:val="center"/>
              <w:ind w:left="757"/>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140" w:type="dxa"/>
            <w:vAlign w:val="bottom"/>
          </w:tcPr>
          <w:p>
            <w:pPr>
              <w:spacing w:after="0"/>
              <w:rPr>
                <w:sz w:val="12"/>
                <w:szCs w:val="12"/>
                <w:color w:val="auto"/>
              </w:rPr>
            </w:pPr>
          </w:p>
        </w:tc>
        <w:tc>
          <w:tcPr>
            <w:tcW w:w="900" w:type="dxa"/>
            <w:vAlign w:val="bottom"/>
            <w:gridSpan w:val="7"/>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580" w:type="dxa"/>
            <w:vAlign w:val="bottom"/>
            <w:gridSpan w:val="5"/>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  725</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  755</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283</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128</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72</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9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2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400" w:type="dxa"/>
            <w:vAlign w:val="bottom"/>
            <w:gridSpan w:val="4"/>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39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1,238</w:t>
            </w:r>
          </w:p>
        </w:tc>
      </w:tr>
      <w:tr>
        <w:trPr>
          <w:trHeight w:val="478"/>
        </w:trPr>
        <w:tc>
          <w:tcPr>
            <w:tcW w:w="39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9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102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380" w:type="dxa"/>
            <w:vAlign w:val="bottom"/>
            <w:gridSpan w:val="3"/>
          </w:tcPr>
          <w:p>
            <w:pPr>
              <w:spacing w:after="0"/>
              <w:rPr>
                <w:sz w:val="24"/>
                <w:szCs w:val="24"/>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9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1,360</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1,748</w:t>
            </w:r>
          </w:p>
        </w:tc>
      </w:tr>
      <w:tr>
        <w:trPr>
          <w:trHeight w:val="20"/>
        </w:trPr>
        <w:tc>
          <w:tcPr>
            <w:tcW w:w="3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99"/>
        </w:trPr>
        <w:tc>
          <w:tcPr>
            <w:tcW w:w="3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i w:val="1"/>
                <w:iCs w:val="1"/>
                <w:color w:val="auto"/>
                <w:w w:val="85"/>
              </w:rPr>
              <w:t>December 31, 2012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92"/>
              <w:spacing w:after="0"/>
              <w:rPr>
                <w:sz w:val="20"/>
                <w:szCs w:val="20"/>
                <w:color w:val="auto"/>
              </w:rPr>
            </w:pPr>
            <w:r>
              <w:rPr>
                <w:rFonts w:ascii="Arial" w:cs="Arial" w:eastAsia="Arial" w:hAnsi="Arial"/>
                <w:sz w:val="12"/>
                <w:szCs w:val="12"/>
                <w:b w:val="1"/>
                <w:bCs w:val="1"/>
                <w:i w:val="1"/>
                <w:iCs w:val="1"/>
                <w:color w:val="auto"/>
                <w:w w:val="80"/>
              </w:rPr>
              <w:t>Gross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920" w:type="dxa"/>
            <w:vAlign w:val="bottom"/>
          </w:tcPr>
          <w:p>
            <w:pPr>
              <w:spacing w:after="0"/>
              <w:rPr>
                <w:sz w:val="12"/>
                <w:szCs w:val="12"/>
                <w:color w:val="auto"/>
              </w:rPr>
            </w:pPr>
          </w:p>
        </w:tc>
        <w:tc>
          <w:tcPr>
            <w:tcW w:w="1460" w:type="dxa"/>
            <w:vAlign w:val="bottom"/>
            <w:gridSpan w:val="5"/>
          </w:tcPr>
          <w:p>
            <w:pPr>
              <w:jc w:val="center"/>
              <w:ind w:left="757"/>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40" w:type="dxa"/>
            <w:vAlign w:val="bottom"/>
            <w:gridSpan w:val="8"/>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58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r>
      <w:tr>
        <w:trPr>
          <w:trHeight w:val="146"/>
        </w:trPr>
        <w:tc>
          <w:tcPr>
            <w:tcW w:w="3920" w:type="dxa"/>
            <w:vAlign w:val="bottom"/>
          </w:tcPr>
          <w:p>
            <w:pPr>
              <w:spacing w:after="0"/>
              <w:rPr>
                <w:sz w:val="12"/>
                <w:szCs w:val="12"/>
                <w:color w:val="auto"/>
              </w:rPr>
            </w:pPr>
          </w:p>
        </w:tc>
        <w:tc>
          <w:tcPr>
            <w:tcW w:w="1460" w:type="dxa"/>
            <w:vAlign w:val="bottom"/>
            <w:gridSpan w:val="5"/>
          </w:tcPr>
          <w:p>
            <w:pPr>
              <w:jc w:val="center"/>
              <w:ind w:left="757"/>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140" w:type="dxa"/>
            <w:vAlign w:val="bottom"/>
          </w:tcPr>
          <w:p>
            <w:pPr>
              <w:spacing w:after="0"/>
              <w:rPr>
                <w:sz w:val="12"/>
                <w:szCs w:val="12"/>
                <w:color w:val="auto"/>
              </w:rPr>
            </w:pPr>
          </w:p>
        </w:tc>
        <w:tc>
          <w:tcPr>
            <w:tcW w:w="900" w:type="dxa"/>
            <w:vAlign w:val="bottom"/>
            <w:gridSpan w:val="7"/>
          </w:tcPr>
          <w:p>
            <w:pPr>
              <w:jc w:val="center"/>
              <w:ind w:right="18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580" w:type="dxa"/>
            <w:vAlign w:val="bottom"/>
            <w:gridSpan w:val="5"/>
          </w:tcPr>
          <w:p>
            <w:pPr>
              <w:jc w:val="center"/>
              <w:ind w:right="40"/>
              <w:spacing w:after="0" w:line="146" w:lineRule="exact"/>
              <w:rPr>
                <w:sz w:val="20"/>
                <w:szCs w:val="20"/>
                <w:color w:val="auto"/>
              </w:rPr>
            </w:pPr>
            <w:r>
              <w:rPr>
                <w:rFonts w:ascii="Arial" w:cs="Arial" w:eastAsia="Arial" w:hAnsi="Arial"/>
                <w:sz w:val="14"/>
                <w:szCs w:val="14"/>
                <w:b w:val="1"/>
                <w:bCs w:val="1"/>
                <w:i w:val="1"/>
                <w:iCs w:val="1"/>
                <w:color w:val="auto"/>
                <w:w w:val="86"/>
              </w:rPr>
              <w:t>Amount</w:t>
            </w:r>
          </w:p>
        </w:tc>
      </w:tr>
      <w:tr>
        <w:trPr>
          <w:trHeight w:val="235"/>
        </w:trPr>
        <w:tc>
          <w:tcPr>
            <w:tcW w:w="39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$ 439</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$1,041</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357</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155</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140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107</w:t>
            </w:r>
          </w:p>
        </w:tc>
      </w:tr>
      <w:tr>
        <w:trPr>
          <w:trHeight w:val="459"/>
        </w:trPr>
        <w:tc>
          <w:tcPr>
            <w:tcW w:w="392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70</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392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102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w:t>
            </w:r>
          </w:p>
        </w:tc>
        <w:tc>
          <w:tcPr>
            <w:tcW w:w="480" w:type="dxa"/>
            <w:vAlign w:val="bottom"/>
            <w:gridSpan w:val="5"/>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w:t>
            </w:r>
          </w:p>
        </w:tc>
      </w:tr>
      <w:tr>
        <w:trPr>
          <w:trHeight w:val="439"/>
        </w:trPr>
        <w:tc>
          <w:tcPr>
            <w:tcW w:w="39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2,598</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914</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1,684</w:t>
            </w:r>
          </w:p>
        </w:tc>
      </w:tr>
      <w:tr>
        <w:trPr>
          <w:trHeight w:val="478"/>
        </w:trPr>
        <w:tc>
          <w:tcPr>
            <w:tcW w:w="39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21"/>
        </w:trPr>
        <w:tc>
          <w:tcPr>
            <w:tcW w:w="39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102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c>
          <w:tcPr>
            <w:tcW w:w="480" w:type="dxa"/>
            <w:vAlign w:val="bottom"/>
            <w:gridSpan w:val="5"/>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510</w:t>
            </w:r>
          </w:p>
        </w:tc>
      </w:tr>
      <w:tr>
        <w:trPr>
          <w:trHeight w:val="439"/>
        </w:trPr>
        <w:tc>
          <w:tcPr>
            <w:tcW w:w="39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3,108</w:t>
            </w:r>
          </w:p>
        </w:tc>
        <w:tc>
          <w:tcPr>
            <w:tcW w:w="860" w:type="dxa"/>
            <w:vAlign w:val="bottom"/>
            <w:gridSpan w:val="7"/>
          </w:tcPr>
          <w:p>
            <w:pPr>
              <w:jc w:val="right"/>
              <w:ind w:right="20"/>
              <w:spacing w:after="0"/>
              <w:rPr>
                <w:sz w:val="20"/>
                <w:szCs w:val="20"/>
                <w:color w:val="auto"/>
              </w:rPr>
            </w:pPr>
            <w:r>
              <w:rPr>
                <w:rFonts w:ascii="Arial" w:cs="Arial" w:eastAsia="Arial" w:hAnsi="Arial"/>
                <w:sz w:val="18"/>
                <w:szCs w:val="18"/>
                <w:color w:val="auto"/>
              </w:rPr>
              <w:t>$ 914</w:t>
            </w:r>
          </w:p>
        </w:tc>
        <w:tc>
          <w:tcPr>
            <w:tcW w:w="18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2,194</w:t>
            </w:r>
          </w:p>
        </w:tc>
      </w:tr>
      <w:tr>
        <w:trPr>
          <w:trHeight w:val="20"/>
        </w:trPr>
        <w:tc>
          <w:tcPr>
            <w:tcW w:w="3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60"/>
          </w:cols>
          <w:pgMar w:left="240" w:top="131" w:right="599" w:bottom="225" w:gutter="0" w:footer="0" w:header="0"/>
        </w:sectPr>
      </w:pPr>
    </w:p>
    <w:bookmarkStart w:id="35" w:name="page36"/>
    <w:bookmarkEnd w:id="35"/>
    <w:p>
      <w:pPr>
        <w:spacing w:after="0" w:line="10"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finite-lived assets have any residual value. The following table provides further information about the estimated useful lives of our finite-lived intangible assets as of December 31, 2013: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INTANGIBLE AND LONG-LIVED ASSETS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5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Estimated</w:t>
            </w:r>
          </w:p>
        </w:tc>
      </w:tr>
      <w:tr>
        <w:trPr>
          <w:trHeight w:val="149"/>
        </w:trPr>
        <w:tc>
          <w:tcPr>
            <w:tcW w:w="5660" w:type="dxa"/>
            <w:vAlign w:val="bottom"/>
          </w:tcPr>
          <w:p>
            <w:pPr>
              <w:spacing w:after="0"/>
              <w:rPr>
                <w:sz w:val="12"/>
                <w:szCs w:val="12"/>
                <w:color w:val="auto"/>
              </w:rPr>
            </w:pPr>
          </w:p>
        </w:tc>
        <w:tc>
          <w:tcPr>
            <w:tcW w:w="74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rPr>
              <w:t>Estimated</w:t>
            </w:r>
          </w:p>
        </w:tc>
        <w:tc>
          <w:tcPr>
            <w:tcW w:w="880" w:type="dxa"/>
            <w:vAlign w:val="bottom"/>
            <w:gridSpan w:val="3"/>
          </w:tcPr>
          <w:p>
            <w:pPr>
              <w:jc w:val="center"/>
              <w:ind w:left="16"/>
              <w:spacing w:after="0" w:line="149" w:lineRule="exact"/>
              <w:rPr>
                <w:sz w:val="20"/>
                <w:szCs w:val="20"/>
                <w:color w:val="auto"/>
              </w:rPr>
            </w:pPr>
            <w:r>
              <w:rPr>
                <w:rFonts w:ascii="Arial" w:cs="Arial" w:eastAsia="Arial" w:hAnsi="Arial"/>
                <w:sz w:val="14"/>
                <w:szCs w:val="14"/>
                <w:b w:val="1"/>
                <w:bCs w:val="1"/>
                <w:i w:val="1"/>
                <w:iCs w:val="1"/>
                <w:color w:val="auto"/>
                <w:w w:val="88"/>
              </w:rPr>
              <w:t>Useful Life at</w:t>
            </w:r>
          </w:p>
        </w:tc>
      </w:tr>
      <w:tr>
        <w:trPr>
          <w:trHeight w:val="146"/>
        </w:trPr>
        <w:tc>
          <w:tcPr>
            <w:tcW w:w="566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4"/>
                <w:szCs w:val="14"/>
                <w:b w:val="1"/>
                <w:bCs w:val="1"/>
                <w:i w:val="1"/>
                <w:iCs w:val="1"/>
                <w:color w:val="auto"/>
                <w:w w:val="83"/>
              </w:rPr>
              <w:t>Useful Life</w:t>
            </w:r>
          </w:p>
        </w:tc>
        <w:tc>
          <w:tcPr>
            <w:tcW w:w="120" w:type="dxa"/>
            <w:vAlign w:val="bottom"/>
          </w:tcPr>
          <w:p>
            <w:pPr>
              <w:spacing w:after="0"/>
              <w:rPr>
                <w:sz w:val="12"/>
                <w:szCs w:val="12"/>
                <w:color w:val="auto"/>
              </w:rPr>
            </w:pPr>
          </w:p>
        </w:tc>
        <w:tc>
          <w:tcPr>
            <w:tcW w:w="880" w:type="dxa"/>
            <w:vAlign w:val="bottom"/>
            <w:gridSpan w:val="3"/>
          </w:tcPr>
          <w:p>
            <w:pPr>
              <w:jc w:val="center"/>
              <w:ind w:left="16"/>
              <w:spacing w:after="0" w:line="146" w:lineRule="exact"/>
              <w:rPr>
                <w:sz w:val="20"/>
                <w:szCs w:val="20"/>
                <w:color w:val="auto"/>
              </w:rPr>
            </w:pPr>
            <w:r>
              <w:rPr>
                <w:rFonts w:ascii="Arial" w:cs="Arial" w:eastAsia="Arial" w:hAnsi="Arial"/>
                <w:sz w:val="14"/>
                <w:szCs w:val="14"/>
                <w:b w:val="1"/>
                <w:bCs w:val="1"/>
                <w:i w:val="1"/>
                <w:iCs w:val="1"/>
                <w:color w:val="auto"/>
                <w:w w:val="84"/>
              </w:rPr>
              <w:t>Dec. 31, 2013</w:t>
            </w:r>
          </w:p>
        </w:tc>
      </w:tr>
      <w:tr>
        <w:trPr>
          <w:trHeight w:val="20"/>
        </w:trPr>
        <w:tc>
          <w:tcPr>
            <w:tcW w:w="5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5660" w:type="dxa"/>
            <w:vAlign w:val="bottom"/>
          </w:tcPr>
          <w:p>
            <w:pPr>
              <w:spacing w:after="0"/>
              <w:rPr>
                <w:sz w:val="15"/>
                <w:szCs w:val="15"/>
                <w:color w:val="auto"/>
              </w:rPr>
            </w:pPr>
          </w:p>
        </w:tc>
        <w:tc>
          <w:tcPr>
            <w:tcW w:w="1620" w:type="dxa"/>
            <w:vAlign w:val="bottom"/>
            <w:gridSpan w:val="5"/>
          </w:tcPr>
          <w:p>
            <w:pPr>
              <w:ind w:left="140"/>
              <w:spacing w:after="0"/>
              <w:rPr>
                <w:sz w:val="20"/>
                <w:szCs w:val="20"/>
                <w:color w:val="auto"/>
              </w:rPr>
            </w:pPr>
            <w:r>
              <w:rPr>
                <w:rFonts w:ascii="Arial" w:cs="Arial" w:eastAsia="Arial" w:hAnsi="Arial"/>
                <w:sz w:val="14"/>
                <w:szCs w:val="14"/>
                <w:color w:val="auto"/>
              </w:rPr>
              <w:t>- - - - (in months) - - - -</w:t>
            </w:r>
          </w:p>
        </w:tc>
      </w:tr>
      <w:tr>
        <w:trPr>
          <w:trHeight w:val="228"/>
        </w:trPr>
        <w:tc>
          <w:tcPr>
            <w:tcW w:w="566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Sigma:</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Software</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5660" w:type="dxa"/>
            <w:vAlign w:val="bottom"/>
          </w:tcPr>
          <w:p>
            <w:pPr>
              <w:spacing w:after="0"/>
              <w:rPr>
                <w:sz w:val="20"/>
                <w:szCs w:val="20"/>
                <w:color w:val="auto"/>
              </w:rPr>
            </w:pPr>
            <w:r>
              <w:rPr>
                <w:rFonts w:ascii="Arial" w:cs="Arial" w:eastAsia="Arial" w:hAnsi="Arial"/>
                <w:sz w:val="18"/>
                <w:szCs w:val="18"/>
                <w:color w:val="auto"/>
                <w:w w:val="96"/>
              </w:rPr>
              <w:t>Finite-lived intangible assets resulting from the acquisition of Thermonics: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108.5</w:t>
            </w:r>
          </w:p>
        </w:tc>
        <w:tc>
          <w:tcPr>
            <w:tcW w:w="20" w:type="dxa"/>
            <w:vAlign w:val="bottom"/>
          </w:tcPr>
          <w:p>
            <w:pPr>
              <w:spacing w:after="0"/>
              <w:rPr>
                <w:sz w:val="24"/>
                <w:szCs w:val="24"/>
                <w:color w:val="auto"/>
              </w:rPr>
            </w:pPr>
          </w:p>
        </w:tc>
      </w:tr>
      <w:tr>
        <w:trPr>
          <w:trHeight w:val="459"/>
        </w:trPr>
        <w:tc>
          <w:tcPr>
            <w:tcW w:w="5660" w:type="dxa"/>
            <w:vAlign w:val="bottom"/>
          </w:tcPr>
          <w:p>
            <w:pPr>
              <w:ind w:left="140"/>
              <w:spacing w:after="0"/>
              <w:rPr>
                <w:sz w:val="20"/>
                <w:szCs w:val="20"/>
                <w:color w:val="auto"/>
              </w:rPr>
            </w:pPr>
            <w:r>
              <w:rPr>
                <w:rFonts w:ascii="Arial" w:cs="Arial" w:eastAsia="Arial" w:hAnsi="Arial"/>
                <w:sz w:val="18"/>
                <w:szCs w:val="18"/>
                <w:color w:val="auto"/>
              </w:rPr>
              <w:t>Non-compete/non-solicitation agreement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changes in the amount of the carrying value of finite-lived intangible assets for the year ended December 31, 2013:</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Balance - January 1, 2013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$1,684</w:t>
            </w:r>
          </w:p>
        </w:tc>
        <w:tc>
          <w:tcPr>
            <w:tcW w:w="40" w:type="dxa"/>
            <w:vAlign w:val="bottom"/>
          </w:tcPr>
          <w:p>
            <w:pPr>
              <w:spacing w:after="0"/>
              <w:rPr>
                <w:sz w:val="19"/>
                <w:szCs w:val="19"/>
                <w:color w:val="auto"/>
              </w:rPr>
            </w:pPr>
          </w:p>
        </w:tc>
      </w:tr>
      <w:tr>
        <w:trPr>
          <w:trHeight w:val="421"/>
        </w:trPr>
        <w:tc>
          <w:tcPr>
            <w:tcW w:w="404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(446)</w:t>
            </w: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Balance - December 31, 2013</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1,238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years ended December 31, 2013 and 2012 was $446 and $476,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2180" w:type="dxa"/>
        <w:tblCellMar>
          <w:top w:w="0" w:type="dxa"/>
          <w:left w:w="0" w:type="dxa"/>
          <w:bottom w:w="0" w:type="dxa"/>
          <w:right w:w="0" w:type="dxa"/>
        </w:tblCellMar>
      </w:tblPr>
      <w:tr>
        <w:trPr>
          <w:trHeight w:val="222"/>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2014</w:t>
            </w: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2015</w:t>
            </w:r>
          </w:p>
        </w:tc>
        <w:tc>
          <w:tcPr>
            <w:tcW w:w="14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2016</w:t>
            </w: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2017</w:t>
            </w:r>
          </w:p>
        </w:tc>
        <w:tc>
          <w:tcPr>
            <w:tcW w:w="14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459"/>
        </w:trPr>
        <w:tc>
          <w:tcPr>
            <w:tcW w:w="1480" w:type="dxa"/>
            <w:vAlign w:val="bottom"/>
          </w:tcPr>
          <w:p>
            <w:pPr>
              <w:jc w:val="right"/>
              <w:ind w:right="1032"/>
              <w:spacing w:after="0"/>
              <w:rPr>
                <w:sz w:val="20"/>
                <w:szCs w:val="20"/>
                <w:color w:val="auto"/>
              </w:rPr>
            </w:pPr>
            <w:r>
              <w:rPr>
                <w:rFonts w:ascii="Arial" w:cs="Arial" w:eastAsia="Arial" w:hAnsi="Arial"/>
                <w:sz w:val="18"/>
                <w:szCs w:val="18"/>
                <w:color w:val="auto"/>
                <w:w w:val="84"/>
              </w:rPr>
              <w:t>2018</w:t>
            </w:r>
          </w:p>
        </w:tc>
        <w:tc>
          <w:tcPr>
            <w:tcW w:w="1460" w:type="dxa"/>
            <w:vAlign w:val="bottom"/>
          </w:tcPr>
          <w:p>
            <w:pPr>
              <w:jc w:val="right"/>
              <w:spacing w:after="0"/>
              <w:rPr>
                <w:sz w:val="20"/>
                <w:szCs w:val="20"/>
                <w:color w:val="auto"/>
              </w:rPr>
            </w:pPr>
            <w:r>
              <w:rPr>
                <w:rFonts w:ascii="Arial" w:cs="Arial" w:eastAsia="Arial" w:hAnsi="Arial"/>
                <w:sz w:val="18"/>
                <w:szCs w:val="18"/>
                <w:color w:val="auto"/>
              </w:rPr>
              <w:t>$ 65</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40"/>
        <w:spacing w:after="0" w:line="310" w:lineRule="auto"/>
        <w:rPr>
          <w:sz w:val="20"/>
          <w:szCs w:val="20"/>
          <w:color w:val="auto"/>
        </w:rPr>
      </w:pPr>
      <w:r>
        <w:rPr>
          <w:rFonts w:ascii="Arial" w:cs="Arial" w:eastAsia="Arial" w:hAnsi="Arial"/>
          <w:sz w:val="15"/>
          <w:szCs w:val="15"/>
          <w:color w:val="auto"/>
        </w:rPr>
        <w:t>During December 2013 and 2012, we assessed our goodwill and indefinite life intangible asset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 used in 2013 and 2012 for the discounted cash flows were 20% and 24%,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w:t>
      </w:r>
    </w:p>
    <w:p>
      <w:pPr>
        <w:sectPr>
          <w:pgSz w:w="11900" w:h="16848" w:orient="portrait"/>
          <w:cols w:equalWidth="0" w:num="1">
            <w:col w:w="11420"/>
          </w:cols>
          <w:pgMar w:left="240" w:top="131" w:right="239" w:bottom="0" w:gutter="0" w:footer="0" w:header="0"/>
        </w:sectPr>
      </w:pPr>
    </w:p>
    <w:bookmarkStart w:id="36" w:name="page37"/>
    <w:bookmarkEnd w:id="36"/>
    <w:p>
      <w:pPr>
        <w:spacing w:after="0" w:line="65" w:lineRule="exact"/>
        <w:rPr>
          <w:sz w:val="20"/>
          <w:szCs w:val="20"/>
          <w:color w:val="auto"/>
        </w:rPr>
      </w:pPr>
    </w:p>
    <w:p>
      <w:pPr>
        <w:ind w:left="540" w:right="280"/>
        <w:spacing w:after="0" w:line="332" w:lineRule="auto"/>
        <w:rPr>
          <w:sz w:val="20"/>
          <w:szCs w:val="20"/>
          <w:color w:val="auto"/>
        </w:rPr>
      </w:pPr>
      <w:r>
        <w:rPr>
          <w:rFonts w:ascii="Arial" w:cs="Arial" w:eastAsia="Arial" w:hAnsi="Arial"/>
          <w:sz w:val="16"/>
          <w:szCs w:val="16"/>
          <w:color w:val="auto"/>
        </w:rPr>
        <w:t>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INTANGIBLE AND LONG-LIVED ASSETS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During the goodwill impairment assessment in both 2013 and 2012, we performed a Step I test to identify potential impairment, in which the fair value of the reporting unit was compared with its book value. This assessment indicated no impairment existed as the fair value of this reporting unit was determined to exceed its carrying value by 65% or $13,888 at December 31, 2013 and by 41% or $7,516 at December 31, 2012.</w:t>
      </w:r>
    </w:p>
    <w:p>
      <w:pPr>
        <w:spacing w:after="0" w:line="16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During the indefinite life intangible asset impairment assessment in both 2013 and 2012, we compared the fair value of our intangible asset with its carrying amount. This assessment indicated no impairment existed as the fair value of the intangible assets exceeded their carrying values in both 2013 and 2012.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As previously noted, our long-lived assets consist of our finite-lived intangible assets and property and equipment. During both December 2013 and 2012, due to continued operating losses experienced in our Mechanical Products segment, we assessed the long-lived assets of this segment for impairment. Our assessments indicated that the property and equipment that is allocated to this segment was not impaired. During 2013 and 2012, we did not review our Thermal and Electrical Products segment's long lived assets for impairment as there were no events or changes in business circumstances that would indicate an impairment might exist.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AND OTHER CHARGES</w:t>
      </w:r>
    </w:p>
    <w:p>
      <w:pPr>
        <w:spacing w:after="0" w:line="191"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In connection with the acquisition of Thermonics, as discussed further in Note 3, we signed a separate one year lease for the facility in Sunnyvale, California then occupied by Thermonics at the time of the acquisition. This facility was owned by certain shareholders of the seller. We ceased operations at this facility in February 2012 and relocated the Thermonics product line to our facility in Mansfield, Massachusetts where our Temptronic operations are located. During the first quarter of 2012, we incurred approximately $359 of facility closure costs related to this action. These costs included lease termination fees of approximately $220 and other costs associated with this consolidation of facilities, including the cost to relocate inventory and equipment, of approximately $139. During the fourth quarter of 2012 we received a refund of $46 of lease termination fees paid in the first quarter due to the sale of the leased facility.</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Changes in our liability for restructuring and other charges for the year ended December 31, 2012 are summarized as follows:</w:t>
      </w:r>
    </w:p>
    <w:p>
      <w:pPr>
        <w:spacing w:after="0" w:line="33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00" w:type="dxa"/>
            <w:vAlign w:val="bottom"/>
            <w:gridSpan w:val="7"/>
          </w:tcPr>
          <w:p>
            <w:pPr>
              <w:jc w:val="right"/>
              <w:spacing w:after="0"/>
              <w:rPr>
                <w:sz w:val="20"/>
                <w:szCs w:val="20"/>
                <w:color w:val="auto"/>
              </w:rPr>
            </w:pPr>
            <w:r>
              <w:rPr>
                <w:rFonts w:ascii="Arial" w:cs="Arial" w:eastAsia="Arial" w:hAnsi="Arial"/>
                <w:sz w:val="14"/>
                <w:szCs w:val="14"/>
                <w:b w:val="1"/>
                <w:bCs w:val="1"/>
                <w:i w:val="1"/>
                <w:iCs w:val="1"/>
                <w:color w:val="auto"/>
              </w:rPr>
              <w:t>Thermonics</w:t>
            </w:r>
          </w:p>
        </w:tc>
      </w:tr>
      <w:tr>
        <w:trPr>
          <w:trHeight w:val="146"/>
        </w:trPr>
        <w:tc>
          <w:tcPr>
            <w:tcW w:w="4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Borders>
              <w:bottom w:val="single" w:sz="8" w:color="auto"/>
            </w:tcBorders>
            <w:gridSpan w:val="5"/>
          </w:tcPr>
          <w:p>
            <w:pPr>
              <w:spacing w:after="0" w:line="146" w:lineRule="exact"/>
              <w:rPr>
                <w:sz w:val="20"/>
                <w:szCs w:val="20"/>
                <w:color w:val="auto"/>
              </w:rPr>
            </w:pPr>
            <w:r>
              <w:rPr>
                <w:rFonts w:ascii="Arial" w:cs="Arial" w:eastAsia="Arial" w:hAnsi="Arial"/>
                <w:sz w:val="14"/>
                <w:szCs w:val="14"/>
                <w:b w:val="1"/>
                <w:bCs w:val="1"/>
                <w:i w:val="1"/>
                <w:iCs w:val="1"/>
                <w:color w:val="auto"/>
                <w:w w:val="80"/>
              </w:rPr>
              <w:t>Relocation</w:t>
            </w:r>
          </w:p>
        </w:tc>
        <w:tc>
          <w:tcPr>
            <w:tcW w:w="20" w:type="dxa"/>
            <w:vAlign w:val="bottom"/>
          </w:tcPr>
          <w:p>
            <w:pPr>
              <w:spacing w:after="0"/>
              <w:rPr>
                <w:sz w:val="12"/>
                <w:szCs w:val="12"/>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8"/>
                <w:szCs w:val="18"/>
                <w:color w:val="auto"/>
              </w:rPr>
              <w:t>Balance - January 1, 2012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313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120" w:type="dxa"/>
            <w:vAlign w:val="bottom"/>
          </w:tcPr>
          <w:p>
            <w:pPr>
              <w:spacing w:after="0"/>
              <w:rPr>
                <w:sz w:val="20"/>
                <w:szCs w:val="20"/>
                <w:color w:val="auto"/>
              </w:rPr>
            </w:pPr>
            <w:r>
              <w:rPr>
                <w:rFonts w:ascii="Arial" w:cs="Arial" w:eastAsia="Arial" w:hAnsi="Arial"/>
                <w:sz w:val="18"/>
                <w:szCs w:val="18"/>
                <w:color w:val="auto"/>
              </w:rPr>
              <w:t>Cash payments related to facility closure costs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(359)</w:t>
            </w:r>
          </w:p>
        </w:tc>
      </w:tr>
      <w:tr>
        <w:trPr>
          <w:trHeight w:val="421"/>
        </w:trPr>
        <w:tc>
          <w:tcPr>
            <w:tcW w:w="4120" w:type="dxa"/>
            <w:vAlign w:val="bottom"/>
          </w:tcPr>
          <w:p>
            <w:pPr>
              <w:spacing w:after="0"/>
              <w:rPr>
                <w:sz w:val="20"/>
                <w:szCs w:val="20"/>
                <w:color w:val="auto"/>
              </w:rPr>
            </w:pPr>
            <w:r>
              <w:rPr>
                <w:rFonts w:ascii="Arial" w:cs="Arial" w:eastAsia="Arial" w:hAnsi="Arial"/>
                <w:sz w:val="18"/>
                <w:szCs w:val="18"/>
                <w:color w:val="auto"/>
              </w:rPr>
              <w:t>Refund of lease termination fees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4120" w:type="dxa"/>
            <w:vAlign w:val="bottom"/>
          </w:tcPr>
          <w:p>
            <w:pPr>
              <w:spacing w:after="0"/>
              <w:rPr>
                <w:sz w:val="20"/>
                <w:szCs w:val="20"/>
                <w:color w:val="auto"/>
              </w:rPr>
            </w:pPr>
            <w:r>
              <w:rPr>
                <w:rFonts w:ascii="Arial" w:cs="Arial" w:eastAsia="Arial" w:hAnsi="Arial"/>
                <w:sz w:val="18"/>
                <w:szCs w:val="18"/>
                <w:color w:val="auto"/>
              </w:rPr>
              <w:t>Balance - December 31, 2012</w:t>
            </w:r>
          </w:p>
        </w:tc>
        <w:tc>
          <w:tcPr>
            <w:tcW w:w="1000" w:type="dxa"/>
            <w:vAlign w:val="bottom"/>
            <w:gridSpan w:val="3"/>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MAJOR CUSTOMERS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Texas Instruments Incorporated accounted for 13% and 14% of our consolidated net revenues in 2013 and 2012, respectively. While all three of our operating segments sold products to this customer, these revenues were primarily generated by our Mechanical Products and Electrical Products segments. Teradyne, Inc. accounted for 11% of our consolidated net revenues in 2012. While all three of our operating segments sold products to this customer, these revenues were primarily generated by our Electrical Products segment. During the years ended December 31, 2013 and 2012, no other customer accounted for 10% or more of our consolidated net revenues.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December 31 were comprised of the following:</w:t>
      </w:r>
    </w:p>
    <w:p>
      <w:pPr>
        <w:sectPr>
          <w:pgSz w:w="11900" w:h="16903" w:orient="portrait"/>
          <w:cols w:equalWidth="0" w:num="1">
            <w:col w:w="11420"/>
          </w:cols>
          <w:pgMar w:left="240" w:top="131" w:right="239" w:bottom="0" w:gutter="0" w:footer="0" w:header="0"/>
        </w:sectPr>
      </w:pPr>
    </w:p>
    <w:p>
      <w:pPr>
        <w:spacing w:after="0" w:line="196" w:lineRule="exact"/>
        <w:rPr>
          <w:sz w:val="20"/>
          <w:szCs w:val="20"/>
          <w:color w:val="auto"/>
        </w:rPr>
      </w:pPr>
    </w:p>
    <w:p>
      <w:pPr>
        <w:ind w:left="4440"/>
        <w:spacing w:after="0"/>
        <w:tabs>
          <w:tab w:leader="none" w:pos="5160" w:val="left"/>
        </w:tabs>
        <w:rPr>
          <w:sz w:val="20"/>
          <w:szCs w:val="20"/>
          <w:color w:val="auto"/>
        </w:rPr>
      </w:pPr>
      <w:r>
        <w:rPr>
          <w:rFonts w:ascii="Arial" w:cs="Arial" w:eastAsia="Arial" w:hAnsi="Arial"/>
          <w:sz w:val="12"/>
          <w:szCs w:val="12"/>
          <w:b w:val="1"/>
          <w:bCs w:val="1"/>
          <w:i w:val="1"/>
          <w:iCs w:val="1"/>
          <w:color w:val="auto"/>
        </w:rPr>
        <w:t>2013</w:t>
      </w:r>
      <w:r>
        <w:rPr>
          <w:sz w:val="20"/>
          <w:szCs w:val="20"/>
          <w:color w:val="auto"/>
        </w:rPr>
        <w:tab/>
      </w:r>
      <w:r>
        <w:rPr>
          <w:rFonts w:ascii="Arial" w:cs="Arial" w:eastAsia="Arial" w:hAnsi="Arial"/>
          <w:sz w:val="12"/>
          <w:szCs w:val="12"/>
          <w:b w:val="1"/>
          <w:bCs w:val="1"/>
          <w:i w:val="1"/>
          <w:iCs w:val="1"/>
          <w:color w:val="auto"/>
        </w:rPr>
        <w:t>2012</w:t>
      </w:r>
    </w:p>
    <w:p>
      <w:pPr>
        <w:sectPr>
          <w:pgSz w:w="11900" w:h="16903" w:orient="portrait"/>
          <w:cols w:equalWidth="0" w:num="1">
            <w:col w:w="11420"/>
          </w:cols>
          <w:pgMar w:left="240" w:top="131" w:right="239" w:bottom="0" w:gutter="0" w:footer="0" w:header="0"/>
          <w:type w:val="continuous"/>
        </w:sectPr>
      </w:pPr>
    </w:p>
    <w:bookmarkStart w:id="37" w:name="page38"/>
    <w:bookmarkEnd w:id="37"/>
    <w:tbl>
      <w:tblPr>
        <w:tblLayout w:type="fixed"/>
        <w:tblInd w:w="110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Raw materials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$2,753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$2,157</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Work in process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454</w:t>
            </w:r>
          </w:p>
        </w:tc>
      </w:tr>
      <w:tr>
        <w:trPr>
          <w:trHeight w:val="459"/>
        </w:trPr>
        <w:tc>
          <w:tcPr>
            <w:tcW w:w="336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421"/>
        </w:trPr>
        <w:tc>
          <w:tcPr>
            <w:tcW w:w="3360" w:type="dxa"/>
            <w:vAlign w:val="bottom"/>
          </w:tcPr>
          <w:p>
            <w:pPr>
              <w:spacing w:after="0"/>
              <w:rPr>
                <w:sz w:val="20"/>
                <w:szCs w:val="20"/>
                <w:color w:val="auto"/>
              </w:rPr>
            </w:pPr>
            <w:r>
              <w:rPr>
                <w:rFonts w:ascii="Arial" w:cs="Arial" w:eastAsia="Arial" w:hAnsi="Arial"/>
                <w:sz w:val="18"/>
                <w:szCs w:val="18"/>
                <w:color w:val="auto"/>
              </w:rPr>
              <w:t>Finished goods</w:t>
            </w:r>
          </w:p>
        </w:tc>
        <w:tc>
          <w:tcPr>
            <w:tcW w:w="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r>
      <w:tr>
        <w:trPr>
          <w:trHeight w:val="439"/>
        </w:trPr>
        <w:tc>
          <w:tcPr>
            <w:tcW w:w="336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3,243</w:t>
            </w:r>
          </w:p>
        </w:tc>
        <w:tc>
          <w:tcPr>
            <w:tcW w:w="24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3,135</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2974975</wp:posOffset>
            </wp:positionH>
            <wp:positionV relativeFrom="page">
              <wp:posOffset>88900</wp:posOffset>
            </wp:positionV>
            <wp:extent cx="1714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page">
              <wp:posOffset>3442335</wp:posOffset>
            </wp:positionH>
            <wp:positionV relativeFrom="page">
              <wp:posOffset>88900</wp:posOffset>
            </wp:positionV>
            <wp:extent cx="171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(8) OTHER CURRENT LIABILITIES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current liabilities at December 31, were comprised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2012</w:t>
            </w:r>
          </w:p>
        </w:tc>
        <w:tc>
          <w:tcPr>
            <w:tcW w:w="80" w:type="dxa"/>
            <w:vAlign w:val="bottom"/>
          </w:tcPr>
          <w:p>
            <w:pPr>
              <w:spacing w:after="0"/>
              <w:rPr>
                <w:sz w:val="14"/>
                <w:szCs w:val="14"/>
                <w:color w:val="auto"/>
              </w:rPr>
            </w:pPr>
          </w:p>
        </w:tc>
      </w:tr>
      <w:tr>
        <w:trPr>
          <w:trHeight w:val="262"/>
        </w:trPr>
        <w:tc>
          <w:tcPr>
            <w:tcW w:w="2640" w:type="dxa"/>
            <w:vAlign w:val="bottom"/>
          </w:tcPr>
          <w:p>
            <w:pPr>
              <w:spacing w:after="0"/>
              <w:rPr>
                <w:sz w:val="20"/>
                <w:szCs w:val="20"/>
                <w:color w:val="auto"/>
              </w:rPr>
            </w:pPr>
            <w:r>
              <w:rPr>
                <w:rFonts w:ascii="Arial" w:cs="Arial" w:eastAsia="Arial" w:hAnsi="Arial"/>
                <w:sz w:val="18"/>
                <w:szCs w:val="18"/>
                <w:color w:val="auto"/>
              </w:rPr>
              <w:t>Accrued warranty</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$197</w:t>
            </w:r>
          </w:p>
        </w:tc>
      </w:tr>
      <w:tr>
        <w:trPr>
          <w:trHeight w:val="421"/>
        </w:trPr>
        <w:tc>
          <w:tcPr>
            <w:tcW w:w="26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w:t>
            </w:r>
          </w:p>
        </w:tc>
        <w:tc>
          <w:tcPr>
            <w:tcW w:w="40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w:t>
            </w:r>
          </w:p>
        </w:tc>
      </w:tr>
      <w:tr>
        <w:trPr>
          <w:trHeight w:val="439"/>
        </w:trPr>
        <w:tc>
          <w:tcPr>
            <w:tcW w:w="2640" w:type="dxa"/>
            <w:vAlign w:val="bottom"/>
          </w:tcPr>
          <w:p>
            <w:pPr>
              <w:spacing w:after="0"/>
              <w:rPr>
                <w:sz w:val="24"/>
                <w:szCs w:val="24"/>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227</w:t>
            </w:r>
          </w:p>
        </w:tc>
        <w:tc>
          <w:tcPr>
            <w:tcW w:w="7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376</w:t>
            </w:r>
          </w:p>
        </w:tc>
      </w:tr>
      <w:tr>
        <w:trPr>
          <w:trHeight w:val="20"/>
        </w:trPr>
        <w:tc>
          <w:tcPr>
            <w:tcW w:w="26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 The terms of our leases require us to renew these letters of credit at least 30 days prior to their expiration dates for successive terms of not less than one year until lease expiration. Our outstanding letters of credit at December 31, 2013 and 2012 consisted of the following:</w:t>
      </w:r>
    </w:p>
    <w:p>
      <w:pPr>
        <w:spacing w:after="0" w:line="15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10"/>
          </w:tcPr>
          <w:p>
            <w:pPr>
              <w:jc w:val="right"/>
              <w:ind w:right="360"/>
              <w:spacing w:after="0"/>
              <w:rPr>
                <w:sz w:val="20"/>
                <w:szCs w:val="20"/>
                <w:color w:val="auto"/>
              </w:rPr>
            </w:pPr>
            <w:r>
              <w:rPr>
                <w:rFonts w:ascii="Arial" w:cs="Arial" w:eastAsia="Arial" w:hAnsi="Arial"/>
                <w:sz w:val="14"/>
                <w:szCs w:val="14"/>
                <w:b w:val="1"/>
                <w:bCs w:val="1"/>
                <w:i w:val="1"/>
                <w:iCs w:val="1"/>
                <w:color w:val="auto"/>
                <w:w w:val="94"/>
              </w:rPr>
              <w:t>Letters of Credit</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i w:val="1"/>
                <w:iCs w:val="1"/>
                <w:color w:val="auto"/>
                <w:w w:val="88"/>
              </w:rPr>
              <w:t>L/C</w:t>
            </w:r>
          </w:p>
        </w:tc>
        <w:tc>
          <w:tcPr>
            <w:tcW w:w="160" w:type="dxa"/>
            <w:vAlign w:val="bottom"/>
          </w:tcPr>
          <w:p>
            <w:pPr>
              <w:spacing w:after="0"/>
              <w:rPr>
                <w:sz w:val="12"/>
                <w:szCs w:val="12"/>
                <w:color w:val="auto"/>
              </w:rPr>
            </w:pPr>
          </w:p>
        </w:tc>
        <w:tc>
          <w:tcPr>
            <w:tcW w:w="960" w:type="dxa"/>
            <w:vAlign w:val="bottom"/>
            <w:gridSpan w:val="2"/>
          </w:tcPr>
          <w:p>
            <w:pPr>
              <w:ind w:left="100"/>
              <w:spacing w:after="0" w:line="146" w:lineRule="exact"/>
              <w:rPr>
                <w:sz w:val="20"/>
                <w:szCs w:val="20"/>
                <w:color w:val="auto"/>
              </w:rPr>
            </w:pPr>
            <w:r>
              <w:rPr>
                <w:rFonts w:ascii="Arial" w:cs="Arial" w:eastAsia="Arial" w:hAnsi="Arial"/>
                <w:sz w:val="14"/>
                <w:szCs w:val="14"/>
                <w:b w:val="1"/>
                <w:bCs w:val="1"/>
                <w:i w:val="1"/>
                <w:iCs w:val="1"/>
                <w:color w:val="auto"/>
              </w:rPr>
              <w:t>Lease</w:t>
            </w:r>
          </w:p>
        </w:tc>
        <w:tc>
          <w:tcPr>
            <w:tcW w:w="220" w:type="dxa"/>
            <w:vAlign w:val="bottom"/>
          </w:tcPr>
          <w:p>
            <w:pPr>
              <w:spacing w:after="0"/>
              <w:rPr>
                <w:sz w:val="12"/>
                <w:szCs w:val="12"/>
                <w:color w:val="auto"/>
              </w:rPr>
            </w:pPr>
          </w:p>
        </w:tc>
        <w:tc>
          <w:tcPr>
            <w:tcW w:w="1180" w:type="dxa"/>
            <w:vAlign w:val="bottom"/>
            <w:tcBorders>
              <w:bottom w:val="single" w:sz="8" w:color="auto"/>
            </w:tcBorders>
            <w:gridSpan w:val="8"/>
          </w:tcPr>
          <w:p>
            <w:pPr>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Facility</w:t>
            </w:r>
          </w:p>
        </w:tc>
        <w:tc>
          <w:tcPr>
            <w:tcW w:w="24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i w:val="1"/>
                <w:iCs w:val="1"/>
                <w:color w:val="auto"/>
              </w:rPr>
              <w:t>Original L/C</w:t>
            </w: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i w:val="1"/>
                <w:iCs w:val="1"/>
                <w:color w:val="auto"/>
                <w:w w:val="87"/>
              </w:rPr>
              <w:t>Expiration</w:t>
            </w: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i w:val="1"/>
                <w:iCs w:val="1"/>
                <w:color w:val="auto"/>
                <w:w w:val="87"/>
              </w:rPr>
              <w:t>Expiration</w:t>
            </w:r>
          </w:p>
        </w:tc>
        <w:tc>
          <w:tcPr>
            <w:tcW w:w="72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i w:val="1"/>
                <w:iCs w:val="1"/>
                <w:color w:val="auto"/>
              </w:rPr>
              <w:t>Dec. 31</w:t>
            </w:r>
          </w:p>
        </w:tc>
        <w:tc>
          <w:tcPr>
            <w:tcW w:w="900" w:type="dxa"/>
            <w:vAlign w:val="bottom"/>
            <w:gridSpan w:val="6"/>
            <w:vMerge w:val="restart"/>
          </w:tcPr>
          <w:p>
            <w:pPr>
              <w:jc w:val="center"/>
              <w:ind w:left="206"/>
              <w:spacing w:after="0"/>
              <w:rPr>
                <w:sz w:val="20"/>
                <w:szCs w:val="20"/>
                <w:color w:val="auto"/>
              </w:rPr>
            </w:pPr>
            <w:r>
              <w:rPr>
                <w:rFonts w:ascii="Arial" w:cs="Arial" w:eastAsia="Arial" w:hAnsi="Arial"/>
                <w:sz w:val="14"/>
                <w:szCs w:val="14"/>
                <w:b w:val="1"/>
                <w:bCs w:val="1"/>
                <w:i w:val="1"/>
                <w:iCs w:val="1"/>
                <w:color w:val="auto"/>
                <w:w w:val="86"/>
              </w:rPr>
              <w:t>Dec. 31,</w:t>
            </w:r>
          </w:p>
        </w:tc>
        <w:tc>
          <w:tcPr>
            <w:tcW w:w="0" w:type="dxa"/>
            <w:vAlign w:val="bottom"/>
          </w:tcPr>
          <w:p>
            <w:pPr>
              <w:spacing w:after="0"/>
              <w:rPr>
                <w:sz w:val="1"/>
                <w:szCs w:val="1"/>
                <w:color w:val="auto"/>
              </w:rPr>
            </w:pPr>
          </w:p>
        </w:tc>
      </w:tr>
      <w:tr>
        <w:trPr>
          <w:trHeight w:val="50"/>
        </w:trPr>
        <w:tc>
          <w:tcPr>
            <w:tcW w:w="420" w:type="dxa"/>
            <w:vAlign w:val="bottom"/>
            <w:tcBorders>
              <w:top w:val="single" w:sz="8" w:color="auto"/>
            </w:tcBorders>
          </w:tcPr>
          <w:p>
            <w:pPr>
              <w:spacing w:after="0"/>
              <w:rPr>
                <w:sz w:val="4"/>
                <w:szCs w:val="4"/>
                <w:color w:val="auto"/>
              </w:rPr>
            </w:pPr>
          </w:p>
        </w:tc>
        <w:tc>
          <w:tcPr>
            <w:tcW w:w="204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720" w:type="dxa"/>
            <w:vAlign w:val="bottom"/>
            <w:gridSpan w:val="5"/>
            <w:vMerge w:val="continue"/>
          </w:tcPr>
          <w:p>
            <w:pPr>
              <w:spacing w:after="0"/>
              <w:rPr>
                <w:sz w:val="4"/>
                <w:szCs w:val="4"/>
                <w:color w:val="auto"/>
              </w:rPr>
            </w:pPr>
          </w:p>
        </w:tc>
        <w:tc>
          <w:tcPr>
            <w:tcW w:w="9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460" w:type="dxa"/>
            <w:vAlign w:val="bottom"/>
            <w:gridSpan w:val="3"/>
          </w:tcPr>
          <w:p>
            <w:pPr>
              <w:jc w:val="right"/>
              <w:ind w:right="420"/>
              <w:spacing w:after="0" w:line="146" w:lineRule="exact"/>
              <w:rPr>
                <w:sz w:val="20"/>
                <w:szCs w:val="20"/>
                <w:color w:val="auto"/>
              </w:rPr>
            </w:pPr>
            <w:r>
              <w:rPr>
                <w:rFonts w:ascii="Arial" w:cs="Arial" w:eastAsia="Arial" w:hAnsi="Arial"/>
                <w:sz w:val="14"/>
                <w:szCs w:val="14"/>
                <w:b w:val="1"/>
                <w:bCs w:val="1"/>
                <w:i w:val="1"/>
                <w:iCs w:val="1"/>
                <w:color w:val="auto"/>
              </w:rPr>
              <w:t>Issue Date</w:t>
            </w:r>
          </w:p>
        </w:tc>
        <w:tc>
          <w:tcPr>
            <w:tcW w:w="180" w:type="dxa"/>
            <w:vAlign w:val="bottom"/>
          </w:tcPr>
          <w:p>
            <w:pPr>
              <w:spacing w:after="0"/>
              <w:rPr>
                <w:sz w:val="12"/>
                <w:szCs w:val="12"/>
                <w:color w:val="auto"/>
              </w:rPr>
            </w:pPr>
          </w:p>
        </w:tc>
        <w:tc>
          <w:tcPr>
            <w:tcW w:w="920" w:type="dxa"/>
            <w:vAlign w:val="bottom"/>
            <w:gridSpan w:val="2"/>
          </w:tcPr>
          <w:p>
            <w:pPr>
              <w:jc w:val="center"/>
              <w:ind w:right="4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160" w:type="dxa"/>
            <w:vAlign w:val="bottom"/>
          </w:tcPr>
          <w:p>
            <w:pPr>
              <w:spacing w:after="0"/>
              <w:rPr>
                <w:sz w:val="12"/>
                <w:szCs w:val="12"/>
                <w:color w:val="auto"/>
              </w:rPr>
            </w:pPr>
          </w:p>
        </w:tc>
        <w:tc>
          <w:tcPr>
            <w:tcW w:w="960" w:type="dxa"/>
            <w:vAlign w:val="bottom"/>
            <w:gridSpan w:val="2"/>
          </w:tcPr>
          <w:p>
            <w:pPr>
              <w:jc w:val="center"/>
              <w:ind w:right="4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560" w:type="dxa"/>
            <w:vAlign w:val="bottom"/>
            <w:gridSpan w:val="4"/>
          </w:tcPr>
          <w:p>
            <w:pPr>
              <w:ind w:left="220"/>
              <w:spacing w:after="0" w:line="146" w:lineRule="exact"/>
              <w:rPr>
                <w:sz w:val="20"/>
                <w:szCs w:val="20"/>
                <w:color w:val="auto"/>
              </w:rPr>
            </w:pPr>
            <w:r>
              <w:rPr>
                <w:rFonts w:ascii="Arial" w:cs="Arial" w:eastAsia="Arial" w:hAnsi="Arial"/>
                <w:sz w:val="14"/>
                <w:szCs w:val="14"/>
                <w:b w:val="1"/>
                <w:bCs w:val="1"/>
                <w:i w:val="1"/>
                <w:iCs w:val="1"/>
                <w:color w:val="auto"/>
              </w:rPr>
              <w:t>2013</w:t>
            </w:r>
          </w:p>
        </w:tc>
        <w:tc>
          <w:tcPr>
            <w:tcW w:w="160" w:type="dxa"/>
            <w:vAlign w:val="bottom"/>
          </w:tcPr>
          <w:p>
            <w:pPr>
              <w:spacing w:after="0"/>
              <w:rPr>
                <w:sz w:val="12"/>
                <w:szCs w:val="12"/>
                <w:color w:val="auto"/>
              </w:rPr>
            </w:pPr>
          </w:p>
        </w:tc>
        <w:tc>
          <w:tcPr>
            <w:tcW w:w="800" w:type="dxa"/>
            <w:vAlign w:val="bottom"/>
            <w:gridSpan w:val="5"/>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Mt. Laurel, NJ</w:t>
            </w:r>
          </w:p>
        </w:tc>
        <w:tc>
          <w:tcPr>
            <w:tcW w:w="1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460" w:type="dxa"/>
            <w:vAlign w:val="bottom"/>
            <w:gridSpan w:val="2"/>
            <w:vMerge w:val="continue"/>
          </w:tcPr>
          <w:p>
            <w:pPr>
              <w:spacing w:after="0"/>
              <w:rPr>
                <w:sz w:val="20"/>
                <w:szCs w:val="20"/>
                <w:color w:val="auto"/>
              </w:rPr>
            </w:pPr>
          </w:p>
        </w:tc>
        <w:tc>
          <w:tcPr>
            <w:tcW w:w="1460" w:type="dxa"/>
            <w:vAlign w:val="bottom"/>
            <w:vMerge w:val="restart"/>
          </w:tcPr>
          <w:p>
            <w:pPr>
              <w:spacing w:after="0"/>
              <w:rPr>
                <w:sz w:val="20"/>
                <w:szCs w:val="2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3/29/2010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3/31/2014</w:t>
            </w:r>
          </w:p>
        </w:tc>
        <w:tc>
          <w:tcPr>
            <w:tcW w:w="1120" w:type="dxa"/>
            <w:vAlign w:val="bottom"/>
            <w:gridSpan w:val="3"/>
            <w:vMerge w:val="restart"/>
          </w:tcPr>
          <w:p>
            <w:pPr>
              <w:ind w:left="260"/>
              <w:spacing w:after="0"/>
              <w:rPr>
                <w:sz w:val="20"/>
                <w:szCs w:val="20"/>
                <w:color w:val="auto"/>
              </w:rPr>
            </w:pPr>
            <w:r>
              <w:rPr>
                <w:rFonts w:ascii="Arial" w:cs="Arial" w:eastAsia="Arial" w:hAnsi="Arial"/>
                <w:sz w:val="18"/>
                <w:szCs w:val="18"/>
                <w:color w:val="auto"/>
              </w:rPr>
              <w:t>4/30/2021</w:t>
            </w:r>
          </w:p>
        </w:tc>
        <w:tc>
          <w:tcPr>
            <w:tcW w:w="720" w:type="dxa"/>
            <w:vAlign w:val="bottom"/>
            <w:gridSpan w:val="5"/>
            <w:vMerge w:val="restart"/>
          </w:tcPr>
          <w:p>
            <w:pPr>
              <w:jc w:val="right"/>
              <w:spacing w:after="0"/>
              <w:rPr>
                <w:sz w:val="20"/>
                <w:szCs w:val="20"/>
                <w:color w:val="auto"/>
              </w:rPr>
            </w:pPr>
            <w:r>
              <w:rPr>
                <w:rFonts w:ascii="Arial" w:cs="Arial" w:eastAsia="Arial" w:hAnsi="Arial"/>
                <w:sz w:val="18"/>
                <w:szCs w:val="18"/>
                <w:color w:val="auto"/>
              </w:rPr>
              <w:t>$250</w:t>
            </w:r>
          </w:p>
        </w:tc>
        <w:tc>
          <w:tcPr>
            <w:tcW w:w="900" w:type="dxa"/>
            <w:vAlign w:val="bottom"/>
            <w:gridSpan w:val="6"/>
            <w:vMerge w:val="restart"/>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720" w:type="dxa"/>
            <w:vAlign w:val="bottom"/>
            <w:gridSpan w:val="5"/>
            <w:vMerge w:val="continue"/>
          </w:tcPr>
          <w:p>
            <w:pPr>
              <w:spacing w:after="0"/>
              <w:rPr>
                <w:sz w:val="18"/>
                <w:szCs w:val="18"/>
                <w:color w:val="auto"/>
              </w:rPr>
            </w:pPr>
          </w:p>
        </w:tc>
        <w:tc>
          <w:tcPr>
            <w:tcW w:w="9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6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24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10/27/2010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11/08/2014</w:t>
            </w:r>
          </w:p>
        </w:tc>
        <w:tc>
          <w:tcPr>
            <w:tcW w:w="1120" w:type="dxa"/>
            <w:vAlign w:val="bottom"/>
            <w:gridSpan w:val="3"/>
            <w:vMerge w:val="restart"/>
          </w:tcPr>
          <w:p>
            <w:pPr>
              <w:ind w:left="260"/>
              <w:spacing w:after="0"/>
              <w:rPr>
                <w:sz w:val="20"/>
                <w:szCs w:val="20"/>
                <w:color w:val="auto"/>
              </w:rPr>
            </w:pPr>
            <w:r>
              <w:rPr>
                <w:rFonts w:ascii="Arial" w:cs="Arial" w:eastAsia="Arial" w:hAnsi="Arial"/>
                <w:sz w:val="18"/>
                <w:szCs w:val="18"/>
                <w:color w:val="auto"/>
              </w:rPr>
              <w:t>8/23/2021</w:t>
            </w:r>
          </w:p>
        </w:tc>
        <w:tc>
          <w:tcPr>
            <w:tcW w:w="400" w:type="dxa"/>
            <w:vAlign w:val="bottom"/>
            <w:gridSpan w:val="3"/>
            <w:vMerge w:val="restart"/>
          </w:tcPr>
          <w:p>
            <w:pPr>
              <w:spacing w:after="0"/>
              <w:rPr>
                <w:sz w:val="21"/>
                <w:szCs w:val="2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200</w:t>
            </w:r>
          </w:p>
        </w:tc>
        <w:tc>
          <w:tcPr>
            <w:tcW w:w="580" w:type="dxa"/>
            <w:vAlign w:val="bottom"/>
            <w:gridSpan w:val="3"/>
            <w:vMerge w:val="restart"/>
          </w:tcPr>
          <w:p>
            <w:pPr>
              <w:spacing w:after="0"/>
              <w:rPr>
                <w:sz w:val="21"/>
                <w:szCs w:val="21"/>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60" w:type="dxa"/>
            <w:vAlign w:val="bottom"/>
            <w:gridSpan w:val="3"/>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320" w:type="dxa"/>
            <w:vAlign w:val="bottom"/>
            <w:tcBorders>
              <w:bottom w:val="single" w:sz="8" w:color="auto"/>
            </w:tcBorders>
            <w:gridSpan w:val="2"/>
            <w:vMerge w:val="continue"/>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32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450</w:t>
            </w:r>
          </w:p>
        </w:tc>
        <w:tc>
          <w:tcPr>
            <w:tcW w:w="540" w:type="dxa"/>
            <w:vAlign w:val="bottom"/>
            <w:gridSpan w:val="2"/>
          </w:tcPr>
          <w:p>
            <w:pPr>
              <w:spacing w:after="0"/>
              <w:rPr>
                <w:sz w:val="19"/>
                <w:szCs w:val="19"/>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EQUIPMENT LEASING</w:t>
      </w:r>
    </w:p>
    <w:p>
      <w:pPr>
        <w:spacing w:after="0" w:line="191"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The total cost of leased equipment at December 31, 2013 and 2012 was $561 and $282, respectively, and is included in Machinery and Equipment on our balance sheet. As of December 31, 2013 and 2012, accumulated depreciation for leased equipment was $138 and $72, respectively.</w:t>
      </w:r>
    </w:p>
    <w:p>
      <w:pPr>
        <w:spacing w:after="0" w:line="139"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As of December 31, 2013, total minimum payments receivable under non-cancellable operating leases were $109. All of these payments will be received in 2014.</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540" w:right="7620" w:hanging="532"/>
        <w:spacing w:after="0" w:line="478" w:lineRule="auto"/>
        <w:tabs>
          <w:tab w:leader="none" w:pos="41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spacing w:after="0" w:line="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lease our offices, warehouse facilities, automobiles and certain equipment under non-cancellable operating leases which expire at various dates through 2021. Total rental expense for the years ended December 31, 2013 and 2012 was $1,221 and $1,237,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generally included in rental expense in our statement of operations, but they are not included in the minimum rental commitments disclosed below as they are based on actual charges incurred in the periods to which they apply.</w:t>
      </w:r>
    </w:p>
    <w:p>
      <w:pPr>
        <w:sectPr>
          <w:pgSz w:w="11900" w:h="16838" w:orient="portrait"/>
          <w:cols w:equalWidth="0" w:num="1">
            <w:col w:w="11400"/>
          </w:cols>
          <w:pgMar w:left="240" w:top="307" w:right="259" w:bottom="0" w:gutter="0" w:footer="0" w:header="0"/>
        </w:sectPr>
      </w:pPr>
    </w:p>
    <w:bookmarkStart w:id="38" w:name="page39"/>
    <w:bookmarkEnd w:id="38"/>
    <w:p>
      <w:pPr>
        <w:ind w:left="540"/>
        <w:spacing w:after="0"/>
        <w:rPr>
          <w:sz w:val="20"/>
          <w:szCs w:val="20"/>
          <w:color w:val="auto"/>
        </w:rPr>
      </w:pPr>
      <w:r>
        <w:rPr>
          <w:rFonts w:ascii="Arial" w:cs="Arial" w:eastAsia="Arial" w:hAnsi="Arial"/>
          <w:sz w:val="16"/>
          <w:szCs w:val="16"/>
          <w:color w:val="auto"/>
        </w:rPr>
        <w:t>The aggregate minimum rental commitments under the non-cancellable operating leases in effect at December 31, 2013 are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2014</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$1,041</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48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2016</w:t>
            </w:r>
          </w:p>
        </w:tc>
        <w:tc>
          <w:tcPr>
            <w:tcW w:w="48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2018</w:t>
            </w:r>
          </w:p>
        </w:tc>
        <w:tc>
          <w:tcPr>
            <w:tcW w:w="480" w:type="dxa"/>
            <w:vAlign w:val="bottom"/>
          </w:tcPr>
          <w:p>
            <w:pPr>
              <w:jc w:val="right"/>
              <w:spacing w:after="0"/>
              <w:rPr>
                <w:sz w:val="20"/>
                <w:szCs w:val="20"/>
                <w:color w:val="auto"/>
              </w:rPr>
            </w:pPr>
            <w:r>
              <w:rPr>
                <w:rFonts w:ascii="Arial" w:cs="Arial" w:eastAsia="Arial" w:hAnsi="Arial"/>
                <w:sz w:val="18"/>
                <w:szCs w:val="18"/>
                <w:color w:val="auto"/>
              </w:rPr>
              <w:t>979</w:t>
            </w:r>
          </w:p>
        </w:tc>
      </w:tr>
      <w:tr>
        <w:trPr>
          <w:trHeight w:val="421"/>
        </w:trPr>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r>
      <w:tr>
        <w:trPr>
          <w:trHeight w:val="682"/>
        </w:trPr>
        <w:tc>
          <w:tcPr>
            <w:tcW w:w="2460" w:type="dxa"/>
            <w:vAlign w:val="bottom"/>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7,697</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We are subject to Federal and certain state income taxes. In addition, we are taxed in certain foreign countries. As of December 31, 2013 and 2012, there were no cumulative undistributed earnings of our foreign subsidiaries for which U.S. income taxes have not been provided.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before income taxes was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8"/>
          </w:tcPr>
          <w:p>
            <w:pPr>
              <w:jc w:val="right"/>
              <w:ind w:right="32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3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8"/>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r>
      <w:tr>
        <w:trPr>
          <w:trHeight w:val="20"/>
        </w:trPr>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3780" w:type="dxa"/>
            <w:vAlign w:val="bottom"/>
          </w:tcPr>
          <w:p>
            <w:pPr>
              <w:spacing w:after="0"/>
              <w:rPr>
                <w:sz w:val="13"/>
                <w:szCs w:val="13"/>
                <w:color w:val="auto"/>
              </w:rPr>
            </w:pPr>
          </w:p>
        </w:tc>
        <w:tc>
          <w:tcPr>
            <w:tcW w:w="2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2013</w:t>
            </w:r>
          </w:p>
        </w:tc>
        <w:tc>
          <w:tcPr>
            <w:tcW w:w="200" w:type="dxa"/>
            <w:vAlign w:val="bottom"/>
          </w:tcPr>
          <w:p>
            <w:pPr>
              <w:spacing w:after="0"/>
              <w:rPr>
                <w:sz w:val="13"/>
                <w:szCs w:val="13"/>
                <w:color w:val="auto"/>
              </w:rPr>
            </w:pPr>
          </w:p>
        </w:tc>
        <w:tc>
          <w:tcPr>
            <w:tcW w:w="660" w:type="dxa"/>
            <w:vAlign w:val="bottom"/>
            <w:gridSpan w:val="6"/>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rPr>
              <w:t>2012</w:t>
            </w:r>
          </w:p>
        </w:tc>
      </w:tr>
      <w:tr>
        <w:trPr>
          <w:trHeight w:val="20"/>
        </w:trPr>
        <w:tc>
          <w:tcPr>
            <w:tcW w:w="37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Domestic</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$3,245</w:t>
            </w:r>
          </w:p>
        </w:tc>
        <w:tc>
          <w:tcPr>
            <w:tcW w:w="660" w:type="dxa"/>
            <w:vAlign w:val="bottom"/>
            <w:gridSpan w:val="6"/>
          </w:tcPr>
          <w:p>
            <w:pPr>
              <w:jc w:val="right"/>
              <w:spacing w:after="0"/>
              <w:rPr>
                <w:sz w:val="20"/>
                <w:szCs w:val="20"/>
                <w:color w:val="auto"/>
              </w:rPr>
            </w:pPr>
            <w:r>
              <w:rPr>
                <w:rFonts w:ascii="Arial" w:cs="Arial" w:eastAsia="Arial" w:hAnsi="Arial"/>
                <w:sz w:val="18"/>
                <w:szCs w:val="18"/>
                <w:color w:val="auto"/>
              </w:rPr>
              <w:t>$2,580</w:t>
            </w:r>
          </w:p>
        </w:tc>
      </w:tr>
      <w:tr>
        <w:trPr>
          <w:trHeight w:val="421"/>
        </w:trPr>
        <w:tc>
          <w:tcPr>
            <w:tcW w:w="3780" w:type="dxa"/>
            <w:vAlign w:val="bottom"/>
          </w:tcPr>
          <w:p>
            <w:pPr>
              <w:spacing w:after="0"/>
              <w:rPr>
                <w:sz w:val="20"/>
                <w:szCs w:val="20"/>
                <w:color w:val="auto"/>
              </w:rPr>
            </w:pPr>
            <w:r>
              <w:rPr>
                <w:rFonts w:ascii="Arial" w:cs="Arial" w:eastAsia="Arial" w:hAnsi="Arial"/>
                <w:sz w:val="18"/>
                <w:szCs w:val="18"/>
                <w:color w:val="auto"/>
              </w:rPr>
              <w:t>Foreign</w:t>
            </w:r>
          </w:p>
        </w:tc>
        <w:tc>
          <w:tcPr>
            <w:tcW w:w="40" w:type="dxa"/>
            <w:vAlign w:val="bottom"/>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763</w:t>
            </w:r>
          </w:p>
        </w:tc>
        <w:tc>
          <w:tcPr>
            <w:tcW w:w="22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473</w:t>
            </w:r>
          </w:p>
        </w:tc>
      </w:tr>
      <w:tr>
        <w:trPr>
          <w:trHeight w:val="682"/>
        </w:trPr>
        <w:tc>
          <w:tcPr>
            <w:tcW w:w="378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4,008</w:t>
            </w:r>
          </w:p>
        </w:tc>
        <w:tc>
          <w:tcPr>
            <w:tcW w:w="180" w:type="dxa"/>
            <w:vAlign w:val="bottom"/>
          </w:tcPr>
          <w:p>
            <w:pPr>
              <w:spacing w:after="0"/>
              <w:rPr>
                <w:sz w:val="24"/>
                <w:szCs w:val="24"/>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 - 16</w:t>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Income tax expense (benefit) was as follows:</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w w:val="84"/>
              </w:rPr>
              <w:t>Years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3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gridSpan w:val="4"/>
          </w:tcPr>
          <w:p>
            <w:pPr>
              <w:jc w:val="right"/>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6"/>
        </w:trPr>
        <w:tc>
          <w:tcPr>
            <w:tcW w:w="3800" w:type="dxa"/>
            <w:vAlign w:val="bottom"/>
          </w:tcPr>
          <w:p>
            <w:pPr>
              <w:spacing w:after="0"/>
              <w:rPr>
                <w:sz w:val="13"/>
                <w:szCs w:val="13"/>
                <w:color w:val="auto"/>
              </w:rPr>
            </w:pPr>
          </w:p>
        </w:tc>
        <w:tc>
          <w:tcPr>
            <w:tcW w:w="24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w w:val="70"/>
              </w:rPr>
              <w:t>2013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3"/>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w w:val="89"/>
              </w:rPr>
              <w:t>2012</w:t>
            </w:r>
          </w:p>
        </w:tc>
        <w:tc>
          <w:tcPr>
            <w:tcW w:w="40" w:type="dxa"/>
            <w:vAlign w:val="bottom"/>
          </w:tcPr>
          <w:p>
            <w:pPr>
              <w:spacing w:after="0"/>
              <w:rPr>
                <w:sz w:val="13"/>
                <w:szCs w:val="13"/>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Current</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380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4"/>
                <w:szCs w:val="24"/>
                <w:color w:val="auto"/>
              </w:rPr>
            </w:pPr>
          </w:p>
        </w:tc>
        <w:tc>
          <w:tcPr>
            <w:tcW w:w="160" w:type="dxa"/>
            <w:vAlign w:val="bottom"/>
          </w:tcPr>
          <w:p>
            <w:pPr>
              <w:jc w:val="right"/>
              <w:ind w:right="67"/>
              <w:spacing w:after="0"/>
              <w:rPr>
                <w:sz w:val="20"/>
                <w:szCs w:val="20"/>
                <w:color w:val="auto"/>
              </w:rPr>
            </w:pPr>
            <w:r>
              <w:rPr>
                <w:rFonts w:ascii="Arial" w:cs="Arial" w:eastAsia="Arial" w:hAnsi="Arial"/>
                <w:sz w:val="5"/>
                <w:szCs w:val="5"/>
                <w:color w:val="auto"/>
                <w:w w:val="70"/>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362</w:t>
            </w:r>
          </w:p>
        </w:tc>
      </w:tr>
      <w:tr>
        <w:trPr>
          <w:trHeight w:val="459"/>
        </w:trPr>
        <w:tc>
          <w:tcPr>
            <w:tcW w:w="380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421"/>
        </w:trPr>
        <w:tc>
          <w:tcPr>
            <w:tcW w:w="3800" w:type="dxa"/>
            <w:vAlign w:val="bottom"/>
          </w:tcPr>
          <w:p>
            <w:pPr>
              <w:ind w:left="180"/>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r>
      <w:tr>
        <w:trPr>
          <w:trHeight w:val="20"/>
        </w:trPr>
        <w:tc>
          <w:tcPr>
            <w:tcW w:w="3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454</w:t>
            </w:r>
          </w:p>
        </w:tc>
      </w:tr>
      <w:tr>
        <w:trPr>
          <w:trHeight w:val="410"/>
        </w:trPr>
        <w:tc>
          <w:tcPr>
            <w:tcW w:w="3800" w:type="dxa"/>
            <w:vAlign w:val="bottom"/>
          </w:tcPr>
          <w:p>
            <w:pPr>
              <w:spacing w:after="0"/>
              <w:rPr>
                <w:sz w:val="20"/>
                <w:szCs w:val="20"/>
                <w:color w:val="auto"/>
              </w:rPr>
            </w:pPr>
            <w:r>
              <w:rPr>
                <w:rFonts w:ascii="Arial" w:cs="Arial" w:eastAsia="Arial" w:hAnsi="Arial"/>
                <w:sz w:val="18"/>
                <w:szCs w:val="18"/>
                <w:color w:val="auto"/>
              </w:rPr>
              <w:t>Deferred</w:t>
            </w: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380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396</w:t>
            </w:r>
          </w:p>
        </w:tc>
      </w:tr>
      <w:tr>
        <w:trPr>
          <w:trHeight w:val="459"/>
        </w:trPr>
        <w:tc>
          <w:tcPr>
            <w:tcW w:w="380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(126)</w:t>
            </w:r>
          </w:p>
        </w:tc>
      </w:tr>
      <w:tr>
        <w:trPr>
          <w:trHeight w:val="421"/>
        </w:trPr>
        <w:tc>
          <w:tcPr>
            <w:tcW w:w="3800" w:type="dxa"/>
            <w:vAlign w:val="bottom"/>
          </w:tcPr>
          <w:p>
            <w:pPr>
              <w:ind w:left="180"/>
              <w:spacing w:after="0"/>
              <w:rPr>
                <w:sz w:val="20"/>
                <w:szCs w:val="20"/>
                <w:color w:val="auto"/>
              </w:rPr>
            </w:pPr>
            <w:r>
              <w:rPr>
                <w:rFonts w:ascii="Arial" w:cs="Arial" w:eastAsia="Arial" w:hAnsi="Arial"/>
                <w:sz w:val="18"/>
                <w:szCs w:val="18"/>
                <w:color w:val="auto"/>
              </w:rPr>
              <w:t>Foreign</w:t>
            </w:r>
          </w:p>
        </w:tc>
        <w:tc>
          <w:tcPr>
            <w:tcW w:w="60" w:type="dxa"/>
            <w:vAlign w:val="bottom"/>
          </w:tcPr>
          <w:p>
            <w:pPr>
              <w:spacing w:after="0"/>
              <w:rPr>
                <w:sz w:val="24"/>
                <w:szCs w:val="24"/>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173</w:t>
            </w:r>
          </w:p>
        </w:tc>
      </w:tr>
      <w:tr>
        <w:trPr>
          <w:trHeight w:val="20"/>
        </w:trPr>
        <w:tc>
          <w:tcPr>
            <w:tcW w:w="38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443</w:t>
            </w:r>
          </w:p>
        </w:tc>
      </w:tr>
      <w:tr>
        <w:trPr>
          <w:trHeight w:val="20"/>
        </w:trPr>
        <w:tc>
          <w:tcPr>
            <w:tcW w:w="3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9"/>
                <w:szCs w:val="19"/>
                <w:color w:val="auto"/>
              </w:rPr>
            </w:pPr>
          </w:p>
        </w:tc>
        <w:tc>
          <w:tcPr>
            <w:tcW w:w="160" w:type="dxa"/>
            <w:vAlign w:val="bottom"/>
          </w:tcPr>
          <w:p>
            <w:pPr>
              <w:jc w:val="right"/>
              <w:ind w:right="67"/>
              <w:spacing w:after="0"/>
              <w:rPr>
                <w:sz w:val="20"/>
                <w:szCs w:val="20"/>
                <w:color w:val="auto"/>
              </w:rPr>
            </w:pPr>
            <w:r>
              <w:rPr>
                <w:rFonts w:ascii="Arial" w:cs="Arial" w:eastAsia="Arial" w:hAnsi="Arial"/>
                <w:sz w:val="5"/>
                <w:szCs w:val="5"/>
                <w:color w:val="auto"/>
                <w:w w:val="70"/>
              </w:rPr>
              <w:t>$</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w w:val="86"/>
              </w:rPr>
              <w:t>897</w:t>
            </w:r>
          </w:p>
        </w:tc>
      </w:tr>
      <w:tr>
        <w:trPr>
          <w:trHeight w:val="20"/>
        </w:trPr>
        <w:tc>
          <w:tcPr>
            <w:tcW w:w="38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80"/>
          </w:cols>
          <w:pgMar w:left="240" w:top="347" w:right="379" w:bottom="198" w:gutter="0" w:footer="0" w:header="0"/>
        </w:sectPr>
      </w:pPr>
    </w:p>
    <w:bookmarkStart w:id="39" w:name="page40"/>
    <w:bookmarkEnd w:id="39"/>
    <w:p>
      <w:pPr>
        <w:spacing w:after="0" w:line="44" w:lineRule="exact"/>
        <w:rPr>
          <w:sz w:val="20"/>
          <w:szCs w:val="20"/>
          <w:color w:val="auto"/>
        </w:rPr>
      </w:pPr>
    </w:p>
    <w:p>
      <w:pPr>
        <w:ind w:left="540" w:right="440"/>
        <w:spacing w:after="0" w:line="306" w:lineRule="auto"/>
        <w:rPr>
          <w:sz w:val="20"/>
          <w:szCs w:val="20"/>
          <w:color w:val="auto"/>
        </w:rPr>
      </w:pPr>
      <w:r>
        <w:rPr>
          <w:rFonts w:ascii="Arial" w:cs="Arial" w:eastAsia="Arial" w:hAnsi="Arial"/>
          <w:sz w:val="16"/>
          <w:szCs w:val="16"/>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2013 and 2012:</w:t>
      </w:r>
    </w:p>
    <w:p>
      <w:pPr>
        <w:spacing w:after="0" w:line="15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20" w:type="dxa"/>
            <w:vAlign w:val="bottom"/>
            <w:gridSpan w:val="9"/>
          </w:tcPr>
          <w:p>
            <w:pPr>
              <w:spacing w:after="0"/>
              <w:rPr>
                <w:sz w:val="20"/>
                <w:szCs w:val="20"/>
                <w:color w:val="auto"/>
              </w:rPr>
            </w:pPr>
            <w:r>
              <w:rPr>
                <w:rFonts w:ascii="Arial" w:cs="Arial" w:eastAsia="Arial" w:hAnsi="Arial"/>
                <w:sz w:val="14"/>
                <w:szCs w:val="14"/>
                <w:b w:val="1"/>
                <w:bCs w:val="1"/>
                <w:i w:val="1"/>
                <w:iCs w:val="1"/>
                <w:color w:val="auto"/>
              </w:rPr>
              <w:t>December 31,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i w:val="1"/>
                <w:iCs w:val="1"/>
                <w:color w:val="auto"/>
                <w:w w:val="76"/>
              </w:rPr>
              <w:t>2013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i w:val="1"/>
                <w:iCs w:val="1"/>
                <w:color w:val="auto"/>
                <w:w w:val="74"/>
              </w:rPr>
              <w:t>2012</w:t>
            </w:r>
          </w:p>
        </w:tc>
        <w:tc>
          <w:tcPr>
            <w:tcW w:w="16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4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gridSpan w:val="2"/>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620" w:type="dxa"/>
            <w:vAlign w:val="bottom"/>
          </w:tcPr>
          <w:p>
            <w:pPr>
              <w:ind w:left="180"/>
              <w:spacing w:after="0"/>
              <w:rPr>
                <w:sz w:val="20"/>
                <w:szCs w:val="20"/>
                <w:color w:val="auto"/>
              </w:rPr>
            </w:pPr>
            <w:r>
              <w:rPr>
                <w:rFonts w:ascii="Arial" w:cs="Arial" w:eastAsia="Arial" w:hAnsi="Arial"/>
                <w:sz w:val="18"/>
                <w:szCs w:val="18"/>
                <w:color w:val="auto"/>
              </w:rPr>
              <w:t>Net operating loss ("NOL") (state and foreign)</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w w:val="71"/>
              </w:rPr>
              <w:t>$  829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459"/>
        </w:trPr>
        <w:tc>
          <w:tcPr>
            <w:tcW w:w="462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459"/>
        </w:trPr>
        <w:tc>
          <w:tcPr>
            <w:tcW w:w="4620" w:type="dxa"/>
            <w:vAlign w:val="bottom"/>
          </w:tcPr>
          <w:p>
            <w:pPr>
              <w:ind w:left="180"/>
              <w:spacing w:after="0"/>
              <w:rPr>
                <w:sz w:val="20"/>
                <w:szCs w:val="20"/>
                <w:color w:val="auto"/>
              </w:rPr>
            </w:pPr>
            <w:r>
              <w:rPr>
                <w:rFonts w:ascii="Arial" w:cs="Arial" w:eastAsia="Arial" w:hAnsi="Arial"/>
                <w:sz w:val="18"/>
                <w:szCs w:val="18"/>
                <w:color w:val="auto"/>
              </w:rPr>
              <w:t>Tax credit carryforwards (foreign, research and AMT)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459"/>
        </w:trPr>
        <w:tc>
          <w:tcPr>
            <w:tcW w:w="46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Accrued vacation pay and stock-based compensation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459"/>
        </w:trPr>
        <w:tc>
          <w:tcPr>
            <w:tcW w:w="46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9"/>
        </w:trPr>
        <w:tc>
          <w:tcPr>
            <w:tcW w:w="462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21"/>
        </w:trPr>
        <w:tc>
          <w:tcPr>
            <w:tcW w:w="46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462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70"/>
              </w:rPr>
              <w:t>2,385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353"/>
        </w:trPr>
        <w:tc>
          <w:tcPr>
            <w:tcW w:w="4620" w:type="dxa"/>
            <w:vAlign w:val="bottom"/>
          </w:tcPr>
          <w:p>
            <w:pPr>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(287)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(573)</w:t>
            </w:r>
          </w:p>
        </w:tc>
        <w:tc>
          <w:tcPr>
            <w:tcW w:w="0" w:type="dxa"/>
            <w:vAlign w:val="bottom"/>
          </w:tcPr>
          <w:p>
            <w:pPr>
              <w:spacing w:after="0"/>
              <w:rPr>
                <w:sz w:val="1"/>
                <w:szCs w:val="1"/>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70"/>
              </w:rPr>
              <w:t>2,098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478"/>
        </w:trPr>
        <w:tc>
          <w:tcPr>
            <w:tcW w:w="4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20" w:type="dxa"/>
            <w:vAlign w:val="bottom"/>
          </w:tcPr>
          <w:p>
            <w:pPr>
              <w:ind w:left="180"/>
              <w:spacing w:after="0"/>
              <w:rPr>
                <w:sz w:val="20"/>
                <w:szCs w:val="20"/>
                <w:color w:val="auto"/>
              </w:rPr>
            </w:pPr>
            <w:r>
              <w:rPr>
                <w:rFonts w:ascii="Arial" w:cs="Arial" w:eastAsia="Arial" w:hAnsi="Arial"/>
                <w:sz w:val="18"/>
                <w:szCs w:val="18"/>
                <w:color w:val="auto"/>
              </w:rPr>
              <w:t>Net intangible assets</w:t>
            </w:r>
          </w:p>
        </w:tc>
        <w:tc>
          <w:tcPr>
            <w:tcW w:w="460" w:type="dxa"/>
            <w:vAlign w:val="bottom"/>
            <w:gridSpan w:val="4"/>
          </w:tcPr>
          <w:p>
            <w:pPr>
              <w:spacing w:after="0"/>
              <w:rPr>
                <w:sz w:val="20"/>
                <w:szCs w:val="20"/>
                <w:color w:val="auto"/>
              </w:rPr>
            </w:pPr>
            <w:r>
              <w:rPr>
                <w:rFonts w:ascii="Arial" w:cs="Arial" w:eastAsia="Arial" w:hAnsi="Arial"/>
                <w:sz w:val="18"/>
                <w:szCs w:val="18"/>
                <w:color w:val="auto"/>
              </w:rPr>
              <w:t>(260)</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421"/>
        </w:trPr>
        <w:tc>
          <w:tcPr>
            <w:tcW w:w="4620" w:type="dxa"/>
            <w:vAlign w:val="bottom"/>
          </w:tcPr>
          <w:p>
            <w:pPr>
              <w:ind w:left="180"/>
              <w:spacing w:after="0"/>
              <w:rPr>
                <w:sz w:val="20"/>
                <w:szCs w:val="20"/>
                <w:color w:val="auto"/>
              </w:rPr>
            </w:pPr>
            <w:r>
              <w:rPr>
                <w:rFonts w:ascii="Arial" w:cs="Arial" w:eastAsia="Arial" w:hAnsi="Arial"/>
                <w:sz w:val="18"/>
                <w:szCs w:val="18"/>
                <w:color w:val="auto"/>
              </w:rPr>
              <w:t>Unremitted earnings of foreign subsidiaries</w:t>
            </w:r>
          </w:p>
        </w:tc>
        <w:tc>
          <w:tcPr>
            <w:tcW w:w="460" w:type="dxa"/>
            <w:vAlign w:val="bottom"/>
            <w:gridSpan w:val="4"/>
          </w:tcPr>
          <w:p>
            <w:pPr>
              <w:spacing w:after="0"/>
              <w:rPr>
                <w:sz w:val="20"/>
                <w:szCs w:val="20"/>
                <w:color w:val="auto"/>
              </w:rPr>
            </w:pPr>
            <w:r>
              <w:rPr>
                <w:rFonts w:ascii="Arial" w:cs="Arial" w:eastAsia="Arial" w:hAnsi="Arial"/>
                <w:sz w:val="18"/>
                <w:szCs w:val="18"/>
                <w:color w:val="auto"/>
              </w:rPr>
              <w:t>(107)</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gridSpan w:val="4"/>
          </w:tcPr>
          <w:p>
            <w:pPr>
              <w:spacing w:after="0"/>
              <w:rPr>
                <w:sz w:val="20"/>
                <w:szCs w:val="20"/>
                <w:color w:val="auto"/>
              </w:rPr>
            </w:pPr>
            <w:r>
              <w:rPr>
                <w:rFonts w:ascii="Arial" w:cs="Arial" w:eastAsia="Arial" w:hAnsi="Arial"/>
                <w:sz w:val="18"/>
                <w:szCs w:val="18"/>
                <w:color w:val="auto"/>
              </w:rPr>
              <w:t>(367)</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73"/>
              </w:rPr>
              <w:t>$ 1,731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color w:val="auto"/>
                <w:w w:val="99"/>
              </w:rPr>
              <w:t>$ 2,038</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valuation allowance for deferred tax assets as of the beginning of 2013 and 2012 was $573 and $484, respectively. The net change in the valuation allowance for the years ended December 31, 2013 and 2012 was a decrease of $286 and an increase of $89,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2033.</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- 17</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(Continued)</w:t>
      </w:r>
    </w:p>
    <w:p>
      <w:pPr>
        <w:spacing w:after="0" w:line="191"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An analysis of the effective tax rate for the years ended December 31, 2013 and 2012 and a reconciliation from the expected statutory rate of 34% is as follows:</w:t>
      </w:r>
    </w:p>
    <w:p>
      <w:pPr>
        <w:spacing w:after="0" w:line="156" w:lineRule="exact"/>
        <w:rPr>
          <w:sz w:val="20"/>
          <w:szCs w:val="20"/>
          <w:color w:val="auto"/>
        </w:rPr>
      </w:pPr>
    </w:p>
    <w:p>
      <w:pPr>
        <w:ind w:left="6200"/>
        <w:spacing w:after="0"/>
        <w:rPr>
          <w:sz w:val="20"/>
          <w:szCs w:val="20"/>
          <w:color w:val="auto"/>
        </w:rPr>
      </w:pPr>
      <w:r>
        <w:rPr>
          <w:rFonts w:ascii="Arial" w:cs="Arial" w:eastAsia="Arial" w:hAnsi="Arial"/>
          <w:sz w:val="14"/>
          <w:szCs w:val="14"/>
          <w:b w:val="1"/>
          <w:bCs w:val="1"/>
          <w:i w:val="1"/>
          <w:iCs w:val="1"/>
          <w:color w:val="auto"/>
        </w:rPr>
        <w:t>Years Ended</w:t>
      </w:r>
    </w:p>
    <w:p>
      <w:pPr>
        <w:ind w:left="616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56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2013</w:t>
            </w:r>
          </w:p>
        </w:tc>
        <w:tc>
          <w:tcPr>
            <w:tcW w:w="36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i w:val="1"/>
                <w:iCs w:val="1"/>
                <w:color w:val="auto"/>
              </w:rPr>
              <w:t>2012</w:t>
            </w:r>
          </w:p>
        </w:tc>
        <w:tc>
          <w:tcPr>
            <w:tcW w:w="200" w:type="dxa"/>
            <w:vAlign w:val="bottom"/>
          </w:tcPr>
          <w:p>
            <w:pPr>
              <w:spacing w:after="0"/>
              <w:rPr>
                <w:sz w:val="12"/>
                <w:szCs w:val="12"/>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Expected income tax provision at U.S. statutory rate</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$1,363</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$1,038</w:t>
            </w:r>
          </w:p>
        </w:tc>
      </w:tr>
      <w:tr>
        <w:trPr>
          <w:trHeight w:val="459"/>
        </w:trPr>
        <w:tc>
          <w:tcPr>
            <w:tcW w:w="458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59"/>
        </w:trPr>
        <w:tc>
          <w:tcPr>
            <w:tcW w:w="4580" w:type="dxa"/>
            <w:vAlign w:val="bottom"/>
          </w:tcPr>
          <w:p>
            <w:pPr>
              <w:ind w:left="120"/>
              <w:spacing w:after="0"/>
              <w:rPr>
                <w:sz w:val="20"/>
                <w:szCs w:val="20"/>
                <w:color w:val="auto"/>
              </w:rPr>
            </w:pPr>
            <w:r>
              <w:rPr>
                <w:rFonts w:ascii="Arial" w:cs="Arial" w:eastAsia="Arial" w:hAnsi="Arial"/>
                <w:sz w:val="18"/>
                <w:szCs w:val="18"/>
                <w:color w:val="auto"/>
              </w:rPr>
              <w:t>Current year tax credits (foreign and research)</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(417)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(523)</w:t>
            </w: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Foreign income tax rate differences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Changes in valuation allowance</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(286)</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Deemed dividend from foreign subsidiaries</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212</w:t>
            </w:r>
          </w:p>
        </w:tc>
      </w:tr>
      <w:tr>
        <w:trPr>
          <w:trHeight w:val="243"/>
        </w:trPr>
        <w:tc>
          <w:tcPr>
            <w:tcW w:w="4580" w:type="dxa"/>
            <w:vAlign w:val="bottom"/>
          </w:tcPr>
          <w:p>
            <w:pPr>
              <w:ind w:left="120"/>
              <w:spacing w:after="0"/>
              <w:rPr>
                <w:sz w:val="20"/>
                <w:szCs w:val="20"/>
                <w:color w:val="auto"/>
              </w:rPr>
            </w:pPr>
            <w:r>
              <w:rPr>
                <w:rFonts w:ascii="Arial" w:cs="Arial" w:eastAsia="Arial" w:hAnsi="Arial"/>
                <w:sz w:val="18"/>
                <w:szCs w:val="18"/>
                <w:color w:val="auto"/>
              </w:rPr>
              <w:t>Domestic tax expense, net of Federal benefit</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127</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r>
    </w:tbl>
    <w:p>
      <w:pPr>
        <w:sectPr>
          <w:pgSz w:w="11900" w:h="16882" w:orient="portrait"/>
          <w:cols w:equalWidth="0" w:num="1">
            <w:col w:w="11360"/>
          </w:cols>
          <w:pgMar w:left="240" w:top="131" w:right="299" w:bottom="0" w:gutter="0" w:footer="0" w:header="0"/>
        </w:sectPr>
      </w:pPr>
    </w:p>
    <w:bookmarkStart w:id="40" w:name="page41"/>
    <w:bookmarkEnd w:id="40"/>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5480" w:type="dxa"/>
            <w:vAlign w:val="bottom"/>
          </w:tcPr>
          <w:p>
            <w:pPr>
              <w:ind w:left="120"/>
              <w:spacing w:after="0"/>
              <w:rPr>
                <w:sz w:val="20"/>
                <w:szCs w:val="20"/>
                <w:color w:val="auto"/>
              </w:rPr>
            </w:pPr>
            <w:r>
              <w:rPr>
                <w:rFonts w:ascii="Arial" w:cs="Arial" w:eastAsia="Arial" w:hAnsi="Arial"/>
                <w:sz w:val="18"/>
                <w:szCs w:val="18"/>
                <w:color w:val="auto"/>
              </w:rPr>
              <w:t>Nondeductible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r>
      <w:tr>
        <w:trPr>
          <w:trHeight w:val="243"/>
        </w:trPr>
        <w:tc>
          <w:tcPr>
            <w:tcW w:w="5480" w:type="dxa"/>
            <w:vAlign w:val="bottom"/>
          </w:tcPr>
          <w:p>
            <w:pPr>
              <w:ind w:left="120"/>
              <w:spacing w:after="0"/>
              <w:rPr>
                <w:sz w:val="20"/>
                <w:szCs w:val="20"/>
                <w:color w:val="auto"/>
              </w:rPr>
            </w:pPr>
            <w:r>
              <w:rPr>
                <w:rFonts w:ascii="Arial" w:cs="Arial" w:eastAsia="Arial" w:hAnsi="Arial"/>
                <w:sz w:val="18"/>
                <w:szCs w:val="18"/>
                <w:color w:val="auto"/>
              </w:rPr>
              <w:t>NOL carryforwards utilized</w:t>
            </w: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1"/>
                <w:szCs w:val="21"/>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21"/>
                <w:szCs w:val="21"/>
                <w:color w:val="auto"/>
              </w:rPr>
            </w:pPr>
          </w:p>
        </w:tc>
      </w:tr>
      <w:tr>
        <w:trPr>
          <w:trHeight w:val="205"/>
        </w:trPr>
        <w:tc>
          <w:tcPr>
            <w:tcW w:w="5480" w:type="dxa"/>
            <w:vAlign w:val="bottom"/>
          </w:tcPr>
          <w:p>
            <w:pPr>
              <w:ind w:left="120"/>
              <w:spacing w:after="0" w:line="205" w:lineRule="exact"/>
              <w:rPr>
                <w:sz w:val="20"/>
                <w:szCs w:val="20"/>
                <w:color w:val="auto"/>
              </w:rPr>
            </w:pPr>
            <w:r>
              <w:rPr>
                <w:rFonts w:ascii="Arial" w:cs="Arial" w:eastAsia="Arial" w:hAnsi="Arial"/>
                <w:sz w:val="18"/>
                <w:szCs w:val="18"/>
                <w:color w:val="auto"/>
              </w:rPr>
              <w:t>Other</w:t>
            </w:r>
          </w:p>
        </w:tc>
        <w:tc>
          <w:tcPr>
            <w:tcW w:w="6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(121)</w:t>
            </w:r>
          </w:p>
        </w:tc>
        <w:tc>
          <w:tcPr>
            <w:tcW w:w="620" w:type="dxa"/>
            <w:vAlign w:val="bottom"/>
            <w:gridSpan w:val="5"/>
          </w:tcPr>
          <w:p>
            <w:pPr>
              <w:jc w:val="right"/>
              <w:spacing w:after="0" w:line="205" w:lineRule="exact"/>
              <w:rPr>
                <w:sz w:val="20"/>
                <w:szCs w:val="20"/>
                <w:color w:val="auto"/>
              </w:rPr>
            </w:pPr>
            <w:r>
              <w:rPr>
                <w:rFonts w:ascii="Arial" w:cs="Arial" w:eastAsia="Arial" w:hAnsi="Arial"/>
                <w:sz w:val="18"/>
                <w:szCs w:val="18"/>
                <w:color w:val="auto"/>
              </w:rPr>
              <w:t>(78)</w:t>
            </w:r>
          </w:p>
        </w:tc>
      </w:tr>
      <w:tr>
        <w:trPr>
          <w:trHeight w:val="20"/>
        </w:trPr>
        <w:tc>
          <w:tcPr>
            <w:tcW w:w="5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931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897</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2013 and 2012, we did not have an accrual for uncertain tax positions.</w:t>
      </w:r>
    </w:p>
    <w:p>
      <w:pPr>
        <w:spacing w:after="0" w:line="170"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2010 and thereafter are subject to examination by the relevant taxing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w:t>
      </w:r>
    </w:p>
    <w:p>
      <w:pPr>
        <w:spacing w:after="0" w:line="191" w:lineRule="exact"/>
        <w:rPr>
          <w:sz w:val="20"/>
          <w:szCs w:val="20"/>
          <w:color w:val="auto"/>
        </w:rPr>
      </w:pPr>
    </w:p>
    <w:p>
      <w:pPr>
        <w:jc w:val="both"/>
        <w:ind w:left="540" w:right="280"/>
        <w:spacing w:after="0" w:line="306" w:lineRule="auto"/>
        <w:rPr>
          <w:sz w:val="20"/>
          <w:szCs w:val="20"/>
          <w:color w:val="auto"/>
        </w:rPr>
      </w:pPr>
      <w:r>
        <w:rPr>
          <w:rFonts w:ascii="Arial" w:cs="Arial" w:eastAsia="Arial" w:hAnsi="Arial"/>
          <w:sz w:val="16"/>
          <w:szCs w:val="16"/>
          <w:color w:val="auto"/>
        </w:rPr>
        <w:t>As of December 31, 2013 and 2012, we have outstanding stock options and unvested restricted stock awards granted under the Amended and Restated 1997 Stock Plan (the "1997 Stock Plan") as well as under the inTEST Corporation 2007 Stock Plan (the "2007 Stock Plan"). As of March 31, 2007, no additional stock options or shares of restricted stock could be granted under the 1997 Plan.</w:t>
      </w:r>
    </w:p>
    <w:p>
      <w:pPr>
        <w:spacing w:after="0" w:line="161" w:lineRule="exact"/>
        <w:rPr>
          <w:sz w:val="20"/>
          <w:szCs w:val="20"/>
          <w:color w:val="auto"/>
        </w:rPr>
      </w:pPr>
    </w:p>
    <w:p>
      <w:pPr>
        <w:ind w:left="540" w:right="260"/>
        <w:spacing w:after="0" w:line="323" w:lineRule="auto"/>
        <w:rPr>
          <w:sz w:val="20"/>
          <w:szCs w:val="20"/>
          <w:color w:val="auto"/>
        </w:rPr>
      </w:pPr>
      <w:r>
        <w:rPr>
          <w:rFonts w:ascii="Arial" w:cs="Arial" w:eastAsia="Arial" w:hAnsi="Arial"/>
          <w:sz w:val="15"/>
          <w:szCs w:val="15"/>
          <w:color w:val="auto"/>
        </w:rPr>
        <w:t>The 2007 Stock Plan was approved at our annual meeting of stockholders held on June 13, 2007, upon the recommendation of our Board of Directors. The 2007 Stock Plan permits the granting of stock options or restricted stock, for up to 500,000 shares of our common stock, to officers, other key employees and consultants. A description of the 2007 Stock Plan, including the full text of the 2007 Stock Plan, is contained in the proxy statement for our 2007 annual meeting of stockholders. As of December 31, 2013, 62,500 shares remain available to grant under the 2007 Stock Plan.</w:t>
      </w:r>
    </w:p>
    <w:p>
      <w:pPr>
        <w:spacing w:after="0" w:line="152"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We have not granted any stock options during 2013 or 2012. Our unvested restricted stock awards outstanding are accounted for based on their grant date fair value. As of December 31, 2013, total compensation expense to be recognized in future periods was $439. All of this expense is related to nonvested shares of restricted stock. The weighted average period over which this expense is expected to be recognized is 2.6 years.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- 18</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PLAN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two years ended December 31, 2013:</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5"/>
          </w:tcPr>
          <w:p>
            <w:pPr>
              <w:jc w:val="right"/>
              <w:ind w:right="28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6"/>
        </w:trPr>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bottom w:val="single" w:sz="8" w:color="auto"/>
            </w:tcBorders>
            <w:gridSpan w:val="3"/>
          </w:tcPr>
          <w:p>
            <w:pPr>
              <w:jc w:val="right"/>
              <w:spacing w:after="0" w:line="146" w:lineRule="exact"/>
              <w:rPr>
                <w:sz w:val="20"/>
                <w:szCs w:val="20"/>
                <w:color w:val="auto"/>
              </w:rPr>
            </w:pPr>
            <w:r>
              <w:rPr>
                <w:rFonts w:ascii="Arial" w:cs="Arial" w:eastAsia="Arial" w:hAnsi="Arial"/>
                <w:sz w:val="14"/>
                <w:szCs w:val="14"/>
                <w:b w:val="1"/>
                <w:bCs w:val="1"/>
                <w:i w:val="1"/>
                <w:iCs w:val="1"/>
                <w:color w:val="auto"/>
                <w:w w:val="81"/>
              </w:rPr>
              <w:t>of Shares</w:t>
            </w: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r>
      <w:tr>
        <w:trPr>
          <w:trHeight w:val="235"/>
        </w:trPr>
        <w:tc>
          <w:tcPr>
            <w:tcW w:w="4860" w:type="dxa"/>
            <w:vAlign w:val="bottom"/>
          </w:tcPr>
          <w:p>
            <w:pPr>
              <w:spacing w:after="0"/>
              <w:rPr>
                <w:sz w:val="20"/>
                <w:szCs w:val="20"/>
                <w:color w:val="auto"/>
              </w:rPr>
            </w:pPr>
            <w:r>
              <w:rPr>
                <w:rFonts w:ascii="Arial" w:cs="Arial" w:eastAsia="Arial" w:hAnsi="Arial"/>
                <w:sz w:val="18"/>
                <w:szCs w:val="18"/>
                <w:color w:val="auto"/>
              </w:rPr>
              <w:t>Options outstanding, January 1, 2012 (249,000 exercisable)</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249,000</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459"/>
        </w:trPr>
        <w:tc>
          <w:tcPr>
            <w:tcW w:w="4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8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4860" w:type="dxa"/>
            <w:vAlign w:val="bottom"/>
          </w:tcPr>
          <w:p>
            <w:pPr>
              <w:ind w:left="140"/>
              <w:spacing w:after="0"/>
              <w:rPr>
                <w:sz w:val="20"/>
                <w:szCs w:val="20"/>
                <w:color w:val="auto"/>
              </w:rPr>
            </w:pPr>
            <w:r>
              <w:rPr>
                <w:rFonts w:ascii="Arial" w:cs="Arial" w:eastAsia="Arial" w:hAnsi="Arial"/>
                <w:sz w:val="18"/>
                <w:szCs w:val="18"/>
                <w:color w:val="auto"/>
              </w:rPr>
              <w:t>Canceled</w:t>
            </w:r>
          </w:p>
        </w:tc>
        <w:tc>
          <w:tcPr>
            <w:tcW w:w="400" w:type="dxa"/>
            <w:vAlign w:val="bottom"/>
            <w:gridSpan w:val="2"/>
          </w:tcPr>
          <w:p>
            <w:pPr>
              <w:spacing w:after="0"/>
              <w:rPr>
                <w:sz w:val="24"/>
                <w:szCs w:val="24"/>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w w:val="98"/>
              </w:rPr>
              <w:t>(30,000)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w:t>
            </w:r>
          </w:p>
        </w:tc>
      </w:tr>
      <w:tr>
        <w:trPr>
          <w:trHeight w:val="478"/>
        </w:trPr>
        <w:tc>
          <w:tcPr>
            <w:tcW w:w="4860" w:type="dxa"/>
            <w:vAlign w:val="bottom"/>
          </w:tcPr>
          <w:p>
            <w:pPr>
              <w:spacing w:after="0"/>
              <w:rPr>
                <w:sz w:val="20"/>
                <w:szCs w:val="20"/>
                <w:color w:val="auto"/>
              </w:rPr>
            </w:pPr>
            <w:r>
              <w:rPr>
                <w:rFonts w:ascii="Arial" w:cs="Arial" w:eastAsia="Arial" w:hAnsi="Arial"/>
                <w:sz w:val="18"/>
                <w:szCs w:val="18"/>
                <w:color w:val="auto"/>
                <w:w w:val="95"/>
              </w:rPr>
              <w:t>Options outstanding, December 31, 2012 (219,000 exercisable)</w:t>
            </w:r>
          </w:p>
        </w:tc>
        <w:tc>
          <w:tcPr>
            <w:tcW w:w="400" w:type="dxa"/>
            <w:vAlign w:val="bottom"/>
            <w:gridSpan w:val="2"/>
          </w:tcPr>
          <w:p>
            <w:pPr>
              <w:spacing w:after="0"/>
              <w:rPr>
                <w:sz w:val="24"/>
                <w:szCs w:val="24"/>
                <w:color w:val="auto"/>
              </w:rPr>
            </w:pPr>
          </w:p>
        </w:tc>
        <w:tc>
          <w:tcPr>
            <w:tcW w:w="6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5"/>
              </w:rPr>
              <w:t>219,000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w:t>
            </w:r>
          </w:p>
        </w:tc>
      </w:tr>
      <w:tr>
        <w:trPr>
          <w:trHeight w:val="459"/>
        </w:trPr>
        <w:tc>
          <w:tcPr>
            <w:tcW w:w="4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4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486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160" w:type="dxa"/>
            <w:vAlign w:val="bottom"/>
            <w:gridSpan w:val="7"/>
          </w:tcPr>
          <w:p>
            <w:pPr>
              <w:jc w:val="right"/>
              <w:ind w:right="8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3.04</w:t>
            </w:r>
          </w:p>
        </w:tc>
      </w:tr>
      <w:tr>
        <w:trPr>
          <w:trHeight w:val="421"/>
        </w:trPr>
        <w:tc>
          <w:tcPr>
            <w:tcW w:w="4860" w:type="dxa"/>
            <w:vAlign w:val="bottom"/>
          </w:tcPr>
          <w:p>
            <w:pPr>
              <w:ind w:left="140"/>
              <w:spacing w:after="0"/>
              <w:rPr>
                <w:sz w:val="20"/>
                <w:szCs w:val="20"/>
                <w:color w:val="auto"/>
              </w:rPr>
            </w:pPr>
            <w:r>
              <w:rPr>
                <w:rFonts w:ascii="Arial" w:cs="Arial" w:eastAsia="Arial" w:hAnsi="Arial"/>
                <w:sz w:val="18"/>
                <w:szCs w:val="18"/>
                <w:color w:val="auto"/>
              </w:rPr>
              <w:t>Canceled</w:t>
            </w:r>
          </w:p>
        </w:tc>
        <w:tc>
          <w:tcPr>
            <w:tcW w:w="1160" w:type="dxa"/>
            <w:vAlign w:val="bottom"/>
            <w:gridSpan w:val="7"/>
          </w:tcPr>
          <w:p>
            <w:pPr>
              <w:jc w:val="right"/>
              <w:ind w:right="80"/>
              <w:spacing w:after="0"/>
              <w:rPr>
                <w:sz w:val="20"/>
                <w:szCs w:val="20"/>
                <w:color w:val="auto"/>
              </w:rPr>
            </w:pPr>
            <w:r>
              <w:rPr>
                <w:rFonts w:ascii="Arial" w:cs="Arial" w:eastAsia="Arial" w:hAnsi="Arial"/>
                <w:sz w:val="18"/>
                <w:szCs w:val="18"/>
                <w:color w:val="auto"/>
              </w:rPr>
              <w:t>(199,000)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48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439"/>
        </w:trPr>
        <w:tc>
          <w:tcPr>
            <w:tcW w:w="4860" w:type="dxa"/>
            <w:vAlign w:val="bottom"/>
          </w:tcPr>
          <w:p>
            <w:pPr>
              <w:spacing w:after="0"/>
              <w:rPr>
                <w:sz w:val="20"/>
                <w:szCs w:val="20"/>
                <w:color w:val="auto"/>
              </w:rPr>
            </w:pPr>
            <w:r>
              <w:rPr>
                <w:rFonts w:ascii="Arial" w:cs="Arial" w:eastAsia="Arial" w:hAnsi="Arial"/>
                <w:sz w:val="18"/>
                <w:szCs w:val="18"/>
                <w:color w:val="auto"/>
                <w:w w:val="97"/>
              </w:rPr>
              <w:t>Options outstanding, December 31, 2013 (10,000 exercisable)</w:t>
            </w:r>
          </w:p>
        </w:tc>
        <w:tc>
          <w:tcPr>
            <w:tcW w:w="460" w:type="dxa"/>
            <w:vAlign w:val="bottom"/>
            <w:gridSpan w:val="3"/>
          </w:tcPr>
          <w:p>
            <w:pPr>
              <w:spacing w:after="0"/>
              <w:rPr>
                <w:sz w:val="24"/>
                <w:szCs w:val="2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5.66</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information about stock options outstanding at December 31, 2013:</w:t>
      </w:r>
    </w:p>
    <w:p>
      <w:pPr>
        <w:spacing w:after="0" w:line="224"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i w:val="1"/>
                <w:iCs w:val="1"/>
                <w:color w:val="auto"/>
                <w:w w:val="86"/>
              </w:rPr>
              <w:t>Number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w w:val="82"/>
              </w:rPr>
              <w:t>Weighted</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2"/>
              </w:rPr>
              <w:t>Weighted</w:t>
            </w:r>
          </w:p>
        </w:tc>
        <w:tc>
          <w:tcPr>
            <w:tcW w:w="680" w:type="dxa"/>
            <w:vAlign w:val="bottom"/>
            <w:gridSpan w:val="3"/>
          </w:tcPr>
          <w:p>
            <w:pPr>
              <w:jc w:val="center"/>
              <w:ind w:left="52"/>
              <w:spacing w:after="0"/>
              <w:rPr>
                <w:sz w:val="20"/>
                <w:szCs w:val="20"/>
                <w:color w:val="auto"/>
              </w:rPr>
            </w:pPr>
            <w:r>
              <w:rPr>
                <w:rFonts w:ascii="Arial" w:cs="Arial" w:eastAsia="Arial" w:hAnsi="Arial"/>
                <w:sz w:val="14"/>
                <w:szCs w:val="14"/>
                <w:b w:val="1"/>
                <w:bCs w:val="1"/>
                <w:i w:val="1"/>
                <w:iCs w:val="1"/>
                <w:color w:val="auto"/>
                <w:w w:val="80"/>
              </w:rPr>
              <w:t>Aggregate</w:t>
            </w:r>
          </w:p>
        </w:tc>
      </w:tr>
      <w:tr>
        <w:trPr>
          <w:trHeight w:val="149"/>
        </w:trPr>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Range of</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Outstanding and</w:t>
            </w: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680" w:type="dxa"/>
            <w:vAlign w:val="bottom"/>
            <w:gridSpan w:val="3"/>
          </w:tcPr>
          <w:p>
            <w:pPr>
              <w:jc w:val="center"/>
              <w:ind w:left="52"/>
              <w:spacing w:after="0" w:line="149" w:lineRule="exact"/>
              <w:rPr>
                <w:sz w:val="20"/>
                <w:szCs w:val="20"/>
                <w:color w:val="auto"/>
              </w:rPr>
            </w:pPr>
            <w:r>
              <w:rPr>
                <w:rFonts w:ascii="Arial" w:cs="Arial" w:eastAsia="Arial" w:hAnsi="Arial"/>
                <w:sz w:val="14"/>
                <w:szCs w:val="14"/>
                <w:b w:val="1"/>
                <w:bCs w:val="1"/>
                <w:i w:val="1"/>
                <w:iCs w:val="1"/>
                <w:color w:val="auto"/>
                <w:w w:val="88"/>
              </w:rPr>
              <w:t>Intrinsic</w:t>
            </w:r>
          </w:p>
        </w:tc>
      </w:tr>
      <w:tr>
        <w:trPr>
          <w:trHeight w:val="146"/>
        </w:trPr>
        <w:tc>
          <w:tcPr>
            <w:tcW w:w="8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Exercise Prices</w:t>
            </w:r>
          </w:p>
        </w:tc>
        <w:tc>
          <w:tcPr>
            <w:tcW w:w="4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Exercisable</w:t>
            </w:r>
          </w:p>
        </w:tc>
        <w:tc>
          <w:tcPr>
            <w:tcW w:w="360" w:type="dxa"/>
            <w:vAlign w:val="bottom"/>
          </w:tcPr>
          <w:p>
            <w:pPr>
              <w:spacing w:after="0"/>
              <w:rPr>
                <w:sz w:val="12"/>
                <w:szCs w:val="12"/>
                <w:color w:val="auto"/>
              </w:rPr>
            </w:pPr>
          </w:p>
        </w:tc>
        <w:tc>
          <w:tcPr>
            <w:tcW w:w="10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7"/>
              </w:rPr>
              <w:t>Remaining Life</w:t>
            </w:r>
          </w:p>
        </w:tc>
        <w:tc>
          <w:tcPr>
            <w:tcW w:w="9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c>
          <w:tcPr>
            <w:tcW w:w="240" w:type="dxa"/>
            <w:vAlign w:val="bottom"/>
          </w:tcPr>
          <w:p>
            <w:pPr>
              <w:spacing w:after="0"/>
              <w:rPr>
                <w:sz w:val="12"/>
                <w:szCs w:val="12"/>
                <w:color w:val="auto"/>
              </w:rPr>
            </w:pPr>
          </w:p>
        </w:tc>
        <w:tc>
          <w:tcPr>
            <w:tcW w:w="44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5"/>
              </w:rPr>
              <w:t>Value</w:t>
            </w:r>
          </w:p>
        </w:tc>
      </w:tr>
      <w:tr>
        <w:trPr>
          <w:trHeight w:val="20"/>
        </w:trPr>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131" w:right="239" w:bottom="0" w:gutter="0" w:footer="0" w:header="0"/>
        </w:sectPr>
      </w:pPr>
    </w:p>
    <w:bookmarkStart w:id="41" w:name="page42"/>
    <w:bookmarkEnd w:id="41"/>
    <w:p>
      <w:pPr>
        <w:spacing w:after="0" w:line="19" w:lineRule="exact"/>
        <w:rPr>
          <w:sz w:val="20"/>
          <w:szCs w:val="20"/>
          <w:color w:val="auto"/>
        </w:rPr>
      </w:pPr>
    </w:p>
    <w:tbl>
      <w:tblPr>
        <w:tblLayout w:type="fixed"/>
        <w:tblInd w:w="1460" w:type="dxa"/>
        <w:tblCellMar>
          <w:top w:w="0" w:type="dxa"/>
          <w:left w:w="0" w:type="dxa"/>
          <w:bottom w:w="0" w:type="dxa"/>
          <w:right w:w="0" w:type="dxa"/>
        </w:tblCellMar>
      </w:tblPr>
      <w:tr>
        <w:trPr>
          <w:trHeight w:val="223"/>
        </w:trPr>
        <w:tc>
          <w:tcPr>
            <w:tcW w:w="820" w:type="dxa"/>
            <w:vAlign w:val="bottom"/>
            <w:vMerge w:val="restart"/>
          </w:tcPr>
          <w:p>
            <w:pPr>
              <w:jc w:val="right"/>
              <w:ind w:right="332"/>
              <w:spacing w:after="0"/>
              <w:rPr>
                <w:sz w:val="20"/>
                <w:szCs w:val="20"/>
                <w:color w:val="auto"/>
              </w:rPr>
            </w:pPr>
            <w:r>
              <w:rPr>
                <w:rFonts w:ascii="Arial" w:cs="Arial" w:eastAsia="Arial" w:hAnsi="Arial"/>
                <w:sz w:val="18"/>
                <w:szCs w:val="18"/>
                <w:color w:val="auto"/>
                <w:w w:val="84"/>
              </w:rPr>
              <w:t>$5.66</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10,000</w:t>
            </w:r>
          </w:p>
        </w:tc>
        <w:tc>
          <w:tcPr>
            <w:tcW w:w="1140" w:type="dxa"/>
            <w:vAlign w:val="bottom"/>
          </w:tcPr>
          <w:p>
            <w:pPr>
              <w:ind w:left="240"/>
              <w:spacing w:after="0"/>
              <w:rPr>
                <w:sz w:val="20"/>
                <w:szCs w:val="20"/>
                <w:color w:val="auto"/>
              </w:rPr>
            </w:pPr>
            <w:r>
              <w:rPr>
                <w:rFonts w:ascii="Arial" w:cs="Arial" w:eastAsia="Arial" w:hAnsi="Arial"/>
                <w:sz w:val="18"/>
                <w:szCs w:val="18"/>
                <w:color w:val="auto"/>
              </w:rPr>
              <w:t>.47 years</w:t>
            </w:r>
          </w:p>
        </w:tc>
        <w:tc>
          <w:tcPr>
            <w:tcW w:w="1080" w:type="dxa"/>
            <w:vAlign w:val="bottom"/>
          </w:tcPr>
          <w:p>
            <w:pPr>
              <w:jc w:val="right"/>
              <w:ind w:right="332"/>
              <w:spacing w:after="0"/>
              <w:rPr>
                <w:sz w:val="20"/>
                <w:szCs w:val="20"/>
                <w:color w:val="auto"/>
              </w:rPr>
            </w:pPr>
            <w:r>
              <w:rPr>
                <w:rFonts w:ascii="Arial" w:cs="Arial" w:eastAsia="Arial" w:hAnsi="Arial"/>
                <w:sz w:val="18"/>
                <w:szCs w:val="18"/>
                <w:color w:val="auto"/>
              </w:rPr>
              <w:t>$5.66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aggregate intrinsic value in the table above, if any, represents the total pretax intrinsic value, based on a closing price for our stock of $3.75 at December 31, 2013, assuming all option holders exercised their stock options that were in-the-money as of that date. In general, it is our policy to issue new shares upon the exercise of stock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summarizes the compensation expense we recorded during 2013 and 2012, respectively, related to nonvested shares:</w:t>
      </w: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4"/>
          <w:szCs w:val="14"/>
          <w:b w:val="1"/>
          <w:bCs w:val="1"/>
          <w:i w:val="1"/>
          <w:iCs w:val="1"/>
          <w:color w:val="auto"/>
        </w:rPr>
        <w:t>Years Ended</w:t>
      </w:r>
    </w:p>
    <w:p>
      <w:pPr>
        <w:ind w:left="47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70" w:lineRule="exact"/>
        <w:rPr>
          <w:sz w:val="20"/>
          <w:szCs w:val="20"/>
          <w:color w:val="auto"/>
        </w:rPr>
      </w:pPr>
    </w:p>
    <w:p>
      <w:pPr>
        <w:ind w:left="4640"/>
        <w:spacing w:after="0"/>
        <w:tabs>
          <w:tab w:leader="none" w:pos="5320" w:val="left"/>
        </w:tabs>
        <w:rPr>
          <w:sz w:val="20"/>
          <w:szCs w:val="20"/>
          <w:color w:val="auto"/>
        </w:rPr>
      </w:pPr>
      <w:r>
        <w:rPr>
          <w:rFonts w:ascii="Arial" w:cs="Arial" w:eastAsia="Arial" w:hAnsi="Arial"/>
          <w:sz w:val="14"/>
          <w:szCs w:val="14"/>
          <w:b w:val="1"/>
          <w:bCs w:val="1"/>
          <w:i w:val="1"/>
          <w:iCs w:val="1"/>
          <w:u w:val="single" w:color="auto"/>
          <w:color w:val="auto"/>
        </w:rPr>
        <w:t>2013</w:t>
      </w:r>
      <w:r>
        <w:rPr>
          <w:sz w:val="20"/>
          <w:szCs w:val="20"/>
          <w:color w:val="auto"/>
        </w:rPr>
        <w:tab/>
      </w:r>
      <w:r>
        <w:rPr>
          <w:rFonts w:ascii="Arial" w:cs="Arial" w:eastAsia="Arial" w:hAnsi="Arial"/>
          <w:sz w:val="14"/>
          <w:szCs w:val="14"/>
          <w:b w:val="1"/>
          <w:bCs w:val="1"/>
          <w:i w:val="1"/>
          <w:iCs w:val="1"/>
          <w:u w:val="single" w:color="auto"/>
          <w:color w:val="auto"/>
        </w:rPr>
        <w:t>2012</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 of revenues</w:t>
      </w:r>
    </w:p>
    <w:p>
      <w:pPr>
        <w:spacing w:after="0" w:line="15" w:lineRule="exact"/>
        <w:rPr>
          <w:sz w:val="20"/>
          <w:szCs w:val="20"/>
          <w:color w:val="auto"/>
        </w:rPr>
      </w:pPr>
    </w:p>
    <w:p>
      <w:pPr>
        <w:ind w:left="4680"/>
        <w:spacing w:after="0"/>
        <w:tabs>
          <w:tab w:leader="none" w:pos="4960" w:val="left"/>
          <w:tab w:leader="none" w:pos="5340" w:val="left"/>
          <w:tab w:leader="none" w:pos="5660" w:val="left"/>
        </w:tabs>
        <w:rPr>
          <w:sz w:val="20"/>
          <w:szCs w:val="20"/>
          <w:color w:val="auto"/>
        </w:rPr>
      </w:pPr>
      <w:r>
        <w:rPr>
          <w:rFonts w:ascii="Arial" w:cs="Arial" w:eastAsia="Arial" w:hAnsi="Arial"/>
          <w:sz w:val="18"/>
          <w:szCs w:val="18"/>
          <w:color w:val="auto"/>
        </w:rPr>
        <w:t>$</w:t>
        <w:tab/>
        <w:t>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5</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Selling expense</w:t>
      </w:r>
    </w:p>
    <w:p>
      <w:pPr>
        <w:spacing w:after="0" w:line="15" w:lineRule="exact"/>
        <w:rPr>
          <w:sz w:val="20"/>
          <w:szCs w:val="20"/>
          <w:color w:val="auto"/>
        </w:rPr>
      </w:pPr>
    </w:p>
    <w:p>
      <w:pPr>
        <w:ind w:left="4900"/>
        <w:spacing w:after="0"/>
        <w:tabs>
          <w:tab w:leader="none" w:pos="56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9</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Engineering and product development expense</w:t>
      </w:r>
    </w:p>
    <w:p>
      <w:pPr>
        <w:spacing w:after="0" w:line="15"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24</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w:t>
      </w:r>
    </w:p>
    <w:p>
      <w:pPr>
        <w:spacing w:after="0" w:line="15"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2995930</wp:posOffset>
            </wp:positionH>
            <wp:positionV relativeFrom="paragraph">
              <wp:posOffset>-17780</wp:posOffset>
            </wp:positionV>
            <wp:extent cx="2228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-17780</wp:posOffset>
            </wp:positionV>
            <wp:extent cx="2228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8" w:lineRule="exact"/>
        <w:rPr>
          <w:sz w:val="20"/>
          <w:szCs w:val="20"/>
          <w:color w:val="auto"/>
        </w:rPr>
      </w:pPr>
    </w:p>
    <w:p>
      <w:pPr>
        <w:ind w:left="4720"/>
        <w:spacing w:after="0"/>
        <w:tabs>
          <w:tab w:leader="none" w:pos="5400" w:val="left"/>
        </w:tabs>
        <w:rPr>
          <w:sz w:val="20"/>
          <w:szCs w:val="20"/>
          <w:color w:val="auto"/>
        </w:rPr>
      </w:pPr>
      <w:r>
        <w:rPr>
          <w:rFonts w:ascii="Arial" w:cs="Arial" w:eastAsia="Arial" w:hAnsi="Arial"/>
          <w:sz w:val="18"/>
          <w:szCs w:val="18"/>
          <w:u w:val="single" w:color="auto"/>
          <w:color w:val="auto"/>
        </w:rPr>
        <w:t>$128</w:t>
      </w:r>
      <w:r>
        <w:rPr>
          <w:sz w:val="20"/>
          <w:szCs w:val="20"/>
          <w:color w:val="auto"/>
        </w:rPr>
        <w:tab/>
      </w:r>
      <w:r>
        <w:rPr>
          <w:rFonts w:ascii="Arial" w:cs="Arial" w:eastAsia="Arial" w:hAnsi="Arial"/>
          <w:sz w:val="15"/>
          <w:szCs w:val="15"/>
          <w:u w:val="single" w:color="auto"/>
          <w:color w:val="auto"/>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STOCK-BASED COMPENSATION PLAN </w:t>
      </w:r>
      <w:r>
        <w:rPr>
          <w:rFonts w:ascii="Arial" w:cs="Arial" w:eastAsia="Arial" w:hAnsi="Arial"/>
          <w:sz w:val="18"/>
          <w:szCs w:val="18"/>
          <w:color w:val="auto"/>
        </w:rPr>
        <w:t>(Continued)</w:t>
      </w:r>
    </w:p>
    <w:p>
      <w:pPr>
        <w:spacing w:after="0" w:line="191"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There was no compensation expense capitalized in 2013 or 2012. The following table summarizes the activity related to nonvested shares for the two years ended December 31, 2013:</w:t>
      </w:r>
    </w:p>
    <w:p>
      <w:pPr>
        <w:spacing w:after="0" w:line="29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0"/>
              </w:rPr>
              <w:t>Weighted Average</w:t>
            </w:r>
          </w:p>
        </w:tc>
      </w:tr>
      <w:tr>
        <w:trPr>
          <w:trHeight w:val="149"/>
        </w:trPr>
        <w:tc>
          <w:tcPr>
            <w:tcW w:w="4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040" w:type="dxa"/>
            <w:vAlign w:val="bottom"/>
          </w:tcPr>
          <w:p>
            <w:pPr>
              <w:spacing w:after="0"/>
              <w:rPr>
                <w:sz w:val="12"/>
                <w:szCs w:val="12"/>
                <w:color w:val="auto"/>
              </w:rPr>
            </w:pPr>
          </w:p>
        </w:tc>
        <w:tc>
          <w:tcPr>
            <w:tcW w:w="1220" w:type="dxa"/>
            <w:vAlign w:val="bottom"/>
            <w:gridSpan w:val="7"/>
          </w:tcPr>
          <w:p>
            <w:pPr>
              <w:jc w:val="right"/>
              <w:ind w:right="22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22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6"/>
              </w:rPr>
              <w:t>Fair Value</w:t>
            </w:r>
          </w:p>
        </w:tc>
      </w:tr>
      <w:tr>
        <w:trPr>
          <w:trHeight w:val="20"/>
        </w:trPr>
        <w:tc>
          <w:tcPr>
            <w:tcW w:w="4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040" w:type="dxa"/>
            <w:vAlign w:val="bottom"/>
          </w:tcPr>
          <w:p>
            <w:pPr>
              <w:spacing w:after="0"/>
              <w:rPr>
                <w:sz w:val="20"/>
                <w:szCs w:val="20"/>
                <w:color w:val="auto"/>
              </w:rPr>
            </w:pPr>
            <w:r>
              <w:rPr>
                <w:rFonts w:ascii="Arial" w:cs="Arial" w:eastAsia="Arial" w:hAnsi="Arial"/>
                <w:sz w:val="18"/>
                <w:szCs w:val="18"/>
                <w:color w:val="auto"/>
              </w:rPr>
              <w:t>Nonvested shares outstanding, January 1, 2012</w:t>
            </w:r>
          </w:p>
        </w:tc>
        <w:tc>
          <w:tcPr>
            <w:tcW w:w="480" w:type="dxa"/>
            <w:vAlign w:val="bottom"/>
          </w:tcPr>
          <w:p>
            <w:pPr>
              <w:spacing w:after="0"/>
              <w:rPr>
                <w:sz w:val="20"/>
                <w:szCs w:val="20"/>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195,000</w:t>
            </w:r>
          </w:p>
        </w:tc>
        <w:tc>
          <w:tcPr>
            <w:tcW w:w="6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$1.62</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Vested</w:t>
            </w: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(76,250)</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1.62</w:t>
            </w:r>
          </w:p>
        </w:tc>
      </w:tr>
      <w:tr>
        <w:trPr>
          <w:trHeight w:val="421"/>
        </w:trPr>
        <w:tc>
          <w:tcPr>
            <w:tcW w:w="40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620" w:type="dxa"/>
            <w:vAlign w:val="bottom"/>
            <w:gridSpan w:val="3"/>
          </w:tcPr>
          <w:p>
            <w:pPr>
              <w:spacing w:after="0"/>
              <w:rPr>
                <w:sz w:val="24"/>
                <w:szCs w:val="24"/>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3"/>
              </w:rPr>
              <w:t>(10,000)</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1.42</w:t>
            </w:r>
          </w:p>
        </w:tc>
      </w:tr>
      <w:tr>
        <w:trPr>
          <w:trHeight w:val="20"/>
        </w:trPr>
        <w:tc>
          <w:tcPr>
            <w:tcW w:w="40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r>
      <w:tr>
        <w:trPr>
          <w:trHeight w:val="478"/>
        </w:trPr>
        <w:tc>
          <w:tcPr>
            <w:tcW w:w="4040" w:type="dxa"/>
            <w:vAlign w:val="bottom"/>
          </w:tcPr>
          <w:p>
            <w:pPr>
              <w:spacing w:after="0"/>
              <w:rPr>
                <w:sz w:val="20"/>
                <w:szCs w:val="20"/>
                <w:color w:val="auto"/>
              </w:rPr>
            </w:pPr>
            <w:r>
              <w:rPr>
                <w:rFonts w:ascii="Arial" w:cs="Arial" w:eastAsia="Arial" w:hAnsi="Arial"/>
                <w:sz w:val="18"/>
                <w:szCs w:val="18"/>
                <w:color w:val="auto"/>
                <w:w w:val="97"/>
              </w:rPr>
              <w:t>Nonvested shares outstanding, December 31, 2012</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108,750</w:t>
            </w:r>
          </w:p>
        </w:tc>
        <w:tc>
          <w:tcPr>
            <w:tcW w:w="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1.63</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127,500</w:t>
            </w:r>
          </w:p>
        </w:tc>
        <w:tc>
          <w:tcPr>
            <w:tcW w:w="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3.62</w:t>
            </w:r>
          </w:p>
        </w:tc>
      </w:tr>
      <w:tr>
        <w:trPr>
          <w:trHeight w:val="459"/>
        </w:trPr>
        <w:tc>
          <w:tcPr>
            <w:tcW w:w="4040" w:type="dxa"/>
            <w:vAlign w:val="bottom"/>
          </w:tcPr>
          <w:p>
            <w:pPr>
              <w:ind w:left="140"/>
              <w:spacing w:after="0"/>
              <w:rPr>
                <w:sz w:val="20"/>
                <w:szCs w:val="20"/>
                <w:color w:val="auto"/>
              </w:rPr>
            </w:pPr>
            <w:r>
              <w:rPr>
                <w:rFonts w:ascii="Arial" w:cs="Arial" w:eastAsia="Arial" w:hAnsi="Arial"/>
                <w:sz w:val="18"/>
                <w:szCs w:val="18"/>
                <w:color w:val="auto"/>
              </w:rPr>
              <w:t>Vested</w:t>
            </w: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(56,250)</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1.70</w:t>
            </w:r>
          </w:p>
        </w:tc>
      </w:tr>
      <w:tr>
        <w:trPr>
          <w:trHeight w:val="421"/>
        </w:trPr>
        <w:tc>
          <w:tcPr>
            <w:tcW w:w="40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620" w:type="dxa"/>
            <w:vAlign w:val="bottom"/>
            <w:gridSpan w:val="3"/>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w w:val="97"/>
              </w:rPr>
              <w:t>Nonvested shares outstanding, December 31, 2013</w:t>
            </w:r>
          </w:p>
        </w:tc>
        <w:tc>
          <w:tcPr>
            <w:tcW w:w="580" w:type="dxa"/>
            <w:vAlign w:val="bottom"/>
            <w:gridSpan w:val="2"/>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180,000</w:t>
            </w:r>
          </w:p>
        </w:tc>
        <w:tc>
          <w:tcPr>
            <w:tcW w:w="60" w:type="dxa"/>
            <w:vAlign w:val="bottom"/>
          </w:tcPr>
          <w:p>
            <w:pPr>
              <w:spacing w:after="0"/>
              <w:rPr>
                <w:sz w:val="24"/>
                <w:szCs w:val="2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2.69</w:t>
            </w:r>
          </w:p>
        </w:tc>
      </w:tr>
    </w:tbl>
    <w:p>
      <w:pPr>
        <w:spacing w:after="0" w:line="200" w:lineRule="exact"/>
        <w:rPr>
          <w:sz w:val="20"/>
          <w:szCs w:val="20"/>
          <w:color w:val="auto"/>
        </w:rPr>
      </w:pPr>
    </w:p>
    <w:p>
      <w:pPr>
        <w:spacing w:after="0" w:line="26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total fair value of the shares that vested during the years ended December 31, 2013 and 2012 was $176 and $253, respectively, as of the vesting dates of these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91"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(effective January 1, 2013) and inTEST Silicon Valley Corp who are at least 18 years of age are eligible to participate in the</w:t>
      </w:r>
    </w:p>
    <w:p>
      <w:pPr>
        <w:sectPr>
          <w:pgSz w:w="11900" w:h="16858" w:orient="portrait"/>
          <w:cols w:equalWidth="0" w:num="1">
            <w:col w:w="11340"/>
          </w:cols>
          <w:pgMar w:left="240" w:top="50" w:right="319" w:bottom="0" w:gutter="0" w:footer="0" w:header="0"/>
        </w:sectPr>
      </w:pPr>
    </w:p>
    <w:bookmarkStart w:id="42" w:name="page43"/>
    <w:bookmarkEnd w:id="42"/>
    <w:p>
      <w:pPr>
        <w:spacing w:after="0" w:line="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plan. We match employee contributions dollar for dollar up to 10% of the employee's annual compensation, with a maximum limit of $5. Employer contributions vest ratably over four years. Matching contributions are discretionary. For the years ended December 31, 2013 and 2012, we recorded $320 and $182 of expense for matching contributions, respectively.</w:t>
      </w:r>
    </w:p>
    <w:p>
      <w:pPr>
        <w:spacing w:after="0" w:line="19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Temptronic adopted a defined contribution 401(k) plan for its domestic employees in 1988, that was merged into the inTEST 401(k) Plan effective September 1, 2002. Prior to January 1, 2013, the inTEST 401(k) Plan retained the matching provisions of the prior Temptronic plan for all Temptronic employees, which included discretionary employer matching contributions of $0.50 on the dollar up to 6% of the employees' annual compensation, with a maximum limit of $3. The eligibility and vesting provisions of the prior Temptronic plan were conformed to those for inTEST Corporation and inTEST Silicon Valley Corporation employees. For the year ended December 31, 2012, Temptronic contributed $81 to the plan.</w:t>
      </w:r>
    </w:p>
    <w:p>
      <w:pPr>
        <w:spacing w:after="0" w:line="170"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Prior to January 1, 2013, in addition to the employer matching contributions for which Temptronic employees were eligible, all Temptronic employees were also eligible to receive profit sharing contributions. During the third quarter of 2012, our Board of Directors approved an amendment to the inTEST 401(k) Plan. The amendment terminated the profit sharing contributions for Temptronic employees effective December 31, 2012. In addition, the amendment conformed the employer matching provisions for the Temptronic employees with those currently in place for inTEST Corporation and inTEST Silicon Valley employees effective January 1, 2013. During 2012, profit sharing contributions totaling $300 were accrued and paid. We funded these contributions through the use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- 20</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The Thermal Products segment includes the operations of Temptronic Corporation, Thermonics (which we acquired in January 2012 as discussed further in Note 3), Sigma Systems Corp., inTEST Thermal Solutions GmbH (Germany), and inTEST Pte, Limited (Singapore). Sales of this segment consist primarily of temperature management systems which we design, manufacture and market under our Temptronic, Thermonics and Sigma Systems product lines. In addition, this segment provides post warranty service and support.</w:t>
      </w:r>
    </w:p>
    <w:p>
      <w:pPr>
        <w:spacing w:after="0" w:line="16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4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37" w:lineRule="exact"/>
        <w:rPr>
          <w:sz w:val="20"/>
          <w:szCs w:val="20"/>
          <w:color w:val="auto"/>
        </w:rPr>
      </w:pPr>
    </w:p>
    <w:p>
      <w:pPr>
        <w:ind w:left="5420"/>
        <w:spacing w:after="0"/>
        <w:rPr>
          <w:sz w:val="20"/>
          <w:szCs w:val="20"/>
          <w:color w:val="auto"/>
        </w:rPr>
      </w:pPr>
      <w:r>
        <w:rPr>
          <w:rFonts w:ascii="Arial" w:cs="Arial" w:eastAsia="Arial" w:hAnsi="Arial"/>
          <w:sz w:val="14"/>
          <w:szCs w:val="14"/>
          <w:b w:val="1"/>
          <w:bCs w:val="1"/>
          <w:i w:val="1"/>
          <w:iCs w:val="1"/>
          <w:color w:val="auto"/>
        </w:rPr>
        <w:t>Years Ended</w:t>
      </w:r>
    </w:p>
    <w:p>
      <w:pPr>
        <w:ind w:left="540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14"/>
          <w:szCs w:val="14"/>
          <w:b w:val="1"/>
          <w:bCs w:val="1"/>
          <w:i w:val="1"/>
          <w:iCs w:val="1"/>
          <w:u w:val="single" w:color="auto"/>
          <w:color w:val="auto"/>
        </w:rPr>
        <w:t>2013</w:t>
      </w:r>
      <w:r>
        <w:rPr>
          <w:sz w:val="20"/>
          <w:szCs w:val="20"/>
          <w:color w:val="auto"/>
        </w:rPr>
        <w:tab/>
      </w:r>
      <w:r>
        <w:rPr>
          <w:rFonts w:ascii="Arial" w:cs="Arial" w:eastAsia="Arial" w:hAnsi="Arial"/>
          <w:sz w:val="14"/>
          <w:szCs w:val="14"/>
          <w:b w:val="1"/>
          <w:bCs w:val="1"/>
          <w:i w:val="1"/>
          <w:iCs w:val="1"/>
          <w:u w:val="single" w:color="auto"/>
          <w:color w:val="auto"/>
        </w:rPr>
        <w:t>2012</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right="-219"/>
        <w:spacing w:after="0"/>
        <w:tabs>
          <w:tab w:leader="none" w:pos="140" w:val="left"/>
        </w:tabs>
        <w:rPr>
          <w:sz w:val="20"/>
          <w:szCs w:val="20"/>
          <w:color w:val="auto"/>
        </w:rPr>
      </w:pPr>
      <w:r>
        <w:rPr>
          <w:rFonts w:ascii="Arial" w:cs="Arial" w:eastAsia="Arial" w:hAnsi="Arial"/>
          <w:sz w:val="18"/>
          <w:szCs w:val="18"/>
          <w:color w:val="auto"/>
        </w:rPr>
        <w:t>$22,962</w:t>
      </w:r>
      <w:r>
        <w:rPr>
          <w:sz w:val="20"/>
          <w:szCs w:val="20"/>
          <w:color w:val="auto"/>
        </w:rPr>
        <w:tab/>
      </w:r>
      <w:r>
        <w:rPr>
          <w:rFonts w:ascii="Arial" w:cs="Arial" w:eastAsia="Arial" w:hAnsi="Arial"/>
          <w:sz w:val="16"/>
          <w:szCs w:val="16"/>
          <w:color w:val="auto"/>
        </w:rPr>
        <w:t>$24,307</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jc w:val="center"/>
        <w:ind w:left="5240"/>
        <w:spacing w:after="0"/>
        <w:tabs>
          <w:tab w:leader="none" w:pos="320" w:val="left"/>
        </w:tabs>
        <w:rPr>
          <w:sz w:val="20"/>
          <w:szCs w:val="20"/>
          <w:color w:val="auto"/>
        </w:rPr>
      </w:pPr>
      <w:r>
        <w:rPr>
          <w:rFonts w:ascii="Arial" w:cs="Arial" w:eastAsia="Arial" w:hAnsi="Arial"/>
          <w:sz w:val="18"/>
          <w:szCs w:val="18"/>
          <w:color w:val="auto"/>
        </w:rPr>
        <w:t>9,962</w:t>
      </w:r>
      <w:r>
        <w:rPr>
          <w:sz w:val="20"/>
          <w:szCs w:val="20"/>
          <w:color w:val="auto"/>
        </w:rPr>
        <w:tab/>
      </w:r>
      <w:r>
        <w:rPr>
          <w:rFonts w:ascii="Arial" w:cs="Arial" w:eastAsia="Arial" w:hAnsi="Arial"/>
          <w:sz w:val="18"/>
          <w:szCs w:val="18"/>
          <w:color w:val="auto"/>
        </w:rPr>
        <w:t>9,904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300"/>
        <w:spacing w:after="0"/>
        <w:tabs>
          <w:tab w:leader="none" w:pos="6020" w:val="left"/>
        </w:tabs>
        <w:rPr>
          <w:sz w:val="20"/>
          <w:szCs w:val="20"/>
          <w:color w:val="auto"/>
        </w:rPr>
      </w:pPr>
      <w:r>
        <w:rPr>
          <w:rFonts w:ascii="Arial" w:cs="Arial" w:eastAsia="Arial" w:hAnsi="Arial"/>
          <w:sz w:val="18"/>
          <w:szCs w:val="18"/>
          <w:color w:val="auto"/>
        </w:rPr>
        <w:t>6,502</w:t>
      </w:r>
      <w:r>
        <w:rPr>
          <w:sz w:val="20"/>
          <w:szCs w:val="20"/>
          <w:color w:val="auto"/>
        </w:rPr>
        <w:tab/>
      </w:r>
      <w:r>
        <w:rPr>
          <w:rFonts w:ascii="Arial" w:cs="Arial" w:eastAsia="Arial" w:hAnsi="Arial"/>
          <w:sz w:val="18"/>
          <w:szCs w:val="18"/>
          <w:color w:val="auto"/>
        </w:rPr>
        <w:t>9,165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-17780</wp:posOffset>
            </wp:positionV>
            <wp:extent cx="797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6" w:lineRule="exact"/>
        <w:rPr>
          <w:sz w:val="20"/>
          <w:szCs w:val="20"/>
          <w:color w:val="auto"/>
        </w:rPr>
      </w:pPr>
    </w:p>
    <w:p>
      <w:pPr>
        <w:ind w:left="5140"/>
        <w:spacing w:after="0"/>
        <w:tabs>
          <w:tab w:leader="none" w:pos="5840" w:val="left"/>
        </w:tabs>
        <w:rPr>
          <w:sz w:val="20"/>
          <w:szCs w:val="20"/>
          <w:color w:val="auto"/>
        </w:rPr>
      </w:pPr>
      <w:r>
        <w:rPr>
          <w:rFonts w:ascii="Arial" w:cs="Arial" w:eastAsia="Arial" w:hAnsi="Arial"/>
          <w:sz w:val="18"/>
          <w:szCs w:val="18"/>
          <w:u w:val="single" w:color="auto"/>
          <w:color w:val="auto"/>
        </w:rPr>
        <w:t>$39,426</w:t>
      </w:r>
      <w:r>
        <w:rPr>
          <w:sz w:val="20"/>
          <w:szCs w:val="20"/>
          <w:color w:val="auto"/>
        </w:rPr>
        <w:tab/>
      </w:r>
      <w:r>
        <w:rPr>
          <w:rFonts w:ascii="Arial" w:cs="Arial" w:eastAsia="Arial" w:hAnsi="Arial"/>
          <w:sz w:val="16"/>
          <w:szCs w:val="16"/>
          <w:u w:val="single" w:color="auto"/>
          <w:color w:val="auto"/>
        </w:rPr>
        <w:t>$43,376</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Depreciation/amortization:</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left="420"/>
        <w:spacing w:after="0"/>
        <w:tabs>
          <w:tab w:leader="none" w:pos="300" w:val="left"/>
        </w:tabs>
        <w:rPr>
          <w:sz w:val="20"/>
          <w:szCs w:val="20"/>
          <w:color w:val="auto"/>
        </w:rPr>
      </w:pPr>
      <w:r>
        <w:rPr>
          <w:rFonts w:ascii="Arial" w:cs="Arial" w:eastAsia="Arial" w:hAnsi="Arial"/>
          <w:sz w:val="18"/>
          <w:szCs w:val="18"/>
          <w:color w:val="auto"/>
        </w:rPr>
        <w:t>$695</w:t>
      </w:r>
      <w:r>
        <w:rPr>
          <w:sz w:val="20"/>
          <w:szCs w:val="20"/>
          <w:color w:val="auto"/>
        </w:rPr>
        <w:tab/>
      </w:r>
      <w:r>
        <w:rPr>
          <w:rFonts w:ascii="Arial" w:cs="Arial" w:eastAsia="Arial" w:hAnsi="Arial"/>
          <w:sz w:val="16"/>
          <w:szCs w:val="16"/>
          <w:color w:val="auto"/>
        </w:rPr>
        <w:t>$816</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580"/>
        <w:spacing w:after="0"/>
        <w:tabs>
          <w:tab w:leader="none" w:pos="62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73</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jc w:val="right"/>
        <w:ind w:left="5400" w:right="4920" w:firstLine="182"/>
        <w:spacing w:after="0" w:line="453" w:lineRule="auto"/>
        <w:tabs>
          <w:tab w:leader="none" w:pos="62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$847    $933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-327660</wp:posOffset>
            </wp:positionV>
            <wp:extent cx="1949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4945" cy="8890"/>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-327660</wp:posOffset>
            </wp:positionV>
            <wp:extent cx="1949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left="300"/>
        <w:spacing w:after="0"/>
        <w:tabs>
          <w:tab w:leader="none" w:pos="180" w:val="left"/>
        </w:tabs>
        <w:rPr>
          <w:sz w:val="20"/>
          <w:szCs w:val="20"/>
          <w:color w:val="auto"/>
        </w:rPr>
      </w:pPr>
      <w:r>
        <w:rPr>
          <w:rFonts w:ascii="Arial" w:cs="Arial" w:eastAsia="Arial" w:hAnsi="Arial"/>
          <w:sz w:val="18"/>
          <w:szCs w:val="18"/>
          <w:color w:val="auto"/>
        </w:rPr>
        <w:t>$4,322</w:t>
      </w:r>
      <w:r>
        <w:rPr>
          <w:sz w:val="20"/>
          <w:szCs w:val="20"/>
          <w:color w:val="auto"/>
        </w:rPr>
        <w:tab/>
      </w:r>
      <w:r>
        <w:rPr>
          <w:rFonts w:ascii="Arial" w:cs="Arial" w:eastAsia="Arial" w:hAnsi="Arial"/>
          <w:sz w:val="15"/>
          <w:szCs w:val="15"/>
          <w:color w:val="auto"/>
        </w:rPr>
        <w:t>$2,939</w:t>
      </w:r>
    </w:p>
    <w:p>
      <w:pPr>
        <w:sectPr>
          <w:pgSz w:w="11900" w:h="16846" w:orient="portrait"/>
          <w:cols w:equalWidth="0" w:num="1">
            <w:col w:w="11360"/>
          </w:cols>
          <w:pgMar w:left="240" w:top="131" w:right="299" w:bottom="0" w:gutter="0" w:footer="0" w:header="0"/>
        </w:sectPr>
      </w:pPr>
    </w:p>
    <w:bookmarkStart w:id="43" w:name="page44"/>
    <w:bookmarkEnd w:id="43"/>
    <w:tbl>
      <w:tblPr>
        <w:tblLayout w:type="fixed"/>
        <w:tblInd w:w="1100" w:type="dxa"/>
        <w:tblCellMar>
          <w:top w:w="0" w:type="dxa"/>
          <w:left w:w="0" w:type="dxa"/>
          <w:bottom w:w="0" w:type="dxa"/>
          <w:right w:w="0" w:type="dxa"/>
        </w:tblCellMar>
      </w:tblPr>
      <w:tr>
        <w:trPr>
          <w:trHeight w:val="250"/>
        </w:trPr>
        <w:tc>
          <w:tcPr>
            <w:tcW w:w="2900" w:type="dxa"/>
            <w:vAlign w:val="bottom"/>
          </w:tcPr>
          <w:p>
            <w:pPr>
              <w:spacing w:after="0"/>
              <w:rPr>
                <w:sz w:val="20"/>
                <w:szCs w:val="20"/>
                <w:color w:val="auto"/>
              </w:rPr>
            </w:pPr>
            <w:r>
              <w:rPr>
                <w:rFonts w:ascii="Arial" w:cs="Arial" w:eastAsia="Arial" w:hAnsi="Arial"/>
                <w:sz w:val="18"/>
                <w:szCs w:val="18"/>
                <w:color w:val="auto"/>
              </w:rPr>
              <w:t>Mechanical Products</w:t>
            </w:r>
          </w:p>
        </w:tc>
        <w:tc>
          <w:tcPr>
            <w:tcW w:w="2480" w:type="dxa"/>
            <w:vAlign w:val="bottom"/>
          </w:tcPr>
          <w:p>
            <w:pPr>
              <w:jc w:val="right"/>
              <w:spacing w:after="0"/>
              <w:rPr>
                <w:sz w:val="20"/>
                <w:szCs w:val="20"/>
                <w:color w:val="auto"/>
              </w:rPr>
            </w:pPr>
            <w:r>
              <w:rPr>
                <w:rFonts w:ascii="Arial" w:cs="Arial" w:eastAsia="Arial" w:hAnsi="Arial"/>
                <w:sz w:val="18"/>
                <w:szCs w:val="18"/>
                <w:color w:val="auto"/>
              </w:rPr>
              <w:t>(784)  (1,944)</w:t>
            </w:r>
          </w:p>
        </w:tc>
      </w:tr>
    </w:tbl>
    <w:p>
      <w:pPr>
        <w:spacing w:after="0" w:line="23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500"/>
        <w:spacing w:after="0"/>
        <w:tabs>
          <w:tab w:leader="none" w:pos="602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2,023</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5420"/>
        <w:spacing w:after="0"/>
        <w:tabs>
          <w:tab w:leader="none" w:pos="616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-17780</wp:posOffset>
            </wp:positionV>
            <wp:extent cx="7169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 cy="8890"/>
                    </a:xfrm>
                    <a:prstGeom prst="rect">
                      <a:avLst/>
                    </a:prstGeom>
                    <a:noFill/>
                  </pic:spPr>
                </pic:pic>
              </a:graphicData>
            </a:graphic>
          </wp:anchor>
        </w:drawing>
      </w:r>
    </w:p>
    <w:p>
      <w:pPr>
        <w:spacing w:after="0" w:line="226" w:lineRule="exact"/>
        <w:rPr>
          <w:sz w:val="20"/>
          <w:szCs w:val="20"/>
          <w:color w:val="auto"/>
        </w:rPr>
      </w:pPr>
    </w:p>
    <w:p>
      <w:pPr>
        <w:ind w:left="5280"/>
        <w:spacing w:after="0"/>
        <w:tabs>
          <w:tab w:leader="none" w:pos="5940" w:val="left"/>
        </w:tabs>
        <w:rPr>
          <w:sz w:val="20"/>
          <w:szCs w:val="20"/>
          <w:color w:val="auto"/>
        </w:rPr>
      </w:pPr>
      <w:r>
        <w:rPr>
          <w:rFonts w:ascii="Arial" w:cs="Arial" w:eastAsia="Arial" w:hAnsi="Arial"/>
          <w:sz w:val="18"/>
          <w:szCs w:val="18"/>
          <w:u w:val="single" w:color="auto"/>
          <w:color w:val="auto"/>
        </w:rPr>
        <w:t>$3,962</w:t>
      </w:r>
      <w:r>
        <w:rPr>
          <w:sz w:val="20"/>
          <w:szCs w:val="20"/>
          <w:color w:val="auto"/>
        </w:rPr>
        <w:tab/>
      </w:r>
      <w:r>
        <w:rPr>
          <w:rFonts w:ascii="Arial" w:cs="Arial" w:eastAsia="Arial" w:hAnsi="Arial"/>
          <w:sz w:val="15"/>
          <w:szCs w:val="15"/>
          <w:u w:val="single" w:color="auto"/>
          <w:color w:val="auto"/>
        </w:rPr>
        <w:t>$2,996</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5300"/>
        <w:spacing w:after="0"/>
        <w:tabs>
          <w:tab w:leader="none" w:pos="5940" w:val="left"/>
        </w:tabs>
        <w:rPr>
          <w:sz w:val="20"/>
          <w:szCs w:val="20"/>
          <w:color w:val="auto"/>
        </w:rPr>
      </w:pPr>
      <w:r>
        <w:rPr>
          <w:rFonts w:ascii="Arial" w:cs="Arial" w:eastAsia="Arial" w:hAnsi="Arial"/>
          <w:sz w:val="18"/>
          <w:szCs w:val="18"/>
          <w:color w:val="auto"/>
        </w:rPr>
        <w:t>$4,327</w:t>
      </w:r>
      <w:r>
        <w:rPr>
          <w:sz w:val="20"/>
          <w:szCs w:val="20"/>
          <w:color w:val="auto"/>
        </w:rPr>
        <w:tab/>
      </w:r>
      <w:r>
        <w:rPr>
          <w:rFonts w:ascii="Arial" w:cs="Arial" w:eastAsia="Arial" w:hAnsi="Arial"/>
          <w:sz w:val="15"/>
          <w:szCs w:val="15"/>
          <w:color w:val="auto"/>
        </w:rPr>
        <w:t>$2,958</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(772)  (1,934)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520"/>
        <w:spacing w:after="0"/>
        <w:tabs>
          <w:tab w:leader="none" w:pos="6020" w:val="left"/>
        </w:tabs>
        <w:rPr>
          <w:sz w:val="20"/>
          <w:szCs w:val="20"/>
          <w:color w:val="auto"/>
        </w:rPr>
      </w:pPr>
      <w:r>
        <w:rPr>
          <w:rFonts w:ascii="Arial" w:cs="Arial" w:eastAsia="Arial" w:hAnsi="Arial"/>
          <w:sz w:val="18"/>
          <w:szCs w:val="18"/>
          <w:color w:val="auto"/>
        </w:rPr>
        <w:t>751</w:t>
        <w:tab/>
        <w:t>2,051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5440"/>
        <w:spacing w:after="0"/>
        <w:tabs>
          <w:tab w:leader="none" w:pos="6160" w:val="left"/>
        </w:tabs>
        <w:rPr>
          <w:sz w:val="20"/>
          <w:szCs w:val="20"/>
          <w:color w:val="auto"/>
        </w:rPr>
      </w:pPr>
      <w:r>
        <w:rPr>
          <w:rFonts w:ascii="Arial" w:cs="Arial" w:eastAsia="Arial" w:hAnsi="Arial"/>
          <w:sz w:val="18"/>
          <w:szCs w:val="18"/>
          <w:color w:val="auto"/>
        </w:rPr>
        <w:t>(298)</w:t>
      </w:r>
      <w:r>
        <w:rPr>
          <w:sz w:val="20"/>
          <w:szCs w:val="20"/>
          <w:color w:val="auto"/>
        </w:rPr>
        <w:tab/>
      </w: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-17780</wp:posOffset>
            </wp:positionV>
            <wp:extent cx="6997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 cy="8890"/>
                    </a:xfrm>
                    <a:prstGeom prst="rect">
                      <a:avLst/>
                    </a:prstGeom>
                    <a:noFill/>
                  </pic:spPr>
                </pic:pic>
              </a:graphicData>
            </a:graphic>
          </wp:anchor>
        </w:drawing>
      </w:r>
    </w:p>
    <w:p>
      <w:pPr>
        <w:spacing w:after="0" w:line="226" w:lineRule="exact"/>
        <w:rPr>
          <w:sz w:val="20"/>
          <w:szCs w:val="20"/>
          <w:color w:val="auto"/>
        </w:rPr>
      </w:pPr>
    </w:p>
    <w:p>
      <w:pPr>
        <w:ind w:left="5300"/>
        <w:spacing w:after="0"/>
        <w:tabs>
          <w:tab w:leader="none" w:pos="5940" w:val="left"/>
        </w:tabs>
        <w:rPr>
          <w:sz w:val="20"/>
          <w:szCs w:val="20"/>
          <w:color w:val="auto"/>
        </w:rPr>
      </w:pPr>
      <w:r>
        <w:rPr>
          <w:rFonts w:ascii="Arial" w:cs="Arial" w:eastAsia="Arial" w:hAnsi="Arial"/>
          <w:sz w:val="18"/>
          <w:szCs w:val="18"/>
          <w:u w:val="single" w:color="auto"/>
          <w:color w:val="auto"/>
        </w:rPr>
        <w:t>$4,008</w:t>
      </w:r>
      <w:r>
        <w:rPr>
          <w:sz w:val="20"/>
          <w:szCs w:val="20"/>
          <w:color w:val="auto"/>
        </w:rPr>
        <w:tab/>
      </w:r>
      <w:r>
        <w:rPr>
          <w:rFonts w:ascii="Arial" w:cs="Arial" w:eastAsia="Arial" w:hAnsi="Arial"/>
          <w:sz w:val="15"/>
          <w:szCs w:val="15"/>
          <w:u w:val="single" w:color="auto"/>
          <w:color w:val="auto"/>
        </w:rPr>
        <w:t>$3,053</w:t>
      </w:r>
    </w:p>
    <w:p>
      <w:pPr>
        <w:spacing w:after="0" w:line="200" w:lineRule="exact"/>
        <w:rPr>
          <w:sz w:val="20"/>
          <w:szCs w:val="20"/>
          <w:color w:val="auto"/>
        </w:rPr>
      </w:pPr>
    </w:p>
    <w:p>
      <w:pPr>
        <w:spacing w:after="0" w:line="39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 - 21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SEGMENT INFORMATION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9"/>
          </w:tcPr>
          <w:p>
            <w:pPr>
              <w:jc w:val="right"/>
              <w:ind w:right="36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4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9"/>
          </w:tcPr>
          <w:p>
            <w:pPr>
              <w:jc w:val="right"/>
              <w:ind w:right="320"/>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r>
      <w:tr>
        <w:trPr>
          <w:trHeight w:val="235"/>
        </w:trPr>
        <w:tc>
          <w:tcPr>
            <w:tcW w:w="4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Income tax expense (benefit):</w:t>
            </w:r>
          </w:p>
        </w:tc>
        <w:tc>
          <w:tcPr>
            <w:tcW w:w="560" w:type="dxa"/>
            <w:vAlign w:val="bottom"/>
            <w:tcBorders>
              <w:top w:val="single" w:sz="8" w:color="auto"/>
            </w:tcBorders>
            <w:gridSpan w:val="3"/>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5"/>
        </w:trPr>
        <w:tc>
          <w:tcPr>
            <w:tcW w:w="4460" w:type="dxa"/>
            <w:vAlign w:val="bottom"/>
            <w:gridSpan w:val="4"/>
          </w:tcPr>
          <w:p>
            <w:pPr>
              <w:ind w:left="4200"/>
              <w:spacing w:after="0"/>
              <w:rPr>
                <w:sz w:val="20"/>
                <w:szCs w:val="20"/>
                <w:color w:val="auto"/>
              </w:rPr>
            </w:pPr>
            <w:r>
              <w:rPr>
                <w:rFonts w:ascii="Arial" w:cs="Arial" w:eastAsia="Arial" w:hAnsi="Arial"/>
                <w:sz w:val="14"/>
                <w:szCs w:val="14"/>
                <w:b w:val="1"/>
                <w:bCs w:val="1"/>
                <w:i w:val="1"/>
                <w:iCs w:val="1"/>
                <w:color w:val="auto"/>
                <w:w w:val="76"/>
              </w:rPr>
              <w:t>2013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w w:val="96"/>
              </w:rPr>
              <w:t>2012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4200" w:type="dxa"/>
            <w:vAlign w:val="bottom"/>
            <w:gridSpan w:val="2"/>
          </w:tcPr>
          <w:p>
            <w:pPr>
              <w:spacing w:after="0"/>
              <w:rPr>
                <w:sz w:val="20"/>
                <w:szCs w:val="20"/>
                <w:color w:val="auto"/>
              </w:rPr>
            </w:pPr>
            <w:r>
              <w:rPr>
                <w:rFonts w:ascii="Arial" w:cs="Arial" w:eastAsia="Arial" w:hAnsi="Arial"/>
                <w:sz w:val="18"/>
                <w:szCs w:val="18"/>
                <w:color w:val="auto"/>
              </w:rPr>
              <w:t>Thermal Products</w:t>
            </w:r>
          </w:p>
        </w:tc>
        <w:tc>
          <w:tcPr>
            <w:tcW w:w="260" w:type="dxa"/>
            <w:vAlign w:val="bottom"/>
            <w:tcBorders>
              <w:top w:val="single" w:sz="8" w:color="auto"/>
            </w:tcBorders>
            <w:gridSpan w:val="2"/>
          </w:tcPr>
          <w:p>
            <w:pPr>
              <w:spacing w:after="0"/>
              <w:rPr>
                <w:sz w:val="19"/>
                <w:szCs w:val="19"/>
                <w:color w:val="auto"/>
              </w:rPr>
            </w:pPr>
          </w:p>
        </w:tc>
        <w:tc>
          <w:tcPr>
            <w:tcW w:w="40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4640" w:type="dxa"/>
            <w:vAlign w:val="bottom"/>
            <w:gridSpan w:val="5"/>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9"/>
                <w:szCs w:val="19"/>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color w:val="auto"/>
              </w:rPr>
              <w:t>$ 869</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Mechanical Products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4860" w:type="dxa"/>
            <w:vAlign w:val="bottom"/>
            <w:gridSpan w:val="6"/>
          </w:tcPr>
          <w:p>
            <w:pPr>
              <w:jc w:val="right"/>
              <w:ind w:right="180"/>
              <w:spacing w:after="0"/>
              <w:rPr>
                <w:sz w:val="20"/>
                <w:szCs w:val="20"/>
                <w:color w:val="auto"/>
              </w:rPr>
            </w:pPr>
            <w:r>
              <w:rPr>
                <w:rFonts w:ascii="Arial" w:cs="Arial" w:eastAsia="Arial" w:hAnsi="Arial"/>
                <w:sz w:val="18"/>
                <w:szCs w:val="18"/>
                <w:color w:val="auto"/>
              </w:rPr>
              <w:t>(179)</w:t>
            </w:r>
          </w:p>
        </w:tc>
        <w:tc>
          <w:tcPr>
            <w:tcW w:w="520" w:type="dxa"/>
            <w:vAlign w:val="bottom"/>
            <w:gridSpan w:val="6"/>
          </w:tcPr>
          <w:p>
            <w:pPr>
              <w:jc w:val="right"/>
              <w:spacing w:after="0"/>
              <w:rPr>
                <w:sz w:val="20"/>
                <w:szCs w:val="20"/>
                <w:color w:val="auto"/>
              </w:rPr>
            </w:pPr>
            <w:r>
              <w:rPr>
                <w:rFonts w:ascii="Arial" w:cs="Arial" w:eastAsia="Arial" w:hAnsi="Arial"/>
                <w:sz w:val="18"/>
                <w:szCs w:val="18"/>
                <w:color w:val="auto"/>
              </w:rPr>
              <w:t>(568)</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4640" w:type="dxa"/>
            <w:vAlign w:val="bottom"/>
            <w:gridSpan w:val="5"/>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color w:val="auto"/>
              </w:rPr>
              <w:t>602</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Corporate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4140" w:type="dxa"/>
            <w:vAlign w:val="bottom"/>
          </w:tcPr>
          <w:p>
            <w:pPr>
              <w:spacing w:after="0"/>
              <w:rPr>
                <w:sz w:val="15"/>
                <w:szCs w:val="15"/>
                <w:color w:val="auto"/>
              </w:rPr>
            </w:pPr>
          </w:p>
        </w:tc>
        <w:tc>
          <w:tcPr>
            <w:tcW w:w="72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(69)</w:t>
            </w:r>
          </w:p>
        </w:tc>
        <w:tc>
          <w:tcPr>
            <w:tcW w:w="52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(6)</w:t>
            </w:r>
          </w:p>
        </w:tc>
      </w:tr>
      <w:tr>
        <w:trPr>
          <w:trHeight w:val="20"/>
        </w:trPr>
        <w:tc>
          <w:tcPr>
            <w:tcW w:w="41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14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95"/>
              </w:rPr>
              <w:t>$  931</w:t>
            </w:r>
          </w:p>
        </w:tc>
        <w:tc>
          <w:tcPr>
            <w:tcW w:w="2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00" w:type="dxa"/>
            <w:vAlign w:val="bottom"/>
            <w:gridSpan w:val="4"/>
          </w:tcPr>
          <w:p>
            <w:pPr>
              <w:jc w:val="right"/>
              <w:ind w:right="40"/>
              <w:spacing w:after="0"/>
              <w:rPr>
                <w:sz w:val="20"/>
                <w:szCs w:val="20"/>
                <w:color w:val="auto"/>
              </w:rPr>
            </w:pPr>
            <w:r>
              <w:rPr>
                <w:rFonts w:ascii="Arial" w:cs="Arial" w:eastAsia="Arial" w:hAnsi="Arial"/>
                <w:sz w:val="18"/>
                <w:szCs w:val="18"/>
                <w:color w:val="auto"/>
                <w:w w:val="75"/>
              </w:rPr>
              <w:t>$ 897</w:t>
            </w:r>
          </w:p>
        </w:tc>
      </w:tr>
      <w:tr>
        <w:trPr>
          <w:trHeight w:val="262"/>
        </w:trPr>
        <w:tc>
          <w:tcPr>
            <w:tcW w:w="414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500" w:type="dxa"/>
            <w:vAlign w:val="bottom"/>
            <w:tcBorders>
              <w:top w:val="single" w:sz="8" w:color="auto"/>
            </w:tcBorders>
            <w:gridSpan w:val="4"/>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53"/>
        </w:trPr>
        <w:tc>
          <w:tcPr>
            <w:tcW w:w="4860" w:type="dxa"/>
            <w:vAlign w:val="bottom"/>
            <w:gridSpan w:val="6"/>
          </w:tcPr>
          <w:p>
            <w:pPr>
              <w:spacing w:after="0"/>
              <w:rPr>
                <w:sz w:val="20"/>
                <w:szCs w:val="20"/>
                <w:color w:val="auto"/>
              </w:rPr>
            </w:pPr>
            <w:r>
              <w:rPr>
                <w:rFonts w:ascii="Arial" w:cs="Arial" w:eastAsia="Arial" w:hAnsi="Arial"/>
                <w:sz w:val="18"/>
                <w:szCs w:val="18"/>
                <w:color w:val="auto"/>
              </w:rPr>
              <w:t>Thermal Products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640" w:type="dxa"/>
            <w:vAlign w:val="bottom"/>
            <w:gridSpan w:val="5"/>
          </w:tcPr>
          <w:p>
            <w:pPr>
              <w:jc w:val="right"/>
              <w:spacing w:after="0"/>
              <w:rPr>
                <w:sz w:val="20"/>
                <w:szCs w:val="20"/>
                <w:color w:val="auto"/>
              </w:rPr>
            </w:pPr>
            <w:r>
              <w:rPr>
                <w:rFonts w:ascii="Arial" w:cs="Arial" w:eastAsia="Arial" w:hAnsi="Arial"/>
                <w:sz w:val="18"/>
                <w:szCs w:val="18"/>
                <w:color w:val="auto"/>
              </w:rPr>
              <w:t>$3,322</w:t>
            </w:r>
          </w:p>
        </w:tc>
        <w:tc>
          <w:tcPr>
            <w:tcW w:w="220" w:type="dxa"/>
            <w:vAlign w:val="bottom"/>
          </w:tcPr>
          <w:p>
            <w:pPr>
              <w:spacing w:after="0"/>
              <w:rPr>
                <w:sz w:val="19"/>
                <w:szCs w:val="19"/>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color w:val="auto"/>
                <w:w w:val="83"/>
              </w:rPr>
              <w:t>$2,089</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Mechanical Products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4860" w:type="dxa"/>
            <w:vAlign w:val="bottom"/>
            <w:gridSpan w:val="6"/>
          </w:tcPr>
          <w:p>
            <w:pPr>
              <w:jc w:val="right"/>
              <w:ind w:right="180"/>
              <w:spacing w:after="0"/>
              <w:rPr>
                <w:sz w:val="20"/>
                <w:szCs w:val="20"/>
                <w:color w:val="auto"/>
              </w:rPr>
            </w:pPr>
            <w:r>
              <w:rPr>
                <w:rFonts w:ascii="Arial" w:cs="Arial" w:eastAsia="Arial" w:hAnsi="Arial"/>
                <w:sz w:val="18"/>
                <w:szCs w:val="18"/>
                <w:color w:val="auto"/>
              </w:rPr>
              <w:t>(593)</w:t>
            </w:r>
          </w:p>
        </w:tc>
        <w:tc>
          <w:tcPr>
            <w:tcW w:w="520" w:type="dxa"/>
            <w:vAlign w:val="bottom"/>
            <w:gridSpan w:val="6"/>
          </w:tcPr>
          <w:p>
            <w:pPr>
              <w:jc w:val="right"/>
              <w:spacing w:after="0"/>
              <w:rPr>
                <w:sz w:val="20"/>
                <w:szCs w:val="20"/>
                <w:color w:val="auto"/>
              </w:rPr>
            </w:pPr>
            <w:r>
              <w:rPr>
                <w:rFonts w:ascii="Arial" w:cs="Arial" w:eastAsia="Arial" w:hAnsi="Arial"/>
                <w:sz w:val="18"/>
                <w:szCs w:val="18"/>
                <w:color w:val="auto"/>
                <w:w w:val="87"/>
              </w:rPr>
              <w:t>(1,366)</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4640" w:type="dxa"/>
            <w:vAlign w:val="bottom"/>
            <w:gridSpan w:val="5"/>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color w:val="auto"/>
              </w:rPr>
              <w:t>1,449</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Corporate</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4140" w:type="dxa"/>
            <w:vAlign w:val="bottom"/>
          </w:tcPr>
          <w:p>
            <w:pPr>
              <w:spacing w:after="0"/>
              <w:rPr>
                <w:sz w:val="15"/>
                <w:szCs w:val="15"/>
                <w:color w:val="auto"/>
              </w:rPr>
            </w:pPr>
          </w:p>
        </w:tc>
        <w:tc>
          <w:tcPr>
            <w:tcW w:w="72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(229)</w:t>
            </w:r>
          </w:p>
        </w:tc>
        <w:tc>
          <w:tcPr>
            <w:tcW w:w="520" w:type="dxa"/>
            <w:vAlign w:val="bottom"/>
            <w:gridSpan w:val="6"/>
          </w:tcPr>
          <w:p>
            <w:pPr>
              <w:jc w:val="right"/>
              <w:spacing w:after="0" w:line="184" w:lineRule="exact"/>
              <w:rPr>
                <w:sz w:val="20"/>
                <w:szCs w:val="20"/>
                <w:color w:val="auto"/>
              </w:rPr>
            </w:pPr>
            <w:r>
              <w:rPr>
                <w:rFonts w:ascii="Arial" w:cs="Arial" w:eastAsia="Arial" w:hAnsi="Arial"/>
                <w:sz w:val="18"/>
                <w:szCs w:val="18"/>
                <w:color w:val="auto"/>
              </w:rPr>
              <w:t>(16)</w:t>
            </w:r>
          </w:p>
        </w:tc>
      </w:tr>
      <w:tr>
        <w:trPr>
          <w:trHeight w:val="20"/>
        </w:trPr>
        <w:tc>
          <w:tcPr>
            <w:tcW w:w="41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140" w:type="dxa"/>
            <w:vAlign w:val="bottom"/>
          </w:tcPr>
          <w:p>
            <w:pPr>
              <w:spacing w:after="0"/>
              <w:rPr>
                <w:sz w:val="24"/>
                <w:szCs w:val="24"/>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3,077</w:t>
            </w:r>
          </w:p>
        </w:tc>
        <w:tc>
          <w:tcPr>
            <w:tcW w:w="220" w:type="dxa"/>
            <w:vAlign w:val="bottom"/>
          </w:tcPr>
          <w:p>
            <w:pPr>
              <w:spacing w:after="0"/>
              <w:rPr>
                <w:sz w:val="24"/>
                <w:szCs w:val="24"/>
                <w:color w:val="auto"/>
              </w:rPr>
            </w:pPr>
          </w:p>
        </w:tc>
        <w:tc>
          <w:tcPr>
            <w:tcW w:w="4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2,156</w:t>
            </w:r>
          </w:p>
        </w:tc>
        <w:tc>
          <w:tcPr>
            <w:tcW w:w="60" w:type="dxa"/>
            <w:vAlign w:val="bottom"/>
          </w:tcPr>
          <w:p>
            <w:pPr>
              <w:spacing w:after="0"/>
              <w:rPr>
                <w:sz w:val="24"/>
                <w:szCs w:val="24"/>
                <w:color w:val="auto"/>
              </w:rPr>
            </w:pPr>
          </w:p>
        </w:tc>
      </w:tr>
      <w:tr>
        <w:trPr>
          <w:trHeight w:val="262"/>
        </w:trPr>
        <w:tc>
          <w:tcPr>
            <w:tcW w:w="48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53"/>
        </w:trPr>
        <w:tc>
          <w:tcPr>
            <w:tcW w:w="4860" w:type="dxa"/>
            <w:vAlign w:val="bottom"/>
            <w:gridSpan w:val="6"/>
          </w:tcPr>
          <w:p>
            <w:pPr>
              <w:spacing w:after="0"/>
              <w:rPr>
                <w:sz w:val="20"/>
                <w:szCs w:val="20"/>
                <w:color w:val="auto"/>
              </w:rPr>
            </w:pPr>
            <w:r>
              <w:rPr>
                <w:rFonts w:ascii="Arial" w:cs="Arial" w:eastAsia="Arial" w:hAnsi="Arial"/>
                <w:sz w:val="18"/>
                <w:szCs w:val="18"/>
                <w:color w:val="auto"/>
              </w:rPr>
              <w:t>Thermal Products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2"/>
        </w:trPr>
        <w:tc>
          <w:tcPr>
            <w:tcW w:w="4640" w:type="dxa"/>
            <w:vAlign w:val="bottom"/>
            <w:gridSpan w:val="5"/>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color w:val="auto"/>
              </w:rPr>
              <w:t>$216</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Mechanical Products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4640" w:type="dxa"/>
            <w:vAlign w:val="bottom"/>
            <w:gridSpan w:val="5"/>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color w:val="auto"/>
              </w:rPr>
              <w:t>37</w:t>
            </w:r>
          </w:p>
        </w:tc>
      </w:tr>
      <w:tr>
        <w:trPr>
          <w:trHeight w:val="237"/>
        </w:trPr>
        <w:tc>
          <w:tcPr>
            <w:tcW w:w="4860" w:type="dxa"/>
            <w:vAlign w:val="bottom"/>
            <w:gridSpan w:val="6"/>
          </w:tcPr>
          <w:p>
            <w:pPr>
              <w:spacing w:after="0"/>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4"/>
        </w:trPr>
        <w:tc>
          <w:tcPr>
            <w:tcW w:w="4300" w:type="dxa"/>
            <w:vAlign w:val="bottom"/>
            <w:gridSpan w:val="3"/>
          </w:tcPr>
          <w:p>
            <w:pPr>
              <w:spacing w:after="0"/>
              <w:rPr>
                <w:sz w:val="15"/>
                <w:szCs w:val="15"/>
                <w:color w:val="auto"/>
              </w:rPr>
            </w:pPr>
          </w:p>
        </w:tc>
        <w:tc>
          <w:tcPr>
            <w:tcW w:w="34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340" w:type="dxa"/>
            <w:vAlign w:val="bottom"/>
            <w:tcBorders>
              <w:bottom w:val="single" w:sz="8" w:color="auto"/>
            </w:tcBorders>
            <w:gridSpan w:val="3"/>
          </w:tcPr>
          <w:p>
            <w:pPr>
              <w:jc w:val="right"/>
              <w:spacing w:after="0" w:line="184" w:lineRule="exact"/>
              <w:rPr>
                <w:sz w:val="20"/>
                <w:szCs w:val="20"/>
                <w:color w:val="auto"/>
              </w:rPr>
            </w:pPr>
            <w:r>
              <w:rPr>
                <w:rFonts w:ascii="Arial" w:cs="Arial" w:eastAsia="Arial" w:hAnsi="Arial"/>
                <w:sz w:val="18"/>
                <w:szCs w:val="18"/>
                <w:color w:val="auto"/>
              </w:rPr>
              <w:t>178</w:t>
            </w:r>
          </w:p>
        </w:tc>
        <w:tc>
          <w:tcPr>
            <w:tcW w:w="60" w:type="dxa"/>
            <w:vAlign w:val="bottom"/>
          </w:tcPr>
          <w:p>
            <w:pPr>
              <w:spacing w:after="0"/>
              <w:rPr>
                <w:sz w:val="15"/>
                <w:szCs w:val="15"/>
                <w:color w:val="auto"/>
              </w:rPr>
            </w:pPr>
          </w:p>
        </w:tc>
      </w:tr>
      <w:tr>
        <w:trPr>
          <w:trHeight w:val="439"/>
        </w:trPr>
        <w:tc>
          <w:tcPr>
            <w:tcW w:w="46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w:t>
            </w:r>
          </w:p>
        </w:tc>
        <w:tc>
          <w:tcPr>
            <w:tcW w:w="220" w:type="dxa"/>
            <w:vAlign w:val="bottom"/>
          </w:tcPr>
          <w:p>
            <w:pPr>
              <w:spacing w:after="0"/>
              <w:rPr>
                <w:sz w:val="24"/>
                <w:szCs w:val="24"/>
                <w:color w:val="auto"/>
              </w:rPr>
            </w:pPr>
          </w:p>
        </w:tc>
        <w:tc>
          <w:tcPr>
            <w:tcW w:w="520" w:type="dxa"/>
            <w:vAlign w:val="bottom"/>
            <w:gridSpan w:val="6"/>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431</w:t>
            </w:r>
          </w:p>
        </w:tc>
      </w:tr>
      <w:tr>
        <w:trPr>
          <w:trHeight w:val="20"/>
        </w:trPr>
        <w:tc>
          <w:tcPr>
            <w:tcW w:w="4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04" w:right="1440" w:bottom="0" w:gutter="0" w:footer="0" w:header="0"/>
        </w:sectPr>
      </w:pPr>
    </w:p>
    <w:p>
      <w:pPr>
        <w:spacing w:after="0" w:line="332" w:lineRule="exact"/>
        <w:rPr>
          <w:sz w:val="20"/>
          <w:szCs w:val="20"/>
          <w:color w:val="auto"/>
        </w:rPr>
      </w:pPr>
    </w:p>
    <w:p>
      <w:pPr>
        <w:ind w:left="1100"/>
        <w:spacing w:after="0"/>
        <w:rPr>
          <w:sz w:val="20"/>
          <w:szCs w:val="20"/>
          <w:color w:val="auto"/>
        </w:rPr>
      </w:pPr>
      <w:r>
        <w:rPr>
          <w:rFonts w:ascii="Arial" w:cs="Arial" w:eastAsia="Arial" w:hAnsi="Arial"/>
          <w:sz w:val="15"/>
          <w:szCs w:val="15"/>
          <w:b w:val="1"/>
          <w:bCs w:val="1"/>
          <w:i w:val="1"/>
          <w:iCs w:val="1"/>
          <w:color w:val="auto"/>
        </w:rPr>
        <w:t>Identifiable assets: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3959"/>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15"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i w:val="1"/>
          <w:iCs w:val="1"/>
          <w:u w:val="single" w:color="auto"/>
          <w:color w:val="auto"/>
        </w:rPr>
        <w:t>2013</w:t>
      </w:r>
      <w:r>
        <w:rPr>
          <w:sz w:val="20"/>
          <w:szCs w:val="20"/>
          <w:color w:val="auto"/>
        </w:rPr>
        <w:tab/>
      </w:r>
      <w:r>
        <w:rPr>
          <w:rFonts w:ascii="Arial" w:cs="Arial" w:eastAsia="Arial" w:hAnsi="Arial"/>
          <w:sz w:val="12"/>
          <w:szCs w:val="12"/>
          <w:b w:val="1"/>
          <w:bCs w:val="1"/>
          <w:i w:val="1"/>
          <w:iCs w:val="1"/>
          <w:u w:val="single" w:color="auto"/>
          <w:color w:val="auto"/>
        </w:rPr>
        <w:t>2012</w:t>
      </w:r>
    </w:p>
    <w:p>
      <w:pPr>
        <w:sectPr>
          <w:pgSz w:w="11900" w:h="16838" w:orient="portrait"/>
          <w:cols w:equalWidth="0" w:num="2">
            <w:col w:w="4580" w:space="720"/>
            <w:col w:w="4919"/>
          </w:cols>
          <w:pgMar w:left="240" w:top="104" w:right="1440" w:bottom="0" w:gutter="0" w:footer="0" w:header="0"/>
          <w:type w:val="continuous"/>
        </w:sectPr>
      </w:pPr>
    </w:p>
    <w:bookmarkStart w:id="44" w:name="page45"/>
    <w:bookmarkEnd w:id="44"/>
    <w:p>
      <w:pPr>
        <w:spacing w:after="0" w:line="7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$23,934  $20,849</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jc w:val="center"/>
        <w:ind w:left="5340"/>
        <w:spacing w:after="0"/>
        <w:tabs>
          <w:tab w:leader="none" w:pos="280" w:val="left"/>
        </w:tabs>
        <w:rPr>
          <w:sz w:val="20"/>
          <w:szCs w:val="20"/>
          <w:color w:val="auto"/>
        </w:rPr>
      </w:pPr>
      <w:r>
        <w:rPr>
          <w:rFonts w:ascii="Arial" w:cs="Arial" w:eastAsia="Arial" w:hAnsi="Arial"/>
          <w:sz w:val="18"/>
          <w:szCs w:val="18"/>
          <w:color w:val="auto"/>
        </w:rPr>
        <w:t>7,093</w:t>
      </w:r>
      <w:r>
        <w:rPr>
          <w:sz w:val="20"/>
          <w:szCs w:val="20"/>
          <w:color w:val="auto"/>
        </w:rPr>
        <w:tab/>
      </w:r>
      <w:r>
        <w:rPr>
          <w:rFonts w:ascii="Arial" w:cs="Arial" w:eastAsia="Arial" w:hAnsi="Arial"/>
          <w:sz w:val="18"/>
          <w:szCs w:val="18"/>
          <w:color w:val="auto"/>
        </w:rPr>
        <w:t>7,737</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jc w:val="center"/>
        <w:ind w:left="5340"/>
        <w:spacing w:after="0"/>
        <w:tabs>
          <w:tab w:leader="none" w:pos="280" w:val="left"/>
        </w:tabs>
        <w:rPr>
          <w:sz w:val="20"/>
          <w:szCs w:val="20"/>
          <w:color w:val="auto"/>
        </w:rPr>
      </w:pPr>
      <w:r>
        <w:rPr>
          <w:rFonts w:ascii="Arial" w:cs="Arial" w:eastAsia="Arial" w:hAnsi="Arial"/>
          <w:sz w:val="18"/>
          <w:szCs w:val="18"/>
          <w:color w:val="auto"/>
        </w:rPr>
        <w:t>4,454</w:t>
      </w:r>
      <w:r>
        <w:rPr>
          <w:sz w:val="20"/>
          <w:szCs w:val="20"/>
          <w:color w:val="auto"/>
        </w:rPr>
        <w:tab/>
      </w:r>
      <w:r>
        <w:rPr>
          <w:rFonts w:ascii="Arial" w:cs="Arial" w:eastAsia="Arial" w:hAnsi="Arial"/>
          <w:sz w:val="18"/>
          <w:szCs w:val="18"/>
          <w:color w:val="auto"/>
        </w:rPr>
        <w:t>3,813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-17780</wp:posOffset>
            </wp:positionV>
            <wp:extent cx="7804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$35,481  $32,399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5440"/>
        <w:spacing w:after="0"/>
        <w:rPr>
          <w:sz w:val="20"/>
          <w:szCs w:val="20"/>
          <w:color w:val="auto"/>
        </w:rPr>
      </w:pPr>
      <w:r>
        <w:rPr>
          <w:rFonts w:ascii="Arial" w:cs="Arial" w:eastAsia="Arial" w:hAnsi="Arial"/>
          <w:sz w:val="14"/>
          <w:szCs w:val="14"/>
          <w:b w:val="1"/>
          <w:bCs w:val="1"/>
          <w:i w:val="1"/>
          <w:iCs w:val="1"/>
          <w:color w:val="auto"/>
        </w:rPr>
        <w:t>Years Ended</w:t>
      </w:r>
    </w:p>
    <w:p>
      <w:pPr>
        <w:ind w:left="540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300"/>
        <w:spacing w:after="0"/>
        <w:tabs>
          <w:tab w:leader="none" w:pos="5980" w:val="left"/>
        </w:tabs>
        <w:rPr>
          <w:sz w:val="20"/>
          <w:szCs w:val="20"/>
          <w:color w:val="auto"/>
        </w:rPr>
      </w:pPr>
      <w:r>
        <w:rPr>
          <w:rFonts w:ascii="Arial" w:cs="Arial" w:eastAsia="Arial" w:hAnsi="Arial"/>
          <w:sz w:val="14"/>
          <w:szCs w:val="14"/>
          <w:b w:val="1"/>
          <w:bCs w:val="1"/>
          <w:i w:val="1"/>
          <w:iCs w:val="1"/>
          <w:u w:val="single" w:color="auto"/>
          <w:color w:val="auto"/>
        </w:rPr>
        <w:t>2013</w:t>
      </w:r>
      <w:r>
        <w:rPr>
          <w:sz w:val="20"/>
          <w:szCs w:val="20"/>
          <w:color w:val="auto"/>
        </w:rPr>
        <w:tab/>
      </w:r>
      <w:r>
        <w:rPr>
          <w:rFonts w:ascii="Arial" w:cs="Arial" w:eastAsia="Arial" w:hAnsi="Arial"/>
          <w:sz w:val="14"/>
          <w:szCs w:val="14"/>
          <w:b w:val="1"/>
          <w:bCs w:val="1"/>
          <w:i w:val="1"/>
          <w:iCs w:val="1"/>
          <w:u w:val="single" w:color="auto"/>
          <w:color w:val="auto"/>
        </w:rPr>
        <w:t>2012</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$13,337  $15,915</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jc w:val="center"/>
        <w:ind w:left="5240"/>
        <w:spacing w:after="0"/>
        <w:tabs>
          <w:tab w:leader="none" w:pos="200" w:val="left"/>
        </w:tabs>
        <w:rPr>
          <w:sz w:val="20"/>
          <w:szCs w:val="20"/>
          <w:color w:val="auto"/>
        </w:rPr>
      </w:pPr>
      <w:r>
        <w:rPr>
          <w:rFonts w:ascii="Arial" w:cs="Arial" w:eastAsia="Arial" w:hAnsi="Arial"/>
          <w:sz w:val="18"/>
          <w:szCs w:val="18"/>
          <w:u w:val="single" w:color="auto"/>
          <w:color w:val="auto"/>
        </w:rPr>
        <w:t>26,089</w:t>
        <w:tab/>
        <w:t>27,461</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$39,426  $43,376</w:t>
      </w:r>
    </w:p>
    <w:p>
      <w:pPr>
        <w:spacing w:after="0" w:line="34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74" w:lineRule="exact"/>
        <w:rPr>
          <w:sz w:val="20"/>
          <w:szCs w:val="20"/>
          <w:color w:val="auto"/>
        </w:rPr>
      </w:pPr>
    </w:p>
    <w:p>
      <w:pPr>
        <w:ind w:left="5300"/>
        <w:spacing w:after="0"/>
        <w:tabs>
          <w:tab w:leader="none" w:pos="5980" w:val="left"/>
        </w:tabs>
        <w:rPr>
          <w:sz w:val="20"/>
          <w:szCs w:val="20"/>
          <w:color w:val="auto"/>
        </w:rPr>
      </w:pPr>
      <w:r>
        <w:rPr>
          <w:rFonts w:ascii="Arial" w:cs="Arial" w:eastAsia="Arial" w:hAnsi="Arial"/>
          <w:sz w:val="14"/>
          <w:szCs w:val="14"/>
          <w:b w:val="1"/>
          <w:bCs w:val="1"/>
          <w:i w:val="1"/>
          <w:iCs w:val="1"/>
          <w:u w:val="single" w:color="auto"/>
          <w:color w:val="auto"/>
        </w:rPr>
        <w:t>2013</w:t>
      </w:r>
      <w:r>
        <w:rPr>
          <w:sz w:val="20"/>
          <w:szCs w:val="20"/>
          <w:color w:val="auto"/>
        </w:rPr>
        <w:tab/>
      </w:r>
      <w:r>
        <w:rPr>
          <w:rFonts w:ascii="Arial" w:cs="Arial" w:eastAsia="Arial" w:hAnsi="Arial"/>
          <w:sz w:val="14"/>
          <w:szCs w:val="14"/>
          <w:b w:val="1"/>
          <w:bCs w:val="1"/>
          <w:i w:val="1"/>
          <w:iCs w:val="1"/>
          <w:u w:val="single" w:color="auto"/>
          <w:color w:val="auto"/>
        </w:rPr>
        <w:t>2012</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jc w:val="center"/>
        <w:ind w:left="260"/>
        <w:spacing w:after="0"/>
        <w:tabs>
          <w:tab w:leader="none" w:pos="200" w:val="left"/>
        </w:tabs>
        <w:rPr>
          <w:sz w:val="20"/>
          <w:szCs w:val="20"/>
          <w:color w:val="auto"/>
        </w:rPr>
      </w:pPr>
      <w:r>
        <w:rPr>
          <w:rFonts w:ascii="Arial" w:cs="Arial" w:eastAsia="Arial" w:hAnsi="Arial"/>
          <w:sz w:val="18"/>
          <w:szCs w:val="18"/>
          <w:color w:val="auto"/>
        </w:rPr>
        <w:t>$  700</w:t>
      </w:r>
      <w:r>
        <w:rPr>
          <w:sz w:val="20"/>
          <w:szCs w:val="20"/>
          <w:color w:val="auto"/>
        </w:rPr>
        <w:tab/>
      </w:r>
      <w:r>
        <w:rPr>
          <w:rFonts w:ascii="Arial" w:cs="Arial" w:eastAsia="Arial" w:hAnsi="Arial"/>
          <w:sz w:val="16"/>
          <w:szCs w:val="16"/>
          <w:color w:val="auto"/>
        </w:rPr>
        <w:t>$  899</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jc w:val="right"/>
        <w:ind w:left="5240" w:right="4980" w:firstLine="228"/>
        <w:spacing w:after="0" w:line="869" w:lineRule="auto"/>
        <w:tabs>
          <w:tab w:leader="none" w:pos="6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351 </w:t>
      </w:r>
      <w:r>
        <w:rPr>
          <w:rFonts w:ascii="Arial" w:cs="Arial" w:eastAsia="Arial" w:hAnsi="Arial"/>
          <w:sz w:val="16"/>
          <w:szCs w:val="16"/>
          <w:u w:val="single" w:color="auto"/>
          <w:color w:val="auto"/>
        </w:rPr>
        <w:t>$1,254   $1,250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-732790</wp:posOffset>
            </wp:positionV>
            <wp:extent cx="7524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- 22</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CONSOLIDATED FINANCIAL DATA (Unaudited)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2013.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67"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activity of the semiconductor and ATE markets. Quarterly fluctuations in expenses are related directly to sales activity and volume and may also reflect the timing of operating expenses incurred throughout the year.</w:t>
      </w:r>
    </w:p>
    <w:p>
      <w:pPr>
        <w:spacing w:after="0" w:line="190"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5"/>
          </w:tcPr>
          <w:p>
            <w:pPr>
              <w:jc w:val="right"/>
              <w:ind w:right="480"/>
              <w:spacing w:after="0"/>
              <w:rPr>
                <w:sz w:val="20"/>
                <w:szCs w:val="20"/>
                <w:color w:val="auto"/>
              </w:rPr>
            </w:pPr>
            <w:r>
              <w:rPr>
                <w:rFonts w:ascii="Arial" w:cs="Arial" w:eastAsia="Arial" w:hAnsi="Arial"/>
                <w:sz w:val="14"/>
                <w:szCs w:val="14"/>
                <w:b w:val="1"/>
                <w:bCs w:val="1"/>
                <w:i w:val="1"/>
                <w:iCs w:val="1"/>
                <w:color w:val="auto"/>
                <w:w w:val="81"/>
              </w:rPr>
              <w:t>Quarters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4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3/31/13</w:t>
            </w:r>
          </w:p>
        </w:tc>
        <w:tc>
          <w:tcPr>
            <w:tcW w:w="280" w:type="dxa"/>
            <w:vAlign w:val="bottom"/>
          </w:tcPr>
          <w:p>
            <w:pPr>
              <w:spacing w:after="0"/>
              <w:rPr>
                <w:sz w:val="19"/>
                <w:szCs w:val="19"/>
                <w:color w:val="auto"/>
              </w:rPr>
            </w:pPr>
          </w:p>
        </w:tc>
        <w:tc>
          <w:tcPr>
            <w:tcW w:w="1000" w:type="dxa"/>
            <w:vAlign w:val="bottom"/>
            <w:gridSpan w:val="4"/>
          </w:tcPr>
          <w:p>
            <w:pPr>
              <w:jc w:val="right"/>
              <w:ind w:right="440"/>
              <w:spacing w:after="0"/>
              <w:rPr>
                <w:sz w:val="20"/>
                <w:szCs w:val="20"/>
                <w:color w:val="auto"/>
              </w:rPr>
            </w:pPr>
            <w:r>
              <w:rPr>
                <w:rFonts w:ascii="Arial" w:cs="Arial" w:eastAsia="Arial" w:hAnsi="Arial"/>
                <w:sz w:val="14"/>
                <w:szCs w:val="14"/>
                <w:b w:val="1"/>
                <w:bCs w:val="1"/>
                <w:i w:val="1"/>
                <w:iCs w:val="1"/>
                <w:color w:val="auto"/>
              </w:rPr>
              <w:t>6/30/13</w:t>
            </w:r>
          </w:p>
        </w:tc>
        <w:tc>
          <w:tcPr>
            <w:tcW w:w="7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9/30/13</w:t>
            </w: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12/31/13</w:t>
            </w: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5"/>
        </w:trPr>
        <w:tc>
          <w:tcPr>
            <w:tcW w:w="410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$ 8,973</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$11,218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96"/>
              </w:rPr>
              <w:t>$ 9,900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$ 9,335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$39,426</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4,105</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5,465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4,756</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4,689</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19,015</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370</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1,487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1,114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1,037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4,008</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78</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484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345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931</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1,003</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1,090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692</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3,077</w:t>
            </w:r>
          </w:p>
        </w:tc>
      </w:tr>
      <w:tr>
        <w:trPr>
          <w:trHeight w:val="419"/>
        </w:trPr>
        <w:tc>
          <w:tcPr>
            <w:tcW w:w="410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$0.10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 basic</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10,327,428</w:t>
            </w:r>
          </w:p>
        </w:tc>
        <w:tc>
          <w:tcPr>
            <w:tcW w:w="1000" w:type="dxa"/>
            <w:vAlign w:val="bottom"/>
            <w:gridSpan w:val="4"/>
          </w:tcPr>
          <w:p>
            <w:pPr>
              <w:jc w:val="right"/>
              <w:ind w:right="280"/>
              <w:spacing w:after="0"/>
              <w:rPr>
                <w:sz w:val="20"/>
                <w:szCs w:val="20"/>
                <w:color w:val="auto"/>
              </w:rPr>
            </w:pPr>
            <w:r>
              <w:rPr>
                <w:rFonts w:ascii="Arial" w:cs="Arial" w:eastAsia="Arial" w:hAnsi="Arial"/>
                <w:sz w:val="14"/>
                <w:szCs w:val="14"/>
                <w:color w:val="auto"/>
                <w:w w:val="99"/>
              </w:rPr>
              <w:t>10,371,716</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w w:val="96"/>
              </w:rPr>
              <w:t>10,377,189</w:t>
            </w:r>
          </w:p>
        </w:tc>
        <w:tc>
          <w:tcPr>
            <w:tcW w:w="780" w:type="dxa"/>
            <w:vAlign w:val="bottom"/>
            <w:gridSpan w:val="3"/>
          </w:tcPr>
          <w:p>
            <w:pPr>
              <w:ind w:left="120"/>
              <w:spacing w:after="0"/>
              <w:rPr>
                <w:sz w:val="20"/>
                <w:szCs w:val="20"/>
                <w:color w:val="auto"/>
              </w:rPr>
            </w:pPr>
            <w:r>
              <w:rPr>
                <w:rFonts w:ascii="Arial" w:cs="Arial" w:eastAsia="Arial" w:hAnsi="Arial"/>
                <w:sz w:val="14"/>
                <w:szCs w:val="14"/>
                <w:color w:val="auto"/>
                <w:w w:val="91"/>
              </w:rPr>
              <w:t>10,377,678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10,363,678</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$0.10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$0.30</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color w:val="auto"/>
              </w:rPr>
              <w:t>10,366,312</w:t>
            </w:r>
          </w:p>
        </w:tc>
        <w:tc>
          <w:tcPr>
            <w:tcW w:w="1000" w:type="dxa"/>
            <w:vAlign w:val="bottom"/>
            <w:gridSpan w:val="4"/>
          </w:tcPr>
          <w:p>
            <w:pPr>
              <w:jc w:val="right"/>
              <w:ind w:right="280"/>
              <w:spacing w:after="0"/>
              <w:rPr>
                <w:sz w:val="20"/>
                <w:szCs w:val="20"/>
                <w:color w:val="auto"/>
              </w:rPr>
            </w:pPr>
            <w:r>
              <w:rPr>
                <w:rFonts w:ascii="Arial" w:cs="Arial" w:eastAsia="Arial" w:hAnsi="Arial"/>
                <w:sz w:val="14"/>
                <w:szCs w:val="14"/>
                <w:color w:val="auto"/>
                <w:w w:val="99"/>
              </w:rPr>
              <w:t>10,394,094</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w w:val="96"/>
              </w:rPr>
              <w:t>10,404,095</w:t>
            </w:r>
          </w:p>
        </w:tc>
        <w:tc>
          <w:tcPr>
            <w:tcW w:w="780" w:type="dxa"/>
            <w:vAlign w:val="bottom"/>
            <w:gridSpan w:val="3"/>
          </w:tcPr>
          <w:p>
            <w:pPr>
              <w:ind w:left="120"/>
              <w:spacing w:after="0"/>
              <w:rPr>
                <w:sz w:val="20"/>
                <w:szCs w:val="20"/>
                <w:color w:val="auto"/>
              </w:rPr>
            </w:pPr>
            <w:r>
              <w:rPr>
                <w:rFonts w:ascii="Arial" w:cs="Arial" w:eastAsia="Arial" w:hAnsi="Arial"/>
                <w:sz w:val="14"/>
                <w:szCs w:val="14"/>
                <w:color w:val="auto"/>
                <w:w w:val="91"/>
              </w:rPr>
              <w:t>10,435,096</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10,419,103</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4"/>
          <w:szCs w:val="14"/>
          <w:b w:val="1"/>
          <w:bCs w:val="1"/>
          <w:i w:val="1"/>
          <w:iCs w:val="1"/>
          <w:u w:val="single" w:color="auto"/>
          <w:color w:val="auto"/>
        </w:rPr>
        <w:t>Quarters Ended</w:t>
      </w:r>
    </w:p>
    <w:p>
      <w:pPr>
        <w:sectPr>
          <w:pgSz w:w="11900" w:h="16913" w:orient="portrait"/>
          <w:cols w:equalWidth="0" w:num="1">
            <w:col w:w="11420"/>
          </w:cols>
          <w:pgMar w:left="240" w:top="158" w:right="239" w:bottom="0" w:gutter="0" w:footer="0" w:header="0"/>
        </w:sectPr>
      </w:pPr>
    </w:p>
    <w:p>
      <w:pPr>
        <w:spacing w:after="0" w:line="82" w:lineRule="exact"/>
        <w:rPr>
          <w:sz w:val="20"/>
          <w:szCs w:val="20"/>
          <w:color w:val="auto"/>
        </w:rPr>
      </w:pPr>
    </w:p>
    <w:p>
      <w:pPr>
        <w:ind w:left="5940"/>
        <w:spacing w:after="0"/>
        <w:tabs>
          <w:tab w:leader="none" w:pos="6740" w:val="left"/>
          <w:tab w:leader="none" w:pos="7600" w:val="left"/>
          <w:tab w:leader="none" w:pos="8440" w:val="left"/>
          <w:tab w:leader="none" w:pos="9320" w:val="left"/>
        </w:tabs>
        <w:rPr>
          <w:sz w:val="20"/>
          <w:szCs w:val="20"/>
          <w:color w:val="auto"/>
        </w:rPr>
      </w:pPr>
      <w:r>
        <w:rPr>
          <w:rFonts w:ascii="Arial" w:cs="Arial" w:eastAsia="Arial" w:hAnsi="Arial"/>
          <w:sz w:val="14"/>
          <w:szCs w:val="14"/>
          <w:b w:val="1"/>
          <w:bCs w:val="1"/>
          <w:i w:val="1"/>
          <w:iCs w:val="1"/>
          <w:u w:val="single" w:color="auto"/>
          <w:color w:val="auto"/>
        </w:rPr>
        <w:t>3/31/12</w:t>
      </w:r>
      <w:r>
        <w:rPr>
          <w:sz w:val="20"/>
          <w:szCs w:val="20"/>
          <w:color w:val="auto"/>
        </w:rPr>
        <w:tab/>
      </w:r>
      <w:r>
        <w:rPr>
          <w:rFonts w:ascii="Arial" w:cs="Arial" w:eastAsia="Arial" w:hAnsi="Arial"/>
          <w:sz w:val="14"/>
          <w:szCs w:val="14"/>
          <w:b w:val="1"/>
          <w:bCs w:val="1"/>
          <w:i w:val="1"/>
          <w:iCs w:val="1"/>
          <w:u w:val="single" w:color="auto"/>
          <w:color w:val="auto"/>
        </w:rPr>
        <w:t>6/30/12</w:t>
      </w:r>
      <w:r>
        <w:rPr>
          <w:sz w:val="20"/>
          <w:szCs w:val="20"/>
          <w:color w:val="auto"/>
        </w:rPr>
        <w:tab/>
      </w:r>
      <w:r>
        <w:rPr>
          <w:rFonts w:ascii="Arial" w:cs="Arial" w:eastAsia="Arial" w:hAnsi="Arial"/>
          <w:sz w:val="14"/>
          <w:szCs w:val="14"/>
          <w:b w:val="1"/>
          <w:bCs w:val="1"/>
          <w:i w:val="1"/>
          <w:iCs w:val="1"/>
          <w:u w:val="single" w:color="auto"/>
          <w:color w:val="auto"/>
        </w:rPr>
        <w:t>9/30/12</w:t>
      </w:r>
      <w:r>
        <w:rPr>
          <w:sz w:val="20"/>
          <w:szCs w:val="20"/>
          <w:color w:val="auto"/>
        </w:rPr>
        <w:tab/>
      </w:r>
      <w:r>
        <w:rPr>
          <w:rFonts w:ascii="Arial" w:cs="Arial" w:eastAsia="Arial" w:hAnsi="Arial"/>
          <w:sz w:val="14"/>
          <w:szCs w:val="14"/>
          <w:b w:val="1"/>
          <w:bCs w:val="1"/>
          <w:i w:val="1"/>
          <w:iCs w:val="1"/>
          <w:u w:val="single" w:color="auto"/>
          <w:color w:val="auto"/>
        </w:rPr>
        <w:t>12/31/12</w:t>
      </w:r>
      <w:r>
        <w:rPr>
          <w:sz w:val="20"/>
          <w:szCs w:val="20"/>
          <w:color w:val="auto"/>
        </w:rPr>
        <w:tab/>
      </w:r>
      <w:r>
        <w:rPr>
          <w:rFonts w:ascii="Arial" w:cs="Arial" w:eastAsia="Arial" w:hAnsi="Arial"/>
          <w:sz w:val="11"/>
          <w:szCs w:val="11"/>
          <w:b w:val="1"/>
          <w:bCs w:val="1"/>
          <w:i w:val="1"/>
          <w:iCs w:val="1"/>
          <w:u w:val="single" w:color="auto"/>
          <w:color w:val="auto"/>
        </w:rPr>
        <w:t>Total</w:t>
      </w:r>
    </w:p>
    <w:p>
      <w:pPr>
        <w:sectPr>
          <w:pgSz w:w="11900" w:h="16913" w:orient="portrait"/>
          <w:cols w:equalWidth="0" w:num="1">
            <w:col w:w="11420"/>
          </w:cols>
          <w:pgMar w:left="240" w:top="158" w:right="239" w:bottom="0" w:gutter="0" w:footer="0" w:header="0"/>
          <w:type w:val="continuous"/>
        </w:sectPr>
      </w:pPr>
    </w:p>
    <w:bookmarkStart w:id="45" w:name="page46"/>
    <w:bookmarkEnd w:id="45"/>
    <w:tbl>
      <w:tblPr>
        <w:tblLayout w:type="fixed"/>
        <w:tblInd w:w="1600" w:type="dxa"/>
        <w:tblCellMar>
          <w:top w:w="0" w:type="dxa"/>
          <w:left w:w="0" w:type="dxa"/>
          <w:bottom w:w="0" w:type="dxa"/>
          <w:right w:w="0" w:type="dxa"/>
        </w:tblCellMar>
      </w:tblP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Net revenues</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$10,731</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$13,576</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$10,799</w:t>
            </w:r>
          </w:p>
        </w:tc>
        <w:tc>
          <w:tcPr>
            <w:tcW w:w="800" w:type="dxa"/>
            <w:vAlign w:val="bottom"/>
          </w:tcPr>
          <w:p>
            <w:pPr>
              <w:jc w:val="right"/>
              <w:spacing w:after="0"/>
              <w:rPr>
                <w:sz w:val="20"/>
                <w:szCs w:val="20"/>
                <w:color w:val="auto"/>
              </w:rPr>
            </w:pPr>
            <w:r>
              <w:rPr>
                <w:rFonts w:ascii="Arial" w:cs="Arial" w:eastAsia="Arial" w:hAnsi="Arial"/>
                <w:sz w:val="18"/>
                <w:szCs w:val="18"/>
                <w:color w:val="auto"/>
              </w:rPr>
              <w:t>$ 8,270</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$43,376</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4,596</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6,194</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4,762</w:t>
            </w:r>
          </w:p>
        </w:tc>
        <w:tc>
          <w:tcPr>
            <w:tcW w:w="800" w:type="dxa"/>
            <w:vAlign w:val="bottom"/>
          </w:tcPr>
          <w:p>
            <w:pPr>
              <w:jc w:val="right"/>
              <w:spacing w:after="0"/>
              <w:rPr>
                <w:sz w:val="20"/>
                <w:szCs w:val="20"/>
                <w:color w:val="auto"/>
              </w:rPr>
            </w:pPr>
            <w:r>
              <w:rPr>
                <w:rFonts w:ascii="Arial" w:cs="Arial" w:eastAsia="Arial" w:hAnsi="Arial"/>
                <w:sz w:val="18"/>
                <w:szCs w:val="18"/>
                <w:color w:val="auto"/>
              </w:rPr>
              <w:t>3,507</w:t>
            </w:r>
          </w:p>
        </w:tc>
        <w:tc>
          <w:tcPr>
            <w:tcW w:w="660" w:type="dxa"/>
            <w:vAlign w:val="bottom"/>
          </w:tcPr>
          <w:p>
            <w:pPr>
              <w:jc w:val="right"/>
              <w:spacing w:after="0"/>
              <w:rPr>
                <w:sz w:val="20"/>
                <w:szCs w:val="20"/>
                <w:color w:val="auto"/>
              </w:rPr>
            </w:pPr>
            <w:r>
              <w:rPr>
                <w:rFonts w:ascii="Arial" w:cs="Arial" w:eastAsia="Arial" w:hAnsi="Arial"/>
                <w:sz w:val="18"/>
                <w:szCs w:val="18"/>
                <w:color w:val="auto"/>
              </w:rPr>
              <w:t>19,059</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8"/>
              </w:rPr>
              <w:t>Earnings (loss) before income tax expense (benefit)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(71)</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1,994</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1,012</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660" w:type="dxa"/>
            <w:vAlign w:val="bottom"/>
          </w:tcPr>
          <w:p>
            <w:pPr>
              <w:jc w:val="right"/>
              <w:spacing w:after="0"/>
              <w:rPr>
                <w:sz w:val="20"/>
                <w:szCs w:val="20"/>
                <w:color w:val="auto"/>
              </w:rPr>
            </w:pPr>
            <w:r>
              <w:rPr>
                <w:rFonts w:ascii="Arial" w:cs="Arial" w:eastAsia="Arial" w:hAnsi="Arial"/>
                <w:sz w:val="18"/>
                <w:szCs w:val="18"/>
                <w:color w:val="auto"/>
              </w:rPr>
              <w:t>3,053</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(28)</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660</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348</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(43)</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1,334</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664</w:t>
            </w:r>
          </w:p>
        </w:tc>
        <w:tc>
          <w:tcPr>
            <w:tcW w:w="800" w:type="dxa"/>
            <w:vAlign w:val="bottom"/>
          </w:tcPr>
          <w:p>
            <w:pPr>
              <w:jc w:val="right"/>
              <w:spacing w:after="0"/>
              <w:rPr>
                <w:sz w:val="20"/>
                <w:szCs w:val="20"/>
                <w:color w:val="auto"/>
              </w:rPr>
            </w:pPr>
            <w:r>
              <w:rPr>
                <w:rFonts w:ascii="Arial" w:cs="Arial" w:eastAsia="Arial" w:hAnsi="Arial"/>
                <w:sz w:val="18"/>
                <w:szCs w:val="18"/>
                <w:color w:val="auto"/>
              </w:rPr>
              <w:t>201</w:t>
            </w:r>
          </w:p>
        </w:tc>
        <w:tc>
          <w:tcPr>
            <w:tcW w:w="660" w:type="dxa"/>
            <w:vAlign w:val="bottom"/>
          </w:tcPr>
          <w:p>
            <w:pPr>
              <w:jc w:val="right"/>
              <w:spacing w:after="0"/>
              <w:rPr>
                <w:sz w:val="20"/>
                <w:szCs w:val="20"/>
                <w:color w:val="auto"/>
              </w:rPr>
            </w:pPr>
            <w:r>
              <w:rPr>
                <w:rFonts w:ascii="Arial" w:cs="Arial" w:eastAsia="Arial" w:hAnsi="Arial"/>
                <w:sz w:val="18"/>
                <w:szCs w:val="18"/>
                <w:color w:val="auto"/>
              </w:rPr>
              <w:t>2,156</w:t>
            </w:r>
          </w:p>
        </w:tc>
      </w:tr>
      <w:tr>
        <w:trPr>
          <w:trHeight w:val="419"/>
        </w:trPr>
        <w:tc>
          <w:tcPr>
            <w:tcW w:w="410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$0.00</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$0.13</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$0.06</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 basic</w:t>
            </w:r>
          </w:p>
        </w:tc>
        <w:tc>
          <w:tcPr>
            <w:tcW w:w="940" w:type="dxa"/>
            <w:vAlign w:val="bottom"/>
          </w:tcPr>
          <w:p>
            <w:pPr>
              <w:jc w:val="right"/>
              <w:ind w:right="37"/>
              <w:spacing w:after="0"/>
              <w:rPr>
                <w:sz w:val="20"/>
                <w:szCs w:val="20"/>
                <w:color w:val="auto"/>
              </w:rPr>
            </w:pPr>
            <w:r>
              <w:rPr>
                <w:rFonts w:ascii="Arial" w:cs="Arial" w:eastAsia="Arial" w:hAnsi="Arial"/>
                <w:sz w:val="14"/>
                <w:szCs w:val="14"/>
                <w:color w:val="auto"/>
              </w:rPr>
              <w:t>10,205,114</w:t>
            </w:r>
          </w:p>
        </w:tc>
        <w:tc>
          <w:tcPr>
            <w:tcW w:w="840" w:type="dxa"/>
            <w:vAlign w:val="bottom"/>
          </w:tcPr>
          <w:p>
            <w:pPr>
              <w:jc w:val="right"/>
              <w:ind w:right="57"/>
              <w:spacing w:after="0"/>
              <w:rPr>
                <w:sz w:val="20"/>
                <w:szCs w:val="20"/>
                <w:color w:val="auto"/>
              </w:rPr>
            </w:pPr>
            <w:r>
              <w:rPr>
                <w:rFonts w:ascii="Arial" w:cs="Arial" w:eastAsia="Arial" w:hAnsi="Arial"/>
                <w:sz w:val="14"/>
                <w:szCs w:val="14"/>
                <w:color w:val="auto"/>
                <w:w w:val="96"/>
              </w:rPr>
              <w:t>10,273,812</w:t>
            </w:r>
          </w:p>
        </w:tc>
        <w:tc>
          <w:tcPr>
            <w:tcW w:w="860" w:type="dxa"/>
            <w:vAlign w:val="bottom"/>
          </w:tcPr>
          <w:p>
            <w:pPr>
              <w:jc w:val="right"/>
              <w:ind w:right="17"/>
              <w:spacing w:after="0"/>
              <w:rPr>
                <w:sz w:val="20"/>
                <w:szCs w:val="20"/>
                <w:color w:val="auto"/>
              </w:rPr>
            </w:pPr>
            <w:r>
              <w:rPr>
                <w:rFonts w:ascii="Arial" w:cs="Arial" w:eastAsia="Arial" w:hAnsi="Arial"/>
                <w:sz w:val="14"/>
                <w:szCs w:val="14"/>
                <w:color w:val="auto"/>
              </w:rPr>
              <w:t>10,302,417</w:t>
            </w:r>
          </w:p>
        </w:tc>
        <w:tc>
          <w:tcPr>
            <w:tcW w:w="800" w:type="dxa"/>
            <w:vAlign w:val="bottom"/>
          </w:tcPr>
          <w:p>
            <w:pPr>
              <w:jc w:val="right"/>
              <w:spacing w:after="0"/>
              <w:rPr>
                <w:sz w:val="20"/>
                <w:szCs w:val="20"/>
                <w:color w:val="auto"/>
              </w:rPr>
            </w:pPr>
            <w:r>
              <w:rPr>
                <w:rFonts w:ascii="Arial" w:cs="Arial" w:eastAsia="Arial" w:hAnsi="Arial"/>
                <w:sz w:val="14"/>
                <w:szCs w:val="14"/>
                <w:color w:val="auto"/>
                <w:w w:val="99"/>
              </w:rPr>
              <w:t>10,311,428</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10,273,377</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$0.00</w:t>
            </w:r>
          </w:p>
        </w:tc>
        <w:tc>
          <w:tcPr>
            <w:tcW w:w="840" w:type="dxa"/>
            <w:vAlign w:val="bottom"/>
          </w:tcPr>
          <w:p>
            <w:pPr>
              <w:jc w:val="right"/>
              <w:ind w:right="77"/>
              <w:spacing w:after="0"/>
              <w:rPr>
                <w:sz w:val="20"/>
                <w:szCs w:val="20"/>
                <w:color w:val="auto"/>
              </w:rPr>
            </w:pPr>
            <w:r>
              <w:rPr>
                <w:rFonts w:ascii="Arial" w:cs="Arial" w:eastAsia="Arial" w:hAnsi="Arial"/>
                <w:sz w:val="18"/>
                <w:szCs w:val="18"/>
                <w:color w:val="auto"/>
              </w:rPr>
              <w:t>$0.13</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$0.06</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43"/>
        </w:trPr>
        <w:tc>
          <w:tcPr>
            <w:tcW w:w="410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940" w:type="dxa"/>
            <w:vAlign w:val="bottom"/>
          </w:tcPr>
          <w:p>
            <w:pPr>
              <w:jc w:val="right"/>
              <w:ind w:right="37"/>
              <w:spacing w:after="0"/>
              <w:rPr>
                <w:sz w:val="20"/>
                <w:szCs w:val="20"/>
                <w:color w:val="auto"/>
              </w:rPr>
            </w:pPr>
            <w:r>
              <w:rPr>
                <w:rFonts w:ascii="Arial" w:cs="Arial" w:eastAsia="Arial" w:hAnsi="Arial"/>
                <w:sz w:val="14"/>
                <w:szCs w:val="14"/>
                <w:color w:val="auto"/>
              </w:rPr>
              <w:t>10,205,114</w:t>
            </w:r>
          </w:p>
        </w:tc>
        <w:tc>
          <w:tcPr>
            <w:tcW w:w="840" w:type="dxa"/>
            <w:vAlign w:val="bottom"/>
          </w:tcPr>
          <w:p>
            <w:pPr>
              <w:jc w:val="right"/>
              <w:ind w:right="57"/>
              <w:spacing w:after="0"/>
              <w:rPr>
                <w:sz w:val="20"/>
                <w:szCs w:val="20"/>
                <w:color w:val="auto"/>
              </w:rPr>
            </w:pPr>
            <w:r>
              <w:rPr>
                <w:rFonts w:ascii="Arial" w:cs="Arial" w:eastAsia="Arial" w:hAnsi="Arial"/>
                <w:sz w:val="14"/>
                <w:szCs w:val="14"/>
                <w:color w:val="auto"/>
                <w:w w:val="96"/>
              </w:rPr>
              <w:t>10,359,657</w:t>
            </w:r>
          </w:p>
        </w:tc>
        <w:tc>
          <w:tcPr>
            <w:tcW w:w="860" w:type="dxa"/>
            <w:vAlign w:val="bottom"/>
          </w:tcPr>
          <w:p>
            <w:pPr>
              <w:jc w:val="right"/>
              <w:ind w:right="17"/>
              <w:spacing w:after="0"/>
              <w:rPr>
                <w:sz w:val="20"/>
                <w:szCs w:val="20"/>
                <w:color w:val="auto"/>
              </w:rPr>
            </w:pPr>
            <w:r>
              <w:rPr>
                <w:rFonts w:ascii="Arial" w:cs="Arial" w:eastAsia="Arial" w:hAnsi="Arial"/>
                <w:sz w:val="14"/>
                <w:szCs w:val="14"/>
                <w:color w:val="auto"/>
              </w:rPr>
              <w:t>10,360,377</w:t>
            </w:r>
          </w:p>
        </w:tc>
        <w:tc>
          <w:tcPr>
            <w:tcW w:w="800" w:type="dxa"/>
            <w:vAlign w:val="bottom"/>
          </w:tcPr>
          <w:p>
            <w:pPr>
              <w:jc w:val="right"/>
              <w:spacing w:after="0"/>
              <w:rPr>
                <w:sz w:val="20"/>
                <w:szCs w:val="20"/>
                <w:color w:val="auto"/>
              </w:rPr>
            </w:pPr>
            <w:r>
              <w:rPr>
                <w:rFonts w:ascii="Arial" w:cs="Arial" w:eastAsia="Arial" w:hAnsi="Arial"/>
                <w:sz w:val="14"/>
                <w:szCs w:val="14"/>
                <w:color w:val="auto"/>
                <w:w w:val="99"/>
              </w:rPr>
              <w:t>10,343,793</w:t>
            </w: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10,347,077</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On March 4, 2014, our Board of Directors approved the inTEST Corporation 2014 Stock Plan (the "2014 Stock Plan"). The 2014 Stock Plan will be included in our 2014 proxy statement for approval by our stockholders. The 2014 Stock Plan, when approved by stockholders, permits the granting of stock options, restricted stock, stock appreciation rights or restricted stock units for up to 500,000 shares of our common stock to directors, officers, other key employees and consultants.</w:t>
      </w:r>
    </w:p>
    <w:p>
      <w:pPr>
        <w:spacing w:after="0" w:line="1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 - 23</w:t>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940" w:type="dxa"/>
            <w:vAlign w:val="bottom"/>
            <w:gridSpan w:val="3"/>
          </w:tcPr>
          <w:p>
            <w:pPr>
              <w:jc w:val="center"/>
              <w:ind w:left="741"/>
              <w:spacing w:after="0"/>
              <w:rPr>
                <w:sz w:val="20"/>
                <w:szCs w:val="20"/>
                <w:color w:val="auto"/>
              </w:rPr>
            </w:pPr>
            <w:r>
              <w:rPr>
                <w:rFonts w:ascii="Arial" w:cs="Arial" w:eastAsia="Arial" w:hAnsi="Arial"/>
                <w:sz w:val="14"/>
                <w:szCs w:val="14"/>
                <w:b w:val="1"/>
                <w:bCs w:val="1"/>
                <w:i w:val="1"/>
                <w:iCs w:val="1"/>
                <w:color w:val="auto"/>
                <w:w w:val="85"/>
              </w:rPr>
              <w:t>Balance at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9"/>
              </w:rPr>
              <w:t>Balance at</w:t>
            </w:r>
          </w:p>
        </w:tc>
      </w:tr>
      <w:tr>
        <w:trPr>
          <w:trHeight w:val="149"/>
        </w:trPr>
        <w:tc>
          <w:tcPr>
            <w:tcW w:w="3420" w:type="dxa"/>
            <w:vAlign w:val="bottom"/>
          </w:tcPr>
          <w:p>
            <w:pPr>
              <w:spacing w:after="0"/>
              <w:rPr>
                <w:sz w:val="12"/>
                <w:szCs w:val="12"/>
                <w:color w:val="auto"/>
              </w:rPr>
            </w:pPr>
          </w:p>
        </w:tc>
        <w:tc>
          <w:tcPr>
            <w:tcW w:w="1940" w:type="dxa"/>
            <w:vAlign w:val="bottom"/>
            <w:gridSpan w:val="3"/>
          </w:tcPr>
          <w:p>
            <w:pPr>
              <w:jc w:val="center"/>
              <w:ind w:left="741"/>
              <w:spacing w:after="0" w:line="149" w:lineRule="exact"/>
              <w:rPr>
                <w:sz w:val="20"/>
                <w:szCs w:val="20"/>
                <w:color w:val="auto"/>
              </w:rPr>
            </w:pPr>
            <w:r>
              <w:rPr>
                <w:rFonts w:ascii="Arial" w:cs="Arial" w:eastAsia="Arial" w:hAnsi="Arial"/>
                <w:sz w:val="14"/>
                <w:szCs w:val="14"/>
                <w:b w:val="1"/>
                <w:bCs w:val="1"/>
                <w:i w:val="1"/>
                <w:iCs w:val="1"/>
                <w:color w:val="auto"/>
                <w:w w:val="87"/>
              </w:rPr>
              <w:t>Beginning</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Expense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rPr>
              <w:t>End of</w:t>
            </w:r>
          </w:p>
        </w:tc>
      </w:tr>
      <w:tr>
        <w:trPr>
          <w:trHeight w:val="146"/>
        </w:trPr>
        <w:tc>
          <w:tcPr>
            <w:tcW w:w="3420" w:type="dxa"/>
            <w:vAlign w:val="bottom"/>
          </w:tcPr>
          <w:p>
            <w:pPr>
              <w:spacing w:after="0"/>
              <w:rPr>
                <w:sz w:val="12"/>
                <w:szCs w:val="12"/>
                <w:color w:val="auto"/>
              </w:rPr>
            </w:pPr>
          </w:p>
        </w:tc>
        <w:tc>
          <w:tcPr>
            <w:tcW w:w="1940" w:type="dxa"/>
            <w:vAlign w:val="bottom"/>
            <w:gridSpan w:val="3"/>
          </w:tcPr>
          <w:p>
            <w:pPr>
              <w:jc w:val="center"/>
              <w:ind w:left="741"/>
              <w:spacing w:after="0" w:line="146" w:lineRule="exact"/>
              <w:rPr>
                <w:sz w:val="20"/>
                <w:szCs w:val="20"/>
                <w:color w:val="auto"/>
              </w:rPr>
            </w:pPr>
            <w:r>
              <w:rPr>
                <w:rFonts w:ascii="Arial" w:cs="Arial" w:eastAsia="Arial" w:hAnsi="Arial"/>
                <w:sz w:val="14"/>
                <w:szCs w:val="14"/>
                <w:b w:val="1"/>
                <w:bCs w:val="1"/>
                <w:i w:val="1"/>
                <w:iCs w:val="1"/>
                <w:color w:val="auto"/>
                <w:w w:val="85"/>
              </w:rPr>
              <w:t>of Period</w:t>
            </w:r>
          </w:p>
        </w:tc>
        <w:tc>
          <w:tcPr>
            <w:tcW w:w="7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2"/>
              </w:rPr>
              <w:t>(Recovery)</w:t>
            </w:r>
          </w:p>
        </w:tc>
        <w:tc>
          <w:tcPr>
            <w:tcW w:w="880" w:type="dxa"/>
            <w:vAlign w:val="bottom"/>
            <w:gridSpan w:val="3"/>
          </w:tcPr>
          <w:p>
            <w:pPr>
              <w:ind w:left="140"/>
              <w:spacing w:after="0" w:line="146" w:lineRule="exact"/>
              <w:rPr>
                <w:sz w:val="20"/>
                <w:szCs w:val="20"/>
                <w:color w:val="auto"/>
              </w:rPr>
            </w:pPr>
            <w:r>
              <w:rPr>
                <w:rFonts w:ascii="Arial" w:cs="Arial" w:eastAsia="Arial" w:hAnsi="Arial"/>
                <w:sz w:val="14"/>
                <w:szCs w:val="14"/>
                <w:b w:val="1"/>
                <w:bCs w:val="1"/>
                <w:i w:val="1"/>
                <w:iCs w:val="1"/>
                <w:color w:val="auto"/>
                <w:w w:val="94"/>
              </w:rPr>
              <w:t>Deductions</w:t>
            </w:r>
          </w:p>
        </w:tc>
        <w:tc>
          <w:tcPr>
            <w:tcW w:w="240" w:type="dxa"/>
            <w:vAlign w:val="bottom"/>
          </w:tcPr>
          <w:p>
            <w:pPr>
              <w:spacing w:after="0"/>
              <w:rPr>
                <w:sz w:val="12"/>
                <w:szCs w:val="12"/>
                <w:color w:val="auto"/>
              </w:rPr>
            </w:pPr>
          </w:p>
        </w:tc>
        <w:tc>
          <w:tcPr>
            <w:tcW w:w="48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w w:val="77"/>
              </w:rPr>
              <w:t>Period</w:t>
            </w:r>
          </w:p>
        </w:tc>
      </w:tr>
      <w:tr>
        <w:trPr>
          <w:trHeight w:val="410"/>
        </w:trPr>
        <w:tc>
          <w:tcPr>
            <w:tcW w:w="342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1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Warranty reserve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r>
      <w:tr>
        <w:trPr>
          <w:trHeight w:val="419"/>
        </w:trPr>
        <w:tc>
          <w:tcPr>
            <w:tcW w:w="3420" w:type="dxa"/>
            <w:vAlign w:val="bottom"/>
          </w:tcPr>
          <w:p>
            <w:pPr>
              <w:spacing w:after="0"/>
              <w:rPr>
                <w:sz w:val="20"/>
                <w:szCs w:val="20"/>
                <w:color w:val="auto"/>
              </w:rPr>
            </w:pPr>
            <w:r>
              <w:rPr>
                <w:rFonts w:ascii="Arial" w:cs="Arial" w:eastAsia="Arial" w:hAnsi="Arial"/>
                <w:sz w:val="18"/>
                <w:szCs w:val="18"/>
                <w:b w:val="1"/>
                <w:bCs w:val="1"/>
                <w:color w:val="auto"/>
              </w:rPr>
              <w:t>Year Ended December 31, 2012</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Warranty reserve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340"/>
          </w:cols>
          <w:pgMar w:left="240" w:top="158" w:right="31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COMPENSATORY ARRANGEMENTS OF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of our executive officers is employed on an at will basis. The current annual salaries of our executive officers are set forth in the chart below:</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164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Salary</w:t>
            </w:r>
          </w:p>
        </w:tc>
        <w:tc>
          <w:tcPr>
            <w:tcW w:w="344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Incentive Component</w:t>
            </w:r>
          </w:p>
        </w:tc>
      </w:tr>
      <w:tr>
        <w:trPr>
          <w:trHeight w:val="20"/>
        </w:trPr>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8"/>
        </w:trPr>
        <w:tc>
          <w:tcPr>
            <w:tcW w:w="1720" w:type="dxa"/>
            <w:vAlign w:val="bottom"/>
            <w:gridSpan w:val="2"/>
          </w:tcPr>
          <w:p>
            <w:pPr>
              <w:spacing w:after="0"/>
              <w:rPr>
                <w:sz w:val="20"/>
                <w:szCs w:val="20"/>
                <w:color w:val="auto"/>
              </w:rPr>
            </w:pPr>
            <w:r>
              <w:rPr>
                <w:rFonts w:ascii="Arial" w:cs="Arial" w:eastAsia="Arial" w:hAnsi="Arial"/>
                <w:sz w:val="18"/>
                <w:szCs w:val="18"/>
                <w:color w:val="auto"/>
                <w:w w:val="95"/>
              </w:rPr>
              <w:t>Robert E. Matthiessen</w:t>
            </w: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President, CEO and Director</w:t>
            </w: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w w:val="92"/>
              </w:rPr>
              <w:t>$317,242  1.5% of consolidated pre-tax profits plus 1.5%</w:t>
            </w:r>
          </w:p>
        </w:tc>
      </w:tr>
      <w:tr>
        <w:trPr>
          <w:trHeight w:val="222"/>
        </w:trPr>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of each product segment's pre-tax profits.</w:t>
            </w:r>
          </w:p>
        </w:tc>
      </w:tr>
      <w:tr>
        <w:trPr>
          <w:trHeight w:val="486"/>
        </w:trPr>
        <w:tc>
          <w:tcPr>
            <w:tcW w:w="1720" w:type="dxa"/>
            <w:vAlign w:val="bottom"/>
            <w:gridSpan w:val="2"/>
          </w:tcPr>
          <w:p>
            <w:pPr>
              <w:spacing w:after="0"/>
              <w:rPr>
                <w:sz w:val="20"/>
                <w:szCs w:val="20"/>
                <w:color w:val="auto"/>
              </w:rPr>
            </w:pPr>
            <w:r>
              <w:rPr>
                <w:rFonts w:ascii="Arial" w:cs="Arial" w:eastAsia="Arial" w:hAnsi="Arial"/>
                <w:sz w:val="18"/>
                <w:szCs w:val="18"/>
                <w:color w:val="auto"/>
              </w:rPr>
              <w:t>Hugh T. Regan, Jr.</w:t>
            </w: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Secretary, Treasurer and CFO</w:t>
            </w:r>
          </w:p>
        </w:tc>
        <w:tc>
          <w:tcPr>
            <w:tcW w:w="900" w:type="dxa"/>
            <w:vAlign w:val="bottom"/>
            <w:gridSpan w:val="3"/>
          </w:tcPr>
          <w:p>
            <w:pPr>
              <w:ind w:left="160"/>
              <w:spacing w:after="0"/>
              <w:rPr>
                <w:sz w:val="20"/>
                <w:szCs w:val="20"/>
                <w:color w:val="auto"/>
              </w:rPr>
            </w:pPr>
            <w:r>
              <w:rPr>
                <w:rFonts w:ascii="Arial" w:cs="Arial" w:eastAsia="Arial" w:hAnsi="Arial"/>
                <w:sz w:val="18"/>
                <w:szCs w:val="18"/>
                <w:color w:val="auto"/>
                <w:w w:val="95"/>
              </w:rPr>
              <w:t>$224,422</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Discretionary (1)</w:t>
            </w:r>
          </w:p>
        </w:tc>
      </w:tr>
      <w:tr>
        <w:trPr>
          <w:trHeight w:val="480"/>
        </w:trPr>
        <w:tc>
          <w:tcPr>
            <w:tcW w:w="1720" w:type="dxa"/>
            <w:vAlign w:val="bottom"/>
            <w:gridSpan w:val="2"/>
          </w:tcPr>
          <w:p>
            <w:pPr>
              <w:spacing w:after="0"/>
              <w:rPr>
                <w:sz w:val="20"/>
                <w:szCs w:val="20"/>
                <w:color w:val="auto"/>
              </w:rPr>
            </w:pPr>
            <w:r>
              <w:rPr>
                <w:rFonts w:ascii="Arial" w:cs="Arial" w:eastAsia="Arial" w:hAnsi="Arial"/>
                <w:sz w:val="18"/>
                <w:szCs w:val="18"/>
                <w:color w:val="auto"/>
              </w:rPr>
              <w:t>Daniel J. Graham</w:t>
            </w: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Sr. Vice President, General Manager -</w:t>
            </w:r>
          </w:p>
        </w:tc>
        <w:tc>
          <w:tcPr>
            <w:tcW w:w="4340" w:type="dxa"/>
            <w:vAlign w:val="bottom"/>
            <w:gridSpan w:val="6"/>
          </w:tcPr>
          <w:p>
            <w:pPr>
              <w:ind w:left="160"/>
              <w:spacing w:after="0"/>
              <w:rPr>
                <w:sz w:val="20"/>
                <w:szCs w:val="20"/>
                <w:color w:val="auto"/>
              </w:rPr>
            </w:pPr>
            <w:r>
              <w:rPr>
                <w:rFonts w:ascii="Arial" w:cs="Arial" w:eastAsia="Arial" w:hAnsi="Arial"/>
                <w:sz w:val="18"/>
                <w:szCs w:val="18"/>
                <w:color w:val="auto"/>
              </w:rPr>
              <w:t>$220,000  2.5% of pre-tax profits of the Mechanical</w:t>
            </w:r>
          </w:p>
        </w:tc>
      </w:tr>
      <w:tr>
        <w:trPr>
          <w:trHeight w:val="216"/>
        </w:trPr>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w w:val="90"/>
              </w:rPr>
              <w:t>Mechanical Products Segment and General</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3"/>
          </w:tcPr>
          <w:p>
            <w:pPr>
              <w:ind w:left="80"/>
              <w:spacing w:after="0"/>
              <w:rPr>
                <w:sz w:val="20"/>
                <w:szCs w:val="20"/>
                <w:color w:val="auto"/>
              </w:rPr>
            </w:pPr>
            <w:r>
              <w:rPr>
                <w:rFonts w:ascii="Arial" w:cs="Arial" w:eastAsia="Arial" w:hAnsi="Arial"/>
                <w:sz w:val="18"/>
                <w:szCs w:val="18"/>
                <w:color w:val="auto"/>
                <w:w w:val="87"/>
              </w:rPr>
              <w:t>Products segment and 2.5% of pre-tax profits of</w:t>
            </w:r>
          </w:p>
        </w:tc>
      </w:tr>
      <w:tr>
        <w:trPr>
          <w:trHeight w:val="222"/>
        </w:trPr>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Manager-Electrical Products Segment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the Electrical Products segment</w:t>
            </w:r>
          </w:p>
        </w:tc>
      </w:tr>
      <w:tr>
        <w:trPr>
          <w:trHeight w:val="480"/>
        </w:trPr>
        <w:tc>
          <w:tcPr>
            <w:tcW w:w="1720" w:type="dxa"/>
            <w:vAlign w:val="bottom"/>
            <w:gridSpan w:val="2"/>
          </w:tcPr>
          <w:p>
            <w:pPr>
              <w:spacing w:after="0"/>
              <w:rPr>
                <w:sz w:val="20"/>
                <w:szCs w:val="20"/>
                <w:color w:val="auto"/>
              </w:rPr>
            </w:pPr>
            <w:r>
              <w:rPr>
                <w:rFonts w:ascii="Arial" w:cs="Arial" w:eastAsia="Arial" w:hAnsi="Arial"/>
                <w:sz w:val="18"/>
                <w:szCs w:val="18"/>
                <w:color w:val="auto"/>
              </w:rPr>
              <w:t>James Pelrin</w:t>
            </w: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Vice President and General Manager-</w:t>
            </w:r>
          </w:p>
        </w:tc>
        <w:tc>
          <w:tcPr>
            <w:tcW w:w="900" w:type="dxa"/>
            <w:vAlign w:val="bottom"/>
            <w:gridSpan w:val="3"/>
          </w:tcPr>
          <w:p>
            <w:pPr>
              <w:ind w:left="160"/>
              <w:spacing w:after="0"/>
              <w:rPr>
                <w:sz w:val="20"/>
                <w:szCs w:val="20"/>
                <w:color w:val="auto"/>
              </w:rPr>
            </w:pPr>
            <w:r>
              <w:rPr>
                <w:rFonts w:ascii="Arial" w:cs="Arial" w:eastAsia="Arial" w:hAnsi="Arial"/>
                <w:sz w:val="18"/>
                <w:szCs w:val="18"/>
                <w:color w:val="auto"/>
                <w:w w:val="95"/>
              </w:rPr>
              <w:t>$220,000</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w w:val="89"/>
              </w:rPr>
              <w:t>2.5% of pre-tax profits of the Thermal Products</w:t>
            </w:r>
          </w:p>
        </w:tc>
      </w:tr>
      <w:tr>
        <w:trPr>
          <w:trHeight w:val="222"/>
        </w:trPr>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Thermal Products Segment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segment.</w:t>
            </w:r>
          </w:p>
        </w:tc>
      </w:tr>
      <w:tr>
        <w:trPr>
          <w:trHeight w:val="486"/>
        </w:trPr>
        <w:tc>
          <w:tcPr>
            <w:tcW w:w="1720" w:type="dxa"/>
            <w:vAlign w:val="bottom"/>
            <w:gridSpan w:val="2"/>
          </w:tcPr>
          <w:p>
            <w:pPr>
              <w:spacing w:after="0"/>
              <w:rPr>
                <w:sz w:val="20"/>
                <w:szCs w:val="20"/>
                <w:color w:val="auto"/>
              </w:rPr>
            </w:pPr>
            <w:r>
              <w:rPr>
                <w:rFonts w:ascii="Arial" w:cs="Arial" w:eastAsia="Arial" w:hAnsi="Arial"/>
                <w:sz w:val="18"/>
                <w:szCs w:val="18"/>
                <w:color w:val="auto"/>
              </w:rPr>
              <w:t>Alyn R. Holt</w:t>
            </w:r>
          </w:p>
        </w:tc>
        <w:tc>
          <w:tcPr>
            <w:tcW w:w="3360" w:type="dxa"/>
            <w:vAlign w:val="bottom"/>
            <w:gridSpan w:val="3"/>
          </w:tcPr>
          <w:p>
            <w:pPr>
              <w:ind w:left="180"/>
              <w:spacing w:after="0"/>
              <w:rPr>
                <w:sz w:val="20"/>
                <w:szCs w:val="20"/>
                <w:color w:val="auto"/>
              </w:rPr>
            </w:pPr>
            <w:r>
              <w:rPr>
                <w:rFonts w:ascii="Arial" w:cs="Arial" w:eastAsia="Arial" w:hAnsi="Arial"/>
                <w:sz w:val="18"/>
                <w:szCs w:val="18"/>
                <w:color w:val="auto"/>
              </w:rPr>
              <w:t>Executive Chairman</w:t>
            </w:r>
          </w:p>
        </w:tc>
        <w:tc>
          <w:tcPr>
            <w:tcW w:w="900" w:type="dxa"/>
            <w:vAlign w:val="bottom"/>
            <w:gridSpan w:val="3"/>
          </w:tcPr>
          <w:p>
            <w:pPr>
              <w:ind w:left="160"/>
              <w:spacing w:after="0"/>
              <w:rPr>
                <w:sz w:val="20"/>
                <w:szCs w:val="20"/>
                <w:color w:val="auto"/>
              </w:rPr>
            </w:pPr>
            <w:r>
              <w:rPr>
                <w:rFonts w:ascii="Arial" w:cs="Arial" w:eastAsia="Arial" w:hAnsi="Arial"/>
                <w:sz w:val="18"/>
                <w:szCs w:val="18"/>
                <w:color w:val="auto"/>
                <w:w w:val="95"/>
              </w:rPr>
              <w:t>$180,180</w:t>
            </w:r>
          </w:p>
        </w:tc>
        <w:tc>
          <w:tcPr>
            <w:tcW w:w="3440" w:type="dxa"/>
            <w:vAlign w:val="bottom"/>
            <w:gridSpan w:val="3"/>
          </w:tcPr>
          <w:p>
            <w:pPr>
              <w:ind w:left="80"/>
              <w:spacing w:after="0"/>
              <w:rPr>
                <w:sz w:val="20"/>
                <w:szCs w:val="20"/>
                <w:color w:val="auto"/>
              </w:rPr>
            </w:pPr>
            <w:r>
              <w:rPr>
                <w:rFonts w:ascii="Arial" w:cs="Arial" w:eastAsia="Arial" w:hAnsi="Arial"/>
                <w:sz w:val="18"/>
                <w:szCs w:val="18"/>
                <w:color w:val="auto"/>
              </w:rPr>
              <w:t>None</w:t>
            </w:r>
          </w:p>
        </w:tc>
      </w:tr>
    </w:tbl>
    <w:p>
      <w:pPr>
        <w:spacing w:after="0" w:line="291" w:lineRule="exact"/>
        <w:rPr>
          <w:sz w:val="20"/>
          <w:szCs w:val="20"/>
          <w:color w:val="auto"/>
        </w:rPr>
      </w:pPr>
    </w:p>
    <w:p>
      <w:pPr>
        <w:ind w:left="500" w:right="2080" w:hanging="478"/>
        <w:spacing w:after="0" w:line="26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company having consolidated pre-tax profits and subject to the recommendation of the Chief Executive Officer and the approval of the Compensation Committee of the Board of Directors.</w:t>
      </w:r>
    </w:p>
    <w:p>
      <w:pPr>
        <w:spacing w:after="0" w:line="15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Each of the foregoing officers receives our standard benefits package. Messrs. Matthiessen, Regan, Graham and Pelrin are parties to Change of Control Agreements with us that provide for the payment of certain benefits upon the executive's termination of employment following a change of control, as defined therein.</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Directors who are not also our officers (each a "non-employee director") currently receive an annual retainer of $25,000 (Steven J. Abrams, Esq., Stuart F. Daniels, Ph.D., William Kraut, and James W. Schwartz, Esq.). Non-employee members of the Executive Committee are paid an additional annual retainer of $15,000 (Dr. Daniels and Mr. Schwartz). The chairmen of the committees of the Board are paid an additional annual fee as follows: the Chairman of the Audit Committee is paid an additional annual fee of $15,000 (Mr. Kraut); the Chairman of the Compensation Committee is paid an additional annual fee of $10,000 (Dr. Daniels); the Chairman of the Intellectual Property Committee is paid an additional annual fee of $75,000 (Dr. Daniels); and the Chairman of the Nominating and Corporate Governance Committee is paid an additional annual fee of $10,000 (Mr. Abrams).</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directors, executive officers and other key employees may be eligible to receive stock options or restricted stock awards from time to time pursuant to the Company's 2007 Stock Plan (incorporated by reference as Exhibit 10.6 to this Report). Awards of restricted stock were made during 2013 to our executive officers (other than Mr. Holt) on October 29, 2013 and, upon their election on January 8, 2013, to our two new directors. There are no agreements obligating the Company to make any such award at any time, so future awards remain at the discretion of the Compensation Committee.</w:t>
      </w:r>
    </w:p>
    <w:p>
      <w:pPr>
        <w:sectPr>
          <w:pgSz w:w="11900" w:h="16838" w:orient="portrait"/>
          <w:cols w:equalWidth="0" w:num="1">
            <w:col w:w="11420"/>
          </w:cols>
          <w:pgMar w:left="240" w:top="11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Jurisdiction</w:t>
            </w:r>
          </w:p>
        </w:tc>
      </w:tr>
      <w:tr>
        <w:trPr>
          <w:trHeight w:val="184"/>
        </w:trPr>
        <w:tc>
          <w:tcPr>
            <w:tcW w:w="300" w:type="dxa"/>
            <w:vAlign w:val="bottom"/>
          </w:tcPr>
          <w:p>
            <w:pPr>
              <w:spacing w:after="0"/>
              <w:rPr>
                <w:sz w:val="15"/>
                <w:szCs w:val="15"/>
                <w:color w:val="auto"/>
              </w:rPr>
            </w:pPr>
          </w:p>
        </w:tc>
        <w:tc>
          <w:tcPr>
            <w:tcW w:w="1560" w:type="dxa"/>
            <w:vAlign w:val="bottom"/>
          </w:tcPr>
          <w:p>
            <w:pPr>
              <w:spacing w:after="0" w:line="184" w:lineRule="exact"/>
              <w:rPr>
                <w:sz w:val="20"/>
                <w:szCs w:val="20"/>
                <w:color w:val="auto"/>
              </w:rPr>
            </w:pPr>
            <w:r>
              <w:rPr>
                <w:rFonts w:ascii="Arial" w:cs="Arial" w:eastAsia="Arial" w:hAnsi="Arial"/>
                <w:sz w:val="18"/>
                <w:szCs w:val="18"/>
                <w:b w:val="1"/>
                <w:bCs w:val="1"/>
                <w:i w:val="1"/>
                <w:iCs w:val="1"/>
                <w:color w:val="auto"/>
                <w:w w:val="84"/>
              </w:rPr>
              <w:t>Name of Subsidiaries</w:t>
            </w:r>
          </w:p>
        </w:tc>
        <w:tc>
          <w:tcPr>
            <w:tcW w:w="1720" w:type="dxa"/>
            <w:vAlign w:val="bottom"/>
          </w:tcPr>
          <w:p>
            <w:pPr>
              <w:spacing w:after="0"/>
              <w:rPr>
                <w:sz w:val="15"/>
                <w:szCs w:val="15"/>
                <w:color w:val="auto"/>
              </w:rPr>
            </w:pPr>
          </w:p>
        </w:tc>
        <w:tc>
          <w:tcPr>
            <w:tcW w:w="1740" w:type="dxa"/>
            <w:vAlign w:val="bottom"/>
            <w:gridSpan w:val="2"/>
          </w:tcPr>
          <w:p>
            <w:pPr>
              <w:jc w:val="center"/>
              <w:ind w:left="452"/>
              <w:spacing w:after="0" w:line="184" w:lineRule="exact"/>
              <w:rPr>
                <w:sz w:val="20"/>
                <w:szCs w:val="20"/>
                <w:color w:val="auto"/>
              </w:rPr>
            </w:pPr>
            <w:r>
              <w:rPr>
                <w:rFonts w:ascii="Arial" w:cs="Arial" w:eastAsia="Arial" w:hAnsi="Arial"/>
                <w:sz w:val="18"/>
                <w:szCs w:val="18"/>
                <w:b w:val="1"/>
                <w:bCs w:val="1"/>
                <w:i w:val="1"/>
                <w:iCs w:val="1"/>
                <w:color w:val="auto"/>
                <w:w w:val="86"/>
              </w:rPr>
              <w:t>of Incorporation</w:t>
            </w:r>
          </w:p>
        </w:tc>
      </w:tr>
      <w:tr>
        <w:trPr>
          <w:trHeight w:val="20"/>
        </w:trPr>
        <w:tc>
          <w:tcPr>
            <w:tcW w:w="3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566"/>
        </w:trPr>
        <w:tc>
          <w:tcPr>
            <w:tcW w:w="3580" w:type="dxa"/>
            <w:vAlign w:val="bottom"/>
            <w:gridSpan w:val="3"/>
          </w:tcPr>
          <w:p>
            <w:pPr>
              <w:spacing w:after="0"/>
              <w:rPr>
                <w:sz w:val="20"/>
                <w:szCs w:val="20"/>
                <w:color w:val="auto"/>
              </w:rPr>
            </w:pPr>
            <w:r>
              <w:rPr>
                <w:rFonts w:ascii="Arial" w:cs="Arial" w:eastAsia="Arial" w:hAnsi="Arial"/>
                <w:sz w:val="22"/>
                <w:szCs w:val="22"/>
                <w:color w:val="auto"/>
              </w:rPr>
              <w:t>inTEST Silicon Valley Corporation</w:t>
            </w:r>
          </w:p>
        </w:tc>
        <w:tc>
          <w:tcPr>
            <w:tcW w:w="54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70"/>
        </w:trPr>
        <w:tc>
          <w:tcPr>
            <w:tcW w:w="3580" w:type="dxa"/>
            <w:vAlign w:val="bottom"/>
            <w:gridSpan w:val="3"/>
          </w:tcPr>
          <w:p>
            <w:pPr>
              <w:spacing w:after="0"/>
              <w:rPr>
                <w:sz w:val="20"/>
                <w:szCs w:val="20"/>
                <w:color w:val="auto"/>
              </w:rPr>
            </w:pPr>
            <w:r>
              <w:rPr>
                <w:rFonts w:ascii="Arial" w:cs="Arial" w:eastAsia="Arial" w:hAnsi="Arial"/>
                <w:sz w:val="22"/>
                <w:szCs w:val="22"/>
                <w:color w:val="auto"/>
              </w:rPr>
              <w:t>Temptronic Corporation (a)</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70"/>
        </w:trPr>
        <w:tc>
          <w:tcPr>
            <w:tcW w:w="3580" w:type="dxa"/>
            <w:vAlign w:val="bottom"/>
            <w:gridSpan w:val="3"/>
          </w:tcPr>
          <w:p>
            <w:pPr>
              <w:spacing w:after="0"/>
              <w:rPr>
                <w:sz w:val="20"/>
                <w:szCs w:val="20"/>
                <w:color w:val="auto"/>
              </w:rPr>
            </w:pPr>
            <w:r>
              <w:rPr>
                <w:rFonts w:ascii="Arial" w:cs="Arial" w:eastAsia="Arial" w:hAnsi="Arial"/>
                <w:sz w:val="22"/>
                <w:szCs w:val="22"/>
                <w:color w:val="auto"/>
              </w:rPr>
              <w:t>inTEST PTE, Ltd.</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Singapore</w:t>
            </w:r>
          </w:p>
        </w:tc>
      </w:tr>
      <w:tr>
        <w:trPr>
          <w:trHeight w:val="275"/>
        </w:trPr>
        <w:tc>
          <w:tcPr>
            <w:tcW w:w="3580" w:type="dxa"/>
            <w:vAlign w:val="bottom"/>
            <w:gridSpan w:val="3"/>
          </w:tcPr>
          <w:p>
            <w:pPr>
              <w:spacing w:after="0"/>
              <w:rPr>
                <w:sz w:val="20"/>
                <w:szCs w:val="20"/>
                <w:color w:val="auto"/>
              </w:rPr>
            </w:pPr>
            <w:r>
              <w:rPr>
                <w:rFonts w:ascii="Arial" w:cs="Arial" w:eastAsia="Arial" w:hAnsi="Arial"/>
                <w:sz w:val="22"/>
                <w:szCs w:val="22"/>
                <w:color w:val="auto"/>
              </w:rPr>
              <w:t>inTEST Thermal Solutions GmbH</w:t>
            </w:r>
          </w:p>
        </w:tc>
        <w:tc>
          <w:tcPr>
            <w:tcW w:w="54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Germany</w:t>
            </w:r>
          </w:p>
        </w:tc>
      </w:tr>
    </w:tbl>
    <w:p>
      <w:pPr>
        <w:spacing w:after="0" w:line="266"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(a) Doing business as inTEST Thermal Solutions Corp.</w:t>
      </w:r>
    </w:p>
    <w:p>
      <w:pPr>
        <w:sectPr>
          <w:pgSz w:w="11900" w:h="16838" w:orient="portrait"/>
          <w:cols w:equalWidth="0" w:num="1">
            <w:col w:w="10220"/>
          </w:cols>
          <w:pgMar w:left="1440" w:top="11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We consent to the incorporation by reference in Registration Statements (No. 333-33722, No. 333-43096, No. 333-44059, No. 333-70046, No. 333-90908 and No. 333-145176) on Form S-8 and Registration Statement (No. 333-173920) on Form S-3 of inTEST Corporation of our report dated March 27, 2014, relating to our audits of the consolidated financial statements and the financial statement schedule, which appear in this Annual Report on Form 10-K of inTEST Corporation for the year ended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/s/ McGLADREY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Blue Bell,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27, 2014</w:t>
      </w:r>
    </w:p>
    <w:p>
      <w:pPr>
        <w:sectPr>
          <w:pgSz w:w="11900" w:h="16838" w:orient="portrait"/>
          <w:cols w:equalWidth="0" w:num="1">
            <w:col w:w="11420"/>
          </w:cols>
          <w:pgMar w:left="240" w:top="11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27,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27, 2014</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2013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20"/>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20"/>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27,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2013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2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2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27, 2014</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1"/>
    </w:lvl>
    <w:lvl w:ilvl="1">
      <w:lvlJc w:val="left"/>
      <w:lvlText w:val="(%2)"/>
      <w:numFmt w:val="lowerRoman"/>
      <w:start w:val="1"/>
    </w:lvl>
  </w:abstractNum>
  <w:abstractNum w:abstractNumId="5">
    <w:nsid w:val="109CF92E"/>
    <w:multiLevelType w:val="hybridMultilevel"/>
    <w:lvl w:ilvl="0">
      <w:lvlJc w:val="left"/>
      <w:lvlText w:val="%1"/>
      <w:numFmt w:val="decimal"/>
      <w:start w:val="21"/>
    </w:lvl>
    <w:lvl w:ilvl="1">
      <w:lvlJc w:val="left"/>
      <w:lvlText w:val="-"/>
      <w:numFmt w:val="bullet"/>
      <w:start w:val="1"/>
    </w:lvl>
  </w:abstractNum>
  <w:abstractNum w:abstractNumId="6">
    <w:nsid w:val="DED7263"/>
    <w:multiLevelType w:val="hybridMultilevel"/>
    <w:lvl w:ilvl="0">
      <w:lvlJc w:val="left"/>
      <w:lvlText w:val="%1"/>
      <w:numFmt w:val="decimal"/>
      <w:start w:val="23"/>
    </w:lvl>
    <w:lvl w:ilvl="1">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4"/>
    </w:lvl>
  </w:abstractNum>
  <w:abstractNum w:abstractNumId="14">
    <w:nsid w:val="431BD7B7"/>
    <w:multiLevelType w:val="hybridMultilevel"/>
    <w:lvl w:ilvl="0">
      <w:lvlJc w:val="left"/>
      <w:lvlText w:val="%1"/>
      <w:numFmt w:val="decimal"/>
      <w:start w:val="73"/>
    </w:lvl>
  </w:abstractNum>
  <w:abstractNum w:abstractNumId="15">
    <w:nsid w:val="3F2DBA31"/>
    <w:multiLevelType w:val="hybridMultilevel"/>
    <w:lvl w:ilvl="0">
      <w:lvlJc w:val="left"/>
      <w:lvlText w:val="%1"/>
      <w:numFmt w:val="decimal"/>
      <w:start w:val="554"/>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2019-12-06T17:20:54Z</dcterms:created>
  <dcterms:modified xsi:type="dcterms:W3CDTF">2019-12-06T17:20:54Z</dcterms:modified>
</cp:coreProperties>
</file>