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UNITED STATES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AND EXCHANGE COMMISSION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160"/>
        <w:jc w:val="center"/>
        <w:rPr/>
      </w:pPr>
      <w:r>
        <w:rPr>
          <w:rFonts w:ascii="Arial;sans-serif" w:hAnsi="Arial;sans-serif"/>
          <w:b w:val="false"/>
          <w:color w:val="000000"/>
          <w:sz w:val="18"/>
        </w:rPr>
        <w:t xml:space="preserve">For the quarterly period ended </w:t>
      </w:r>
      <w:r>
        <w:rPr>
          <w:rFonts w:ascii="Arial;sans-serif" w:hAnsi="Arial;sans-serif"/>
          <w:b w:val="false"/>
          <w:color w:val="000000"/>
          <w:sz w:val="18"/>
          <w:u w:val="single"/>
        </w:rPr>
        <w:t>March 31, 2025</w:t>
      </w:r>
      <w:r>
        <w:rPr>
          <w:color w:val="000000"/>
        </w:rPr>
        <w:t xml:space="preserve"> </w:t>
      </w:r>
      <w:r>
        <w:rPr>
          <w:rFonts w:ascii="Arial;sans-serif" w:hAnsi="Arial;sans-serif"/>
          <w:b w:val="false"/>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For the transition period from ___________ to ___________</w:t>
      </w:r>
    </w:p>
    <w:p>
      <w:pPr>
        <w:pStyle w:val="TextBody"/>
        <w:bidi w:val="0"/>
        <w:spacing w:lineRule="auto" w:line="288" w:before="0" w:after="160"/>
        <w:jc w:val="center"/>
        <w:rPr/>
      </w:pPr>
      <w:r>
        <w:rPr>
          <w:rFonts w:ascii="Arial;sans-serif" w:hAnsi="Arial;sans-serif"/>
          <w:b w:val="false"/>
          <w:color w:val="000000"/>
          <w:sz w:val="18"/>
        </w:rPr>
        <w:t xml:space="preserve">Commission File Number </w:t>
      </w:r>
      <w:r>
        <w:rPr>
          <w:rFonts w:ascii="Arial;sans-serif" w:hAnsi="Arial;sans-serif"/>
          <w:b w:val="false"/>
          <w:color w:val="000000"/>
          <w:sz w:val="18"/>
          <w:u w:val="single"/>
        </w:rPr>
        <w:t>1-36117</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InTest Corporation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175" w:type="dxa"/>
        <w:jc w:val="center"/>
        <w:tblInd w:w="0" w:type="dxa"/>
        <w:tblLayout w:type="fixed"/>
        <w:tblCellMar>
          <w:top w:w="28" w:type="dxa"/>
          <w:left w:w="28" w:type="dxa"/>
          <w:bottom w:w="28" w:type="dxa"/>
          <w:right w:w="28" w:type="dxa"/>
        </w:tblCellMar>
      </w:tblPr>
      <w:tblGrid>
        <w:gridCol w:w="1756"/>
        <w:gridCol w:w="1542"/>
        <w:gridCol w:w="1562"/>
        <w:gridCol w:w="967"/>
        <w:gridCol w:w="967"/>
        <w:gridCol w:w="1381"/>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Delaware</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22-2370659</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804 East Gate Drive, Suite 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Mt. Laurel, New Jersey 08054</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(856) 505-8800</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16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287"/>
        <w:gridCol w:w="1131"/>
        <w:gridCol w:w="1137"/>
        <w:gridCol w:w="479"/>
        <w:gridCol w:w="479"/>
        <w:gridCol w:w="481"/>
        <w:gridCol w:w="1190"/>
        <w:gridCol w:w="1190"/>
        <w:gridCol w:w="16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96"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4"/>
        <w:gridCol w:w="764"/>
        <w:gridCol w:w="767"/>
        <w:gridCol w:w="142"/>
        <w:gridCol w:w="142"/>
        <w:gridCol w:w="14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Accelerated filer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Number of shares of Common Stock, $0.01 par value, outstanding as of the close of business on May 1, 2025: 12,492,809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0"/>
        <w:gridCol w:w="263"/>
        <w:gridCol w:w="265"/>
        <w:gridCol w:w="2917"/>
        <w:gridCol w:w="2917"/>
        <w:gridCol w:w="2924"/>
        <w:gridCol w:w="180"/>
        <w:gridCol w:w="180"/>
        <w:gridCol w:w="259"/>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Page</w:t>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0">
              <w:r>
                <w:rPr>
                  <w:rStyle w:val="InternetLink"/>
                  <w:rFonts w:ascii="Arial;sans-serif" w:hAnsi="Arial;sans-serif"/>
                  <w:b/>
                  <w:strike w:val="false"/>
                  <w:dstrike w:val="false"/>
                  <w:color w:val="000000"/>
                  <w:sz w:val="20"/>
                  <w:u w:val="none"/>
                  <w:effect w:val="none"/>
                </w:rPr>
                <w:t>PART I.</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0">
              <w:r>
                <w:rPr>
                  <w:rStyle w:val="InternetLink"/>
                  <w:rFonts w:ascii="Arial;sans-serif" w:hAnsi="Arial;sans-serif"/>
                  <w:b/>
                  <w:strike w:val="false"/>
                  <w:dstrike w:val="false"/>
                  <w:color w:val="000000"/>
                  <w:sz w:val="20"/>
                  <w:u w:val="none"/>
                  <w:effect w:val="none"/>
                </w:rPr>
                <w:t>FINANCIAL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3">
              <w:r>
                <w:rPr>
                  <w:rStyle w:val="InternetLink"/>
                  <w:rFonts w:ascii="Arial;sans-serif" w:hAnsi="Arial;sans-serif"/>
                  <w:b/>
                  <w:i/>
                  <w:strike w:val="false"/>
                  <w:dstrike w:val="false"/>
                  <w:color w:val="C02026"/>
                  <w:sz w:val="20"/>
                  <w:u w:val="none"/>
                  <w:effect w:val="none"/>
                </w:rPr>
                <w:t>Item 1.</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3">
              <w:r>
                <w:rPr>
                  <w:rStyle w:val="InternetLink"/>
                  <w:rFonts w:ascii="Arial;sans-serif" w:hAnsi="Arial;sans-serif"/>
                  <w:b/>
                  <w:i/>
                  <w:strike w:val="false"/>
                  <w:dstrike w:val="false"/>
                  <w:color w:val="C02026"/>
                  <w:sz w:val="20"/>
                  <w:u w:val="none"/>
                  <w:effect w:val="none"/>
                </w:rPr>
                <w:t>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3">
              <w:r>
                <w:rPr>
                  <w:rStyle w:val="InternetLink"/>
                  <w:rFonts w:ascii="Arial;sans-serif" w:hAnsi="Arial;sans-serif"/>
                  <w:b w:val="false"/>
                  <w:strike w:val="false"/>
                  <w:dstrike w:val="false"/>
                  <w:color w:val="000000"/>
                  <w:sz w:val="20"/>
                  <w:u w:val="none"/>
                  <w:effect w:val="none"/>
                </w:rPr>
                <w:t>1</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6">
              <w:r>
                <w:rPr>
                  <w:rStyle w:val="InternetLink"/>
                  <w:rFonts w:ascii="Arial;sans-serif" w:hAnsi="Arial;sans-serif"/>
                  <w:b w:val="false"/>
                  <w:strike w:val="false"/>
                  <w:dstrike w:val="false"/>
                  <w:color w:val="000000"/>
                  <w:sz w:val="20"/>
                  <w:u w:val="none"/>
                  <w:effect w:val="none"/>
                </w:rPr>
                <w:t xml:space="preserve">Consolidated Balance Sheets as of </w:t>
              </w:r>
            </w:hyperlink>
            <w:r>
              <w:rPr>
                <w:rFonts w:ascii="Arial;sans-serif" w:hAnsi="Arial;sans-serif"/>
                <w:b w:val="false"/>
                <w:color w:val="000000"/>
                <w:sz w:val="20"/>
              </w:rPr>
              <w:t>March 31, 2025</w:t>
            </w:r>
            <w:hyperlink w:anchor="i261e45121f8149fe91e62b79bb170bb9_16">
              <w:r>
                <w:rPr>
                  <w:rStyle w:val="InternetLink"/>
                  <w:rFonts w:ascii="Arial;sans-serif" w:hAnsi="Arial;sans-serif"/>
                  <w:b w:val="false"/>
                  <w:strike w:val="false"/>
                  <w:dstrike w:val="false"/>
                  <w:color w:val="000000"/>
                  <w:sz w:val="20"/>
                  <w:u w:val="none"/>
                  <w:effect w:val="none"/>
                </w:rPr>
                <w:t xml:space="preserve"> (Unaudited) and</w:t>
              </w:r>
            </w:hyperlink>
            <w:r>
              <w:rPr>
                <w:rFonts w:ascii="Arial;sans-serif" w:hAnsi="Arial;sans-serif"/>
                <w:b w:val="false"/>
                <w:color w:val="000000"/>
                <w:sz w:val="20"/>
              </w:rPr>
              <w:t xml:space="preserve"> December 31, 2024</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6">
              <w:r>
                <w:rPr>
                  <w:rStyle w:val="InternetLink"/>
                  <w:rFonts w:ascii="Arial;sans-serif" w:hAnsi="Arial;sans-serif"/>
                  <w:b w:val="false"/>
                  <w:strike w:val="false"/>
                  <w:dstrike w:val="false"/>
                  <w:color w:val="000000"/>
                  <w:sz w:val="20"/>
                  <w:u w:val="none"/>
                  <w:effect w:val="none"/>
                </w:rPr>
                <w:t>1</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261e45121f8149fe91e62b79bb170bb9_19">
              <w:r>
                <w:rPr>
                  <w:rStyle w:val="InternetLink"/>
                  <w:rFonts w:ascii="Arial;sans-serif" w:hAnsi="Arial;sans-serif"/>
                  <w:b w:val="false"/>
                  <w:strike w:val="false"/>
                  <w:dstrike w:val="false"/>
                  <w:color w:val="000000"/>
                  <w:sz w:val="20"/>
                  <w:u w:val="none"/>
                  <w:effect w:val="none"/>
                </w:rPr>
                <w:t xml:space="preserve">Unaudited Consolidated Statements of Operations for the </w:t>
              </w:r>
            </w:hyperlink>
            <w:r>
              <w:rPr>
                <w:rFonts w:ascii="Arial;sans-serif" w:hAnsi="Arial;sans-serif"/>
                <w:b w:val="false"/>
                <w:color w:val="000000"/>
                <w:sz w:val="20"/>
              </w:rPr>
              <w:t>three</w:t>
            </w:r>
            <w:hyperlink w:anchor="i261e45121f8149fe91e62b79bb170bb9_19">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March 31, 2025</w:t>
            </w:r>
            <w:hyperlink w:anchor="i261e45121f8149fe91e62b79bb170bb9_19">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9">
              <w:r>
                <w:rPr>
                  <w:rStyle w:val="InternetLink"/>
                  <w:rFonts w:ascii="Arial;sans-serif" w:hAnsi="Arial;sans-serif"/>
                  <w:b w:val="false"/>
                  <w:strike w:val="false"/>
                  <w:dstrike w:val="false"/>
                  <w:color w:val="000000"/>
                  <w:sz w:val="20"/>
                  <w:u w:val="none"/>
                  <w:effect w:val="none"/>
                </w:rPr>
                <w:t>2</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261e45121f8149fe91e62b79bb170bb9_22">
              <w:r>
                <w:rPr>
                  <w:rStyle w:val="InternetLink"/>
                  <w:rFonts w:ascii="Arial;sans-serif" w:hAnsi="Arial;sans-serif"/>
                  <w:b w:val="false"/>
                  <w:strike w:val="false"/>
                  <w:dstrike w:val="false"/>
                  <w:color w:val="000080"/>
                  <w:sz w:val="20"/>
                  <w:u w:val="single"/>
                  <w:effect w:val="none"/>
                </w:rPr>
                <w:t xml:space="preserve">Unaudited Consolidated Statements of Comprehensive </w:t>
              </w:r>
            </w:hyperlink>
            <w:hyperlink w:anchor="i261e45121f8149fe91e62b79bb170bb9_22">
              <w:r>
                <w:rPr>
                  <w:rStyle w:val="InternetLink"/>
                  <w:rFonts w:ascii="Arial;sans-serif" w:hAnsi="Arial;sans-serif"/>
                  <w:b w:val="false"/>
                  <w:strike w:val="false"/>
                  <w:dstrike w:val="false"/>
                  <w:color w:val="000080"/>
                  <w:sz w:val="20"/>
                  <w:u w:val="single"/>
                  <w:effect w:val="none"/>
                </w:rPr>
                <w:t>(</w:t>
              </w:r>
            </w:hyperlink>
            <w:hyperlink w:anchor="i261e45121f8149fe91e62b79bb170bb9_22">
              <w:r>
                <w:rPr>
                  <w:rStyle w:val="InternetLink"/>
                  <w:rFonts w:ascii="Arial;sans-serif" w:hAnsi="Arial;sans-serif"/>
                  <w:b w:val="false"/>
                  <w:strike w:val="false"/>
                  <w:dstrike w:val="false"/>
                  <w:color w:val="000080"/>
                  <w:sz w:val="20"/>
                  <w:u w:val="single"/>
                  <w:effect w:val="none"/>
                </w:rPr>
                <w:t>L</w:t>
              </w:r>
            </w:hyperlink>
            <w:hyperlink w:anchor="i261e45121f8149fe91e62b79bb170bb9_22">
              <w:r>
                <w:rPr>
                  <w:rStyle w:val="InternetLink"/>
                  <w:rFonts w:ascii="Arial;sans-serif" w:hAnsi="Arial;sans-serif"/>
                  <w:b w:val="false"/>
                  <w:strike w:val="false"/>
                  <w:dstrike w:val="false"/>
                  <w:color w:val="000080"/>
                  <w:sz w:val="20"/>
                  <w:u w:val="single"/>
                  <w:effect w:val="none"/>
                </w:rPr>
                <w:t xml:space="preserve">oss) </w:t>
              </w:r>
            </w:hyperlink>
            <w:hyperlink w:anchor="i261e45121f8149fe91e62b79bb170bb9_22">
              <w:r>
                <w:rPr>
                  <w:rStyle w:val="InternetLink"/>
                  <w:rFonts w:ascii="Arial;sans-serif" w:hAnsi="Arial;sans-serif"/>
                  <w:b w:val="false"/>
                  <w:strike w:val="false"/>
                  <w:dstrike w:val="false"/>
                  <w:color w:val="000080"/>
                  <w:sz w:val="20"/>
                  <w:u w:val="single"/>
                  <w:effect w:val="none"/>
                </w:rPr>
                <w:t xml:space="preserve">Earnings for the </w:t>
              </w:r>
            </w:hyperlink>
            <w:r>
              <w:rPr>
                <w:rFonts w:ascii="Arial;sans-serif" w:hAnsi="Arial;sans-serif"/>
                <w:b w:val="false"/>
                <w:color w:val="000000"/>
                <w:sz w:val="20"/>
              </w:rPr>
              <w:t xml:space="preserve">three </w:t>
            </w:r>
            <w:hyperlink w:anchor="i261e45121f8149fe91e62b79bb170bb9_22">
              <w:r>
                <w:rPr>
                  <w:rStyle w:val="InternetLink"/>
                  <w:rFonts w:ascii="Arial;sans-serif" w:hAnsi="Arial;sans-serif"/>
                  <w:b w:val="false"/>
                  <w:strike w:val="false"/>
                  <w:dstrike w:val="false"/>
                  <w:color w:val="000000"/>
                  <w:sz w:val="20"/>
                  <w:u w:val="none"/>
                  <w:effect w:val="none"/>
                </w:rPr>
                <w:t xml:space="preserve">months ended </w:t>
              </w:r>
            </w:hyperlink>
            <w:r>
              <w:rPr>
                <w:rFonts w:ascii="Arial;sans-serif" w:hAnsi="Arial;sans-serif"/>
                <w:b w:val="false"/>
                <w:color w:val="000000"/>
                <w:sz w:val="20"/>
              </w:rPr>
              <w:t>March 31, 2025</w:t>
            </w:r>
            <w:hyperlink w:anchor="i261e45121f8149fe91e62b79bb170bb9_22">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22">
              <w:r>
                <w:rPr>
                  <w:rStyle w:val="InternetLink"/>
                  <w:rFonts w:ascii="Arial;sans-serif" w:hAnsi="Arial;sans-serif"/>
                  <w:b w:val="false"/>
                  <w:strike w:val="false"/>
                  <w:dstrike w:val="false"/>
                  <w:color w:val="000000"/>
                  <w:sz w:val="20"/>
                  <w:u w:val="none"/>
                  <w:effect w:val="none"/>
                </w:rPr>
                <w:t>3</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261e45121f8149fe91e62b79bb170bb9_25">
              <w:r>
                <w:rPr>
                  <w:rStyle w:val="InternetLink"/>
                  <w:rFonts w:ascii="Arial;sans-serif" w:hAnsi="Arial;sans-serif"/>
                  <w:b w:val="false"/>
                  <w:strike w:val="false"/>
                  <w:dstrike w:val="false"/>
                  <w:color w:val="000000"/>
                  <w:sz w:val="20"/>
                  <w:u w:val="none"/>
                  <w:effect w:val="none"/>
                </w:rPr>
                <w:t xml:space="preserve">Unaudited Consolidated Statements of Stockholders' Equity for the </w:t>
              </w:r>
            </w:hyperlink>
            <w:r>
              <w:rPr>
                <w:rFonts w:ascii="Arial;sans-serif" w:hAnsi="Arial;sans-serif"/>
                <w:b w:val="false"/>
                <w:color w:val="000000"/>
                <w:sz w:val="20"/>
              </w:rPr>
              <w:t>three</w:t>
            </w:r>
            <w:hyperlink w:anchor="i261e45121f8149fe91e62b79bb170bb9_25">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March 31, 2025</w:t>
            </w:r>
            <w:hyperlink w:anchor="i261e45121f8149fe91e62b79bb170bb9_25">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25">
              <w:r>
                <w:rPr>
                  <w:rStyle w:val="InternetLink"/>
                  <w:rFonts w:ascii="Arial;sans-serif" w:hAnsi="Arial;sans-serif"/>
                  <w:b w:val="false"/>
                  <w:strike w:val="false"/>
                  <w:dstrike w:val="false"/>
                  <w:color w:val="000000"/>
                  <w:sz w:val="20"/>
                  <w:u w:val="none"/>
                  <w:effect w:val="none"/>
                </w:rPr>
                <w:t>4</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261e45121f8149fe91e62b79bb170bb9_28">
              <w:r>
                <w:rPr>
                  <w:rStyle w:val="InternetLink"/>
                  <w:rFonts w:ascii="Arial;sans-serif" w:hAnsi="Arial;sans-serif"/>
                  <w:b w:val="false"/>
                  <w:strike w:val="false"/>
                  <w:dstrike w:val="false"/>
                  <w:color w:val="000000"/>
                  <w:sz w:val="20"/>
                  <w:u w:val="none"/>
                  <w:effect w:val="none"/>
                </w:rPr>
                <w:t xml:space="preserve">Unaudited Consolidated Statements of Cash Flows for the </w:t>
              </w:r>
            </w:hyperlink>
            <w:r>
              <w:rPr>
                <w:rFonts w:ascii="Arial;sans-serif" w:hAnsi="Arial;sans-serif"/>
                <w:b w:val="false"/>
                <w:color w:val="000000"/>
                <w:sz w:val="20"/>
              </w:rPr>
              <w:t>three</w:t>
            </w:r>
            <w:hyperlink w:anchor="i261e45121f8149fe91e62b79bb170bb9_28">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March 31, 2025</w:t>
            </w:r>
            <w:hyperlink w:anchor="i261e45121f8149fe91e62b79bb170bb9_28">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28">
              <w:r>
                <w:rPr>
                  <w:rStyle w:val="InternetLink"/>
                  <w:rFonts w:ascii="Arial;sans-serif" w:hAnsi="Arial;sans-serif"/>
                  <w:b w:val="false"/>
                  <w:strike w:val="false"/>
                  <w:dstrike w:val="false"/>
                  <w:color w:val="000000"/>
                  <w:sz w:val="20"/>
                  <w:u w:val="none"/>
                  <w:effect w:val="none"/>
                </w:rPr>
                <w:t>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31">
              <w:r>
                <w:rPr>
                  <w:rStyle w:val="InternetLink"/>
                  <w:rFonts w:ascii="Arial;sans-serif" w:hAnsi="Arial;sans-serif"/>
                  <w:b w:val="false"/>
                  <w:strike w:val="false"/>
                  <w:dstrike w:val="false"/>
                  <w:color w:val="000000"/>
                  <w:sz w:val="20"/>
                  <w:u w:val="none"/>
                  <w:effect w:val="none"/>
                </w:rPr>
                <w:t>Notes to Consolidated 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31">
              <w:r>
                <w:rPr>
                  <w:rStyle w:val="InternetLink"/>
                  <w:rFonts w:ascii="Arial;sans-serif" w:hAnsi="Arial;sans-serif"/>
                  <w:b w:val="false"/>
                  <w:strike w:val="false"/>
                  <w:dstrike w:val="false"/>
                  <w:color w:val="000000"/>
                  <w:sz w:val="20"/>
                  <w:u w:val="none"/>
                  <w:effect w:val="none"/>
                </w:rPr>
                <w:t>6</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76">
              <w:r>
                <w:rPr>
                  <w:rStyle w:val="InternetLink"/>
                  <w:rFonts w:ascii="Arial;sans-serif" w:hAnsi="Arial;sans-serif"/>
                  <w:b/>
                  <w:i/>
                  <w:strike w:val="false"/>
                  <w:dstrike w:val="false"/>
                  <w:color w:val="C02026"/>
                  <w:sz w:val="20"/>
                  <w:u w:val="none"/>
                  <w:effect w:val="none"/>
                </w:rPr>
                <w:t>Item 2.</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76">
              <w:r>
                <w:rPr>
                  <w:rStyle w:val="InternetLink"/>
                  <w:rFonts w:ascii="Arial;sans-serif" w:hAnsi="Arial;sans-serif"/>
                  <w:b/>
                  <w:i/>
                  <w:strike w:val="false"/>
                  <w:dstrike w:val="false"/>
                  <w:color w:val="C02026"/>
                  <w:sz w:val="20"/>
                  <w:u w:val="none"/>
                  <w:effect w:val="non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76">
              <w:r>
                <w:rPr>
                  <w:rStyle w:val="InternetLink"/>
                  <w:rFonts w:ascii="Arial;sans-serif" w:hAnsi="Arial;sans-serif"/>
                  <w:b w:val="false"/>
                  <w:strike w:val="false"/>
                  <w:dstrike w:val="false"/>
                  <w:color w:val="000000"/>
                  <w:sz w:val="20"/>
                  <w:u w:val="none"/>
                  <w:effect w:val="none"/>
                </w:rPr>
                <w:t>34</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03">
              <w:r>
                <w:rPr>
                  <w:rStyle w:val="InternetLink"/>
                  <w:rFonts w:ascii="Arial;sans-serif" w:hAnsi="Arial;sans-serif"/>
                  <w:b/>
                  <w:i/>
                  <w:strike w:val="false"/>
                  <w:dstrike w:val="false"/>
                  <w:color w:val="C02026"/>
                  <w:sz w:val="20"/>
                  <w:u w:val="none"/>
                  <w:effect w:val="none"/>
                </w:rPr>
                <w:t>Item 3.</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03">
              <w:r>
                <w:rPr>
                  <w:rStyle w:val="InternetLink"/>
                  <w:rFonts w:ascii="Arial;sans-serif" w:hAnsi="Arial;sans-serif"/>
                  <w:b/>
                  <w:i/>
                  <w:strike w:val="false"/>
                  <w:dstrike w:val="false"/>
                  <w:color w:val="C02026"/>
                  <w:sz w:val="20"/>
                  <w:u w:val="none"/>
                  <w:effect w:val="non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03">
              <w:r>
                <w:rPr>
                  <w:rStyle w:val="InternetLink"/>
                  <w:rFonts w:ascii="Arial;sans-serif" w:hAnsi="Arial;sans-serif"/>
                  <w:b w:val="false"/>
                  <w:strike w:val="false"/>
                  <w:dstrike w:val="false"/>
                  <w:color w:val="000000"/>
                  <w:sz w:val="20"/>
                  <w:u w:val="none"/>
                  <w:effect w:val="none"/>
                </w:rPr>
                <w:t>43</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06">
              <w:r>
                <w:rPr>
                  <w:rStyle w:val="InternetLink"/>
                  <w:rFonts w:ascii="Arial;sans-serif" w:hAnsi="Arial;sans-serif"/>
                  <w:b/>
                  <w:i/>
                  <w:strike w:val="false"/>
                  <w:dstrike w:val="false"/>
                  <w:color w:val="C02026"/>
                  <w:sz w:val="20"/>
                  <w:u w:val="none"/>
                  <w:effect w:val="none"/>
                </w:rPr>
                <w:t>Item 4.</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06">
              <w:r>
                <w:rPr>
                  <w:rStyle w:val="InternetLink"/>
                  <w:rFonts w:ascii="Arial;sans-serif" w:hAnsi="Arial;sans-serif"/>
                  <w:b/>
                  <w:i/>
                  <w:strike w:val="false"/>
                  <w:dstrike w:val="false"/>
                  <w:color w:val="C02026"/>
                  <w:sz w:val="20"/>
                  <w:u w:val="none"/>
                  <w:effect w:val="non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06">
              <w:r>
                <w:rPr>
                  <w:rStyle w:val="InternetLink"/>
                  <w:rFonts w:ascii="Arial;sans-serif" w:hAnsi="Arial;sans-serif"/>
                  <w:b w:val="false"/>
                  <w:strike w:val="false"/>
                  <w:dstrike w:val="false"/>
                  <w:color w:val="000000"/>
                  <w:sz w:val="20"/>
                  <w:u w:val="none"/>
                  <w:effect w:val="none"/>
                </w:rPr>
                <w:t>43</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09">
              <w:r>
                <w:rPr>
                  <w:rStyle w:val="InternetLink"/>
                  <w:rFonts w:ascii="Arial;sans-serif" w:hAnsi="Arial;sans-serif"/>
                  <w:b/>
                  <w:strike w:val="false"/>
                  <w:dstrike w:val="false"/>
                  <w:color w:val="000000"/>
                  <w:sz w:val="20"/>
                  <w:u w:val="none"/>
                  <w:effect w:val="none"/>
                </w:rPr>
                <w:t>PART II.</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09">
              <w:r>
                <w:rPr>
                  <w:rStyle w:val="InternetLink"/>
                  <w:rFonts w:ascii="Arial;sans-serif" w:hAnsi="Arial;sans-serif"/>
                  <w:b/>
                  <w:strike w:val="false"/>
                  <w:dstrike w:val="false"/>
                  <w:color w:val="000000"/>
                  <w:sz w:val="20"/>
                  <w:u w:val="none"/>
                  <w:effect w:val="non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12">
              <w:r>
                <w:rPr>
                  <w:rStyle w:val="InternetLink"/>
                  <w:rFonts w:ascii="Arial;sans-serif" w:hAnsi="Arial;sans-serif"/>
                  <w:b/>
                  <w:i/>
                  <w:strike w:val="false"/>
                  <w:dstrike w:val="false"/>
                  <w:color w:val="C02026"/>
                  <w:sz w:val="20"/>
                  <w:u w:val="none"/>
                  <w:effect w:val="none"/>
                </w:rPr>
                <w:t>Item 1.</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12">
              <w:r>
                <w:rPr>
                  <w:rStyle w:val="InternetLink"/>
                  <w:rFonts w:ascii="Arial;sans-serif" w:hAnsi="Arial;sans-serif"/>
                  <w:b/>
                  <w:i/>
                  <w:strike w:val="false"/>
                  <w:dstrike w:val="false"/>
                  <w:color w:val="C02026"/>
                  <w:sz w:val="20"/>
                  <w:u w:val="none"/>
                  <w:effect w:val="non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12">
              <w:r>
                <w:rPr>
                  <w:rStyle w:val="InternetLink"/>
                  <w:rFonts w:ascii="Arial;sans-serif" w:hAnsi="Arial;sans-serif"/>
                  <w:b w:val="false"/>
                  <w:strike w:val="false"/>
                  <w:dstrike w:val="false"/>
                  <w:color w:val="000000"/>
                  <w:sz w:val="20"/>
                  <w:u w:val="none"/>
                  <w:effect w:val="none"/>
                </w:rPr>
                <w:t>44</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15">
              <w:r>
                <w:rPr>
                  <w:rStyle w:val="InternetLink"/>
                  <w:rFonts w:ascii="Arial;sans-serif" w:hAnsi="Arial;sans-serif"/>
                  <w:b/>
                  <w:i/>
                  <w:strike w:val="false"/>
                  <w:dstrike w:val="false"/>
                  <w:color w:val="C02026"/>
                  <w:sz w:val="20"/>
                  <w:u w:val="none"/>
                  <w:effect w:val="none"/>
                </w:rPr>
                <w:t>Item 1A.</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15">
              <w:r>
                <w:rPr>
                  <w:rStyle w:val="InternetLink"/>
                  <w:rFonts w:ascii="Arial;sans-serif" w:hAnsi="Arial;sans-serif"/>
                  <w:b/>
                  <w:i/>
                  <w:strike w:val="false"/>
                  <w:dstrike w:val="false"/>
                  <w:color w:val="C02026"/>
                  <w:sz w:val="20"/>
                  <w:u w:val="none"/>
                  <w:effect w:val="non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15">
              <w:r>
                <w:rPr>
                  <w:rStyle w:val="InternetLink"/>
                  <w:rFonts w:ascii="Arial;sans-serif" w:hAnsi="Arial;sans-serif"/>
                  <w:b w:val="false"/>
                  <w:strike w:val="false"/>
                  <w:dstrike w:val="false"/>
                  <w:color w:val="000000"/>
                  <w:sz w:val="20"/>
                  <w:u w:val="none"/>
                  <w:effect w:val="none"/>
                </w:rPr>
                <w:t>44</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18">
              <w:r>
                <w:rPr>
                  <w:rStyle w:val="InternetLink"/>
                  <w:rFonts w:ascii="Arial;sans-serif" w:hAnsi="Arial;sans-serif"/>
                  <w:b/>
                  <w:i/>
                  <w:strike w:val="false"/>
                  <w:dstrike w:val="false"/>
                  <w:color w:val="C02026"/>
                  <w:sz w:val="20"/>
                  <w:u w:val="none"/>
                  <w:effect w:val="none"/>
                </w:rPr>
                <w:t>Item 2.</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18">
              <w:r>
                <w:rPr>
                  <w:rStyle w:val="InternetLink"/>
                  <w:rFonts w:ascii="Arial;sans-serif" w:hAnsi="Arial;sans-serif"/>
                  <w:b/>
                  <w:i/>
                  <w:strike w:val="false"/>
                  <w:dstrike w:val="false"/>
                  <w:color w:val="C02026"/>
                  <w:sz w:val="20"/>
                  <w:u w:val="none"/>
                  <w:effect w:val="none"/>
                </w:rPr>
                <w:t>Unregistered Sales of Equity Securities and Use of Proceeds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18">
              <w:r>
                <w:rPr>
                  <w:rStyle w:val="InternetLink"/>
                  <w:rFonts w:ascii="Arial;sans-serif" w:hAnsi="Arial;sans-serif"/>
                  <w:b w:val="false"/>
                  <w:strike w:val="false"/>
                  <w:dstrike w:val="false"/>
                  <w:color w:val="000000"/>
                  <w:sz w:val="20"/>
                  <w:u w:val="none"/>
                  <w:effect w:val="none"/>
                </w:rPr>
                <w:t>45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21">
              <w:r>
                <w:rPr>
                  <w:rStyle w:val="InternetLink"/>
                  <w:rFonts w:ascii="Arial;sans-serif" w:hAnsi="Arial;sans-serif"/>
                  <w:b/>
                  <w:i/>
                  <w:strike w:val="false"/>
                  <w:dstrike w:val="false"/>
                  <w:color w:val="C02026"/>
                  <w:sz w:val="20"/>
                  <w:u w:val="none"/>
                  <w:effect w:val="none"/>
                </w:rPr>
                <w:t>Item 3.</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21">
              <w:r>
                <w:rPr>
                  <w:rStyle w:val="InternetLink"/>
                  <w:rFonts w:ascii="Arial;sans-serif" w:hAnsi="Arial;sans-serif"/>
                  <w:b/>
                  <w:i/>
                  <w:strike w:val="false"/>
                  <w:dstrike w:val="false"/>
                  <w:color w:val="C02026"/>
                  <w:sz w:val="20"/>
                  <w:u w:val="none"/>
                  <w:effect w:val="none"/>
                </w:rPr>
                <w:t>Defaults Upon Senior Securities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21">
              <w:r>
                <w:rPr>
                  <w:rStyle w:val="InternetLink"/>
                  <w:rFonts w:ascii="Arial;sans-serif" w:hAnsi="Arial;sans-serif"/>
                  <w:b w:val="false"/>
                  <w:strike w:val="false"/>
                  <w:dstrike w:val="false"/>
                  <w:color w:val="000000"/>
                  <w:sz w:val="20"/>
                  <w:u w:val="none"/>
                  <w:effect w:val="none"/>
                </w:rPr>
                <w:t>45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24">
              <w:r>
                <w:rPr>
                  <w:rStyle w:val="InternetLink"/>
                  <w:rFonts w:ascii="Arial;sans-serif" w:hAnsi="Arial;sans-serif"/>
                  <w:b/>
                  <w:i/>
                  <w:strike w:val="false"/>
                  <w:dstrike w:val="false"/>
                  <w:color w:val="C02026"/>
                  <w:sz w:val="20"/>
                  <w:u w:val="none"/>
                  <w:effect w:val="none"/>
                </w:rPr>
                <w:t>Item 4.</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24">
              <w:r>
                <w:rPr>
                  <w:rStyle w:val="InternetLink"/>
                  <w:rFonts w:ascii="Arial;sans-serif" w:hAnsi="Arial;sans-serif"/>
                  <w:b/>
                  <w:i/>
                  <w:strike w:val="false"/>
                  <w:dstrike w:val="false"/>
                  <w:color w:val="C02026"/>
                  <w:sz w:val="20"/>
                  <w:u w:val="none"/>
                  <w:effect w:val="none"/>
                </w:rPr>
                <w:t>Mine Safety Disclosures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24">
              <w:r>
                <w:rPr>
                  <w:rStyle w:val="InternetLink"/>
                  <w:rFonts w:ascii="Arial;sans-serif" w:hAnsi="Arial;sans-serif"/>
                  <w:b w:val="false"/>
                  <w:strike w:val="false"/>
                  <w:dstrike w:val="false"/>
                  <w:color w:val="000000"/>
                  <w:sz w:val="20"/>
                  <w:u w:val="none"/>
                  <w:effect w:val="none"/>
                </w:rPr>
                <w:t>45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27">
              <w:r>
                <w:rPr>
                  <w:rStyle w:val="InternetLink"/>
                  <w:rFonts w:ascii="Arial;sans-serif" w:hAnsi="Arial;sans-serif"/>
                  <w:b/>
                  <w:i/>
                  <w:strike w:val="false"/>
                  <w:dstrike w:val="false"/>
                  <w:color w:val="C02026"/>
                  <w:sz w:val="20"/>
                  <w:u w:val="none"/>
                  <w:effect w:val="none"/>
                </w:rPr>
                <w:t>Item 5.</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27">
              <w:r>
                <w:rPr>
                  <w:rStyle w:val="InternetLink"/>
                  <w:rFonts w:ascii="Arial;sans-serif" w:hAnsi="Arial;sans-serif"/>
                  <w:b/>
                  <w:i/>
                  <w:strike w:val="false"/>
                  <w:dstrike w:val="false"/>
                  <w:color w:val="C02026"/>
                  <w:sz w:val="20"/>
                  <w:u w:val="none"/>
                  <w:effect w:val="non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27">
              <w:r>
                <w:rPr>
                  <w:rStyle w:val="InternetLink"/>
                  <w:rFonts w:ascii="Arial;sans-serif" w:hAnsi="Arial;sans-serif"/>
                  <w:b w:val="false"/>
                  <w:strike w:val="false"/>
                  <w:dstrike w:val="false"/>
                  <w:color w:val="000000"/>
                  <w:sz w:val="20"/>
                  <w:u w:val="none"/>
                  <w:effect w:val="none"/>
                </w:rPr>
                <w:t>46</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30">
              <w:r>
                <w:rPr>
                  <w:rStyle w:val="InternetLink"/>
                  <w:rFonts w:ascii="Arial;sans-serif" w:hAnsi="Arial;sans-serif"/>
                  <w:b/>
                  <w:i/>
                  <w:strike w:val="false"/>
                  <w:dstrike w:val="false"/>
                  <w:color w:val="C02026"/>
                  <w:sz w:val="20"/>
                  <w:u w:val="none"/>
                  <w:effect w:val="none"/>
                </w:rPr>
                <w:t>Item 6.</w:t>
              </w:r>
            </w:hyperlink>
          </w:p>
        </w:tc>
        <w:tc>
          <w:tcPr>
            <w:tcW w:w="87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30">
              <w:r>
                <w:rPr>
                  <w:rStyle w:val="InternetLink"/>
                  <w:rFonts w:ascii="Arial;sans-serif" w:hAnsi="Arial;sans-serif"/>
                  <w:b/>
                  <w:i/>
                  <w:strike w:val="false"/>
                  <w:dstrike w:val="false"/>
                  <w:color w:val="C02026"/>
                  <w:sz w:val="20"/>
                  <w:u w:val="none"/>
                  <w:effect w:val="none"/>
                </w:rPr>
                <w:t>Exhibits</w:t>
              </w:r>
            </w:hyperlink>
            <w:r>
              <w:rPr>
                <w:rFonts w:ascii="Arial;sans-serif" w:hAnsi="Arial;sans-serif"/>
                <w:b/>
                <w:i/>
                <w:color w:val="C02026"/>
                <w:sz w:val="20"/>
              </w:rPr>
              <w:t xml:space="preserve"> </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30">
              <w:r>
                <w:rPr>
                  <w:rStyle w:val="InternetLink"/>
                  <w:rFonts w:ascii="Arial;sans-serif" w:hAnsi="Arial;sans-serif"/>
                  <w:b w:val="false"/>
                  <w:strike w:val="false"/>
                  <w:dstrike w:val="false"/>
                  <w:color w:val="000000"/>
                  <w:sz w:val="20"/>
                  <w:u w:val="none"/>
                  <w:effect w:val="none"/>
                </w:rPr>
                <w:t>46</w:t>
              </w:r>
            </w:hyperlink>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261e45121f8149fe91e62b79bb170bb9_133">
              <w:r>
                <w:rPr>
                  <w:rStyle w:val="InternetLink"/>
                  <w:rFonts w:ascii="Arial;sans-serif" w:hAnsi="Arial;sans-serif"/>
                  <w:b/>
                  <w:i/>
                  <w:strike w:val="false"/>
                  <w:dstrike w:val="false"/>
                  <w:color w:val="000000"/>
                  <w:sz w:val="20"/>
                  <w:u w:val="none"/>
                  <w:effect w:val="none"/>
                </w:rPr>
                <w:t>SIGNATURES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1e45121f8149fe91e62b79bb170bb9_133">
              <w:r>
                <w:rPr>
                  <w:rStyle w:val="InternetLink"/>
                  <w:rFonts w:ascii="Arial;sans-serif" w:hAnsi="Arial;sans-serif"/>
                  <w:b w:val="false"/>
                  <w:strike w:val="false"/>
                  <w:dstrike w:val="false"/>
                  <w:color w:val="000000"/>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Arial;sans-serif" w:hAnsi="Arial;sans-serif"/>
          <w:b/>
          <w:color w:val="C02026"/>
          <w:sz w:val="20"/>
        </w:rPr>
      </w:pPr>
      <w:r>
        <w:rPr>
          <w:rFonts w:ascii="Arial;sans-serif" w:hAnsi="Arial;sans-serif"/>
          <w:b/>
          <w:color w:val="C02026"/>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2926"/>
        <w:gridCol w:w="2201"/>
        <w:gridCol w:w="2211"/>
        <w:gridCol w:w="109"/>
        <w:gridCol w:w="109"/>
        <w:gridCol w:w="109"/>
        <w:gridCol w:w="196"/>
        <w:gridCol w:w="751"/>
        <w:gridCol w:w="109"/>
        <w:gridCol w:w="109"/>
        <w:gridCol w:w="109"/>
        <w:gridCol w:w="109"/>
        <w:gridCol w:w="205"/>
        <w:gridCol w:w="788"/>
        <w:gridCol w:w="164"/>
      </w:tblGrid>
      <w:tr>
        <w:trPr/>
        <w:tc>
          <w:tcPr>
            <w:tcW w:w="2926"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and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Trade accounts receivable, net of allowance for credit losses of $411 and $423,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29,495 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26,837 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74,921 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78,812 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Property and equipment, net of accumulated depreciation of $9,177 and $8,830,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4,457 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148,027</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8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152,288</w:t>
            </w:r>
            <w:r>
              <w:rPr>
                <w:color w:val="000000"/>
              </w:rPr>
              <w:t>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7,991 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Customer deposits and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31,327 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31,948 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8,596 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9,021 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Contingent consideration,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48,632</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52,498</w:t>
            </w:r>
            <w:r>
              <w:rPr>
                <w:color w:val="000000"/>
              </w:rPr>
              <w:t>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Preferred stock, $0.01 par value; 5,000,000 shares authorized; no shares issued or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$0.01 par value; 20,000,000.00 shares authorized; 12,574,788 and 12,457,658 shares issued, respectively; 12,494,760 and 12,378,276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57,658 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45,087 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Treasury stock, at cost; 80,028 and 79,382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99,395</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99,790</w:t>
            </w:r>
            <w:r>
              <w:rPr>
                <w:color w:val="000000"/>
              </w:rPr>
              <w:t>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148,027</w:t>
            </w: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8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152,288</w:t>
            </w:r>
            <w:r>
              <w:rPr>
                <w:color w:val="000000"/>
              </w:rPr>
              <w:t> </w:t>
            </w:r>
          </w:p>
        </w:tc>
        <w:tc>
          <w:tcPr>
            <w:tcW w:w="16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8037" w:type="dxa"/>
        <w:jc w:val="left"/>
        <w:tblInd w:w="0" w:type="dxa"/>
        <w:tblLayout w:type="fixed"/>
        <w:tblCellMar>
          <w:top w:w="28" w:type="dxa"/>
          <w:left w:w="28" w:type="dxa"/>
          <w:bottom w:w="28" w:type="dxa"/>
          <w:right w:w="28" w:type="dxa"/>
        </w:tblCellMar>
      </w:tblPr>
      <w:tblGrid>
        <w:gridCol w:w="1653"/>
        <w:gridCol w:w="1451"/>
        <w:gridCol w:w="1456"/>
        <w:gridCol w:w="256"/>
        <w:gridCol w:w="912"/>
        <w:gridCol w:w="132"/>
        <w:gridCol w:w="132"/>
        <w:gridCol w:w="132"/>
        <w:gridCol w:w="132"/>
        <w:gridCol w:w="256"/>
        <w:gridCol w:w="912"/>
        <w:gridCol w:w="132"/>
        <w:gridCol w:w="109"/>
        <w:gridCol w:w="109"/>
        <w:gridCol w:w="109"/>
        <w:gridCol w:w="154"/>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 and per share data)</w:t>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11,056 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13,076 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12,584 </w:t>
            </w:r>
          </w:p>
        </w:tc>
        <w:tc>
          <w:tcPr>
            <w:tcW w:w="13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(loss) income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earnings before income tax expense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(loss) earnings</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(2,329)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662</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(Loss) earnings per common share:</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12,179,418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12,026,361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12,179,418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12,158,297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- 2 -</w:t>
                      </w:r>
                    </w:p>
                  </w:txbxContent>
                </v:textbox>
                <w10:wrap type="none"/>
              </v:rect>
            </w:pict>
          </mc:Fallback>
        </mc:AlternateContent>
      </w:r>
    </w:p>
    <w:p>
      <w:pPr>
        <w:pStyle w:val="TextBody"/>
        <w:bidi w:val="0"/>
        <w:spacing w:lineRule="auto" w:line="288" w:before="0" w:after="24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STATEMENTS OF COMPREHENSIVE (LOSS) EARNINGS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7376" w:type="dxa"/>
        <w:jc w:val="left"/>
        <w:tblInd w:w="0" w:type="dxa"/>
        <w:tblLayout w:type="fixed"/>
        <w:tblCellMar>
          <w:top w:w="28" w:type="dxa"/>
          <w:left w:w="28" w:type="dxa"/>
          <w:bottom w:w="28" w:type="dxa"/>
          <w:right w:w="28" w:type="dxa"/>
        </w:tblCellMar>
      </w:tblPr>
      <w:tblGrid>
        <w:gridCol w:w="1556"/>
        <w:gridCol w:w="1372"/>
        <w:gridCol w:w="1377"/>
        <w:gridCol w:w="109"/>
        <w:gridCol w:w="109"/>
        <w:gridCol w:w="109"/>
        <w:gridCol w:w="211"/>
        <w:gridCol w:w="706"/>
        <w:gridCol w:w="109"/>
        <w:gridCol w:w="109"/>
        <w:gridCol w:w="109"/>
        <w:gridCol w:w="109"/>
        <w:gridCol w:w="211"/>
        <w:gridCol w:w="481"/>
        <w:gridCol w:w="109"/>
        <w:gridCol w:w="109"/>
        <w:gridCol w:w="109"/>
        <w:gridCol w:w="109"/>
        <w:gridCol w:w="109"/>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loss on interest rate swap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(loss)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- 3 -</w:t>
                      </w:r>
                    </w:p>
                  </w:txbxContent>
                </v:textbox>
                <w10:wrap type="none"/>
              </v:rect>
            </w:pict>
          </mc:Fallback>
        </mc:AlternateContent>
      </w:r>
    </w:p>
    <w:p>
      <w:pPr>
        <w:pStyle w:val="TextBody"/>
        <w:bidi w:val="0"/>
        <w:spacing w:lineRule="auto" w:line="288" w:before="0" w:after="240"/>
        <w:jc w:val="left"/>
        <w:rPr/>
      </w:pPr>
      <w:hyperlink w:anchor="i261e45121f8149fe91e62b79bb170bb9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2472" w:type="dxa"/>
        <w:jc w:val="left"/>
        <w:tblInd w:w="0" w:type="dxa"/>
        <w:tblLayout w:type="fixed"/>
        <w:tblCellMar>
          <w:top w:w="28" w:type="dxa"/>
          <w:left w:w="28" w:type="dxa"/>
          <w:bottom w:w="28" w:type="dxa"/>
          <w:right w:w="28" w:type="dxa"/>
        </w:tblCellMar>
      </w:tblPr>
      <w:tblGrid>
        <w:gridCol w:w="744"/>
        <w:gridCol w:w="262"/>
        <w:gridCol w:w="240"/>
        <w:gridCol w:w="109"/>
        <w:gridCol w:w="109"/>
        <w:gridCol w:w="109"/>
        <w:gridCol w:w="488"/>
        <w:gridCol w:w="488"/>
        <w:gridCol w:w="216"/>
        <w:gridCol w:w="109"/>
        <w:gridCol w:w="109"/>
        <w:gridCol w:w="109"/>
        <w:gridCol w:w="198"/>
        <w:gridCol w:w="441"/>
        <w:gridCol w:w="112"/>
        <w:gridCol w:w="109"/>
        <w:gridCol w:w="109"/>
        <w:gridCol w:w="109"/>
        <w:gridCol w:w="330"/>
        <w:gridCol w:w="331"/>
        <w:gridCol w:w="216"/>
        <w:gridCol w:w="109"/>
        <w:gridCol w:w="109"/>
        <w:gridCol w:w="109"/>
        <w:gridCol w:w="196"/>
        <w:gridCol w:w="446"/>
        <w:gridCol w:w="109"/>
        <w:gridCol w:w="109"/>
        <w:gridCol w:w="109"/>
        <w:gridCol w:w="109"/>
        <w:gridCol w:w="196"/>
        <w:gridCol w:w="661"/>
        <w:gridCol w:w="109"/>
        <w:gridCol w:w="109"/>
        <w:gridCol w:w="109"/>
        <w:gridCol w:w="109"/>
        <w:gridCol w:w="196"/>
        <w:gridCol w:w="661"/>
        <w:gridCol w:w="109"/>
        <w:gridCol w:w="109"/>
        <w:gridCol w:w="109"/>
        <w:gridCol w:w="109"/>
        <w:gridCol w:w="302"/>
        <w:gridCol w:w="880"/>
        <w:gridCol w:w="169"/>
        <w:gridCol w:w="109"/>
        <w:gridCol w:w="109"/>
        <w:gridCol w:w="109"/>
        <w:gridCol w:w="340"/>
        <w:gridCol w:w="1148"/>
        <w:gridCol w:w="268"/>
      </w:tblGrid>
      <w:tr>
        <w:trPr/>
        <w:tc>
          <w:tcPr>
            <w:tcW w:w="74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17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12,457,658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79,382</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57,658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45,087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(2,137)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99,790</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(2,329)</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deferred compensation related to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134,196 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(27,365)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12,574,788</w:t>
            </w:r>
            <w:r>
              <w:rPr>
                <w:color w:val="000000"/>
              </w:rPr>
              <w:t> </w:t>
            </w:r>
          </w:p>
        </w:tc>
        <w:tc>
          <w:tcPr>
            <w:tcW w:w="2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80,028</w:t>
            </w:r>
            <w:r>
              <w:rPr>
                <w:color w:val="000000"/>
              </w:rPr>
              <w:t> </w:t>
            </w:r>
          </w:p>
        </w:tc>
        <w:tc>
          <w:tcPr>
            <w:tcW w:w="2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(947)</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58,134</w:t>
            </w: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42,758</w:t>
            </w: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(675)</w:t>
            </w:r>
          </w:p>
        </w:tc>
        <w:tc>
          <w:tcPr>
            <w:tcW w:w="16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4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99,395</w:t>
            </w:r>
            <w:r>
              <w:rPr>
                <w:color w:val="000000"/>
              </w:rPr>
              <w:t> </w:t>
            </w:r>
          </w:p>
        </w:tc>
        <w:tc>
          <w:tcPr>
            <w:tcW w:w="26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12472" w:type="dxa"/>
        <w:jc w:val="center"/>
        <w:tblInd w:w="0" w:type="dxa"/>
        <w:tblLayout w:type="fixed"/>
        <w:tblCellMar>
          <w:top w:w="28" w:type="dxa"/>
          <w:left w:w="28" w:type="dxa"/>
          <w:bottom w:w="28" w:type="dxa"/>
          <w:right w:w="28" w:type="dxa"/>
        </w:tblCellMar>
      </w:tblPr>
      <w:tblGrid>
        <w:gridCol w:w="744"/>
        <w:gridCol w:w="262"/>
        <w:gridCol w:w="240"/>
        <w:gridCol w:w="109"/>
        <w:gridCol w:w="109"/>
        <w:gridCol w:w="109"/>
        <w:gridCol w:w="488"/>
        <w:gridCol w:w="488"/>
        <w:gridCol w:w="216"/>
        <w:gridCol w:w="109"/>
        <w:gridCol w:w="109"/>
        <w:gridCol w:w="109"/>
        <w:gridCol w:w="198"/>
        <w:gridCol w:w="441"/>
        <w:gridCol w:w="112"/>
        <w:gridCol w:w="109"/>
        <w:gridCol w:w="109"/>
        <w:gridCol w:w="109"/>
        <w:gridCol w:w="330"/>
        <w:gridCol w:w="331"/>
        <w:gridCol w:w="216"/>
        <w:gridCol w:w="109"/>
        <w:gridCol w:w="109"/>
        <w:gridCol w:w="109"/>
        <w:gridCol w:w="196"/>
        <w:gridCol w:w="446"/>
        <w:gridCol w:w="109"/>
        <w:gridCol w:w="109"/>
        <w:gridCol w:w="109"/>
        <w:gridCol w:w="109"/>
        <w:gridCol w:w="196"/>
        <w:gridCol w:w="661"/>
        <w:gridCol w:w="109"/>
        <w:gridCol w:w="109"/>
        <w:gridCol w:w="109"/>
        <w:gridCol w:w="109"/>
        <w:gridCol w:w="196"/>
        <w:gridCol w:w="661"/>
        <w:gridCol w:w="109"/>
        <w:gridCol w:w="109"/>
        <w:gridCol w:w="109"/>
        <w:gridCol w:w="109"/>
        <w:gridCol w:w="357"/>
        <w:gridCol w:w="794"/>
        <w:gridCol w:w="200"/>
        <w:gridCol w:w="109"/>
        <w:gridCol w:w="109"/>
        <w:gridCol w:w="109"/>
        <w:gridCol w:w="340"/>
        <w:gridCol w:w="1148"/>
        <w:gridCol w:w="268"/>
      </w:tblGrid>
      <w:tr>
        <w:trPr/>
        <w:tc>
          <w:tcPr>
            <w:tcW w:w="74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17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12,241,925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75,758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54,450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42,196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414</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96,281</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deferred compensation related to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shares in connection with acquisition of Alfamation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187,432 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2,086 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138,838 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Forfeitures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(11,200)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12,566,024</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78,515</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(931)</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56,954</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42,858</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311</w:t>
            </w:r>
            <w:r>
              <w:rPr>
                <w:color w:val="000000"/>
              </w:rPr>
              <w:t> </w:t>
            </w:r>
          </w:p>
        </w:tc>
        <w:tc>
          <w:tcPr>
            <w:tcW w:w="20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4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99,317</w:t>
            </w:r>
            <w:r>
              <w:rPr>
                <w:color w:val="000000"/>
              </w:rPr>
              <w:t> </w:t>
            </w:r>
          </w:p>
        </w:tc>
        <w:tc>
          <w:tcPr>
            <w:tcW w:w="26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- 4 -</w:t>
                      </w:r>
                    </w:p>
                  </w:txbxContent>
                </v:textbox>
                <w10:wrap type="none"/>
              </v:rect>
            </w:pict>
          </mc:Fallback>
        </mc:AlternateContent>
      </w:r>
    </w:p>
    <w:p>
      <w:pPr>
        <w:pStyle w:val="TextBody"/>
        <w:bidi w:val="0"/>
        <w:spacing w:lineRule="auto" w:line="288" w:before="0" w:after="240"/>
        <w:jc w:val="left"/>
        <w:rPr/>
      </w:pPr>
      <w:hyperlink w:anchor="i261e45121f8149fe91e62b79bb170bb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7779" w:type="dxa"/>
        <w:jc w:val="left"/>
        <w:tblInd w:w="0" w:type="dxa"/>
        <w:tblLayout w:type="fixed"/>
        <w:tblCellMar>
          <w:top w:w="28" w:type="dxa"/>
          <w:left w:w="28" w:type="dxa"/>
          <w:bottom w:w="28" w:type="dxa"/>
          <w:right w:w="28" w:type="dxa"/>
        </w:tblCellMar>
      </w:tblPr>
      <w:tblGrid>
        <w:gridCol w:w="2046"/>
        <w:gridCol w:w="1795"/>
        <w:gridCol w:w="1814"/>
        <w:gridCol w:w="181"/>
        <w:gridCol w:w="586"/>
        <w:gridCol w:w="109"/>
        <w:gridCol w:w="109"/>
        <w:gridCol w:w="109"/>
        <w:gridCol w:w="109"/>
        <w:gridCol w:w="181"/>
        <w:gridCol w:w="586"/>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w:t>
              <w:br/>
              <w:t>March 31,</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2024</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(loss) earnings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Adjustments to reconcile net (loss) earnings to net cash provided by operating activities: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Provision for excess and obsolete inventory</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Amortization of deferred compensation related to stock-based awards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non-cash reconciling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Changes in assets and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Trade accounts receivable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current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Customer deposits and deferred revenue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revenue, net of current portion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Accrued expenses and other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provided by operating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5,535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2,075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Acquisition of business, net of cash acquired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Purchases of property and equipment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investing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(19,244)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Repayments of short-term borrowings, net of proceeds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Repayments of long-term debt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stock options exercised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shares sold under Employee Stock Purchase Plan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Settlement of employee tax liabilities in connection with treasury stock transaction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financing activities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(3,406)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(874)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Effects of exchange rates on cash</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provided by (used in) all activities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(17,929)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at beginning of period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22,048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27,331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payments for:</w:t>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Interest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SUPPLEMENTAL DISCLOSURE OF NON-CASH INVESTING AND FINANCING ACTIVITIES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Equity issued in conjunction with acquisition of business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unvested shares of restricted stock</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Forfeiture of unvested restricted stock</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rPr>
      </w:pPr>
      <w:r>
        <w:rPr>
          <w:rFonts w:ascii="Arial;sans-serif" w:hAnsi="Arial;sans-serif"/>
          <w:b/>
          <w:color w:val="C02026"/>
          <w:sz w:val="20"/>
        </w:rPr>
        <w:t>(1)    NATURE OF OPERATIONS</w:t>
      </w:r>
    </w:p>
    <w:p>
      <w:pPr>
        <w:pStyle w:val="TextBody"/>
        <w:bidi w:val="0"/>
        <w:spacing w:lineRule="auto" w:line="288" w:before="0" w:after="200"/>
        <w:jc w:val="left"/>
        <w:rPr/>
      </w:pPr>
      <w:r>
        <w:rPr>
          <w:rFonts w:ascii="Arial;sans-serif" w:hAnsi="Arial;sans-serif"/>
          <w:b w:val="false"/>
          <w:color w:val="000000"/>
          <w:sz w:val="20"/>
        </w:rPr>
        <w:t>InTest Corporation (“</w:t>
      </w:r>
      <w:r>
        <w:rPr>
          <w:rFonts w:ascii="Arial;sans-serif" w:hAnsi="Arial;sans-serif"/>
          <w:b/>
          <w:color w:val="000000"/>
          <w:sz w:val="20"/>
          <w:u w:val="single"/>
        </w:rPr>
        <w:t>InTest,</w:t>
      </w:r>
      <w:r>
        <w:rPr>
          <w:color w:val="000000"/>
        </w:rPr>
        <w:t>” “</w:t>
      </w:r>
      <w:r>
        <w:rPr>
          <w:rFonts w:ascii="Arial;sans-serif" w:hAnsi="Arial;sans-serif"/>
          <w:b/>
          <w:color w:val="000000"/>
          <w:sz w:val="20"/>
          <w:u w:val="single"/>
        </w:rPr>
        <w:t>we</w:t>
      </w:r>
      <w:r>
        <w:rPr>
          <w:rFonts w:ascii="Arial;sans-serif" w:hAnsi="Arial;sans-serif"/>
          <w:b w:val="false"/>
          <w:color w:val="000000"/>
          <w:sz w:val="20"/>
        </w:rPr>
        <w:t>,” “</w:t>
      </w:r>
      <w:r>
        <w:rPr>
          <w:rFonts w:ascii="Arial;sans-serif" w:hAnsi="Arial;sans-serif"/>
          <w:b/>
          <w:color w:val="000000"/>
          <w:sz w:val="20"/>
          <w:u w:val="single"/>
        </w:rPr>
        <w:t>our</w:t>
      </w:r>
      <w:r>
        <w:rPr>
          <w:rFonts w:ascii="Arial;sans-serif" w:hAnsi="Arial;sans-serif"/>
          <w:b w:val="false"/>
          <w:color w:val="000000"/>
          <w:sz w:val="20"/>
        </w:rPr>
        <w:t>,” “</w:t>
      </w:r>
      <w:r>
        <w:rPr>
          <w:rFonts w:ascii="Arial;sans-serif" w:hAnsi="Arial;sans-serif"/>
          <w:b/>
          <w:color w:val="000000"/>
          <w:sz w:val="20"/>
          <w:u w:val="single"/>
        </w:rPr>
        <w:t>us</w:t>
      </w:r>
      <w:r>
        <w:rPr>
          <w:color w:val="000000"/>
        </w:rPr>
        <w:t xml:space="preserve">” </w:t>
      </w:r>
      <w:r>
        <w:rPr>
          <w:rFonts w:ascii="Arial;sans-serif" w:hAnsi="Arial;sans-serif"/>
          <w:b w:val="false"/>
          <w:color w:val="000000"/>
          <w:sz w:val="20"/>
        </w:rPr>
        <w:t>and the “</w:t>
      </w:r>
      <w:r>
        <w:rPr>
          <w:rFonts w:ascii="Arial;sans-serif" w:hAnsi="Arial;sans-serif"/>
          <w:b/>
          <w:color w:val="000000"/>
          <w:sz w:val="20"/>
          <w:u w:val="single"/>
        </w:rPr>
        <w:t>Company</w:t>
      </w:r>
      <w:r>
        <w:rPr>
          <w:color w:val="000000"/>
        </w:rPr>
        <w:t>”</w:t>
      </w:r>
      <w:r>
        <w:rPr>
          <w:rFonts w:ascii="Arial;sans-serif" w:hAnsi="Arial;sans-serif"/>
          <w:b w:val="false"/>
          <w:color w:val="000000"/>
          <w:sz w:val="20"/>
        </w:rPr>
        <w:t>), a Delaware corporation headquartered in Mount Laurel, New Jersey,</w:t>
      </w:r>
      <w:r>
        <w:rPr>
          <w:color w:val="000000"/>
        </w:rPr>
        <w:t xml:space="preserve"> </w:t>
      </w:r>
      <w:r>
        <w:rPr>
          <w:rFonts w:ascii="Arial;sans-serif" w:hAnsi="Arial;sans-serif"/>
          <w:b w:val="false"/>
          <w:color w:val="000000"/>
          <w:sz w:val="20"/>
        </w:rPr>
        <w:t>is a global supplier of innovative test and process technology solutions for use in manufacturing and testing across a wide range of markets including semiconductors (“</w:t>
      </w:r>
      <w:r>
        <w:rPr>
          <w:rFonts w:ascii="Arial;sans-serif" w:hAnsi="Arial;sans-serif"/>
          <w:b/>
          <w:color w:val="000000"/>
          <w:sz w:val="20"/>
          <w:u w:val="single"/>
        </w:rPr>
        <w:t>semi</w:t>
      </w:r>
      <w:r>
        <w:rPr>
          <w:color w:val="000000"/>
        </w:rPr>
        <w:t>”</w:t>
      </w:r>
      <w:r>
        <w:rPr>
          <w:rFonts w:ascii="Arial;sans-serif" w:hAnsi="Arial;sans-serif"/>
          <w:b w:val="false"/>
          <w:color w:val="000000"/>
          <w:sz w:val="20"/>
        </w:rPr>
        <w:t>), auto/EV, defense/aerospace, industrial, life sciences, safety/security and other. We have three operating segments which are also our reportable segments and reporting units: Electronic Test, Environmental Technologies and Process Technologies.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consolidated entity is comprised of InTest Corporation and our wholly-owned subsidiaries. We manufacture our products in the U.S., Canada, Italy and the Netherlands. Marketing and support activities are conducted worldwide from our facilities in the U.S., Canada, Italy, Germany, Singapore, the Netherlands and the U.K. We operate our business worldwide and sell our products both domestically and internationally.</w:t>
      </w:r>
    </w:p>
    <w:p>
      <w:pPr>
        <w:pStyle w:val="TextBody"/>
        <w:bidi w:val="0"/>
        <w:spacing w:lineRule="auto" w:line="288" w:before="0" w:after="200"/>
        <w:jc w:val="left"/>
        <w:rPr/>
      </w:pPr>
      <w:r>
        <w:rPr>
          <w:rFonts w:ascii="Arial;sans-serif" w:hAnsi="Arial;sans-serif"/>
          <w:b w:val="false"/>
          <w:color w:val="000000"/>
          <w:sz w:val="20"/>
        </w:rPr>
        <w:t>Founded in 1981, we completed our initial public offering in June 1997 and currently trade on the NYSE American exchange under the symbol “</w:t>
      </w:r>
      <w:r>
        <w:rPr>
          <w:rFonts w:ascii="Arial;sans-serif" w:hAnsi="Arial;sans-serif"/>
          <w:b/>
          <w:color w:val="000000"/>
          <w:sz w:val="20"/>
          <w:u w:val="single"/>
        </w:rPr>
        <w:t>INTT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pStyle w:val="TextBody"/>
        <w:bidi w:val="0"/>
        <w:spacing w:lineRule="auto" w:line="288" w:before="0" w:after="200"/>
        <w:jc w:val="left"/>
        <w:rPr/>
      </w:pPr>
      <w:r>
        <w:rPr>
          <w:rFonts w:ascii="Arial;sans-serif" w:hAnsi="Arial;sans-serif"/>
          <w:b w:val="false"/>
          <w:color w:val="000000"/>
          <w:sz w:val="20"/>
        </w:rPr>
        <w:t>The semiconductor market, which includes both the broader semiconductor market, as well as the more specialized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pPr>
      <w:r>
        <w:rPr>
          <w:rFonts w:ascii="Arial;sans-serif" w:hAnsi="Arial;sans-serif"/>
          <w:b w:val="false"/>
          <w:color w:val="000000"/>
          <w:sz w:val="20"/>
        </w:rPr>
        <w:t>Our Electronic Test segment sells its products to semiconductor manufacturers and third-party test and assembly houses (end user sales) and to ATE manufacturers (original equipment manufacturer (“</w:t>
      </w:r>
      <w:r>
        <w:rPr>
          <w:rFonts w:ascii="Arial;sans-serif" w:hAnsi="Arial;sans-serif"/>
          <w:b/>
          <w:color w:val="000000"/>
          <w:sz w:val="20"/>
          <w:u w:val="single"/>
        </w:rPr>
        <w:t>OEM</w:t>
      </w:r>
      <w:r>
        <w:rPr>
          <w:color w:val="000000"/>
        </w:rPr>
        <w:t>”</w:t>
      </w:r>
      <w:r>
        <w:rPr>
          <w:rFonts w:ascii="Arial;sans-serif" w:hAnsi="Arial;sans-serif"/>
          <w:b w:val="false"/>
          <w:color w:val="000000"/>
          <w:sz w:val="20"/>
        </w:rPr>
        <w:t>) sales), who ultimately resell our equipment with theirs to both semiconductor manufacturers and third-party test and assembly houses. These sales all fall within the ATE sector of the semi market. With the December 2021 acquisition of Acculogic Inc. and its affiliates (“</w:t>
      </w:r>
      <w:r>
        <w:rPr>
          <w:rFonts w:ascii="Arial;sans-serif" w:hAnsi="Arial;sans-serif"/>
          <w:b/>
          <w:color w:val="000000"/>
          <w:sz w:val="20"/>
          <w:u w:val="single"/>
        </w:rPr>
        <w:t>Acculogic</w:t>
      </w:r>
      <w:r>
        <w:rPr>
          <w:color w:val="000000"/>
        </w:rPr>
        <w:t>”</w:t>
      </w:r>
      <w:r>
        <w:rPr>
          <w:rFonts w:ascii="Arial;sans-serif" w:hAnsi="Arial;sans-serif"/>
          <w:b w:val="false"/>
          <w:color w:val="000000"/>
          <w:sz w:val="20"/>
        </w:rPr>
        <w:t>) and the March 2024 acquisition of Alfamation S.p.A (“</w:t>
      </w:r>
      <w:r>
        <w:rPr>
          <w:rFonts w:ascii="Arial;sans-serif" w:hAnsi="Arial;sans-serif"/>
          <w:b/>
          <w:color w:val="000000"/>
          <w:sz w:val="20"/>
        </w:rPr>
        <w:t>Alfamation™</w:t>
      </w:r>
      <w:r>
        <w:rPr>
          <w:color w:val="000000"/>
        </w:rPr>
        <w:t>”</w:t>
      </w:r>
      <w:r>
        <w:rPr>
          <w:rFonts w:ascii="Arial;sans-serif" w:hAnsi="Arial;sans-serif"/>
          <w:b w:val="false"/>
          <w:color w:val="000000"/>
          <w:sz w:val="20"/>
        </w:rPr>
        <w:t>), our Electronic Test segment also sells its products to customers in markets outside the semi market including the auto/EV,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auto/EV,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auto/EV, defense/aerospace, industrial, life sciences and safety/security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(a) Basis of Presentation and Use of Estimates</w:t>
      </w:r>
    </w:p>
    <w:p>
      <w:pPr>
        <w:pStyle w:val="TextBody"/>
        <w:bidi w:val="0"/>
        <w:spacing w:lineRule="auto" w:line="288" w:before="0" w:after="200"/>
        <w:jc w:val="left"/>
        <w:rPr/>
      </w:pPr>
      <w:r>
        <w:rPr>
          <w:rFonts w:ascii="Arial;sans-serif" w:hAnsi="Arial;sans-serif"/>
          <w:b w:val="false"/>
          <w:color w:val="000000"/>
          <w:sz w:val="20"/>
        </w:rPr>
        <w:t>The accompanying consolidated financial statements include our accounts and those of our wholly-owned subsidiaries. All intercompany accounts and transactions have been eliminated upon consolidation. The preparation of financial statements in conformity with accounting principles generally accepted in the United States of America (“</w:t>
      </w:r>
      <w:r>
        <w:rPr>
          <w:rFonts w:ascii="Arial;sans-serif" w:hAnsi="Arial;sans-serif"/>
          <w:b/>
          <w:color w:val="000000"/>
          <w:sz w:val="20"/>
          <w:u w:val="single"/>
        </w:rPr>
        <w:t>U.S. GAAP</w:t>
      </w:r>
      <w:r>
        <w:rPr>
          <w:color w:val="000000"/>
        </w:rPr>
        <w:t>”</w:t>
      </w:r>
      <w:r>
        <w:rPr>
          <w:rFonts w:ascii="Arial;sans-serif" w:hAnsi="Arial;sans-serif"/>
          <w:b w:val="false"/>
          <w:color w:val="000000"/>
          <w:sz w:val="20"/>
        </w:rPr>
        <w:t>)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pStyle w:val="TextBody"/>
        <w:bidi w:val="0"/>
        <w:spacing w:lineRule="auto" w:line="288" w:before="0" w:after="200"/>
        <w:jc w:val="left"/>
        <w:rPr/>
      </w:pPr>
      <w:r>
        <w:rPr>
          <w:rFonts w:ascii="Arial;sans-serif" w:hAnsi="Arial;sans-serif"/>
          <w:b w:val="false"/>
          <w:color w:val="000000"/>
          <w:sz w:val="20"/>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2024 (the “</w:t>
      </w:r>
      <w:r>
        <w:rPr>
          <w:rFonts w:ascii="Arial;sans-serif" w:hAnsi="Arial;sans-serif"/>
          <w:b/>
          <w:color w:val="000000"/>
          <w:sz w:val="20"/>
          <w:u w:val="single"/>
        </w:rPr>
        <w:t>2024 Form 10-K</w:t>
      </w:r>
      <w:r>
        <w:rPr>
          <w:color w:val="000000"/>
        </w:rPr>
        <w:t>”</w:t>
      </w:r>
      <w:r>
        <w:rPr>
          <w:rFonts w:ascii="Arial;sans-serif" w:hAnsi="Arial;sans-serif"/>
          <w:b w:val="false"/>
          <w:color w:val="000000"/>
          <w:sz w:val="20"/>
        </w:rPr>
        <w:t>) filed on March 13, 2025, with the Securities and Exchange Commission (“</w:t>
      </w:r>
      <w:r>
        <w:rPr>
          <w:rFonts w:ascii="Arial;sans-serif" w:hAnsi="Arial;sans-serif"/>
          <w:b/>
          <w:color w:val="000000"/>
          <w:sz w:val="20"/>
          <w:u w:val="single"/>
        </w:rPr>
        <w:t>SEC</w:t>
      </w:r>
      <w:r>
        <w:rPr>
          <w:color w:val="000000"/>
        </w:rPr>
        <w:t>”</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(b) Reclassifications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Certain prior period presentation and amounts have been reclassified to conform with the current period’s presentation. These consist of:</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the components of property and equipment on the face of the consolidated balance sheets and disclosing the details in the footnotes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accrued wages and benefits, accrued professional fees, accrued sales commissions and other current liabilities into accrued expenses and other current liabilities on the face of the consolidated balance sheets and disclosing the details in the footnotes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our restricted certificates of deposit into other assets on the face of the consolidated balance sheets and disclosing the details in the footnotes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disaggregating amortization of acquired intangible assets from general and administrative expenses on the face of our consolidated statements of operations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foreign exchange (gain) loss, discount on shares sold under Employee Stock Purchase Plan, proceeds from sales of demonstration equipment, net of gain, into other non-cash reconciling items within adjustments to reconcile net (loss) earnings to cash provided by operating activities on the consolidated statements of cash flows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accrued wages and benefits, accrued professional fees, accrued sales commissions, other current liabilities and other liabilities into accrued and other liabilities within changes in assets and liabilities for cash flows from operating activities on the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 Business Combinations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statements of operations in the period of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(3) Acquisition</w:t>
      </w:r>
      <w:r>
        <w:rPr>
          <w:color w:val="000000"/>
        </w:rPr>
        <w:t xml:space="preserve">” </w:t>
      </w:r>
      <w:r>
        <w:rPr>
          <w:rFonts w:ascii="Arial;sans-serif" w:hAnsi="Arial;sans-serif"/>
          <w:b w:val="false"/>
          <w:color w:val="000000"/>
          <w:sz w:val="20"/>
        </w:rPr>
        <w:t>for further disclosures related to our March 12, 2024, purchase of Alfamation S.p.A.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(d) Cash &amp; Cash Equivalents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Periodically we have restricted cash which represents amounts deposited at our banks to support bank guarantees which certain of our customers require as a condition of paying large deposits on orders they place with us. Typically, the amount of the deposit and related guarantee declines as shipments are made against the order. At March 31, 2025, and December 31, 2024, we had no amounts classified as restricted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(e) Trade Accounts Receivable and Allowance for Credit Losses</w:t>
      </w:r>
    </w:p>
    <w:p>
      <w:pPr>
        <w:pStyle w:val="TextBody"/>
        <w:bidi w:val="0"/>
        <w:spacing w:lineRule="auto" w:line="288" w:before="0" w:after="200"/>
        <w:jc w:val="left"/>
        <w:rPr/>
      </w:pPr>
      <w:r>
        <w:rPr>
          <w:rFonts w:ascii="Arial;sans-serif" w:hAnsi="Arial;sans-serif"/>
          <w:b w:val="false"/>
          <w:color w:val="000000"/>
          <w:sz w:val="20"/>
        </w:rPr>
        <w:t>Trade accounts receivable are recorded at the invoiced amount and do not bear interest. We grant credit to customers and generally require no collateral. To minimize our risk, we perform ongoing credit evaluations of our customers’ financial condition. We follow the guidance in Accounting Standards Codification (“</w:t>
      </w:r>
      <w:r>
        <w:rPr>
          <w:rFonts w:ascii="Arial;sans-serif" w:hAnsi="Arial;sans-serif"/>
          <w:b/>
          <w:color w:val="000000"/>
          <w:sz w:val="20"/>
          <w:u w:val="single"/>
        </w:rPr>
        <w:t>ASC</w:t>
      </w:r>
      <w:r>
        <w:rPr>
          <w:color w:val="000000"/>
        </w:rPr>
        <w:t>”</w:t>
      </w:r>
      <w:r>
        <w:rPr>
          <w:rFonts w:ascii="Arial;sans-serif" w:hAnsi="Arial;sans-serif"/>
          <w:b w:val="false"/>
          <w:color w:val="000000"/>
          <w:sz w:val="20"/>
        </w:rPr>
        <w:t xml:space="preserve">) Topic 326 - </w:t>
      </w:r>
      <w:r>
        <w:rPr>
          <w:rFonts w:ascii="Arial;sans-serif" w:hAnsi="Arial;sans-serif"/>
          <w:b w:val="false"/>
          <w:i/>
          <w:color w:val="000000"/>
          <w:sz w:val="20"/>
        </w:rPr>
        <w:t>Financial Instruments – Credit Losses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326</w:t>
      </w:r>
      <w:r>
        <w:rPr>
          <w:color w:val="000000"/>
        </w:rPr>
        <w:t>”</w:t>
      </w:r>
      <w:r>
        <w:rPr>
          <w:rFonts w:ascii="Arial;sans-serif" w:hAnsi="Arial;sans-serif"/>
          <w:b w:val="false"/>
          <w:color w:val="000000"/>
          <w:sz w:val="20"/>
        </w:rPr>
        <w:t>)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risk of loss and any other factors of which we are aware, that we believe could impact the ultimate collectability of the related receivables in future periods.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Account balances are charged off against the allowance after all means of collection have been exhausted and the potential for recovery is considered remote. We do not have any significant off-balance sheet credit exposure related to our customers. Cash flows from accounts receivable are recorded in operating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(f)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Inventories are valued at cost on a first-in, first-out basis, not in excess of net realizable value, except inventory acquired in a business combination, which is recorded at fair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(g) Property and Equipment</w:t>
      </w:r>
    </w:p>
    <w:p>
      <w:pPr>
        <w:pStyle w:val="TextBody"/>
        <w:bidi w:val="0"/>
        <w:spacing w:lineRule="auto" w:line="288" w:before="0" w:after="200"/>
        <w:jc w:val="left"/>
        <w:rPr/>
      </w:pPr>
      <w:r>
        <w:rPr>
          <w:rFonts w:ascii="Arial;sans-serif" w:hAnsi="Arial;sans-serif"/>
          <w:b w:val="false"/>
          <w:color w:val="000000"/>
          <w:sz w:val="20"/>
        </w:rPr>
        <w:t>Our property and equipment caption includes machinery, equipment and leasehold improvements which are stated at cost, except for machinery and equipment acquired in a business combination, which are stated at fair value at the time of acquisition. As disclosed in “</w:t>
      </w:r>
      <w:r>
        <w:rPr>
          <w:rFonts w:ascii="Arial;sans-serif" w:hAnsi="Arial;sans-serif"/>
          <w:b/>
          <w:color w:val="000000"/>
          <w:sz w:val="20"/>
        </w:rPr>
        <w:t>(h) Goodwill, Intangible and Long-Lived Assets</w:t>
      </w:r>
      <w:r>
        <w:rPr>
          <w:rFonts w:ascii="Arial;sans-serif" w:hAnsi="Arial;sans-serif"/>
          <w:b w:val="false"/>
          <w:color w:val="000000"/>
          <w:sz w:val="20"/>
        </w:rPr>
        <w:t>,” machinery and equipment that has been determined to be impaired is written down to its fair value at the time of the impairment. Depreciation for machinery and equipment is based upon the estimated useful life of the assets using the straight-line method. The estimated useful lives range from one to ten years. Leasehold improvements are recorded at cost and amortized over the shorter of the lease term or the estimated useful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(h) Goodwill, Intangible and Long-Lived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three reportable segments which are also our reporting units: Electronic Test, Environmental Technologies and Process Technologies.</w:t>
      </w:r>
    </w:p>
    <w:p>
      <w:pPr>
        <w:pStyle w:val="TextBody"/>
        <w:bidi w:val="0"/>
        <w:spacing w:lineRule="auto" w:line="288" w:before="0" w:after="200"/>
        <w:jc w:val="left"/>
        <w:rPr/>
      </w:pPr>
      <w:r>
        <w:rPr>
          <w:rFonts w:ascii="Arial;sans-serif" w:hAnsi="Arial;sans-serif"/>
          <w:b w:val="false"/>
          <w:color w:val="000000"/>
          <w:sz w:val="20"/>
        </w:rPr>
        <w:t xml:space="preserve">We account for goodwill and intangible assets in accordance with ASC Topic 350 - </w:t>
      </w:r>
      <w:r>
        <w:rPr>
          <w:rFonts w:ascii="Arial;sans-serif" w:hAnsi="Arial;sans-serif"/>
          <w:b w:val="false"/>
          <w:i/>
          <w:color w:val="000000"/>
          <w:sz w:val="20"/>
        </w:rPr>
        <w:t xml:space="preserve">Intangibles - Goodwill and Other </w:t>
      </w:r>
      <w:r>
        <w:rPr>
          <w:rFonts w:ascii="Arial;sans-serif" w:hAnsi="Arial;sans-serif"/>
          <w:b w:val="false"/>
          <w:color w:val="000000"/>
          <w:sz w:val="20"/>
        </w:rPr>
        <w:t>(“</w:t>
      </w:r>
      <w:r>
        <w:rPr>
          <w:rFonts w:ascii="Arial;sans-serif" w:hAnsi="Arial;sans-serif"/>
          <w:b/>
          <w:color w:val="000000"/>
          <w:sz w:val="20"/>
          <w:u w:val="single"/>
        </w:rPr>
        <w:t>ASC 350</w:t>
      </w:r>
      <w:r>
        <w:rPr>
          <w:color w:val="000000"/>
        </w:rPr>
        <w:t>”</w:t>
      </w:r>
      <w:r>
        <w:rPr>
          <w:rFonts w:ascii="Arial;sans-serif" w:hAnsi="Arial;sans-serif"/>
          <w:b w:val="false"/>
          <w:color w:val="000000"/>
          <w:sz w:val="20"/>
        </w:rPr>
        <w:t xml:space="preserve">).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pStyle w:val="TextBody"/>
        <w:bidi w:val="0"/>
        <w:spacing w:lineRule="auto" w:line="288" w:before="0" w:after="200"/>
        <w:jc w:val="left"/>
        <w:rPr/>
      </w:pPr>
      <w:r>
        <w:rPr>
          <w:rFonts w:ascii="Arial;sans-serif" w:hAnsi="Arial;sans-serif"/>
          <w:b w:val="false"/>
          <w:color w:val="000000"/>
          <w:sz w:val="20"/>
        </w:rPr>
        <w:t>Long-lived assets, which consist of finite-lived intangible assets, property and equipment and right-of-use (“</w:t>
      </w:r>
      <w:r>
        <w:rPr>
          <w:rFonts w:ascii="Arial;sans-serif" w:hAnsi="Arial;sans-serif"/>
          <w:b/>
          <w:color w:val="000000"/>
          <w:sz w:val="20"/>
          <w:u w:val="single"/>
        </w:rPr>
        <w:t>ROU</w:t>
      </w:r>
      <w:r>
        <w:rPr>
          <w:color w:val="000000"/>
        </w:rPr>
        <w:t>”</w:t>
      </w:r>
      <w:r>
        <w:rPr>
          <w:rFonts w:ascii="Arial;sans-serif" w:hAnsi="Arial;sans-serif"/>
          <w:b w:val="false"/>
          <w:color w:val="000000"/>
          <w:sz w:val="20"/>
        </w:rPr>
        <w:t>)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(i) Fair Value of Financial Instruments</w:t>
      </w:r>
    </w:p>
    <w:p>
      <w:pPr>
        <w:pStyle w:val="TextBody"/>
        <w:bidi w:val="0"/>
        <w:spacing w:lineRule="auto" w:line="288" w:before="0" w:after="200"/>
        <w:jc w:val="left"/>
        <w:rPr/>
      </w:pPr>
      <w:r>
        <w:rPr>
          <w:rFonts w:ascii="Arial;sans-serif" w:hAnsi="Arial;sans-serif"/>
          <w:b w:val="false"/>
          <w:color w:val="000000"/>
          <w:sz w:val="20"/>
        </w:rPr>
        <w:t xml:space="preserve">ASC Topic 820 -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820</w:t>
      </w:r>
      <w:r>
        <w:rPr>
          <w:color w:val="000000"/>
        </w:rPr>
        <w:t>”</w:t>
      </w:r>
      <w:r>
        <w:rPr>
          <w:rFonts w:ascii="Arial;sans-serif" w:hAnsi="Arial;sans-serif"/>
          <w:b w:val="false"/>
          <w:color w:val="000000"/>
          <w:sz w:val="20"/>
        </w:rPr>
        <w: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1: Valuations based on unadjusted quoted prices in active markets for identical assets or liabilities that we have the ability to access.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3: Valuations based on inputs that are unobservable and significant to the overall fair value measurement.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lineRule="auto" w:line="288" w:before="0" w:after="200"/>
        <w:jc w:val="left"/>
        <w:rPr/>
      </w:pPr>
      <w:r>
        <w:rPr>
          <w:rFonts w:ascii="Arial;sans-serif" w:hAnsi="Arial;sans-serif"/>
          <w:b w:val="false"/>
          <w:color w:val="000000"/>
          <w:sz w:val="20"/>
        </w:rPr>
        <w:t>Our financial instruments include cash and cash equivalents,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short-term nature of those items. Our credit facility and our interest rate swap are discussed further below and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w:t>
      </w:r>
      <w:r>
        <w:rPr>
          <w:rFonts w:ascii="Arial;sans-serif" w:hAnsi="Arial;sans-serif"/>
          <w:b/>
          <w:color w:val="000000"/>
          <w:sz w:val="20"/>
        </w:rPr>
        <w:t>Note (7) Fair Value Measurements</w:t>
      </w:r>
      <w:r>
        <w:rPr>
          <w:color w:val="000000"/>
        </w:rPr>
        <w:t xml:space="preserve">” </w:t>
      </w:r>
      <w:r>
        <w:rPr>
          <w:rFonts w:ascii="Arial;sans-serif" w:hAnsi="Arial;sans-serif"/>
          <w:b w:val="false"/>
          <w:color w:val="000000"/>
          <w:sz w:val="20"/>
        </w:rPr>
        <w:t>for further disclosures related to the fair value of our liabilities for contingent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(j) State and Local Grant Funds Received</w:t>
      </w:r>
    </w:p>
    <w:p>
      <w:pPr>
        <w:pStyle w:val="TextBody"/>
        <w:bidi w:val="0"/>
        <w:spacing w:lineRule="auto" w:line="288" w:before="0" w:after="200"/>
        <w:jc w:val="left"/>
        <w:rPr/>
      </w:pPr>
      <w:r>
        <w:rPr>
          <w:rFonts w:ascii="Arial;sans-serif" w:hAnsi="Arial;sans-serif"/>
          <w:b w:val="false"/>
          <w:color w:val="000000"/>
          <w:sz w:val="20"/>
        </w:rPr>
        <w:t>In connection with leasing a facility in Rochester, New York, which our subsidiary, Ambrell Corporation (“</w:t>
      </w:r>
      <w:r>
        <w:rPr>
          <w:rFonts w:ascii="Arial;sans-serif" w:hAnsi="Arial;sans-serif"/>
          <w:b/>
          <w:color w:val="000000"/>
          <w:sz w:val="20"/>
          <w:u w:val="single"/>
        </w:rPr>
        <w:t>Ambrell</w:t>
      </w:r>
      <w:r>
        <w:rPr>
          <w:rFonts w:ascii="Arial;sans-serif" w:hAnsi="Arial;sans-serif"/>
          <w:b/>
          <w:color w:val="000000"/>
          <w:sz w:val="13"/>
          <w:u w:val="single"/>
        </w:rPr>
        <w:t>®</w:t>
      </w:r>
      <w:r>
        <w:rPr>
          <w:color w:val="000000"/>
        </w:rPr>
        <w:t>”</w:t>
      </w:r>
      <w:r>
        <w:rPr>
          <w:rFonts w:ascii="Arial;sans-serif" w:hAnsi="Arial;sans-serif"/>
          <w:b w:val="false"/>
          <w:color w:val="000000"/>
          <w:sz w:val="20"/>
        </w:rPr>
        <w:t>), occupied in May 2018, we entered into agreements with the city of Rochester and the state of New York under which we received grants totaling $0.6 million to help offset a portion of the cost of the leasehold improvements we made to this facility. In exchange for the funds we received under these agreements, we were required to create and maintain specified levels of employment in this location through various dates ending in 2024. As of December 31, 2024, we met those employment targets as specified in the grant agreement with the city of Rochester. The remaining proceeds which were no longer subject to repayment were reclassified to deferred grant proceeds and will be amortized to income on a straight-line basis over the current remaining lease term for the Rochester facility. Deferred grant proceeds are included in other current liabilities and other liabilities on our balance sheets and totaled $0.3 million at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(k) Leases</w:t>
      </w:r>
    </w:p>
    <w:p>
      <w:pPr>
        <w:pStyle w:val="TextBody"/>
        <w:bidi w:val="0"/>
        <w:spacing w:lineRule="auto" w:line="288" w:before="0" w:after="200"/>
        <w:jc w:val="left"/>
        <w:rPr/>
      </w:pPr>
      <w:r>
        <w:rPr>
          <w:rFonts w:ascii="Arial;sans-serif" w:hAnsi="Arial;sans-serif"/>
          <w:b w:val="false"/>
          <w:color w:val="000000"/>
          <w:sz w:val="20"/>
        </w:rPr>
        <w:t>We account for leases in accordance with ASC Topic 842 -</w:t>
      </w:r>
      <w:r>
        <w:rPr>
          <w:rFonts w:ascii="Arial;sans-serif" w:hAnsi="Arial;sans-serif"/>
          <w:b w:val="false"/>
          <w:i/>
          <w:color w:val="000000"/>
          <w:sz w:val="20"/>
        </w:rPr>
        <w:t xml:space="preserve">Leases </w:t>
      </w:r>
      <w:r>
        <w:rPr>
          <w:rFonts w:ascii="Arial;sans-serif" w:hAnsi="Arial;sans-serif"/>
          <w:b w:val="false"/>
          <w:color w:val="000000"/>
          <w:sz w:val="20"/>
        </w:rPr>
        <w:t>(“</w:t>
      </w:r>
      <w:r>
        <w:rPr>
          <w:rFonts w:ascii="Arial;sans-serif" w:hAnsi="Arial;sans-serif"/>
          <w:b/>
          <w:color w:val="000000"/>
          <w:sz w:val="20"/>
          <w:u w:val="single"/>
        </w:rPr>
        <w:t>ASC 842</w:t>
      </w:r>
      <w:r>
        <w:rPr>
          <w:color w:val="000000"/>
        </w:rPr>
        <w:t>”</w:t>
      </w:r>
      <w:r>
        <w:rPr>
          <w:rFonts w:ascii="Arial;sans-serif" w:hAnsi="Arial;sans-serif"/>
          <w:b w:val="false"/>
          <w:color w:val="000000"/>
          <w:sz w:val="20"/>
        </w:rPr>
        <w:t>).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842. Operating leases are included in operating lease ROU assets and operating lease liabilities in our consolidated balance sheets. Finance leases are included in property and equipment and financing lease liabilities. We do not currently have any financing leases.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(9) Leases</w:t>
      </w:r>
      <w:r>
        <w:rPr>
          <w:color w:val="000000"/>
        </w:rPr>
        <w:t xml:space="preserve">” </w:t>
      </w:r>
      <w:r>
        <w:rPr>
          <w:rFonts w:ascii="Arial;sans-serif" w:hAnsi="Arial;sans-serif"/>
          <w:b w:val="false"/>
          <w:color w:val="000000"/>
          <w:sz w:val="20"/>
        </w:rPr>
        <w:t>for further disclosures regarding our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(l) Interest Rate Swap Agreement</w:t>
      </w:r>
    </w:p>
    <w:p>
      <w:pPr>
        <w:pStyle w:val="TextBody"/>
        <w:bidi w:val="0"/>
        <w:spacing w:lineRule="auto" w:line="288" w:before="0" w:after="200"/>
        <w:jc w:val="left"/>
        <w:rPr/>
      </w:pPr>
      <w:r>
        <w:rPr>
          <w:rFonts w:ascii="Arial;sans-serif" w:hAnsi="Arial;sans-serif"/>
          <w:b w:val="false"/>
          <w:color w:val="000000"/>
          <w:sz w:val="20"/>
        </w:rPr>
        <w:t>We are exposed to interest rate risk on our floating-rate debt. We have entered into an interest rate swap agreement to effectively convert our floating-rate debt to a fixed-rate basis for a portion of our floating rate debt, as discussed further in “</w:t>
      </w:r>
      <w:r>
        <w:rPr>
          <w:rFonts w:ascii="Arial;sans-serif" w:hAnsi="Arial;sans-serif"/>
          <w:b/>
          <w:color w:val="000000"/>
          <w:sz w:val="20"/>
        </w:rPr>
        <w:t>Note (7) Fair Value Measurements</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(10) Debt</w:t>
      </w:r>
      <w:r>
        <w:rPr>
          <w:rFonts w:ascii="Arial;sans-serif" w:hAnsi="Arial;sans-serif"/>
          <w:b w:val="false"/>
          <w:color w:val="000000"/>
          <w:sz w:val="20"/>
        </w:rPr>
        <w:t xml:space="preserve">.” The principal objective of this agreement is to eliminate the variability of the cash flows for interest payments associated with a portion of our floating-rate debt, thus reducing the impact of interest rate changes on future interest payment cash flows. We have elected to apply the hedge accounting rules in accordance with ASC Topic 815 - </w:t>
      </w:r>
      <w:r>
        <w:rPr>
          <w:rFonts w:ascii="Arial;sans-serif" w:hAnsi="Arial;sans-serif"/>
          <w:b w:val="false"/>
          <w:i/>
          <w:color w:val="000000"/>
          <w:sz w:val="20"/>
        </w:rPr>
        <w:t>Derivatives and Hedging</w:t>
      </w:r>
      <w:r>
        <w:rPr>
          <w:rFonts w:ascii="Arial;sans-serif" w:hAnsi="Arial;sans-serif"/>
          <w:b w:val="false"/>
          <w:color w:val="000000"/>
          <w:sz w:val="20"/>
        </w:rPr>
        <w:t>. Further, we have determined that this agreement qualifies for the shortcut method of hedge accounting. Our interest rate swap is recorded at fair value as a component of other assets in our balance sheets. Changes in the fair value of interest rate swap agreements designated as cash flow hedges are recorded as a component of accumulated other comprehensive income (loss) within stockholders’ equity and are amortized to interest expense over the term of the related debt. We recognize the change in the fair value of the interest rate swap as a component of the change in other assets in our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(m) Revenue Recognition</w:t>
      </w:r>
    </w:p>
    <w:p>
      <w:pPr>
        <w:pStyle w:val="TextBody"/>
        <w:bidi w:val="0"/>
        <w:spacing w:lineRule="auto" w:line="288" w:before="0" w:after="200"/>
        <w:jc w:val="left"/>
        <w:rPr/>
      </w:pPr>
      <w:r>
        <w:rPr>
          <w:rFonts w:ascii="Arial;sans-serif" w:hAnsi="Arial;sans-serif"/>
          <w:b w:val="false"/>
          <w:color w:val="000000"/>
          <w:sz w:val="20"/>
        </w:rPr>
        <w:t xml:space="preserve">We recognize revenue in accordance with the guidance in ASC Topic 606 - </w:t>
      </w:r>
      <w:r>
        <w:rPr>
          <w:rFonts w:ascii="Arial;sans-serif" w:hAnsi="Arial;sans-serif"/>
          <w:b w:val="false"/>
          <w:i/>
          <w:color w:val="000000"/>
          <w:sz w:val="20"/>
        </w:rPr>
        <w:t>Revenue from Contracts with Customers</w:t>
      </w:r>
      <w:r>
        <w:rPr>
          <w:rFonts w:ascii="Arial;sans-serif" w:hAnsi="Arial;sans-serif"/>
          <w:b w:val="false"/>
          <w:color w:val="000000"/>
          <w:sz w:val="20"/>
        </w:rPr>
        <w:t>. We recognize revenue for the sale of products or services at the amount of consideration we expect to receive for those goods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 Shipping and handling fees billed to customers are included in revenue, while shipping and handling costs are included in 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Nature of Products and Services</w:t>
      </w:r>
    </w:p>
    <w:p>
      <w:pPr>
        <w:pStyle w:val="TextBody"/>
        <w:bidi w:val="0"/>
        <w:spacing w:lineRule="auto" w:line="288" w:before="0" w:after="200"/>
        <w:jc w:val="left"/>
        <w:rPr/>
      </w:pPr>
      <w:r>
        <w:rPr>
          <w:rFonts w:ascii="Arial;sans-serif" w:hAnsi="Arial;sans-serif"/>
          <w:b w:val="false"/>
          <w:color w:val="000000"/>
          <w:sz w:val="20"/>
        </w:rPr>
        <w:t>We are a global supplier of innovative test and process technology solutions for use in manufacturing and testing in targeted markets including semi, industrial, auto/EV, life sciences, defense/aerospace and safety/security. We sell semiconductor ATE interface solutions which include manipulators, docking hardware and electrical interface products. As a result of the acquisition of Acculogic, we sell robotics-based electronic production test equipment. We sell semiconductor ATE interface solutions and certain thermal management products to the semi market. We sell thermal management products including ThermoStream</w:t>
      </w:r>
      <w:r>
        <w:rPr>
          <w:rFonts w:ascii="Arial;sans-serif" w:hAnsi="Arial;sans-serif"/>
          <w:b w:val="false"/>
          <w:color w:val="000000"/>
          <w:sz w:val="13"/>
        </w:rPr>
        <w:t>®</w:t>
      </w:r>
      <w:r>
        <w:rPr>
          <w:rFonts w:ascii="Arial;sans-serif" w:hAnsi="Arial;sans-serif"/>
          <w:b w:val="false"/>
          <w:color w:val="000000"/>
          <w:sz w:val="20"/>
        </w:rPr>
        <w:t>, ThermoChambers, process chillers, refrigerators and freezers, which we sell under our Temptronic</w:t>
      </w:r>
      <w:r>
        <w:rPr>
          <w:rFonts w:ascii="Arial;sans-serif" w:hAnsi="Arial;sans-serif"/>
          <w:b w:val="false"/>
          <w:color w:val="000000"/>
          <w:sz w:val="13"/>
        </w:rPr>
        <w:t>®</w:t>
      </w:r>
      <w:r>
        <w:rPr>
          <w:rFonts w:ascii="Arial;sans-serif" w:hAnsi="Arial;sans-serif"/>
          <w:b w:val="false"/>
          <w:color w:val="000000"/>
          <w:sz w:val="20"/>
        </w:rPr>
        <w:t>, Sigma, Thermonics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North Sciences product lines, and Ambrell</w:t>
      </w:r>
      <w:r>
        <w:rPr>
          <w:rFonts w:ascii="Arial;sans-serif" w:hAnsi="Arial;sans-serif"/>
          <w:b/>
          <w:color w:val="000000"/>
          <w:sz w:val="13"/>
        </w:rPr>
        <w:t>®</w:t>
      </w:r>
      <w:r>
        <w:rPr>
          <w:color w:val="000000"/>
        </w:rPr>
        <w:t>’</w:t>
      </w:r>
      <w:r>
        <w:rPr>
          <w:rFonts w:ascii="Arial;sans-serif" w:hAnsi="Arial;sans-serif"/>
          <w:b/>
          <w:color w:val="000000"/>
          <w:sz w:val="20"/>
        </w:rPr>
        <w:t>s</w:t>
      </w:r>
      <w:r>
        <w:rPr>
          <w:color w:val="000000"/>
        </w:rPr>
        <w:t xml:space="preserve"> </w:t>
      </w:r>
      <w:r>
        <w:rPr>
          <w:rFonts w:ascii="Arial;sans-serif" w:hAnsi="Arial;sans-serif"/>
          <w:b w:val="false"/>
          <w:color w:val="000000"/>
          <w:sz w:val="20"/>
        </w:rPr>
        <w:t>precision induction heating systems, including EKOHEAT</w:t>
      </w:r>
      <w:r>
        <w:rPr>
          <w:rFonts w:ascii="Arial;sans-serif" w:hAnsi="Arial;sans-serif"/>
          <w:b w:val="false"/>
          <w:i/>
          <w:color w:val="000000"/>
          <w:sz w:val="13"/>
        </w:rPr>
        <w:t>®</w:t>
      </w:r>
      <w:r>
        <w:rPr>
          <w:color w:val="000000"/>
        </w:rPr>
        <w:t xml:space="preserve"> </w:t>
      </w:r>
      <w:r>
        <w:rPr>
          <w:rFonts w:ascii="Arial;sans-serif" w:hAnsi="Arial;sans-serif"/>
          <w:b w:val="false"/>
          <w:color w:val="000000"/>
          <w:sz w:val="20"/>
        </w:rPr>
        <w:t>and EASYHEAT</w:t>
      </w:r>
      <w:r>
        <w:rPr>
          <w:color w:val="000000"/>
        </w:rPr>
        <w:t xml:space="preserve">™ </w:t>
      </w:r>
      <w:r>
        <w:rPr>
          <w:rFonts w:ascii="Arial;sans-serif" w:hAnsi="Arial;sans-serif"/>
          <w:b w:val="false"/>
          <w:color w:val="000000"/>
          <w:sz w:val="20"/>
        </w:rPr>
        <w:t>products. As a result of the acquisition of Videology</w:t>
      </w:r>
      <w:r>
        <w:rPr>
          <w:rFonts w:ascii="Arial;sans-serif" w:hAnsi="Arial;sans-serif"/>
          <w:b w:val="false"/>
          <w:color w:val="000000"/>
          <w:sz w:val="13"/>
        </w:rPr>
        <w:t>®</w:t>
      </w:r>
      <w:r>
        <w:rPr>
          <w:rFonts w:ascii="Arial;sans-serif" w:hAnsi="Arial;sans-serif"/>
          <w:b w:val="false"/>
          <w:color w:val="000000"/>
          <w:sz w:val="20"/>
        </w:rPr>
        <w:t>, we sell industrial-grade circuit board mounted video digital cameras and related devices, systems and software. We also sell many of our products to various other markets including the industrial, auto/EV, life sciences, defense/aerospace and safety/security markets. We provide post-warranty service and support for the equipment we sell.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lease certain of our equipment under short-term leasing agreements with original lease terms of six months or less. Our lease agreements do not contain purchase options. Occasionally we procure and sell materials/components on behalf of and to our customers.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Types of Contracts with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agreed-upon specifications. We test substantially all products manufactured as part of our quality assurance process to determine that they comply with specifications prior to shipment to a customer.</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 accounts receivable at the time of invoicing. Accounts receivable, net of the allowance for credit losses, is included in current assets on our consolidated balance sheets. In certain instances, we also receive customer deposits in advance of invoicing and recording of accounts receivable. Customer deposits are included in current liabilities on our consolidated balance sheets. To the extent that we do not recognize revenue at the same time as we invoice, we record a liability for deferred revenue. Deferred revenue estimated to be recognized within the next twelve months is included in current liabilities. Deferred revenue that we estimate will be recognized beyond twelve months is recorded in Other Liabilities on our consolidated balance sheets. Any non-inventoriable costs associated with deferred revenue are also deferred and recorded in Prepaid Expenses and Other Current Assets or Other Assets on our consolidated balance sheets, depending on when the related deferred revenue is expected to be recognized.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discussed above, we follow the guidance in ASC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Costs to Obtain a Contract with a Customer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Product Warranties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(11) Revenue From Contracts With Customers</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(18) Segment Information</w:t>
      </w:r>
      <w:r>
        <w:rPr>
          <w:color w:val="000000"/>
        </w:rPr>
        <w:t xml:space="preserve">” </w:t>
      </w:r>
      <w:r>
        <w:rPr>
          <w:rFonts w:ascii="Arial;sans-serif" w:hAnsi="Arial;sans-serif"/>
          <w:b w:val="false"/>
          <w:color w:val="000000"/>
          <w:sz w:val="20"/>
        </w:rPr>
        <w:t>for further information about our revenue from contracts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(n) Earnings (Loss) Per Common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Earnings (loss) per common share - basic is computed by dividing net earnings (loss) by the weighted average number of common shares outstanding during each period. Earnings (loss) per common share - diluted is computed by dividing earnings (loss) by the weighted average number of common shares and common share equivalents outstanding during each period. Common share equivalents represent unvested shares of restricted stock, performance-based restricted stock, restricted stock units and stock options and are calculated using the treasury stock method. Common share equivalents are excluded from the calculation if their effect is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(o) Stock-Based Compensation</w:t>
      </w:r>
    </w:p>
    <w:p>
      <w:pPr>
        <w:pStyle w:val="TextBody"/>
        <w:bidi w:val="0"/>
        <w:spacing w:lineRule="auto" w:line="288" w:before="0" w:after="200"/>
        <w:jc w:val="left"/>
        <w:rPr/>
      </w:pPr>
      <w:r>
        <w:rPr>
          <w:rFonts w:ascii="Arial;sans-serif" w:hAnsi="Arial;sans-serif"/>
          <w:b w:val="false"/>
          <w:color w:val="000000"/>
          <w:sz w:val="20"/>
        </w:rPr>
        <w:t xml:space="preserve">We account for stock-based compensation in accordance with ASC Topic 718 - </w:t>
      </w:r>
      <w:r>
        <w:rPr>
          <w:rFonts w:ascii="Arial;sans-serif" w:hAnsi="Arial;sans-serif"/>
          <w:b w:val="false"/>
          <w:i/>
          <w:color w:val="000000"/>
          <w:sz w:val="20"/>
        </w:rPr>
        <w:t>Compensation—Stock Compensation</w:t>
      </w:r>
      <w:r>
        <w:rPr>
          <w:color w:val="000000"/>
        </w:rPr>
        <w:t xml:space="preserve"> </w:t>
      </w:r>
      <w:r>
        <w:rPr>
          <w:rFonts w:ascii="Arial;sans-serif" w:hAnsi="Arial;sans-serif"/>
          <w:b w:val="false"/>
          <w:color w:val="000000"/>
          <w:sz w:val="20"/>
        </w:rPr>
        <w:t>which requires that employee share-based equity awards be accounted for under the fair value method and requires the use of an option pricing model for estimating fair value of stock options, which is then amortized to expense over the service periods. We recognize forfeitures of awards as they occur, recapturing any expense recorded for unvested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fair value of our stock options on the date of grant is determined using the Black-Scholes option pricing model, which requires the use of certain assumptions, including the expected volatility of our stock price, the expected term of the option, the risk-free rate and the expected dividend yield. No option may be granted with an exercise period in excess of ten years from the date of grant. Generally, stock options will be granted with an exercise price equal to the fair market value of our stock on the date of grant and will vest over four years.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 compensation expense for restricted stock awards based on the quoted market price of our stock at the grant date and amortize the expense over the vesting period. Restricted stock awards generally vest over four years for employees. Prior to 2025, restricted stock awards granted to our independent directors vested 25% at each of March 31, June 30, September 30, and December 31 of the year in which they were granted. Beginning in 2025, restricted stock awards granted to our independent directors vest on the one-year anniversary of the grant date.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also grant performance-based restricted stock awards where the ultimate number of shares that vest can vary and is based on the achievement of specific performance metrics. The grant date fair value of these awards is based on the quoted market price of our stock on the date of grant. Vesting for performance-based awards is generally cliff vesting at the end of the period over which the performance metrics are measured. Compensation expense for performance-based awards is recorded on a straight-line basis over the vesting period and is based on the expected final vesting percentage, which is re-assessed at the end of each reporting period and adjusted with a catch-up adjusted as needed. Our initial assumption at the grant date of these performance-based awards is that the award will vest at 100%.</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as restricted stock awards vest, certain employees surrender their vested shares to satisfy their tax liability on vesting. The fair value of those shares on the vesting date are then used by us to pay those employees’ tax obligations. The shares surrendered are reported as treasury stock in our statements of stockholders’ equity.</w:t>
      </w:r>
    </w:p>
    <w:p>
      <w:pPr>
        <w:pStyle w:val="TextBody"/>
        <w:bidi w:val="0"/>
        <w:spacing w:lineRule="auto" w:line="288" w:before="0" w:after="200"/>
        <w:jc w:val="left"/>
        <w:rPr/>
      </w:pPr>
      <w:r>
        <w:rPr>
          <w:rFonts w:ascii="Arial;sans-serif" w:hAnsi="Arial;sans-serif"/>
          <w:b w:val="false"/>
          <w:color w:val="000000"/>
          <w:sz w:val="20"/>
        </w:rPr>
        <w:t>See further disclosures related to our stock-based compensation plans in “</w:t>
      </w:r>
      <w:r>
        <w:rPr>
          <w:rFonts w:ascii="Arial;sans-serif" w:hAnsi="Arial;sans-serif"/>
          <w:b/>
          <w:color w:val="000000"/>
          <w:sz w:val="20"/>
        </w:rPr>
        <w:t>Note (14) Stock-Based Compensation Plan</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(p) Foreign Currency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three months ended March 31, 2025 and 2024, our net foreign currency transaction gains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(q) Income Taxes</w:t>
      </w:r>
    </w:p>
    <w:p>
      <w:pPr>
        <w:pStyle w:val="TextBody"/>
        <w:bidi w:val="0"/>
        <w:spacing w:lineRule="auto" w:line="288" w:before="0" w:after="200"/>
        <w:jc w:val="left"/>
        <w:rPr/>
      </w:pPr>
      <w:r>
        <w:rPr>
          <w:rFonts w:ascii="Arial;sans-serif" w:hAnsi="Arial;sans-serif"/>
          <w:b w:val="false"/>
          <w:color w:val="000000"/>
          <w:sz w:val="20"/>
        </w:rPr>
        <w:t xml:space="preserve">We account for income taxes using the asset and liability method, as described in ASC Topic 740 – </w:t>
      </w:r>
      <w:r>
        <w:rPr>
          <w:rFonts w:ascii="Arial;sans-serif" w:hAnsi="Arial;sans-serif"/>
          <w:b w:val="false"/>
          <w:i/>
          <w:color w:val="000000"/>
          <w:sz w:val="20"/>
        </w:rPr>
        <w:t>Income Taxes</w:t>
      </w:r>
      <w:r>
        <w:rPr>
          <w:rFonts w:ascii="Arial;sans-serif" w:hAnsi="Arial;sans-serif"/>
          <w:b w:val="false"/>
          <w:color w:val="000000"/>
          <w:sz w:val="20"/>
        </w:rPr>
        <w:t>.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Recognition and measurement of uncertain tax positions in our financial statements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(r) Restructuring and Other Charges</w:t>
      </w:r>
    </w:p>
    <w:p>
      <w:pPr>
        <w:pStyle w:val="TextBody"/>
        <w:bidi w:val="0"/>
        <w:spacing w:lineRule="auto" w:line="288" w:before="0" w:after="200"/>
        <w:jc w:val="left"/>
        <w:rPr/>
      </w:pPr>
      <w:r>
        <w:rPr>
          <w:rFonts w:ascii="Arial;sans-serif" w:hAnsi="Arial;sans-serif"/>
          <w:b w:val="false"/>
          <w:color w:val="000000"/>
          <w:sz w:val="20"/>
        </w:rPr>
        <w:t xml:space="preserve">In accordance with the guidance in ASC Topic 420 - </w:t>
      </w:r>
      <w:r>
        <w:rPr>
          <w:rFonts w:ascii="Arial;sans-serif" w:hAnsi="Arial;sans-serif"/>
          <w:b w:val="false"/>
          <w:i/>
          <w:color w:val="000000"/>
          <w:sz w:val="20"/>
        </w:rPr>
        <w:t>Exit or Disposal Cost Obligations</w:t>
      </w:r>
      <w:r>
        <w:rPr>
          <w:rFonts w:ascii="Arial;sans-serif" w:hAnsi="Arial;sans-serif"/>
          <w:b w:val="false"/>
          <w:color w:val="000000"/>
          <w:sz w:val="20"/>
        </w:rPr>
        <w:t xml:space="preserve">,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842, ASC 350 and ASC Topic 360 - </w:t>
      </w:r>
      <w:r>
        <w:rPr>
          <w:rFonts w:ascii="Arial;sans-serif" w:hAnsi="Arial;sans-serif"/>
          <w:b w:val="false"/>
          <w:i/>
          <w:color w:val="000000"/>
          <w:sz w:val="20"/>
        </w:rPr>
        <w:t>Property, Plant and Equipment</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(s) Effect of Recently Adopted Amendments to Authoritative Accounting Guidance</w:t>
      </w:r>
    </w:p>
    <w:p>
      <w:pPr>
        <w:pStyle w:val="TextBody"/>
        <w:bidi w:val="0"/>
        <w:spacing w:lineRule="auto" w:line="288" w:before="0" w:after="200"/>
        <w:jc w:val="left"/>
        <w:rPr/>
      </w:pPr>
      <w:r>
        <w:rPr>
          <w:rFonts w:ascii="Arial;sans-serif" w:hAnsi="Arial;sans-serif"/>
          <w:b w:val="false"/>
          <w:color w:val="000000"/>
          <w:sz w:val="20"/>
        </w:rPr>
        <w:t>In November 2023, the Financial Accounting Standards Board (“</w:t>
      </w:r>
      <w:r>
        <w:rPr>
          <w:rFonts w:ascii="Arial;sans-serif" w:hAnsi="Arial;sans-serif"/>
          <w:b/>
          <w:color w:val="000000"/>
          <w:sz w:val="20"/>
          <w:u w:val="single"/>
        </w:rPr>
        <w:t>FASB</w:t>
      </w:r>
      <w:r>
        <w:rPr>
          <w:color w:val="000000"/>
        </w:rPr>
        <w:t>”</w:t>
      </w:r>
      <w:r>
        <w:rPr>
          <w:rFonts w:ascii="Arial;sans-serif" w:hAnsi="Arial;sans-serif"/>
          <w:b w:val="false"/>
          <w:color w:val="000000"/>
          <w:sz w:val="20"/>
        </w:rPr>
        <w:t>) issued Accounting Standards Update (“</w:t>
      </w:r>
      <w:r>
        <w:rPr>
          <w:rFonts w:ascii="Arial;sans-serif" w:hAnsi="Arial;sans-serif"/>
          <w:b/>
          <w:color w:val="000000"/>
          <w:sz w:val="20"/>
          <w:u w:val="single"/>
        </w:rPr>
        <w:t>ASU</w:t>
      </w:r>
      <w:r>
        <w:rPr>
          <w:color w:val="000000"/>
        </w:rPr>
        <w:t>”</w:t>
      </w:r>
      <w:r>
        <w:rPr>
          <w:rFonts w:ascii="Arial;sans-serif" w:hAnsi="Arial;sans-serif"/>
          <w:b w:val="false"/>
          <w:color w:val="000000"/>
          <w:sz w:val="20"/>
        </w:rPr>
        <w:t>) 2023-07,</w:t>
      </w:r>
      <w:r>
        <w:rPr>
          <w:color w:val="000000"/>
        </w:rPr>
        <w:t xml:space="preserve"> </w:t>
      </w:r>
      <w:r>
        <w:rPr>
          <w:rFonts w:ascii="Arial;sans-serif" w:hAnsi="Arial;sans-serif"/>
          <w:b w:val="false"/>
          <w:i/>
          <w:color w:val="000000"/>
          <w:sz w:val="20"/>
        </w:rPr>
        <w:t>Segment Reporting (Topic 280): Improvements to Reportable Segment Disclosures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2023-07</w:t>
      </w:r>
      <w:r>
        <w:rPr>
          <w:color w:val="000000"/>
        </w:rPr>
        <w:t>”</w:t>
      </w:r>
      <w:r>
        <w:rPr>
          <w:rFonts w:ascii="Arial;sans-serif" w:hAnsi="Arial;sans-serif"/>
          <w:b w:val="false"/>
          <w:color w:val="000000"/>
          <w:sz w:val="20"/>
        </w:rPr>
        <w:t>) which amends the guidance for disclosures for reportable segments. ASU 2023-07 introduced new requirements to disclose significant segment expenses regularly provided to the chief operating decision maker (“</w:t>
      </w:r>
      <w:r>
        <w:rPr>
          <w:rFonts w:ascii="Arial;sans-serif" w:hAnsi="Arial;sans-serif"/>
          <w:b/>
          <w:color w:val="000000"/>
          <w:sz w:val="20"/>
          <w:u w:val="single"/>
        </w:rPr>
        <w:t>CODM</w:t>
      </w:r>
      <w:r>
        <w:rPr>
          <w:color w:val="000000"/>
        </w:rPr>
        <w:t>”</w:t>
      </w:r>
      <w:r>
        <w:rPr>
          <w:rFonts w:ascii="Arial;sans-serif" w:hAnsi="Arial;sans-serif"/>
          <w:b w:val="false"/>
          <w:color w:val="000000"/>
          <w:sz w:val="20"/>
        </w:rPr>
        <w:t xml:space="preserve">), extends certain annual disclosures to interim periods, clarifies that single reportable segment entities must apply ASC 280 – </w:t>
      </w:r>
      <w:r>
        <w:rPr>
          <w:rFonts w:ascii="Arial;sans-serif" w:hAnsi="Arial;sans-serif"/>
          <w:b w:val="false"/>
          <w:i/>
          <w:color w:val="000000"/>
          <w:sz w:val="20"/>
        </w:rPr>
        <w:t>Segment Reporting</w:t>
      </w:r>
      <w:r>
        <w:rPr>
          <w:color w:val="000000"/>
        </w:rPr>
        <w:t xml:space="preserve"> </w:t>
      </w:r>
      <w:r>
        <w:rPr>
          <w:rFonts w:ascii="Arial;sans-serif" w:hAnsi="Arial;sans-serif"/>
          <w:b w:val="false"/>
          <w:color w:val="000000"/>
          <w:sz w:val="20"/>
        </w:rPr>
        <w:t>in its entirety, permits more than one measure of segment profit or loss to be reported under certain conditions, and requires disclosure of the title and position of the CODM. Our adoption of ASU 2023-07 had no impact on our consolidated financial statements. We have retrospectively applied the amendments to our interim footnote disclosures beginning January 1, 2025, as permitted.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(t) Effect of Recently Issued Amendments to Authoritative Accounting Guidance Not Yet Adopted</w:t>
      </w:r>
    </w:p>
    <w:p>
      <w:pPr>
        <w:pStyle w:val="TextBody"/>
        <w:bidi w:val="0"/>
        <w:spacing w:lineRule="auto" w:line="288" w:before="0" w:after="20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2024-03</w:t>
      </w:r>
      <w:r>
        <w:rPr>
          <w:color w:val="000000"/>
        </w:rPr>
        <w:t>”</w:t>
      </w:r>
      <w:r>
        <w:rPr>
          <w:rFonts w:ascii="Arial;sans-serif" w:hAnsi="Arial;sans-serif"/>
          <w:b w:val="false"/>
          <w:color w:val="000000"/>
          <w:sz w:val="20"/>
        </w:rPr>
        <w:t xml:space="preserve">) that requires additional disclosure of certain costs and expenses, including amounts of inventory purchases,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 xml:space="preserve">compensation, and depreciation and amortization included in each income statement line item. ASU 2024-03 also requires disclosure of the total amount of selling expenses and our definition of selling expenses. This update is effective for fiscal years beginning after </w:t>
      </w:r>
      <w:r>
        <w:rPr>
          <w:rFonts w:ascii="Arial;sans-serif" w:hAnsi="Arial;sans-serif"/>
          <w:b w:val="false"/>
          <w:i/>
          <w:color w:val="000000"/>
          <w:sz w:val="20"/>
        </w:rPr>
        <w:t>December</w:t>
      </w:r>
      <w:r>
        <w:rPr>
          <w:color w:val="000000"/>
        </w:rPr>
        <w:t xml:space="preserve"> </w:t>
      </w:r>
      <w:r>
        <w:rPr>
          <w:rFonts w:ascii="Arial;sans-serif" w:hAnsi="Arial;sans-serif"/>
          <w:b w:val="false"/>
          <w:color w:val="000000"/>
          <w:sz w:val="20"/>
        </w:rPr>
        <w:t>15, 2026, and for interim periods beginning after December 15, 2027, and may be adopted on a prospective basis at the effective date or retrospectively applied to all periods presented. We do not believe there will be any impact on our financial statements and are evaluating the impact of the amendments on footnote disclosures to our consolidated financial statements.</w:t>
      </w:r>
    </w:p>
    <w:p>
      <w:pPr>
        <w:pStyle w:val="TextBody"/>
        <w:bidi w:val="0"/>
        <w:spacing w:lineRule="auto" w:line="288" w:before="0" w:after="200"/>
        <w:jc w:val="left"/>
        <w:rPr/>
      </w:pPr>
      <w:r>
        <w:rPr>
          <w:rFonts w:ascii="Arial;sans-serif" w:hAnsi="Arial;sans-serif"/>
          <w:b w:val="false"/>
          <w:color w:val="000000"/>
          <w:sz w:val="20"/>
        </w:rPr>
        <w:t xml:space="preserve">In March 2024, the SEC issued a new final rule in Release 33-11275, </w:t>
      </w:r>
      <w:r>
        <w:rPr>
          <w:rFonts w:ascii="Arial;sans-serif" w:hAnsi="Arial;sans-serif"/>
          <w:b w:val="false"/>
          <w:i/>
          <w:color w:val="000000"/>
          <w:sz w:val="20"/>
        </w:rPr>
        <w:t>The Enhancement and Standardization of Climate-Related Disclosures for Investors</w:t>
      </w:r>
      <w:r>
        <w:rPr>
          <w:rFonts w:ascii="Arial;sans-serif" w:hAnsi="Arial;sans-serif"/>
          <w:b w:val="false"/>
          <w:color w:val="000000"/>
          <w:sz w:val="20"/>
        </w:rPr>
        <w:t>, which requires the inclusion of climate-related information in registration statements and annual reports. Among other things, the new rule requires disclosure of material climate-related risks, activities related to adapting to or mitigating such risks, related oversight activities, and information on climate-related targets or goals. Information is also required of certain greenhouse gas emissions. Disclosure requirements were to begin phasing in for fiscal years beginning on or after January 1, 2025, however on April 4, 2024, the SEC issued a voluntary stay (SEC Release 33-11280) in response to pending litigation. Therefore, the implementation dates are currently on hold. We are monitoring SEC developments and evaluating the impact of the new rule on its financial statements.</w:t>
      </w:r>
    </w:p>
    <w:p>
      <w:pPr>
        <w:pStyle w:val="TextBody"/>
        <w:bidi w:val="0"/>
        <w:spacing w:lineRule="auto" w:line="288" w:before="0" w:after="200"/>
        <w:jc w:val="left"/>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Income Taxes (Topic 740): Improvements to Income Tax Disclosures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2023-09</w:t>
      </w:r>
      <w:r>
        <w:rPr>
          <w:color w:val="000000"/>
        </w:rPr>
        <w:t>”</w:t>
      </w:r>
      <w:r>
        <w:rPr>
          <w:rFonts w:ascii="Arial;sans-serif" w:hAnsi="Arial;sans-serif"/>
          <w:b w:val="false"/>
          <w:color w:val="000000"/>
          <w:sz w:val="20"/>
        </w:rPr>
        <w:t>). The amendments require entities to annually disclose the income tax rate reconciliation using both amounts and percentages, considering several categories of reconciling items, including state and local income taxes, foreign tax effects, tax credits and nontaxable or nondeductible items, among others. Disclosure of the reconciling items is subject to a quantitative threshold and disaggregation by nature and jurisdiction. The amendments also require entities to disclose net income taxes paid or received to federal, state and foreign jurisdictions, as well as by individual jurisdiction, subject to a five percent quantitative threshold. The amendments may be adopted on a prospective or retrospective basis and are effective for fiscal years beginning after December 15, 2024, with early adoption permitted. We do not believe there will be any impact on our financial statements and are evaluating the impact of the amendments on footnote disclosures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(u) Subsequent Events</w:t>
      </w:r>
    </w:p>
    <w:p>
      <w:pPr>
        <w:pStyle w:val="TextBody"/>
        <w:bidi w:val="0"/>
        <w:spacing w:lineRule="auto" w:line="288" w:before="0" w:after="200"/>
        <w:jc w:val="left"/>
        <w:rPr/>
      </w:pPr>
      <w:r>
        <w:rPr>
          <w:rFonts w:ascii="Arial;sans-serif" w:hAnsi="Arial;sans-serif"/>
          <w:b w:val="false"/>
          <w:color w:val="000000"/>
          <w:sz w:val="20"/>
        </w:rPr>
        <w:t>We have made an assessment of our operations and with the exception of the debt waiver noted in “</w:t>
      </w:r>
      <w:r>
        <w:rPr>
          <w:rFonts w:ascii="Arial;sans-serif" w:hAnsi="Arial;sans-serif"/>
          <w:b/>
          <w:color w:val="000000"/>
          <w:sz w:val="20"/>
        </w:rPr>
        <w:t>Note (10) Debt</w:t>
      </w:r>
      <w:r>
        <w:rPr>
          <w:rFonts w:ascii="Arial;sans-serif" w:hAnsi="Arial;sans-serif"/>
          <w:b w:val="false"/>
          <w:color w:val="000000"/>
          <w:sz w:val="20"/>
        </w:rPr>
        <w:t>,” determined that there were no other material subsequent events requiring adjustment to, or disclosure in, our consolidated financial statements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(3)    ACQUISITION</w:t>
      </w:r>
    </w:p>
    <w:p>
      <w:pPr>
        <w:pStyle w:val="TextBody"/>
        <w:bidi w:val="0"/>
        <w:spacing w:lineRule="auto" w:line="288" w:before="0" w:after="200"/>
        <w:jc w:val="left"/>
        <w:rPr/>
      </w:pPr>
      <w:r>
        <w:rPr>
          <w:rFonts w:ascii="Arial;sans-serif" w:hAnsi="Arial;sans-serif"/>
          <w:b w:val="false"/>
          <w:color w:val="000000"/>
          <w:sz w:val="20"/>
        </w:rPr>
        <w:t>On March 12, 2024, we completed the acquisition of Alfamation S.p.A., an Italian joint-stock company. Alfamation™ is a leading global provider of state-of-the-art test and measurement solutions for the auto/EV, life sciences and specialty consumer electronics markets. Alfamation™ is included in our Electronic Test operating segment. The acquisition of Alfamation™ deepens our presence in the auto/EV and life science markets, expands our exposure in consumer electronics, extends our geographic reach with a sizable footprint in Europe, and widens our portfolio of products and solutions. Additionally, we believe Alfamation™ brings engineering talent and a management team that culturally aligns with our mission to provide innovative, engineered solutions that address the high-value challenges of our customers. The aggregate purchase price was approximately €20.0 million comprised of: (i) €18.0 million, or $19.7 million, in cash; and (ii) 187,432 shares of our common stock, valued at $2.1 million based on the closing price of our stock on the date of acquisition. The cash portion of the purchase price was subject to customary working capital adjustments. These adjustments were finalized in June 2024 and resulted in recording an additional €0.1 million, or $0.1 million, in purchase price for assets delivered at closing in excess of agreed upon thresholds. The liabilities assumed in connection with the acquisition included debt of approximately €10.3 million, or $11.3 million. The debt assumed is discussed further in “</w:t>
      </w:r>
      <w:r>
        <w:rPr>
          <w:rFonts w:ascii="Arial;sans-serif" w:hAnsi="Arial;sans-serif"/>
          <w:b/>
          <w:color w:val="000000"/>
          <w:sz w:val="20"/>
        </w:rPr>
        <w:t>Note (10) Debt</w:t>
      </w:r>
      <w:r>
        <w:rPr>
          <w:rFonts w:ascii="Arial;sans-serif" w:hAnsi="Arial;sans-serif"/>
          <w:b w:val="false"/>
          <w:color w:val="000000"/>
          <w:sz w:val="20"/>
        </w:rPr>
        <w:t>.” Total acquisition costs incurred to complete this transaction were $1.2 million. Acquisition costs were expensed as incurred and included in general and administrative expense.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acquisition of Alfamation™ has been accounted for as a business combination using purchase accounting, and, accordingly, the results of Alfamation™ have been included in our consolidated results of operations from the date of acquisition. During the fourth quarter of 2024 we completed our allocation of the estimated fair values as of March 12, 2024, with final adjustments made primarily to inventories, identifiable intangible assets and goodwill. The “inventory step-up” of approximately $1.6 million was the most significant adjustment. Partially offsetting the decrease in customer backlog were increases to acquired technology and customer relationships. Other less significant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affected property and equipment, other current assets, accrued expenses and deferred tax liability. 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total purchase price of $21.9 million has been allocated as follows:</w:t>
      </w:r>
    </w:p>
    <w:tbl>
      <w:tblPr>
        <w:tblW w:w="5837" w:type="dxa"/>
        <w:jc w:val="center"/>
        <w:tblInd w:w="0" w:type="dxa"/>
        <w:tblLayout w:type="fixed"/>
        <w:tblCellMar>
          <w:top w:w="28" w:type="dxa"/>
          <w:left w:w="28" w:type="dxa"/>
          <w:bottom w:w="28" w:type="dxa"/>
          <w:right w:w="28" w:type="dxa"/>
        </w:tblCellMar>
      </w:tblPr>
      <w:tblGrid>
        <w:gridCol w:w="1589"/>
        <w:gridCol w:w="1401"/>
        <w:gridCol w:w="1404"/>
        <w:gridCol w:w="109"/>
        <w:gridCol w:w="109"/>
        <w:gridCol w:w="109"/>
        <w:gridCol w:w="211"/>
        <w:gridCol w:w="751"/>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12,</w:t>
              <w:br/>
              <w:t>2024</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Identifiable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Tangible assets acquired and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(current and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21,901 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estimated the fair value of identifiable intangible assets acquired using the income approach. Identifiable intangible assets acquired include customer relationships, customer backlog, technology and a trade name. We are amortizing the finite-lived intangible assets acquired over their estimated useful lives based on the pattern in which the economic benefits of the intangible asset are expected to be consumed.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estimated fair value of Alfamation™’s identifiable intangible assets and their estimated useful lives as of the acquisition date:</w:t>
      </w:r>
    </w:p>
    <w:tbl>
      <w:tblPr>
        <w:tblW w:w="5894"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333"/>
        <w:gridCol w:w="333"/>
        <w:gridCol w:w="473"/>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Estimated</w:t>
              <w:br/>
              <w:t>Useful Life</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lives)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(in years)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11,365 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13,332 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The following unaudited pro forma information gives effect to the acquisition of Alfamation™ as if the acquisition occurred on January 1, 2024. These proforma summaries do not reflect any operating efficiencies or costs savings that may be achieved by the combined businesses. These proforma summaries are presented for informational purposes only and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not necessarily indicative of what the actual results of operations would have been had the acquisition taken place as of that date, nor are they indicative of future consolidated results of operations:</w:t>
      </w:r>
    </w:p>
    <w:tbl>
      <w:tblPr>
        <w:tblW w:w="5870"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211"/>
        <w:gridCol w:w="751"/>
        <w:gridCol w:w="109"/>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34,752 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(loss)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pro forma results shown above do not reflect the impact on general and administrative expense of investment advisory costs, legal costs and other costs of $1.2 million incurred by us as a direct result of the transaction.</w:t>
      </w:r>
    </w:p>
    <w:p>
      <w:pPr>
        <w:pStyle w:val="TextBody"/>
        <w:bidi w:val="0"/>
        <w:spacing w:lineRule="auto" w:line="288" w:before="0" w:after="200"/>
        <w:jc w:val="left"/>
        <w:rPr/>
      </w:pPr>
      <w:r>
        <w:rPr>
          <w:rFonts w:ascii="Arial;sans-serif" w:hAnsi="Arial;sans-serif"/>
          <w:b w:val="false"/>
          <w:color w:val="000000"/>
          <w:sz w:val="20"/>
        </w:rPr>
        <w:t>In connection with the acquisition, we have entered into a lease agreement (the “</w:t>
      </w:r>
      <w:r>
        <w:rPr>
          <w:rFonts w:ascii="Arial;sans-serif" w:hAnsi="Arial;sans-serif"/>
          <w:b/>
          <w:color w:val="000000"/>
          <w:sz w:val="20"/>
          <w:u w:val="single"/>
        </w:rPr>
        <w:t>Alfamation Lease Agreement</w:t>
      </w:r>
      <w:r>
        <w:rPr>
          <w:color w:val="000000"/>
        </w:rPr>
        <w:t>”</w:t>
      </w:r>
      <w:r>
        <w:rPr>
          <w:rFonts w:ascii="Arial;sans-serif" w:hAnsi="Arial;sans-serif"/>
          <w:b w:val="false"/>
          <w:color w:val="000000"/>
          <w:sz w:val="20"/>
        </w:rPr>
        <w:t>) with the former owner of Alfamation™ who will continue to serve as the managing director of Alfamation™ under our ownership. The Alfamation Lease Agreement commenced on March 12, 2024, and will last for six years. It will be automatically renewed for the same period of time unless terminated by either party. Under the terms of the Alfamation Lease Agreement, Alfamation™ will lease warehouse and office space totaling about 52 thousand square feet. Alfamation™ will pay a yearly lease payment of €0.3 million broken up into two equal payments. At the date of the signing of the Alfamation Lease Agreement, the yearly lease payment equated to approximately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(4)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Inventories held at March 31, 2025, and December 31, 2024, were comprised of the following:</w:t>
      </w:r>
    </w:p>
    <w:tbl>
      <w:tblPr>
        <w:tblW w:w="5834" w:type="dxa"/>
        <w:jc w:val="center"/>
        <w:tblInd w:w="0" w:type="dxa"/>
        <w:tblLayout w:type="fixed"/>
        <w:tblCellMar>
          <w:top w:w="28" w:type="dxa"/>
          <w:left w:w="28" w:type="dxa"/>
          <w:bottom w:w="28" w:type="dxa"/>
          <w:right w:w="28" w:type="dxa"/>
        </w:tblCellMar>
      </w:tblPr>
      <w:tblGrid>
        <w:gridCol w:w="976"/>
        <w:gridCol w:w="861"/>
        <w:gridCol w:w="863"/>
        <w:gridCol w:w="109"/>
        <w:gridCol w:w="109"/>
        <w:gridCol w:w="109"/>
        <w:gridCol w:w="211"/>
        <w:gridCol w:w="751"/>
        <w:gridCol w:w="109"/>
        <w:gridCol w:w="109"/>
        <w:gridCol w:w="109"/>
        <w:gridCol w:w="109"/>
        <w:gridCol w:w="266"/>
        <w:gridCol w:w="949"/>
        <w:gridCol w:w="194"/>
      </w:tblGrid>
      <w:tr>
        <w:trPr/>
        <w:tc>
          <w:tcPr>
            <w:tcW w:w="97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16,525 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16,109 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 consigned to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27,608 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26,837 </w:t>
            </w:r>
          </w:p>
        </w:tc>
        <w:tc>
          <w:tcPr>
            <w:tcW w:w="19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charges incurred for excess and obsolete inventory for the three months ended March 31, 2025 and 2024, were as follows:</w:t>
      </w:r>
    </w:p>
    <w:tbl>
      <w:tblPr>
        <w:tblW w:w="5963" w:type="dxa"/>
        <w:jc w:val="center"/>
        <w:tblInd w:w="0" w:type="dxa"/>
        <w:tblLayout w:type="fixed"/>
        <w:tblCellMar>
          <w:top w:w="28" w:type="dxa"/>
          <w:left w:w="28" w:type="dxa"/>
          <w:bottom w:w="28" w:type="dxa"/>
          <w:right w:w="28" w:type="dxa"/>
        </w:tblCellMar>
      </w:tblPr>
      <w:tblGrid>
        <w:gridCol w:w="1285"/>
        <w:gridCol w:w="1133"/>
        <w:gridCol w:w="1136"/>
        <w:gridCol w:w="109"/>
        <w:gridCol w:w="109"/>
        <w:gridCol w:w="109"/>
        <w:gridCol w:w="222"/>
        <w:gridCol w:w="508"/>
        <w:gridCol w:w="115"/>
        <w:gridCol w:w="115"/>
        <w:gridCol w:w="115"/>
        <w:gridCol w:w="115"/>
        <w:gridCol w:w="222"/>
        <w:gridCol w:w="508"/>
        <w:gridCol w:w="162"/>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and obsolete inventory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(5)    PROPERTY AND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Property and equipment included the following:</w:t>
      </w:r>
    </w:p>
    <w:tbl>
      <w:tblPr>
        <w:tblW w:w="5947" w:type="dxa"/>
        <w:jc w:val="center"/>
        <w:tblInd w:w="0" w:type="dxa"/>
        <w:tblLayout w:type="fixed"/>
        <w:tblCellMar>
          <w:top w:w="28" w:type="dxa"/>
          <w:left w:w="28" w:type="dxa"/>
          <w:bottom w:w="28" w:type="dxa"/>
          <w:right w:w="28" w:type="dxa"/>
        </w:tblCellMar>
      </w:tblPr>
      <w:tblGrid>
        <w:gridCol w:w="1041"/>
        <w:gridCol w:w="918"/>
        <w:gridCol w:w="921"/>
        <w:gridCol w:w="109"/>
        <w:gridCol w:w="109"/>
        <w:gridCol w:w="109"/>
        <w:gridCol w:w="219"/>
        <w:gridCol w:w="672"/>
        <w:gridCol w:w="113"/>
        <w:gridCol w:w="109"/>
        <w:gridCol w:w="109"/>
        <w:gridCol w:w="109"/>
        <w:gridCol w:w="293"/>
        <w:gridCol w:w="900"/>
        <w:gridCol w:w="216"/>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9,456 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9,162 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Depreciation expense related to property and equipment was as follows:</w:t>
      </w:r>
    </w:p>
    <w:tbl>
      <w:tblPr>
        <w:tblW w:w="4659" w:type="dxa"/>
        <w:jc w:val="center"/>
        <w:tblInd w:w="0" w:type="dxa"/>
        <w:tblLayout w:type="fixed"/>
        <w:tblCellMar>
          <w:top w:w="28" w:type="dxa"/>
          <w:left w:w="28" w:type="dxa"/>
          <w:bottom w:w="28" w:type="dxa"/>
          <w:right w:w="28" w:type="dxa"/>
        </w:tblCellMar>
      </w:tblPr>
      <w:tblGrid>
        <w:gridCol w:w="466"/>
        <w:gridCol w:w="411"/>
        <w:gridCol w:w="412"/>
        <w:gridCol w:w="109"/>
        <w:gridCol w:w="109"/>
        <w:gridCol w:w="109"/>
        <w:gridCol w:w="325"/>
        <w:gridCol w:w="742"/>
        <w:gridCol w:w="168"/>
        <w:gridCol w:w="168"/>
        <w:gridCol w:w="168"/>
        <w:gridCol w:w="168"/>
        <w:gridCol w:w="325"/>
        <w:gridCol w:w="742"/>
        <w:gridCol w:w="237"/>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(6)    GOODWILL AND 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three operating segments which are also our reporting units: Electronic Test, Environmental Technologies and Process Technologies. Goodwill and intangible assets on our balance sheets are the result of our acquisitions.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Goodwill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amount of the carrying value of goodwill for the three months ended March 31, 2025, are as follows:</w:t>
      </w:r>
    </w:p>
    <w:tbl>
      <w:tblPr>
        <w:tblW w:w="5927"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211"/>
        <w:gridCol w:w="751"/>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31,236 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Goodwill was comprised of the following at March 31, 2025, and December 31, 2024:</w:t>
      </w:r>
    </w:p>
    <w:tbl>
      <w:tblPr>
        <w:tblW w:w="6128" w:type="dxa"/>
        <w:jc w:val="center"/>
        <w:tblInd w:w="0" w:type="dxa"/>
        <w:tblLayout w:type="fixed"/>
        <w:tblCellMar>
          <w:top w:w="28" w:type="dxa"/>
          <w:left w:w="28" w:type="dxa"/>
          <w:bottom w:w="28" w:type="dxa"/>
          <w:right w:w="28" w:type="dxa"/>
        </w:tblCellMar>
      </w:tblPr>
      <w:tblGrid>
        <w:gridCol w:w="932"/>
        <w:gridCol w:w="823"/>
        <w:gridCol w:w="825"/>
        <w:gridCol w:w="109"/>
        <w:gridCol w:w="109"/>
        <w:gridCol w:w="109"/>
        <w:gridCol w:w="292"/>
        <w:gridCol w:w="1042"/>
        <w:gridCol w:w="151"/>
        <w:gridCol w:w="109"/>
        <w:gridCol w:w="109"/>
        <w:gridCol w:w="109"/>
        <w:gridCol w:w="266"/>
        <w:gridCol w:w="949"/>
        <w:gridCol w:w="194"/>
      </w:tblGrid>
      <w:tr>
        <w:trPr/>
        <w:tc>
          <w:tcPr>
            <w:tcW w:w="9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12,982 </w:t>
            </w:r>
          </w:p>
        </w:tc>
        <w:tc>
          <w:tcPr>
            <w:tcW w:w="1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12,567 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31,236 </w:t>
            </w:r>
          </w:p>
        </w:tc>
        <w:tc>
          <w:tcPr>
            <w:tcW w:w="1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30,744 </w:t>
            </w:r>
          </w:p>
        </w:tc>
        <w:tc>
          <w:tcPr>
            <w:tcW w:w="19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i/>
          <w:color w:val="000000"/>
          <w:sz w:val="20"/>
          <w:u w:val="single"/>
        </w:rPr>
        <w:t>Intangible Assets</w:t>
      </w:r>
      <w:r>
        <w:rPr>
          <w:color w:val="000000"/>
        </w:rPr>
        <w:t xml:space="preserve">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amount of the carrying value of our intangible assets for the three months ended March 31, 2025 were as follows:</w:t>
      </w:r>
    </w:p>
    <w:tbl>
      <w:tblPr>
        <w:tblW w:w="7930"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236"/>
        <w:gridCol w:w="842"/>
        <w:gridCol w:w="123"/>
        <w:gridCol w:w="109"/>
        <w:gridCol w:w="109"/>
        <w:gridCol w:w="109"/>
        <w:gridCol w:w="300"/>
        <w:gridCol w:w="1070"/>
        <w:gridCol w:w="221"/>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Indefinite-Lived</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16,201 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15,867 </w:t>
            </w:r>
          </w:p>
        </w:tc>
        <w:tc>
          <w:tcPr>
            <w:tcW w:w="12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10,271 </w:t>
            </w:r>
          </w:p>
        </w:tc>
        <w:tc>
          <w:tcPr>
            <w:tcW w:w="2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tables provide further detail about our intangible assets as of March 31, 2025, and December 31, 2024:</w:t>
      </w:r>
    </w:p>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 2025</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31,695 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15,828 </w:t>
            </w:r>
          </w:p>
        </w:tc>
        <w:tc>
          <w:tcPr>
            <w:tcW w:w="13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15,867 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41,966 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15,828 </w:t>
            </w:r>
          </w:p>
        </w:tc>
        <w:tc>
          <w:tcPr>
            <w:tcW w:w="1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26,138 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31,179 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14,978 </w:t>
            </w:r>
          </w:p>
        </w:tc>
        <w:tc>
          <w:tcPr>
            <w:tcW w:w="13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16,201 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41,354 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14,978 </w:t>
            </w:r>
          </w:p>
        </w:tc>
        <w:tc>
          <w:tcPr>
            <w:tcW w:w="1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26,376 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pattern in which the economic benefits of the intangible asset are expected to be consumed. None of our intangible assets have any residual value.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estimated annual amortization expense for each of the next five years:</w:t>
      </w:r>
    </w:p>
    <w:tbl>
      <w:tblPr>
        <w:tblW w:w="6737" w:type="dxa"/>
        <w:jc w:val="center"/>
        <w:tblInd w:w="0" w:type="dxa"/>
        <w:tblLayout w:type="fixed"/>
        <w:tblCellMar>
          <w:top w:w="28" w:type="dxa"/>
          <w:left w:w="28" w:type="dxa"/>
          <w:bottom w:w="28" w:type="dxa"/>
          <w:right w:w="28" w:type="dxa"/>
        </w:tblCellMar>
      </w:tblPr>
      <w:tblGrid>
        <w:gridCol w:w="1915"/>
        <w:gridCol w:w="1688"/>
        <w:gridCol w:w="1691"/>
        <w:gridCol w:w="109"/>
        <w:gridCol w:w="109"/>
        <w:gridCol w:w="109"/>
        <w:gridCol w:w="211"/>
        <w:gridCol w:w="751"/>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estimated amortization of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(7)    FAIR VALUE MEASUREMENTS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Recurring Fair Value Measurements</w:t>
      </w:r>
    </w:p>
    <w:p>
      <w:pPr>
        <w:pStyle w:val="TextBody"/>
        <w:bidi w:val="0"/>
        <w:spacing w:lineRule="auto" w:line="288" w:before="0" w:after="200"/>
        <w:jc w:val="left"/>
        <w:rPr/>
      </w:pPr>
      <w:r>
        <w:rPr>
          <w:rFonts w:ascii="Arial;sans-serif" w:hAnsi="Arial;sans-serif"/>
          <w:b w:val="false"/>
          <w:color w:val="000000"/>
          <w:sz w:val="20"/>
        </w:rPr>
        <w:t>The interest rate swap agreement we entered into in connection with our Term Note, as disclosed in “</w:t>
      </w:r>
      <w:r>
        <w:rPr>
          <w:rFonts w:ascii="Arial;sans-serif" w:hAnsi="Arial;sans-serif"/>
          <w:b/>
          <w:color w:val="000000"/>
          <w:sz w:val="20"/>
        </w:rPr>
        <w:t>Note (2) Summary of Significant Accounting Policies; (l) Interest Rate Swap Agreement</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(10) Debt</w:t>
      </w:r>
      <w:r>
        <w:rPr>
          <w:rFonts w:ascii="Arial;sans-serif" w:hAnsi="Arial;sans-serif"/>
          <w:b w:val="false"/>
          <w:color w:val="000000"/>
          <w:sz w:val="20"/>
        </w:rPr>
        <w:t>,” is measured at fair value on a recurring basis using Level 2 inputs. The contingent consideration liability on our balance sheet is measured at fair value on a recurring basis using Level 3 inputs.</w:t>
      </w:r>
    </w:p>
    <w:p>
      <w:pPr>
        <w:pStyle w:val="TextBody"/>
        <w:bidi w:val="0"/>
        <w:spacing w:lineRule="auto" w:line="288" w:before="0" w:after="200"/>
        <w:jc w:val="left"/>
        <w:rPr/>
      </w:pPr>
      <w:r>
        <w:rPr>
          <w:rFonts w:ascii="Arial;sans-serif" w:hAnsi="Arial;sans-serif"/>
          <w:b w:val="false"/>
          <w:color w:val="000000"/>
          <w:sz w:val="20"/>
        </w:rPr>
        <w:t>Our contingent consideration liability is a result of our acquisition of Acculogic on December 21, 2021, and represents the estimated fair value of the additional cash consideration payable that is contingent upon sales to 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or battery customers. We may pay the seller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 maximum payment is capped at CAD $5.0 million, which equates to approximately $3.5 million at March 31, 2025. There were no payments due to the seller for the years ended December 31, 2023 or 2024. To estimate the fair value of the contingent consideration at the acquisition date, an option-based income approach using a Monte Carlo simulation model was utilized due to the non-linear payout structure. As of the acquisition date, this resulted in an estimated fair value of $1.4 million. This amount was recorded as a contingent consideration liability and included in the purchase price as of the acquisition date. We reassess the estimated fair value of this liability annually using this same approach, or more frequently, if we determine that there have been material changes to the assumptions used in the calculation of the probable payout. Changes in the amount of the estimated fair value of the earn-outs since the acquisition date are recorded as operating expenses in our consolidated statement of operations in the quarter in which they occur. The current portion of our contingent consideration liability is included as a component of accrued expenses and other current liabilities, while the non-current portion is included in Other Liabilities on our consolidated balance sheets.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fair value hierarchy table presents information about assets and (liabilities) measured at fair value on a recurring basis:</w:t>
      </w:r>
    </w:p>
    <w:tbl>
      <w:tblPr>
        <w:tblW w:w="7963" w:type="dxa"/>
        <w:jc w:val="center"/>
        <w:tblInd w:w="0" w:type="dxa"/>
        <w:tblLayout w:type="fixed"/>
        <w:tblCellMar>
          <w:top w:w="28" w:type="dxa"/>
          <w:left w:w="28" w:type="dxa"/>
          <w:bottom w:w="28" w:type="dxa"/>
          <w:right w:w="28" w:type="dxa"/>
        </w:tblCellMar>
      </w:tblPr>
      <w:tblGrid>
        <w:gridCol w:w="1177"/>
        <w:gridCol w:w="1038"/>
        <w:gridCol w:w="1040"/>
        <w:gridCol w:w="109"/>
        <w:gridCol w:w="109"/>
        <w:gridCol w:w="109"/>
        <w:gridCol w:w="211"/>
        <w:gridCol w:w="541"/>
        <w:gridCol w:w="109"/>
        <w:gridCol w:w="109"/>
        <w:gridCol w:w="109"/>
        <w:gridCol w:w="109"/>
        <w:gridCol w:w="295"/>
        <w:gridCol w:w="316"/>
        <w:gridCol w:w="154"/>
        <w:gridCol w:w="116"/>
        <w:gridCol w:w="116"/>
        <w:gridCol w:w="116"/>
        <w:gridCol w:w="231"/>
        <w:gridCol w:w="414"/>
        <w:gridCol w:w="119"/>
        <w:gridCol w:w="116"/>
        <w:gridCol w:w="116"/>
        <w:gridCol w:w="116"/>
        <w:gridCol w:w="225"/>
        <w:gridCol w:w="579"/>
        <w:gridCol w:w="164"/>
      </w:tblGrid>
      <w:tr>
        <w:trPr/>
        <w:tc>
          <w:tcPr>
            <w:tcW w:w="11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 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4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4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long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tbl>
      <w:tblPr>
        <w:tblW w:w="7882" w:type="dxa"/>
        <w:jc w:val="center"/>
        <w:tblInd w:w="0" w:type="dxa"/>
        <w:tblLayout w:type="fixed"/>
        <w:tblCellMar>
          <w:top w:w="28" w:type="dxa"/>
          <w:left w:w="28" w:type="dxa"/>
          <w:bottom w:w="28" w:type="dxa"/>
          <w:right w:w="28" w:type="dxa"/>
        </w:tblCellMar>
      </w:tblPr>
      <w:tblGrid>
        <w:gridCol w:w="1177"/>
        <w:gridCol w:w="1038"/>
        <w:gridCol w:w="1040"/>
        <w:gridCol w:w="109"/>
        <w:gridCol w:w="109"/>
        <w:gridCol w:w="109"/>
        <w:gridCol w:w="211"/>
        <w:gridCol w:w="481"/>
        <w:gridCol w:w="109"/>
        <w:gridCol w:w="109"/>
        <w:gridCol w:w="109"/>
        <w:gridCol w:w="109"/>
        <w:gridCol w:w="295"/>
        <w:gridCol w:w="316"/>
        <w:gridCol w:w="154"/>
        <w:gridCol w:w="116"/>
        <w:gridCol w:w="116"/>
        <w:gridCol w:w="116"/>
        <w:gridCol w:w="225"/>
        <w:gridCol w:w="515"/>
        <w:gridCol w:w="116"/>
        <w:gridCol w:w="116"/>
        <w:gridCol w:w="116"/>
        <w:gridCol w:w="116"/>
        <w:gridCol w:w="225"/>
        <w:gridCol w:w="466"/>
        <w:gridCol w:w="164"/>
      </w:tblGrid>
      <w:tr>
        <w:trPr/>
        <w:tc>
          <w:tcPr>
            <w:tcW w:w="11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4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4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long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Changes in the fair value of our Level 3 contingent consideration liabilities for the three months ended March 31, 2025 and 2024,</w:t>
      </w:r>
      <w:r>
        <w:rPr>
          <w:color w:val="000000"/>
        </w:rPr>
        <w:t xml:space="preserve"> </w:t>
      </w:r>
      <w:r>
        <w:rPr>
          <w:rFonts w:ascii="Arial;sans-serif" w:hAnsi="Arial;sans-serif"/>
          <w:b w:val="false"/>
          <w:color w:val="000000"/>
          <w:sz w:val="20"/>
        </w:rPr>
        <w:t>were as follows:</w:t>
      </w:r>
    </w:p>
    <w:tbl>
      <w:tblPr>
        <w:tblW w:w="7854" w:type="dxa"/>
        <w:jc w:val="center"/>
        <w:tblInd w:w="0" w:type="dxa"/>
        <w:tblLayout w:type="fixed"/>
        <w:tblCellMar>
          <w:top w:w="28" w:type="dxa"/>
          <w:left w:w="28" w:type="dxa"/>
          <w:bottom w:w="28" w:type="dxa"/>
          <w:right w:w="28" w:type="dxa"/>
        </w:tblCellMar>
      </w:tblPr>
      <w:tblGrid>
        <w:gridCol w:w="1622"/>
        <w:gridCol w:w="1430"/>
        <w:gridCol w:w="1433"/>
        <w:gridCol w:w="109"/>
        <w:gridCol w:w="109"/>
        <w:gridCol w:w="109"/>
        <w:gridCol w:w="300"/>
        <w:gridCol w:w="684"/>
        <w:gridCol w:w="155"/>
        <w:gridCol w:w="155"/>
        <w:gridCol w:w="155"/>
        <w:gridCol w:w="155"/>
        <w:gridCol w:w="300"/>
        <w:gridCol w:w="919"/>
        <w:gridCol w:w="219"/>
      </w:tblGrid>
      <w:tr>
        <w:trPr/>
        <w:tc>
          <w:tcPr>
            <w:tcW w:w="16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1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2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(8)    ACCRUED EXPENSES AND OTHER CURRENT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Accrued expenses and other current liabilities included the following:</w:t>
      </w:r>
    </w:p>
    <w:tbl>
      <w:tblPr>
        <w:tblW w:w="7611" w:type="dxa"/>
        <w:jc w:val="center"/>
        <w:tblInd w:w="0" w:type="dxa"/>
        <w:tblLayout w:type="fixed"/>
        <w:tblCellMar>
          <w:top w:w="28" w:type="dxa"/>
          <w:left w:w="28" w:type="dxa"/>
          <w:bottom w:w="28" w:type="dxa"/>
          <w:right w:w="28" w:type="dxa"/>
        </w:tblCellMar>
      </w:tblPr>
      <w:tblGrid>
        <w:gridCol w:w="1644"/>
        <w:gridCol w:w="1448"/>
        <w:gridCol w:w="1452"/>
        <w:gridCol w:w="109"/>
        <w:gridCol w:w="109"/>
        <w:gridCol w:w="109"/>
        <w:gridCol w:w="219"/>
        <w:gridCol w:w="672"/>
        <w:gridCol w:w="113"/>
        <w:gridCol w:w="109"/>
        <w:gridCol w:w="109"/>
        <w:gridCol w:w="109"/>
        <w:gridCol w:w="293"/>
        <w:gridCol w:w="900"/>
        <w:gridCol w:w="216"/>
      </w:tblGrid>
      <w:tr>
        <w:trPr/>
        <w:tc>
          <w:tcPr>
            <w:tcW w:w="16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4,568 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5,420 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sales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(9)    LEASES</w:t>
      </w:r>
    </w:p>
    <w:p>
      <w:pPr>
        <w:pStyle w:val="TextBody"/>
        <w:bidi w:val="0"/>
        <w:spacing w:lineRule="auto" w:line="288" w:before="0" w:after="200"/>
        <w:jc w:val="left"/>
        <w:rPr/>
      </w:pPr>
      <w:r>
        <w:rPr>
          <w:rFonts w:ascii="Arial;sans-serif" w:hAnsi="Arial;sans-serif"/>
          <w:b w:val="false"/>
          <w:color w:val="000000"/>
          <w:sz w:val="20"/>
        </w:rPr>
        <w:t>As disclosed in “</w:t>
      </w:r>
      <w:r>
        <w:rPr>
          <w:rFonts w:ascii="Arial;sans-serif" w:hAnsi="Arial;sans-serif"/>
          <w:b/>
          <w:color w:val="000000"/>
          <w:sz w:val="20"/>
        </w:rPr>
        <w:t>Note (2) Summary of Significant Accounting Policies; (k) Leases</w:t>
      </w:r>
      <w:r>
        <w:rPr>
          <w:rFonts w:ascii="Arial;sans-serif" w:hAnsi="Arial;sans-serif"/>
          <w:b w:val="false"/>
          <w:color w:val="000000"/>
          <w:sz w:val="20"/>
        </w:rPr>
        <w:t xml:space="preserve">,” we account for our leases in accordance with the guidance in ASC 842. We lease our offices, warehouse facilities and certain equipment under non-cancellable operating leases that expire at various dates through 2032. Total operating lease and short-term lease costs for the three months ended March 31, 2025 and 2024, respectively, were as follows: </w:t>
      </w:r>
    </w:p>
    <w:tbl>
      <w:tblPr>
        <w:tblW w:w="4404" w:type="dxa"/>
        <w:jc w:val="center"/>
        <w:tblInd w:w="0" w:type="dxa"/>
        <w:tblLayout w:type="fixed"/>
        <w:tblCellMar>
          <w:top w:w="28" w:type="dxa"/>
          <w:left w:w="28" w:type="dxa"/>
          <w:bottom w:w="28" w:type="dxa"/>
          <w:right w:w="28" w:type="dxa"/>
        </w:tblCellMar>
      </w:tblPr>
      <w:tblGrid>
        <w:gridCol w:w="721"/>
        <w:gridCol w:w="636"/>
        <w:gridCol w:w="638"/>
        <w:gridCol w:w="109"/>
        <w:gridCol w:w="109"/>
        <w:gridCol w:w="109"/>
        <w:gridCol w:w="222"/>
        <w:gridCol w:w="508"/>
        <w:gridCol w:w="115"/>
        <w:gridCol w:w="115"/>
        <w:gridCol w:w="115"/>
        <w:gridCol w:w="115"/>
        <w:gridCol w:w="222"/>
        <w:gridCol w:w="508"/>
        <w:gridCol w:w="162"/>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March 31,</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is additional information about our leases as of March 31, 2025:</w:t>
      </w:r>
    </w:p>
    <w:tbl>
      <w:tblPr>
        <w:tblW w:w="6102" w:type="dxa"/>
        <w:jc w:val="center"/>
        <w:tblInd w:w="0" w:type="dxa"/>
        <w:tblLayout w:type="fixed"/>
        <w:tblCellMar>
          <w:top w:w="28" w:type="dxa"/>
          <w:left w:w="28" w:type="dxa"/>
          <w:bottom w:w="28" w:type="dxa"/>
          <w:right w:w="28" w:type="dxa"/>
        </w:tblCellMar>
      </w:tblPr>
      <w:tblGrid>
        <w:gridCol w:w="1602"/>
        <w:gridCol w:w="1409"/>
        <w:gridCol w:w="1413"/>
        <w:gridCol w:w="109"/>
        <w:gridCol w:w="109"/>
        <w:gridCol w:w="109"/>
        <w:gridCol w:w="125"/>
        <w:gridCol w:w="125"/>
        <w:gridCol w:w="126"/>
        <w:gridCol w:w="184"/>
        <w:gridCol w:w="184"/>
        <w:gridCol w:w="186"/>
        <w:gridCol w:w="123"/>
        <w:gridCol w:w="123"/>
        <w:gridCol w:w="175"/>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Range of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0.3</w:t>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Maturities of lease liabilities as of March 31, 2025, were as follows:</w:t>
      </w:r>
    </w:p>
    <w:tbl>
      <w:tblPr>
        <w:tblW w:w="3437" w:type="dxa"/>
        <w:jc w:val="center"/>
        <w:tblInd w:w="0" w:type="dxa"/>
        <w:tblLayout w:type="fixed"/>
        <w:tblCellMar>
          <w:top w:w="28" w:type="dxa"/>
          <w:left w:w="28" w:type="dxa"/>
          <w:bottom w:w="28" w:type="dxa"/>
          <w:right w:w="28" w:type="dxa"/>
        </w:tblCellMar>
      </w:tblPr>
      <w:tblGrid>
        <w:gridCol w:w="721"/>
        <w:gridCol w:w="636"/>
        <w:gridCol w:w="637"/>
        <w:gridCol w:w="109"/>
        <w:gridCol w:w="109"/>
        <w:gridCol w:w="109"/>
        <w:gridCol w:w="211"/>
        <w:gridCol w:w="751"/>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12,474 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10,652 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Cash Flow Information</w:t>
      </w:r>
    </w:p>
    <w:p>
      <w:pPr>
        <w:pStyle w:val="TextBody"/>
        <w:bidi w:val="0"/>
        <w:spacing w:lineRule="auto" w:line="288" w:before="0" w:after="200"/>
        <w:jc w:val="left"/>
        <w:rPr/>
      </w:pPr>
      <w:r>
        <w:rPr>
          <w:rFonts w:ascii="Arial;sans-serif" w:hAnsi="Arial;sans-serif"/>
          <w:b w:val="false"/>
          <w:color w:val="000000"/>
          <w:sz w:val="20"/>
        </w:rPr>
        <w:t>Total amortization of ROU assets was $0.6 million and $0.4 million for the three months ended March 31, 2025</w:t>
      </w:r>
      <w:r>
        <w:rPr>
          <w:color w:val="000000"/>
        </w:rPr>
        <w:t xml:space="preserve"> </w:t>
      </w:r>
      <w:r>
        <w:rPr>
          <w:rFonts w:ascii="Arial;sans-serif" w:hAnsi="Arial;sans-serif"/>
          <w:b w:val="false"/>
          <w:color w:val="000000"/>
          <w:sz w:val="20"/>
        </w:rPr>
        <w:t>and 2024, respectively.</w:t>
      </w:r>
    </w:p>
    <w:p>
      <w:pPr>
        <w:pStyle w:val="TextBody"/>
        <w:bidi w:val="0"/>
        <w:spacing w:lineRule="auto" w:line="288" w:before="0" w:after="200"/>
        <w:jc w:val="left"/>
        <w:rPr/>
      </w:pPr>
      <w:r>
        <w:rPr>
          <w:rFonts w:ascii="Arial;sans-serif" w:hAnsi="Arial;sans-serif"/>
          <w:b w:val="false"/>
          <w:color w:val="000000"/>
          <w:sz w:val="20"/>
        </w:rPr>
        <w:t>As disclosed in “</w:t>
      </w:r>
      <w:r>
        <w:rPr>
          <w:rFonts w:ascii="Arial;sans-serif" w:hAnsi="Arial;sans-serif"/>
          <w:b/>
          <w:color w:val="000000"/>
          <w:sz w:val="20"/>
        </w:rPr>
        <w:t>Note (3) Acquisition</w:t>
      </w:r>
      <w:r>
        <w:rPr>
          <w:rFonts w:ascii="Arial;sans-serif" w:hAnsi="Arial;sans-serif"/>
          <w:b w:val="false"/>
          <w:color w:val="000000"/>
          <w:sz w:val="20"/>
        </w:rPr>
        <w:t>,” on March 12, 2024, we acquired the stock of Alfamation™, and as such, we assumed several leases. In addition, we also entered into the Alfamation Lease Agreement for the seller-owned facility where Alfamation™ has its principal operations. The leased premises include warehouse and office space totaling approximately 52 thousand square feet. The semi-annual lease payments are €0.1 million. The impact of the assumption and execution of these leases was a non-cash increase in our ROU assets and operating lease liabilities of approximately $1.7 million at the date of the acquisition.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three months ended March 31, 2025, we had an immaterial non-cash increase to our ROU assets and operating lease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Excluding the assumption of leases associated with the Alfamation™ acquisition, during the three months ended March 31, 2024, we had an immaterial non-cash increase to our ROU assets and operating lease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(10)    DEBT</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Letters of Credit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March 31, 2025, and December 31, 2024,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tbl>
      <w:tblPr>
        <w:tblW w:w="8237"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409"/>
        <w:gridCol w:w="409"/>
        <w:gridCol w:w="411"/>
        <w:gridCol w:w="109"/>
        <w:gridCol w:w="109"/>
        <w:gridCol w:w="109"/>
        <w:gridCol w:w="355"/>
        <w:gridCol w:w="355"/>
        <w:gridCol w:w="356"/>
        <w:gridCol w:w="109"/>
        <w:gridCol w:w="109"/>
        <w:gridCol w:w="109"/>
        <w:gridCol w:w="354"/>
        <w:gridCol w:w="354"/>
        <w:gridCol w:w="358"/>
        <w:gridCol w:w="109"/>
        <w:gridCol w:w="109"/>
        <w:gridCol w:w="109"/>
        <w:gridCol w:w="236"/>
        <w:gridCol w:w="541"/>
        <w:gridCol w:w="122"/>
        <w:gridCol w:w="115"/>
        <w:gridCol w:w="115"/>
        <w:gridCol w:w="115"/>
        <w:gridCol w:w="235"/>
        <w:gridCol w:w="538"/>
        <w:gridCol w:w="171"/>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Letters of Credit</w:t>
              <w:br/>
              <w:t>Amount Outstanding</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Original L/C</w:t>
              <w:br/>
              <w:t>Issue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Mar. 31, </w:t>
              <w:br/>
              <w:t>2025</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Dec. 31, </w:t>
              <w:br/>
              <w:t>2024</w:t>
            </w:r>
          </w:p>
        </w:tc>
      </w:tr>
      <w:tr>
        <w:trPr/>
        <w:tc>
          <w:tcPr>
            <w:tcW w:w="13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Mt. Laurel,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Mansfield,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On October 15, 2021 (the “</w:t>
      </w:r>
      <w:r>
        <w:rPr>
          <w:rFonts w:ascii="Arial;sans-serif" w:hAnsi="Arial;sans-serif"/>
          <w:b/>
          <w:color w:val="000000"/>
          <w:sz w:val="20"/>
          <w:u w:val="single"/>
        </w:rPr>
        <w:t>Closing Date</w:t>
      </w:r>
      <w:r>
        <w:rPr>
          <w:color w:val="000000"/>
        </w:rPr>
        <w:t>”</w:t>
      </w:r>
      <w:r>
        <w:rPr>
          <w:rFonts w:ascii="Arial;sans-serif" w:hAnsi="Arial;sans-serif"/>
          <w:b w:val="false"/>
          <w:color w:val="000000"/>
          <w:sz w:val="20"/>
        </w:rPr>
        <w:t>), we entered into an Amended and Restated Loan and Security Agreement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which, was subsequently amended on October 28, 2021, December 30, 2021, September 20, 2022, May 2, 2024, and December 18, 2024 (together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The available funding at March 31, 2025, under the Term Note was $30 million and we have not borrowed any amounts under the $10.0 million Revolving Facility. The Credit Facility has a five-year contract period that began on October 15, 2021, and, as amended, expires on May 2, 2031, and draws under the Term Note, as amended, are permissible until May 2, 2026.</w:t>
      </w:r>
    </w:p>
    <w:p>
      <w:pPr>
        <w:pStyle w:val="TextBody"/>
        <w:bidi w:val="0"/>
        <w:spacing w:lineRule="auto" w:line="288" w:before="0" w:after="200"/>
        <w:jc w:val="left"/>
        <w:rPr/>
      </w:pPr>
      <w:r>
        <w:rPr>
          <w:rFonts w:ascii="Arial;sans-serif" w:hAnsi="Arial;sans-serif"/>
          <w:b w:val="false"/>
          <w:color w:val="000000"/>
          <w:sz w:val="20"/>
        </w:rPr>
        <w:t>The principal balance of the Revolving Facility and the principal balance of any amount drawn under the Term Note accrues interest based on the secured overnight financing rate for U.S. government securities (“</w:t>
      </w:r>
      <w:r>
        <w:rPr>
          <w:rFonts w:ascii="Arial;sans-serif" w:hAnsi="Arial;sans-serif"/>
          <w:b/>
          <w:color w:val="000000"/>
          <w:sz w:val="20"/>
          <w:u w:val="single"/>
        </w:rPr>
        <w:t>SOFR</w:t>
      </w:r>
      <w:r>
        <w:rPr>
          <w:color w:val="000000"/>
        </w:rPr>
        <w:t>”</w:t>
      </w:r>
      <w:r>
        <w:rPr>
          <w:rFonts w:ascii="Arial;sans-serif" w:hAnsi="Arial;sans-serif"/>
          <w:b w:val="false"/>
          <w:color w:val="000000"/>
          <w:sz w:val="20"/>
        </w:rPr>
        <w:t>) or a bank-defined base rate plus an applicable margin, depending on leverage. Each draw under the Term Note will have an option for us of either (i) up to a five-year amortizing term loan with a balloon due at maturity, or (ii) up to a five-year term with up to seven years amortization with a balloon due at maturity. Any amortization greater than five years will be subject to an excess cash flow recapture. The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Loan Agreement contains customary default provisions, including but not limited to the failure by us to repay obligations when due, violation of provisions or representations provided in the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Loan Agreement includes customary affirmative, negative and financial covenants, including a maximum ratio of consolidated funded debt to consolidated EBITDA of not more than 3.0 to 1.0 and a fixed charge coverage ratio of not less than 1.25 to 1.0. Our obligations under the Loan Agreement are secured by liens on substantially all of our tangible and intangible assets that are owned as of the Closing Date or acquired thereafter. At March 31, 2025, we were in compliance with all of the covenants included in the Loan Agreement, except for the fixed charge coverage ratio financial covenant which was 0.99 to 1.0 for the quarter ended March 31, 2025, for which we have received a one-time waiver from M&amp;T on May 1, 2025.</w:t>
      </w:r>
    </w:p>
    <w:p>
      <w:pPr>
        <w:pStyle w:val="TextBody"/>
        <w:bidi w:val="0"/>
        <w:spacing w:lineRule="auto" w:line="288" w:before="0" w:after="200"/>
        <w:jc w:val="left"/>
        <w:rPr/>
      </w:pPr>
      <w:r>
        <w:rPr>
          <w:rFonts w:ascii="Arial;sans-serif" w:hAnsi="Arial;sans-serif"/>
          <w:b w:val="false"/>
          <w:color w:val="000000"/>
          <w:sz w:val="20"/>
        </w:rPr>
        <w:t>On October 28, 2021, we drew $12.0 million under the Term Note to finance the acquisition of Videology</w:t>
      </w:r>
      <w:r>
        <w:rPr>
          <w:rFonts w:ascii="Arial;sans-serif" w:hAnsi="Arial;sans-serif"/>
          <w:b w:val="false"/>
          <w:color w:val="000000"/>
          <w:sz w:val="13"/>
        </w:rPr>
        <w:t>®</w:t>
      </w:r>
      <w:r>
        <w:rPr>
          <w:rFonts w:ascii="Arial;sans-serif" w:hAnsi="Arial;sans-serif"/>
          <w:b w:val="false"/>
          <w:color w:val="000000"/>
          <w:sz w:val="20"/>
        </w:rPr>
        <w:t>.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March 31, 2025, it was approximately 6.5% based on current leverage.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annual maturities for the balance of the Term Note:</w:t>
      </w:r>
    </w:p>
    <w:tbl>
      <w:tblPr>
        <w:tblW w:w="5238" w:type="dxa"/>
        <w:jc w:val="center"/>
        <w:tblInd w:w="0" w:type="dxa"/>
        <w:tblLayout w:type="fixed"/>
        <w:tblCellMar>
          <w:top w:w="28" w:type="dxa"/>
          <w:left w:w="28" w:type="dxa"/>
          <w:bottom w:w="28" w:type="dxa"/>
          <w:right w:w="28" w:type="dxa"/>
        </w:tblCellMar>
      </w:tblPr>
      <w:tblGrid>
        <w:gridCol w:w="1410"/>
        <w:gridCol w:w="1244"/>
        <w:gridCol w:w="1246"/>
        <w:gridCol w:w="109"/>
        <w:gridCol w:w="109"/>
        <w:gridCol w:w="109"/>
        <w:gridCol w:w="211"/>
        <w:gridCol w:w="646"/>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remaining maturities of our Term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Alfamation™ Debt</w:t>
      </w:r>
    </w:p>
    <w:p>
      <w:pPr>
        <w:pStyle w:val="TextBody"/>
        <w:bidi w:val="0"/>
        <w:spacing w:lineRule="auto" w:line="288" w:before="0" w:after="200"/>
        <w:jc w:val="left"/>
        <w:rPr/>
      </w:pPr>
      <w:r>
        <w:rPr>
          <w:rFonts w:ascii="Arial;sans-serif" w:hAnsi="Arial;sans-serif"/>
          <w:b w:val="false"/>
          <w:color w:val="000000"/>
          <w:sz w:val="20"/>
        </w:rPr>
        <w:t>In connection with the acquisition of Alfamation™ (see “</w:t>
      </w:r>
      <w:r>
        <w:rPr>
          <w:rFonts w:ascii="Arial;sans-serif" w:hAnsi="Arial;sans-serif"/>
          <w:b/>
          <w:color w:val="000000"/>
          <w:sz w:val="20"/>
        </w:rPr>
        <w:t>Note (3) Acquisition</w:t>
      </w:r>
      <w:r>
        <w:rPr>
          <w:color w:val="000000"/>
        </w:rPr>
        <w:t>”</w:t>
      </w:r>
      <w:r>
        <w:rPr>
          <w:rFonts w:ascii="Arial;sans-serif" w:hAnsi="Arial;sans-serif"/>
          <w:b w:val="false"/>
          <w:color w:val="000000"/>
          <w:sz w:val="20"/>
        </w:rPr>
        <w:t>), we assumed debt which totaled $11.3 million as of the acquisition date. At March 31, 2025, Alfamation™’s total debt amounted to $4.9 million. This debt is comprised of both fixed and variable rate bank issued term loans as well as $1.1 million of short-term variable rate financing backed by Alfamation™’s accounts receivable. This debt is spread across several different institutions with monthly, quarterly or semi-annual repayment schedules. The short-term variable financing rate at March 31, 2025, was 3.5%. At March 31, 2025, the weighted average interest rate payable on the bank issued term loans was was 1.1% for fixed rate debt and 4.0% for variable rate debt and the overall weighted average interest rate for the bank issued term loans was 3.3%.</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maturities of this debt for each of the next four years:</w:t>
      </w:r>
    </w:p>
    <w:tbl>
      <w:tblPr>
        <w:tblW w:w="5957" w:type="dxa"/>
        <w:jc w:val="center"/>
        <w:tblInd w:w="0" w:type="dxa"/>
        <w:tblLayout w:type="fixed"/>
        <w:tblCellMar>
          <w:top w:w="28" w:type="dxa"/>
          <w:left w:w="28" w:type="dxa"/>
          <w:bottom w:w="28" w:type="dxa"/>
          <w:right w:w="28" w:type="dxa"/>
        </w:tblCellMar>
      </w:tblPr>
      <w:tblGrid>
        <w:gridCol w:w="1670"/>
        <w:gridCol w:w="1473"/>
        <w:gridCol w:w="1476"/>
        <w:gridCol w:w="109"/>
        <w:gridCol w:w="109"/>
        <w:gridCol w:w="109"/>
        <w:gridCol w:w="211"/>
        <w:gridCol w:w="646"/>
        <w:gridCol w:w="154"/>
      </w:tblGrid>
      <w:tr>
        <w:trPr/>
        <w:tc>
          <w:tcPr>
            <w:tcW w:w="167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Total remaining maturities of our Alfamation</w:t>
            </w:r>
            <w:r>
              <w:rPr>
                <w:color w:val="000000"/>
              </w:rPr>
              <w:t xml:space="preserve">™ </w:t>
            </w:r>
            <w:r>
              <w:rPr>
                <w:rFonts w:ascii="Arial;sans-serif" w:hAnsi="Arial;sans-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interest expense for the three months ended March 31, 2025 and 2024, related to our various debt arrangements was $0.2 million and $0.1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(11)    REVENUE FROM CONTRACTS WITH CUSTOMERS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Disaggregation of Revenue</w:t>
      </w:r>
    </w:p>
    <w:p>
      <w:pPr>
        <w:pStyle w:val="TextBody"/>
        <w:bidi w:val="0"/>
        <w:spacing w:lineRule="auto" w:line="288" w:before="0" w:after="200"/>
        <w:jc w:val="left"/>
        <w:rPr/>
      </w:pPr>
      <w:r>
        <w:rPr>
          <w:rFonts w:ascii="Arial;sans-serif" w:hAnsi="Arial;sans-serif"/>
          <w:b w:val="false"/>
          <w:color w:val="000000"/>
          <w:sz w:val="20"/>
        </w:rPr>
        <w:t>The following tables provide additional information about our revenue from contracts with customers, including revenue by customer and product type and revenue by market. See “</w:t>
      </w:r>
      <w:r>
        <w:rPr>
          <w:rFonts w:ascii="Arial;sans-serif" w:hAnsi="Arial;sans-serif"/>
          <w:b/>
          <w:color w:val="000000"/>
          <w:sz w:val="20"/>
        </w:rPr>
        <w:t>Note (18) Segment Information</w:t>
      </w:r>
      <w:r>
        <w:rPr>
          <w:color w:val="000000"/>
        </w:rPr>
        <w:t xml:space="preserve">” </w:t>
      </w:r>
      <w:r>
        <w:rPr>
          <w:rFonts w:ascii="Arial;sans-serif" w:hAnsi="Arial;sans-serif"/>
          <w:b w:val="false"/>
          <w:color w:val="000000"/>
          <w:sz w:val="20"/>
        </w:rPr>
        <w:t>for information about revenue by operating segment and geographic region.</w:t>
      </w:r>
    </w:p>
    <w:tbl>
      <w:tblPr>
        <w:tblW w:w="6009" w:type="dxa"/>
        <w:jc w:val="center"/>
        <w:tblInd w:w="0" w:type="dxa"/>
        <w:tblLayout w:type="fixed"/>
        <w:tblCellMar>
          <w:top w:w="28" w:type="dxa"/>
          <w:left w:w="28" w:type="dxa"/>
          <w:bottom w:w="28" w:type="dxa"/>
          <w:right w:w="28" w:type="dxa"/>
        </w:tblCellMar>
      </w:tblPr>
      <w:tblGrid>
        <w:gridCol w:w="954"/>
        <w:gridCol w:w="842"/>
        <w:gridCol w:w="844"/>
        <w:gridCol w:w="109"/>
        <w:gridCol w:w="109"/>
        <w:gridCol w:w="109"/>
        <w:gridCol w:w="255"/>
        <w:gridCol w:w="909"/>
        <w:gridCol w:w="132"/>
        <w:gridCol w:w="132"/>
        <w:gridCol w:w="132"/>
        <w:gridCol w:w="132"/>
        <w:gridCol w:w="255"/>
        <w:gridCol w:w="909"/>
        <w:gridCol w:w="186"/>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customer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 user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OEM/Integrator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29,824 </w:t>
            </w:r>
          </w:p>
        </w:tc>
        <w:tc>
          <w:tcPr>
            <w:tcW w:w="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tbl>
      <w:tblPr>
        <w:tblW w:w="6526" w:type="dxa"/>
        <w:jc w:val="center"/>
        <w:tblInd w:w="0" w:type="dxa"/>
        <w:tblLayout w:type="fixed"/>
        <w:tblCellMar>
          <w:top w:w="28" w:type="dxa"/>
          <w:left w:w="28" w:type="dxa"/>
          <w:bottom w:w="28" w:type="dxa"/>
          <w:right w:w="28" w:type="dxa"/>
        </w:tblCellMar>
      </w:tblPr>
      <w:tblGrid>
        <w:gridCol w:w="1090"/>
        <w:gridCol w:w="961"/>
        <w:gridCol w:w="964"/>
        <w:gridCol w:w="109"/>
        <w:gridCol w:w="109"/>
        <w:gridCol w:w="109"/>
        <w:gridCol w:w="255"/>
        <w:gridCol w:w="909"/>
        <w:gridCol w:w="132"/>
        <w:gridCol w:w="203"/>
        <w:gridCol w:w="203"/>
        <w:gridCol w:w="132"/>
        <w:gridCol w:w="255"/>
        <w:gridCol w:w="909"/>
        <w:gridCol w:w="186"/>
      </w:tblGrid>
      <w:tr>
        <w:trPr/>
        <w:tc>
          <w:tcPr>
            <w:tcW w:w="109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53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product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test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10,955 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Semiconductor test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Video imaging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Flying probe and in-circuit testers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Alfamation</w:t>
            </w:r>
            <w:r>
              <w:rPr>
                <w:color w:val="000000"/>
              </w:rPr>
              <w:t xml:space="preserve">™ </w:t>
            </w:r>
            <w:r>
              <w:rPr>
                <w:rFonts w:ascii="Arial;sans-serif" w:hAnsi="Arial;sans-serif"/>
                <w:b w:val="false"/>
                <w:color w:val="000000"/>
                <w:sz w:val="20"/>
              </w:rPr>
              <w:t>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29,824 </w:t>
            </w:r>
          </w:p>
        </w:tc>
        <w:tc>
          <w:tcPr>
            <w:tcW w:w="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5319" w:type="dxa"/>
        <w:jc w:val="center"/>
        <w:tblInd w:w="0" w:type="dxa"/>
        <w:tblLayout w:type="fixed"/>
        <w:tblCellMar>
          <w:top w:w="28" w:type="dxa"/>
          <w:left w:w="28" w:type="dxa"/>
          <w:bottom w:w="28" w:type="dxa"/>
          <w:right w:w="28" w:type="dxa"/>
        </w:tblCellMar>
      </w:tblPr>
      <w:tblGrid>
        <w:gridCol w:w="705"/>
        <w:gridCol w:w="622"/>
        <w:gridCol w:w="623"/>
        <w:gridCol w:w="109"/>
        <w:gridCol w:w="109"/>
        <w:gridCol w:w="109"/>
        <w:gridCol w:w="255"/>
        <w:gridCol w:w="909"/>
        <w:gridCol w:w="132"/>
        <w:gridCol w:w="132"/>
        <w:gridCol w:w="132"/>
        <w:gridCol w:w="132"/>
        <w:gridCol w:w="255"/>
        <w:gridCol w:w="909"/>
        <w:gridCol w:w="186"/>
      </w:tblGrid>
      <w:tr>
        <w:trPr/>
        <w:tc>
          <w:tcPr>
            <w:tcW w:w="7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3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29,824 </w:t>
            </w:r>
          </w:p>
        </w:tc>
        <w:tc>
          <w:tcPr>
            <w:tcW w:w="18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Major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three months ended March 31, 2025, one customer accounted for 13% of our consolidated revenue. This revenue was primarily generated by our Electronic Test segment. During the three months ended March 31, 2024, this same customer accounted for 15% of our consolidated revenue.</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Contract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of March 31, 2025, and December 31, 2024, we had total contract liabilities of $6.3 million and $6.4 million, respectively. Our contract liabilities consist of our customer deposits and deferred revenue as well as deferred revenue net of current portion on our consolidated balance sheets. For the three months ended March 31, 2025, the amount recognized as revenue from the contract liabilities balance as of December 31, 2024, was $3.0 million, while for the three months ended March 31, 2024, the amount recognized as revenue from the contract liabilities balance as of December 31, 2023, was $2.5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Allowance for Credit Losses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Activity related to our allowance for credit losses was as follows:</w:t>
      </w:r>
    </w:p>
    <w:tbl>
      <w:tblPr>
        <w:tblW w:w="8350" w:type="dxa"/>
        <w:jc w:val="center"/>
        <w:tblInd w:w="0" w:type="dxa"/>
        <w:tblLayout w:type="fixed"/>
        <w:tblCellMar>
          <w:top w:w="28" w:type="dxa"/>
          <w:left w:w="28" w:type="dxa"/>
          <w:bottom w:w="28" w:type="dxa"/>
          <w:right w:w="28" w:type="dxa"/>
        </w:tblCellMar>
      </w:tblPr>
      <w:tblGrid>
        <w:gridCol w:w="1801"/>
        <w:gridCol w:w="1588"/>
        <w:gridCol w:w="1591"/>
        <w:gridCol w:w="109"/>
        <w:gridCol w:w="109"/>
        <w:gridCol w:w="109"/>
        <w:gridCol w:w="325"/>
        <w:gridCol w:w="742"/>
        <w:gridCol w:w="168"/>
        <w:gridCol w:w="168"/>
        <w:gridCol w:w="168"/>
        <w:gridCol w:w="168"/>
        <w:gridCol w:w="325"/>
        <w:gridCol w:w="742"/>
        <w:gridCol w:w="237"/>
      </w:tblGrid>
      <w:tr>
        <w:trPr/>
        <w:tc>
          <w:tcPr>
            <w:tcW w:w="180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loss expense, net of release of unused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(12)    EARNINGS (LOSS) PER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tbl>
      <w:tblPr>
        <w:tblW w:w="10205" w:type="dxa"/>
        <w:jc w:val="center"/>
        <w:tblInd w:w="0" w:type="dxa"/>
        <w:tblLayout w:type="fixed"/>
        <w:tblCellMar>
          <w:top w:w="28" w:type="dxa"/>
          <w:left w:w="28" w:type="dxa"/>
          <w:bottom w:w="28" w:type="dxa"/>
          <w:right w:w="28" w:type="dxa"/>
        </w:tblCellMar>
      </w:tblPr>
      <w:tblGrid>
        <w:gridCol w:w="2448"/>
        <w:gridCol w:w="2148"/>
        <w:gridCol w:w="2161"/>
        <w:gridCol w:w="109"/>
        <w:gridCol w:w="109"/>
        <w:gridCol w:w="109"/>
        <w:gridCol w:w="624"/>
        <w:gridCol w:w="276"/>
        <w:gridCol w:w="277"/>
        <w:gridCol w:w="227"/>
        <w:gridCol w:w="227"/>
        <w:gridCol w:w="227"/>
        <w:gridCol w:w="599"/>
        <w:gridCol w:w="273"/>
        <w:gridCol w:w="391"/>
      </w:tblGrid>
      <w:tr>
        <w:trPr/>
        <w:tc>
          <w:tcPr>
            <w:tcW w:w="244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12,179,418</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12,026,361</w:t>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Potentially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of restricted stock and employee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131,936</w:t>
            </w:r>
          </w:p>
        </w:tc>
      </w:tr>
      <w:tr>
        <w:trPr/>
        <w:tc>
          <w:tcPr>
            <w:tcW w:w="6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and common share equivalents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12,179,418</w:t>
            </w:r>
          </w:p>
        </w:tc>
        <w:tc>
          <w:tcPr>
            <w:tcW w:w="68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12,158,297</w:t>
            </w:r>
          </w:p>
        </w:tc>
      </w:tr>
      <w:tr>
        <w:trPr/>
        <w:tc>
          <w:tcPr>
            <w:tcW w:w="6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number of potentially dilutive securities excluded from calculation because their effect was anti-dilutive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877,624</w:t>
            </w:r>
          </w:p>
        </w:tc>
        <w:tc>
          <w:tcPr>
            <w:tcW w:w="681"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434,584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(13)    EQUITY</w:t>
      </w:r>
    </w:p>
    <w:p>
      <w:pPr>
        <w:pStyle w:val="TextBody"/>
        <w:bidi w:val="0"/>
        <w:spacing w:lineRule="auto" w:line="288" w:before="0" w:after="200"/>
        <w:jc w:val="left"/>
        <w:rPr/>
      </w:pPr>
      <w:r>
        <w:rPr>
          <w:rFonts w:ascii="Arial;sans-serif" w:hAnsi="Arial;sans-serif"/>
          <w:b w:val="false"/>
          <w:color w:val="000000"/>
          <w:sz w:val="20"/>
        </w:rPr>
        <w:t>On March 5, 2025, our Board of Directors authorized the renewal of our previously expired share repurchase plan (the “</w:t>
      </w:r>
      <w:r>
        <w:rPr>
          <w:rFonts w:ascii="Arial;sans-serif" w:hAnsi="Arial;sans-serif"/>
          <w:b/>
          <w:color w:val="000000"/>
          <w:sz w:val="20"/>
          <w:u w:val="single"/>
        </w:rPr>
        <w:t>Repurchase Plan</w:t>
      </w:r>
      <w:r>
        <w:rPr>
          <w:color w:val="000000"/>
        </w:rPr>
        <w:t>”</w:t>
      </w:r>
      <w:r>
        <w:rPr>
          <w:rFonts w:ascii="Arial;sans-serif" w:hAnsi="Arial;sans-serif"/>
          <w:b w:val="false"/>
          <w:color w:val="000000"/>
          <w:sz w:val="20"/>
        </w:rPr>
        <w:t>), whereby we may repurchase shares of our common stock on the open market with a total aggregate repurchase amount of up to $10.0 million. As of the renewal date, we had approximately $9.0 million available for repurchases under the Repurchase Plan. We are not obligated to purchase any common stock under the Repurchase Plan. Further, the Repurchase Plan may be suspended or discontinued at any time without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(14)    STOCK-BASED COMPENSATION PLAN</w:t>
      </w:r>
    </w:p>
    <w:p>
      <w:pPr>
        <w:pStyle w:val="TextBody"/>
        <w:bidi w:val="0"/>
        <w:spacing w:lineRule="auto" w:line="288" w:before="0" w:after="200"/>
        <w:jc w:val="left"/>
        <w:rPr/>
      </w:pPr>
      <w:r>
        <w:rPr>
          <w:rFonts w:ascii="Arial;sans-serif" w:hAnsi="Arial;sans-serif"/>
          <w:b w:val="false"/>
          <w:color w:val="000000"/>
          <w:sz w:val="20"/>
        </w:rPr>
        <w:t>As of March 31, 2025, we had unvested stock options, restricted stock awards, performance-based restricted stock awards and restricted stock units granted under our stock-based compensation plans. On June 21, 2023, our stockholders approved the InTest Corporation 2023 Stock Incentive Plan (the “</w:t>
      </w:r>
      <w:r>
        <w:rPr>
          <w:rFonts w:ascii="Arial;sans-serif" w:hAnsi="Arial;sans-serif"/>
          <w:b/>
          <w:color w:val="000000"/>
          <w:sz w:val="20"/>
          <w:u w:val="single"/>
        </w:rPr>
        <w:t>2023 Plan</w:t>
      </w:r>
      <w:r>
        <w:rPr>
          <w:color w:val="000000"/>
        </w:rPr>
        <w:t>”</w:t>
      </w:r>
      <w:r>
        <w:rPr>
          <w:rFonts w:ascii="Arial;sans-serif" w:hAnsi="Arial;sans-serif"/>
          <w:b w:val="false"/>
          <w:color w:val="000000"/>
          <w:sz w:val="20"/>
        </w:rPr>
        <w:t>) which replaced the Fourth Amended and Restated 2014 Stock Plan (the “</w:t>
      </w:r>
      <w:r>
        <w:rPr>
          <w:rFonts w:ascii="Arial;sans-serif" w:hAnsi="Arial;sans-serif"/>
          <w:b/>
          <w:color w:val="000000"/>
          <w:sz w:val="20"/>
          <w:u w:val="single"/>
        </w:rPr>
        <w:t>2014 Plan</w:t>
      </w:r>
      <w:r>
        <w:rPr>
          <w:color w:val="000000"/>
        </w:rPr>
        <w:t>”</w:t>
      </w:r>
      <w:r>
        <w:rPr>
          <w:rFonts w:ascii="Arial;sans-serif" w:hAnsi="Arial;sans-serif"/>
          <w:b w:val="false"/>
          <w:color w:val="000000"/>
          <w:sz w:val="20"/>
        </w:rPr>
        <w:t xml:space="preserve">). No further awards can be granted under the 2014 Plan. The maximum number of shares of common stock available for grant and issuance under the 2023 Plan is (a) 350,000, plus (b) the number of shares of common stock available for issuance under the 2014 Plan on the date the 2023 Plan was approved by stockholders, plus (c) any shares of common stock that are subject to awards granted under the 2014 Plan that expire, are forfeited or canceled or terminate for any other reason on or after the date the 2023 Plan was approved by stockholders, without the issuance of shares. The number of shares available to be issued under the 2023 Plan as of the date of its approval was 1,117,942. Consistent with prior years’ performance-based awards, we reserve additional shares in the event that the performance achieves maximum levels. As a result of current year’s activity with regard to performance-based restricted stock awards (grants and forfeitures), we have 56,279 shares reserved in aggregate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performance in excess of target as of March 31, 2025. As of March 31, 2025, the remaining authorization for issue under the 2023 Plan was 396,431.</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compensation expense we recorded during the three months ended March 31, 2025 and 2024, related to unvested restricted stock, performance-based restricted stock awards, restricted stock units and stock options:</w:t>
      </w:r>
    </w:p>
    <w:tbl>
      <w:tblPr>
        <w:tblW w:w="7554" w:type="dxa"/>
        <w:jc w:val="center"/>
        <w:tblInd w:w="0" w:type="dxa"/>
        <w:tblLayout w:type="fixed"/>
        <w:tblCellMar>
          <w:top w:w="28" w:type="dxa"/>
          <w:left w:w="28" w:type="dxa"/>
          <w:bottom w:w="28" w:type="dxa"/>
          <w:right w:w="28" w:type="dxa"/>
        </w:tblCellMar>
      </w:tblPr>
      <w:tblGrid>
        <w:gridCol w:w="1512"/>
        <w:gridCol w:w="1335"/>
        <w:gridCol w:w="1337"/>
        <w:gridCol w:w="109"/>
        <w:gridCol w:w="109"/>
        <w:gridCol w:w="109"/>
        <w:gridCol w:w="325"/>
        <w:gridCol w:w="742"/>
        <w:gridCol w:w="168"/>
        <w:gridCol w:w="168"/>
        <w:gridCol w:w="168"/>
        <w:gridCol w:w="168"/>
        <w:gridCol w:w="325"/>
        <w:gridCol w:w="742"/>
        <w:gridCol w:w="237"/>
      </w:tblGrid>
      <w:tr>
        <w:trPr/>
        <w:tc>
          <w:tcPr>
            <w:tcW w:w="151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50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6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6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23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As of March 31, 2025, total compensation expense to be recognized in future periods was $5.4 million. The weighted average period over which this expense is expected to be recognized was 2.9 years. There was no compensation expense capitalized in the three months ended March 31, 2025 or 2024.</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Stock Options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fair value for stock options granted during the three months ended March 31, 2025 and 2024 was estimated at the date of grant using the Black-Scholes option pricing model with the following weighted average assumptions:</w:t>
      </w:r>
    </w:p>
    <w:tbl>
      <w:tblPr>
        <w:tblW w:w="8454" w:type="dxa"/>
        <w:jc w:val="center"/>
        <w:tblInd w:w="0" w:type="dxa"/>
        <w:tblLayout w:type="fixed"/>
        <w:tblCellMar>
          <w:top w:w="28" w:type="dxa"/>
          <w:left w:w="28" w:type="dxa"/>
          <w:bottom w:w="28" w:type="dxa"/>
          <w:right w:w="28" w:type="dxa"/>
        </w:tblCellMar>
      </w:tblPr>
      <w:tblGrid>
        <w:gridCol w:w="1797"/>
        <w:gridCol w:w="1580"/>
        <w:gridCol w:w="1587"/>
        <w:gridCol w:w="109"/>
        <w:gridCol w:w="109"/>
        <w:gridCol w:w="109"/>
        <w:gridCol w:w="295"/>
        <w:gridCol w:w="246"/>
        <w:gridCol w:w="631"/>
        <w:gridCol w:w="240"/>
        <w:gridCol w:w="240"/>
        <w:gridCol w:w="240"/>
        <w:gridCol w:w="295"/>
        <w:gridCol w:w="246"/>
        <w:gridCol w:w="730"/>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6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7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7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common stock market price volatility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.59</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.57</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expected life of stock options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stock options for the three months ended March 31, 2025:</w:t>
      </w:r>
    </w:p>
    <w:tbl>
      <w:tblPr>
        <w:tblW w:w="10205" w:type="dxa"/>
        <w:jc w:val="center"/>
        <w:tblInd w:w="0" w:type="dxa"/>
        <w:tblLayout w:type="fixed"/>
        <w:tblCellMar>
          <w:top w:w="28" w:type="dxa"/>
          <w:left w:w="28" w:type="dxa"/>
          <w:bottom w:w="28" w:type="dxa"/>
          <w:right w:w="28" w:type="dxa"/>
        </w:tblCellMar>
      </w:tblPr>
      <w:tblGrid>
        <w:gridCol w:w="735"/>
        <w:gridCol w:w="645"/>
        <w:gridCol w:w="648"/>
        <w:gridCol w:w="109"/>
        <w:gridCol w:w="109"/>
        <w:gridCol w:w="109"/>
        <w:gridCol w:w="298"/>
        <w:gridCol w:w="298"/>
        <w:gridCol w:w="300"/>
        <w:gridCol w:w="109"/>
        <w:gridCol w:w="109"/>
        <w:gridCol w:w="109"/>
        <w:gridCol w:w="251"/>
        <w:gridCol w:w="770"/>
        <w:gridCol w:w="130"/>
        <w:gridCol w:w="109"/>
        <w:gridCol w:w="109"/>
        <w:gridCol w:w="109"/>
        <w:gridCol w:w="869"/>
        <w:gridCol w:w="869"/>
        <w:gridCol w:w="871"/>
        <w:gridCol w:w="109"/>
        <w:gridCol w:w="109"/>
        <w:gridCol w:w="109"/>
        <w:gridCol w:w="549"/>
        <w:gridCol w:w="1253"/>
        <w:gridCol w:w="411"/>
      </w:tblGrid>
      <w:tr>
        <w:trPr/>
        <w:tc>
          <w:tcPr>
            <w:tcW w:w="7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Weighted Average Remaining Contractual Term </w:t>
            </w:r>
            <w:r>
              <w:rPr>
                <w:rFonts w:ascii="Arial;sans-serif" w:hAnsi="Arial;sans-serif"/>
                <w:b/>
                <w:color w:val="000000"/>
                <w:sz w:val="16"/>
              </w:rPr>
              <w:t>(yrs)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Aggregate Intrinsic Value </w:t>
            </w:r>
            <w:r>
              <w:rPr>
                <w:rFonts w:ascii="Arial;sans-serif" w:hAnsi="Arial;sans-serif"/>
                <w:b/>
                <w:color w:val="000000"/>
                <w:sz w:val="16"/>
              </w:rPr>
              <w:t>(in thousands)</w:t>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3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Options outstanding, March 31,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to 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summarizes certain additional information with respect to our options:</w:t>
      </w:r>
    </w:p>
    <w:tbl>
      <w:tblPr>
        <w:tblW w:w="7746" w:type="dxa"/>
        <w:jc w:val="center"/>
        <w:tblInd w:w="0" w:type="dxa"/>
        <w:tblLayout w:type="fixed"/>
        <w:tblCellMar>
          <w:top w:w="28" w:type="dxa"/>
          <w:left w:w="28" w:type="dxa"/>
          <w:bottom w:w="28" w:type="dxa"/>
          <w:right w:w="28" w:type="dxa"/>
        </w:tblCellMar>
      </w:tblPr>
      <w:tblGrid>
        <w:gridCol w:w="1587"/>
        <w:gridCol w:w="1394"/>
        <w:gridCol w:w="1398"/>
        <w:gridCol w:w="109"/>
        <w:gridCol w:w="109"/>
        <w:gridCol w:w="109"/>
        <w:gridCol w:w="306"/>
        <w:gridCol w:w="786"/>
        <w:gridCol w:w="158"/>
        <w:gridCol w:w="158"/>
        <w:gridCol w:w="158"/>
        <w:gridCol w:w="158"/>
        <w:gridCol w:w="306"/>
        <w:gridCol w:w="786"/>
        <w:gridCol w:w="224"/>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option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grant date fair value per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5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22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intrinsic value of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Restricted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restricted stock awards for the three months ended March 31, 2025:</w:t>
      </w:r>
    </w:p>
    <w:tbl>
      <w:tblPr>
        <w:tblW w:w="6937" w:type="dxa"/>
        <w:jc w:val="center"/>
        <w:tblInd w:w="0" w:type="dxa"/>
        <w:tblLayout w:type="fixed"/>
        <w:tblCellMar>
          <w:top w:w="28" w:type="dxa"/>
          <w:left w:w="28" w:type="dxa"/>
          <w:bottom w:w="28" w:type="dxa"/>
          <w:right w:w="28" w:type="dxa"/>
        </w:tblCellMar>
      </w:tblPr>
      <w:tblGrid>
        <w:gridCol w:w="1512"/>
        <w:gridCol w:w="1325"/>
        <w:gridCol w:w="1332"/>
        <w:gridCol w:w="109"/>
        <w:gridCol w:w="109"/>
        <w:gridCol w:w="109"/>
        <w:gridCol w:w="329"/>
        <w:gridCol w:w="329"/>
        <w:gridCol w:w="331"/>
        <w:gridCol w:w="109"/>
        <w:gridCol w:w="109"/>
        <w:gridCol w:w="109"/>
        <w:gridCol w:w="234"/>
        <w:gridCol w:w="719"/>
        <w:gridCol w:w="172"/>
      </w:tblGrid>
      <w:tr>
        <w:trPr/>
        <w:tc>
          <w:tcPr>
            <w:tcW w:w="151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outstanding,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restricted stock awards is summarized as follows:</w:t>
      </w:r>
    </w:p>
    <w:tbl>
      <w:tblPr>
        <w:tblW w:w="7044"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325"/>
        <w:gridCol w:w="742"/>
        <w:gridCol w:w="168"/>
        <w:gridCol w:w="168"/>
        <w:gridCol w:w="168"/>
        <w:gridCol w:w="168"/>
        <w:gridCol w:w="325"/>
        <w:gridCol w:w="742"/>
        <w:gridCol w:w="237"/>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RSA’s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6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2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Performance-Based Restricted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January 16, 2024, the newly appointed president of our Process Technologies segment received performance-based restricted stock awards totaling 8,231 shares valued at $0.1 million as of the date of grant. These shares vest on the third anniversary of the grant date at a vesting percentage that could range from 0% to 150% of the number of shares of restricted stock awarded on January 16, 2024. The final vesting percentage will be based on the achievement of certain performance metrics including revenue and income from operations for specified time periods. As of March 31, 2025, we have estimated that these shares will vest at 100% of the original amount.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6, 2024, our CEO, CFO and the Division Presidents of our three operating segments received restricted stock awards totaling 33,539 shares valued at $0.4 million as of the date of grant. These shares vest on the third anniversary of the grant date at a vesting percentage that could range from 0% to 150% of the number of shares awarded on March 6, 2024. The final vesting percentage will be based on the achievement of certain performance metrics related to adjusted EBITDA for the year ended December 31, 2026, as determined by the Compensation Committee of our Board of Directors. At March 31, 2025, we have estimated that these shares will vest at 100% of the original amount based on our assessment of the probable achievement against the relevant performance metrics.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March 17, 2025, our CEO, CFO and the Division Presidents of our three operating segments received restricted stock awards totaling 49,098 shares valued at $0.4 million as of the date of grant. These shares vest on the third anniversary of the grant date at a vesting percentage that could range from 0% to 150% of the number of shares awarded on March 17, 2025. The final vesting percentage will be based on the achievement of certain performance metrics related to the percentage of revenue received by us generated by recurring revenue streams for the year ended December 31, 2027, as determined by the Compensation Committee of our Board of Directors. At March 31, 2025, we have estimated that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shares will vest at 100% of the original amount based on our assessment of the probable achievement against the relevant performance metrics.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performance-based restricted stock awards for the three months ended March 31, 2025:</w:t>
      </w:r>
    </w:p>
    <w:tbl>
      <w:tblPr>
        <w:tblW w:w="6937" w:type="dxa"/>
        <w:jc w:val="center"/>
        <w:tblInd w:w="0" w:type="dxa"/>
        <w:tblLayout w:type="fixed"/>
        <w:tblCellMar>
          <w:top w:w="28" w:type="dxa"/>
          <w:left w:w="28" w:type="dxa"/>
          <w:bottom w:w="28" w:type="dxa"/>
          <w:right w:w="28" w:type="dxa"/>
        </w:tblCellMar>
      </w:tblPr>
      <w:tblGrid>
        <w:gridCol w:w="1512"/>
        <w:gridCol w:w="1325"/>
        <w:gridCol w:w="1332"/>
        <w:gridCol w:w="109"/>
        <w:gridCol w:w="109"/>
        <w:gridCol w:w="109"/>
        <w:gridCol w:w="329"/>
        <w:gridCol w:w="329"/>
        <w:gridCol w:w="331"/>
        <w:gridCol w:w="109"/>
        <w:gridCol w:w="109"/>
        <w:gridCol w:w="109"/>
        <w:gridCol w:w="234"/>
        <w:gridCol w:w="719"/>
        <w:gridCol w:w="172"/>
      </w:tblGrid>
      <w:tr>
        <w:trPr/>
        <w:tc>
          <w:tcPr>
            <w:tcW w:w="151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12.53 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outstanding,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performance-based restricted stock awards is summarized as follows:</w:t>
      </w:r>
    </w:p>
    <w:tbl>
      <w:tblPr>
        <w:tblW w:w="7042"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338"/>
        <w:gridCol w:w="651"/>
        <w:gridCol w:w="174"/>
        <w:gridCol w:w="174"/>
        <w:gridCol w:w="174"/>
        <w:gridCol w:w="174"/>
        <w:gridCol w:w="338"/>
        <w:gridCol w:w="771"/>
        <w:gridCol w:w="247"/>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PSA’s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Restricted Stock Units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began issuing restricted stock units to certain employees in 2025. The following table summarizes the activity related to unvested restricted stock awards for the three months ended March 31, 2025:</w:t>
      </w:r>
    </w:p>
    <w:tbl>
      <w:tblPr>
        <w:tblW w:w="6936" w:type="dxa"/>
        <w:jc w:val="center"/>
        <w:tblInd w:w="0" w:type="dxa"/>
        <w:tblLayout w:type="fixed"/>
        <w:tblCellMar>
          <w:top w:w="28" w:type="dxa"/>
          <w:left w:w="28" w:type="dxa"/>
          <w:bottom w:w="28" w:type="dxa"/>
          <w:right w:w="28" w:type="dxa"/>
        </w:tblCellMar>
      </w:tblPr>
      <w:tblGrid>
        <w:gridCol w:w="1512"/>
        <w:gridCol w:w="1325"/>
        <w:gridCol w:w="1332"/>
        <w:gridCol w:w="109"/>
        <w:gridCol w:w="109"/>
        <w:gridCol w:w="109"/>
        <w:gridCol w:w="329"/>
        <w:gridCol w:w="329"/>
        <w:gridCol w:w="331"/>
        <w:gridCol w:w="109"/>
        <w:gridCol w:w="109"/>
        <w:gridCol w:w="109"/>
        <w:gridCol w:w="261"/>
        <w:gridCol w:w="671"/>
        <w:gridCol w:w="192"/>
      </w:tblGrid>
      <w:tr>
        <w:trPr/>
        <w:tc>
          <w:tcPr>
            <w:tcW w:w="151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outstanding,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 RSUs vested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(15)    EMPLOYEE STOCK PURCHASE PLAN</w:t>
      </w:r>
    </w:p>
    <w:p>
      <w:pPr>
        <w:pStyle w:val="TextBody"/>
        <w:bidi w:val="0"/>
        <w:spacing w:lineRule="auto" w:line="288" w:before="0" w:after="200"/>
        <w:jc w:val="left"/>
        <w:rPr/>
      </w:pPr>
      <w:r>
        <w:rPr>
          <w:rFonts w:ascii="Arial;sans-serif" w:hAnsi="Arial;sans-serif"/>
          <w:b w:val="false"/>
          <w:color w:val="000000"/>
          <w:sz w:val="20"/>
        </w:rPr>
        <w:t>The InTest Corporation Employee Stock Purchase Plan (the “</w:t>
      </w:r>
      <w:r>
        <w:rPr>
          <w:rFonts w:ascii="Arial;sans-serif" w:hAnsi="Arial;sans-serif"/>
          <w:b/>
          <w:color w:val="000000"/>
          <w:sz w:val="20"/>
          <w:u w:val="single"/>
        </w:rPr>
        <w:t>ESPP</w:t>
      </w:r>
      <w:r>
        <w:rPr>
          <w:color w:val="000000"/>
        </w:rPr>
        <w:t>”</w:t>
      </w:r>
      <w:r>
        <w:rPr>
          <w:rFonts w:ascii="Arial;sans-serif" w:hAnsi="Arial;sans-serif"/>
          <w:b w:val="false"/>
          <w:color w:val="000000"/>
          <w:sz w:val="20"/>
        </w:rPr>
        <w:t>) was adopted by the Board in April 2021 subject to approval by our stockholders, which occurred on June 23, 2021, at our Annual Meeting of Stockholders and became effective on October 1, 2021.</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ESPP provides our eligible employees with an opportunity to purchase common stock through accumulated payroll deductions at a 15% discount from the closing market price on the purchase date. The discount is recorded as a component of compensation expense in our consolidated statements of operations. 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activity in our ESPP was as follows:</w:t>
      </w:r>
    </w:p>
    <w:tbl>
      <w:tblPr>
        <w:tblW w:w="7672" w:type="dxa"/>
        <w:jc w:val="center"/>
        <w:tblInd w:w="0" w:type="dxa"/>
        <w:tblLayout w:type="fixed"/>
        <w:tblCellMar>
          <w:top w:w="28" w:type="dxa"/>
          <w:left w:w="28" w:type="dxa"/>
          <w:bottom w:w="28" w:type="dxa"/>
          <w:right w:w="28" w:type="dxa"/>
        </w:tblCellMar>
      </w:tblPr>
      <w:tblGrid>
        <w:gridCol w:w="1557"/>
        <w:gridCol w:w="1372"/>
        <w:gridCol w:w="1376"/>
        <w:gridCol w:w="109"/>
        <w:gridCol w:w="109"/>
        <w:gridCol w:w="109"/>
        <w:gridCol w:w="292"/>
        <w:gridCol w:w="749"/>
        <w:gridCol w:w="150"/>
        <w:gridCol w:w="150"/>
        <w:gridCol w:w="150"/>
        <w:gridCol w:w="150"/>
        <w:gridCol w:w="292"/>
        <w:gridCol w:w="894"/>
        <w:gridCol w:w="213"/>
      </w:tblGrid>
      <w:tr>
        <w:trPr/>
        <w:tc>
          <w:tcPr>
            <w:tcW w:w="155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shares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Closing market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price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discount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(16)    RESTRUCTURING</w:t>
      </w:r>
    </w:p>
    <w:p>
      <w:pPr>
        <w:pStyle w:val="TextBody"/>
        <w:bidi w:val="0"/>
        <w:spacing w:lineRule="auto" w:line="288" w:before="0" w:after="200"/>
        <w:jc w:val="left"/>
        <w:rPr/>
      </w:pPr>
      <w:r>
        <w:rPr>
          <w:rFonts w:ascii="Arial;sans-serif" w:hAnsi="Arial;sans-serif"/>
          <w:b w:val="false"/>
          <w:color w:val="000000"/>
          <w:sz w:val="20"/>
        </w:rPr>
        <w:t>On February 25, 2025, we notified employees of our wholly-owned subsidiary, Videology Imaging Corporation, of our intention to consolidate all operations in the Netherlands into our facility located in Mansfield, Massachusetts (the “</w:t>
      </w:r>
      <w:r>
        <w:rPr>
          <w:rFonts w:ascii="Arial;sans-serif" w:hAnsi="Arial;sans-serif"/>
          <w:b/>
          <w:color w:val="000000"/>
          <w:sz w:val="20"/>
          <w:u w:val="single"/>
        </w:rPr>
        <w:t>Videology Consolidation</w:t>
      </w:r>
      <w:r>
        <w:rPr>
          <w:color w:val="000000"/>
        </w:rPr>
        <w:t>”</w:t>
      </w:r>
      <w:r>
        <w:rPr>
          <w:rFonts w:ascii="Arial;sans-serif" w:hAnsi="Arial;sans-serif"/>
          <w:b w:val="false"/>
          <w:color w:val="000000"/>
          <w:sz w:val="20"/>
        </w:rPr>
        <w:t>). Videology</w:t>
      </w:r>
      <w:r>
        <w:rPr>
          <w:rFonts w:ascii="Arial;sans-serif" w:hAnsi="Arial;sans-serif"/>
          <w:b w:val="false"/>
          <w:color w:val="000000"/>
          <w:sz w:val="13"/>
        </w:rPr>
        <w:t xml:space="preserve">® </w:t>
      </w:r>
      <w:r>
        <w:rPr>
          <w:rFonts w:ascii="Arial;sans-serif" w:hAnsi="Arial;sans-serif"/>
          <w:b w:val="false"/>
          <w:color w:val="000000"/>
          <w:sz w:val="20"/>
        </w:rPr>
        <w:t>is included in our Process Technologies segment. This plan would result in the closure of the Netherlands facility and the termination of certain employees at that location. The Videology Consolidation of the Netherlands operations is being undertaken to increase efficiencies and lower operating costs associated with the current operation of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is expected to be substantially completed by the end of 2025 at which point we intend to fully vacate the Netherlands facility.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a result of this action, we expect to incur cash charges for severance and other one-time termination benefits of $350 thousand. In addition, we expect to incur cash charges for other costs related to the facility consolidation, including moving costs, costs associated with the termination of the Netherlands facility lease and other consolidation costs, ranging from $200 thousand to $300 thousand.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recognized restructuring expenses related to the Videology Consolidation as follows:</w:t>
      </w:r>
    </w:p>
    <w:tbl>
      <w:tblPr>
        <w:tblW w:w="6821" w:type="dxa"/>
        <w:jc w:val="center"/>
        <w:tblInd w:w="0" w:type="dxa"/>
        <w:tblLayout w:type="fixed"/>
        <w:tblCellMar>
          <w:top w:w="28" w:type="dxa"/>
          <w:left w:w="28" w:type="dxa"/>
          <w:bottom w:w="28" w:type="dxa"/>
          <w:right w:w="28" w:type="dxa"/>
        </w:tblCellMar>
      </w:tblPr>
      <w:tblGrid>
        <w:gridCol w:w="1074"/>
        <w:gridCol w:w="947"/>
        <w:gridCol w:w="949"/>
        <w:gridCol w:w="109"/>
        <w:gridCol w:w="109"/>
        <w:gridCol w:w="109"/>
        <w:gridCol w:w="879"/>
        <w:gridCol w:w="2004"/>
        <w:gridCol w:w="641"/>
      </w:tblGrid>
      <w:tr>
        <w:trPr/>
        <w:tc>
          <w:tcPr>
            <w:tcW w:w="107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 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0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6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Payroll taxes and payroll related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Our restructuring accrual is included as a component of accrued expenses and other current liabilities:</w:t>
      </w:r>
    </w:p>
    <w:tbl>
      <w:tblPr>
        <w:tblW w:w="5560" w:type="dxa"/>
        <w:jc w:val="center"/>
        <w:tblInd w:w="0" w:type="dxa"/>
        <w:tblLayout w:type="fixed"/>
        <w:tblCellMar>
          <w:top w:w="28" w:type="dxa"/>
          <w:left w:w="28" w:type="dxa"/>
          <w:bottom w:w="28" w:type="dxa"/>
          <w:right w:w="28" w:type="dxa"/>
        </w:tblCellMar>
      </w:tblPr>
      <w:tblGrid>
        <w:gridCol w:w="618"/>
        <w:gridCol w:w="545"/>
        <w:gridCol w:w="546"/>
        <w:gridCol w:w="109"/>
        <w:gridCol w:w="109"/>
        <w:gridCol w:w="109"/>
        <w:gridCol w:w="879"/>
        <w:gridCol w:w="2004"/>
        <w:gridCol w:w="641"/>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 2025</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0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(17)    EMPLOYEE BENEFIT PLANS</w:t>
      </w:r>
    </w:p>
    <w:p>
      <w:pPr>
        <w:pStyle w:val="TextBody"/>
        <w:bidi w:val="0"/>
        <w:spacing w:lineRule="auto" w:line="288" w:before="0" w:after="200"/>
        <w:jc w:val="left"/>
        <w:rPr/>
      </w:pPr>
      <w:r>
        <w:rPr>
          <w:rFonts w:ascii="Arial;sans-serif" w:hAnsi="Arial;sans-serif"/>
          <w:b w:val="false"/>
          <w:color w:val="000000"/>
          <w:sz w:val="20"/>
        </w:rPr>
        <w:t>The InTest Corporation Incentive Savings Plan is a defined contribution 401(k) plan for our employees who work in the U.S. (the “</w:t>
      </w:r>
      <w:r>
        <w:rPr>
          <w:rFonts w:ascii="Arial;sans-serif" w:hAnsi="Arial;sans-serif"/>
          <w:b/>
          <w:color w:val="000000"/>
          <w:sz w:val="20"/>
          <w:u w:val="single"/>
        </w:rPr>
        <w:t>InTest Savings Plan</w:t>
      </w:r>
      <w:r>
        <w:rPr>
          <w:color w:val="000000"/>
        </w:rPr>
        <w:t>”</w:t>
      </w:r>
      <w:r>
        <w:rPr>
          <w:rFonts w:ascii="Arial;sans-serif" w:hAnsi="Arial;sans-serif"/>
          <w:b w:val="false"/>
          <w:color w:val="000000"/>
          <w:sz w:val="20"/>
        </w:rPr>
        <w:t>). As of March 31, 2025, all permanent employees of Acculogic Ltd, Ambrell</w:t>
      </w:r>
      <w:r>
        <w:rPr>
          <w:rFonts w:ascii="Arial;sans-serif" w:hAnsi="Arial;sans-serif"/>
          <w:b w:val="false"/>
          <w:color w:val="000000"/>
          <w:sz w:val="13"/>
        </w:rPr>
        <w:t>®</w:t>
      </w:r>
      <w:r>
        <w:rPr>
          <w:rFonts w:ascii="Arial;sans-serif" w:hAnsi="Arial;sans-serif"/>
          <w:b w:val="false"/>
          <w:color w:val="000000"/>
          <w:sz w:val="20"/>
        </w:rPr>
        <w:t>, InTest Corporation, InTest EMS LLC, Temptronic Corporation and Videology</w:t>
      </w:r>
      <w:r>
        <w:rPr>
          <w:rFonts w:ascii="Arial;sans-serif" w:hAnsi="Arial;sans-serif"/>
          <w:b w:val="false"/>
          <w:color w:val="000000"/>
          <w:sz w:val="13"/>
        </w:rPr>
        <w:t>®</w:t>
      </w:r>
      <w:r>
        <w:rPr>
          <w:rFonts w:ascii="Arial;sans-serif" w:hAnsi="Arial;sans-serif"/>
          <w:b w:val="false"/>
          <w:color w:val="000000"/>
          <w:sz w:val="20"/>
        </w:rPr>
        <w:t>, who are at least 18 years of age, are eligible to participate in the InTest Savings Plan. We match employee contributions dollar for dollar up to 10% of the employee's annual compensation, with a maximum limit of $5 thousand. Employer contributions vest ratably over four years. Matching contributions are discretionary.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recorded expense for matching contributions as follows:</w:t>
      </w:r>
    </w:p>
    <w:tbl>
      <w:tblPr>
        <w:tblW w:w="7510" w:type="dxa"/>
        <w:jc w:val="center"/>
        <w:tblInd w:w="0" w:type="dxa"/>
        <w:tblLayout w:type="fixed"/>
        <w:tblCellMar>
          <w:top w:w="28" w:type="dxa"/>
          <w:left w:w="28" w:type="dxa"/>
          <w:bottom w:w="28" w:type="dxa"/>
          <w:right w:w="28" w:type="dxa"/>
        </w:tblCellMar>
      </w:tblPr>
      <w:tblGrid>
        <w:gridCol w:w="1497"/>
        <w:gridCol w:w="1320"/>
        <w:gridCol w:w="1323"/>
        <w:gridCol w:w="109"/>
        <w:gridCol w:w="109"/>
        <w:gridCol w:w="109"/>
        <w:gridCol w:w="325"/>
        <w:gridCol w:w="742"/>
        <w:gridCol w:w="168"/>
        <w:gridCol w:w="168"/>
        <w:gridCol w:w="168"/>
        <w:gridCol w:w="168"/>
        <w:gridCol w:w="325"/>
        <w:gridCol w:w="742"/>
        <w:gridCol w:w="237"/>
      </w:tblGrid>
      <w:tr>
        <w:trPr/>
        <w:tc>
          <w:tcPr>
            <w:tcW w:w="149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Discretionary employer matching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Employees of Alfamation™ in Italy are entitled to Trattamento di Fine Rapporto (“TFR”), commonly referred to as an employee leaving indemnity, which represents deferred compensation for employees. Under Italian law, an entity is obligated to accrue for TFR on an individual employee basis payable to each individual upon termination of employment (including both voluntary and involuntary dismissal). The expense is recognized in personnel costs in our consolidated statements of operations and the required accrual is included in Other Liabilities on our consolidated balance sheets. At March 31, 2025, the amount recorded in Other Liabilities for TFR was $1.4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(18)    SEGMENT INFORMATION</w:t>
      </w:r>
    </w:p>
    <w:p>
      <w:pPr>
        <w:pStyle w:val="TextBody"/>
        <w:bidi w:val="0"/>
        <w:spacing w:lineRule="auto" w:line="288" w:before="0" w:after="200"/>
        <w:jc w:val="left"/>
        <w:rPr/>
      </w:pPr>
      <w:r>
        <w:rPr>
          <w:rFonts w:ascii="Arial;sans-serif" w:hAnsi="Arial;sans-serif"/>
          <w:b w:val="false"/>
          <w:color w:val="000000"/>
          <w:sz w:val="20"/>
        </w:rPr>
        <w:t>We have three operating segments which are also our reportable segments and reporting units: Electronic Test (which includes our semiconductor test equipment, flying probe and in-circuit testers and the operations of Alfamation™ which we acquired on March 12, 2024 - see “</w:t>
      </w:r>
      <w:r>
        <w:rPr>
          <w:rFonts w:ascii="Arial;sans-serif" w:hAnsi="Arial;sans-serif"/>
          <w:b/>
          <w:color w:val="000000"/>
          <w:sz w:val="20"/>
        </w:rPr>
        <w:t>Note (3) Acquisition</w:t>
      </w:r>
      <w:r>
        <w:rPr>
          <w:color w:val="000000"/>
        </w:rPr>
        <w:t>”</w:t>
      </w:r>
      <w:r>
        <w:rPr>
          <w:rFonts w:ascii="Arial;sans-serif" w:hAnsi="Arial;sans-serif"/>
          <w:b w:val="false"/>
          <w:color w:val="000000"/>
          <w:sz w:val="20"/>
        </w:rPr>
        <w:t>), Environmental Technologies (which includes our thermal test, process and storage products) and Process Technologies (which includes our induction heating and video imaging products). We operate our business worldwide and sell our products both domestically and internationally. All of our segments sell to semiconductor manufacturers, third-party test and assembly houses and ATE manufacturers and to a variety of markets outside of the semi market, including the auto/EV, defense/aerospace, industrial, life sciences, safety/security and other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interest expense, other income (expense), corporate expenses, restructuring costs and acquired intangible amortization.</w:t>
      </w:r>
    </w:p>
    <w:tbl>
      <w:tblPr>
        <w:tblW w:w="10205" w:type="dxa"/>
        <w:jc w:val="center"/>
        <w:tblInd w:w="0" w:type="dxa"/>
        <w:tblLayout w:type="fixed"/>
        <w:tblCellMar>
          <w:top w:w="28" w:type="dxa"/>
          <w:left w:w="28" w:type="dxa"/>
          <w:bottom w:w="28" w:type="dxa"/>
          <w:right w:w="28" w:type="dxa"/>
        </w:tblCellMar>
      </w:tblPr>
      <w:tblGrid>
        <w:gridCol w:w="1218"/>
        <w:gridCol w:w="852"/>
        <w:gridCol w:w="847"/>
        <w:gridCol w:w="211"/>
        <w:gridCol w:w="721"/>
        <w:gridCol w:w="109"/>
        <w:gridCol w:w="109"/>
        <w:gridCol w:w="109"/>
        <w:gridCol w:w="109"/>
        <w:gridCol w:w="304"/>
        <w:gridCol w:w="889"/>
        <w:gridCol w:w="158"/>
        <w:gridCol w:w="109"/>
        <w:gridCol w:w="109"/>
        <w:gridCol w:w="109"/>
        <w:gridCol w:w="280"/>
        <w:gridCol w:w="820"/>
        <w:gridCol w:w="146"/>
        <w:gridCol w:w="109"/>
        <w:gridCol w:w="109"/>
        <w:gridCol w:w="109"/>
        <w:gridCol w:w="225"/>
        <w:gridCol w:w="722"/>
        <w:gridCol w:w="116"/>
        <w:gridCol w:w="109"/>
        <w:gridCol w:w="109"/>
        <w:gridCol w:w="109"/>
        <w:gridCol w:w="247"/>
        <w:gridCol w:w="847"/>
        <w:gridCol w:w="185"/>
      </w:tblGrid>
      <w:tr>
        <w:trPr/>
        <w:tc>
          <w:tcPr>
            <w:tcW w:w="121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 2025</w:t>
            </w:r>
          </w:p>
        </w:tc>
      </w:tr>
      <w:tr>
        <w:trPr/>
        <w:tc>
          <w:tcPr>
            <w:tcW w:w="2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7,110 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26,637 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(255)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207</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633</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(255)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207</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(3,514)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(2,881)</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(Loss) earnings before income tax (benefit)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207</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(3,422)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(2,789)</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51,467 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148,027 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15"/>
        <w:gridCol w:w="852"/>
        <w:gridCol w:w="848"/>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26"/>
        <w:gridCol w:w="723"/>
        <w:gridCol w:w="116"/>
        <w:gridCol w:w="109"/>
        <w:gridCol w:w="109"/>
        <w:gridCol w:w="109"/>
        <w:gridCol w:w="226"/>
        <w:gridCol w:w="884"/>
        <w:gridCol w:w="169"/>
      </w:tblGrid>
      <w:tr>
        <w:trPr/>
        <w:tc>
          <w:tcPr>
            <w:tcW w:w="121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March 31, 2024</w:t>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11,880 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29,824 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2,280 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9,287 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1,961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3,789</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1,961</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(3,297)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492</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Earnings (loss) before income tax expense (benefit)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1,961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(3,002)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787</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57,815 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159,527 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provides information about our geographic areas of operation. Revenue is based on the location to which the goods are shipped.</w:t>
      </w:r>
    </w:p>
    <w:tbl>
      <w:tblPr>
        <w:tblW w:w="4658" w:type="dxa"/>
        <w:jc w:val="center"/>
        <w:tblInd w:w="0" w:type="dxa"/>
        <w:tblLayout w:type="fixed"/>
        <w:tblCellMar>
          <w:top w:w="28" w:type="dxa"/>
          <w:left w:w="28" w:type="dxa"/>
          <w:bottom w:w="28" w:type="dxa"/>
          <w:right w:w="28" w:type="dxa"/>
        </w:tblCellMar>
      </w:tblPr>
      <w:tblGrid>
        <w:gridCol w:w="466"/>
        <w:gridCol w:w="411"/>
        <w:gridCol w:w="412"/>
        <w:gridCol w:w="109"/>
        <w:gridCol w:w="109"/>
        <w:gridCol w:w="109"/>
        <w:gridCol w:w="255"/>
        <w:gridCol w:w="909"/>
        <w:gridCol w:w="132"/>
        <w:gridCol w:w="132"/>
        <w:gridCol w:w="132"/>
        <w:gridCol w:w="132"/>
        <w:gridCol w:w="255"/>
        <w:gridCol w:w="909"/>
        <w:gridCol w:w="186"/>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 March 31,</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29,824 </w:t>
            </w:r>
          </w:p>
        </w:tc>
        <w:tc>
          <w:tcPr>
            <w:tcW w:w="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497" w:type="dxa"/>
        <w:jc w:val="center"/>
        <w:tblInd w:w="0" w:type="dxa"/>
        <w:tblLayout w:type="fixed"/>
        <w:tblCellMar>
          <w:top w:w="28" w:type="dxa"/>
          <w:left w:w="28" w:type="dxa"/>
          <w:bottom w:w="28" w:type="dxa"/>
          <w:right w:w="28" w:type="dxa"/>
        </w:tblCellMar>
      </w:tblPr>
      <w:tblGrid>
        <w:gridCol w:w="878"/>
        <w:gridCol w:w="775"/>
        <w:gridCol w:w="777"/>
        <w:gridCol w:w="109"/>
        <w:gridCol w:w="109"/>
        <w:gridCol w:w="109"/>
        <w:gridCol w:w="219"/>
        <w:gridCol w:w="672"/>
        <w:gridCol w:w="113"/>
        <w:gridCol w:w="109"/>
        <w:gridCol w:w="109"/>
        <w:gridCol w:w="109"/>
        <w:gridCol w:w="293"/>
        <w:gridCol w:w="900"/>
        <w:gridCol w:w="216"/>
      </w:tblGrid>
      <w:tr>
        <w:trPr/>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4,428 </w:t>
            </w:r>
          </w:p>
        </w:tc>
        <w:tc>
          <w:tcPr>
            <w:tcW w:w="1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4,457 </w:t>
            </w:r>
          </w:p>
        </w:tc>
        <w:tc>
          <w:tcPr>
            <w:tcW w:w="2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76" w:before="0" w:after="200"/>
        <w:ind w:left="0" w:right="0" w:hanging="720"/>
        <w:jc w:val="left"/>
        <w:rPr>
          <w:rFonts w:ascii="Arial;sans-serif" w:hAnsi="Arial;sans-serif"/>
          <w:b/>
          <w:color w:val="C02026"/>
          <w:sz w:val="20"/>
        </w:rPr>
      </w:pPr>
      <w:r>
        <w:rPr>
          <w:rFonts w:ascii="Arial;sans-serif" w:hAnsi="Arial;sans-serif"/>
          <w:b/>
          <w:color w:val="C02026"/>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Risk Factors and Forward-Looking Statements</w:t>
      </w:r>
    </w:p>
    <w:p>
      <w:pPr>
        <w:pStyle w:val="TextBody"/>
        <w:bidi w:val="0"/>
        <w:spacing w:lineRule="auto" w:line="288" w:before="0" w:after="200"/>
        <w:jc w:val="left"/>
        <w:rPr/>
      </w:pPr>
      <w:r>
        <w:rPr>
          <w:rFonts w:ascii="Arial;sans-serif" w:hAnsi="Arial;sans-serif"/>
          <w:b w:val="false"/>
          <w:color w:val="000000"/>
          <w:sz w:val="20"/>
        </w:rPr>
        <w:t>In addition to historical information, this Quarterly Report on Form 10-Q for the period ended March 31, 2025 (this “</w:t>
      </w:r>
      <w:r>
        <w:rPr>
          <w:rFonts w:ascii="Arial;sans-serif" w:hAnsi="Arial;sans-serif"/>
          <w:b/>
          <w:color w:val="000000"/>
          <w:sz w:val="20"/>
          <w:u w:val="single"/>
        </w:rPr>
        <w:t>Report</w:t>
      </w:r>
      <w:r>
        <w:rPr>
          <w:color w:val="000000"/>
        </w:rPr>
        <w:t>”</w:t>
      </w:r>
      <w:r>
        <w:rPr>
          <w:rFonts w:ascii="Arial;sans-serif" w:hAnsi="Arial;sans-serif"/>
          <w:b w:val="false"/>
          <w:color w:val="000000"/>
          <w:sz w:val="20"/>
        </w:rPr>
        <w:t>), including this management’s discussion and analysis (“</w:t>
      </w:r>
      <w:r>
        <w:rPr>
          <w:rFonts w:ascii="Arial;sans-serif" w:hAnsi="Arial;sans-serif"/>
          <w:b/>
          <w:color w:val="000000"/>
          <w:sz w:val="20"/>
          <w:u w:val="single"/>
        </w:rPr>
        <w:t>MD&amp;A</w:t>
      </w:r>
      <w:r>
        <w:rPr>
          <w:color w:val="000000"/>
        </w:rPr>
        <w:t>”</w:t>
      </w:r>
      <w:r>
        <w:rPr>
          <w:rFonts w:ascii="Arial;sans-serif" w:hAnsi="Arial;sans-serif"/>
          <w:b w:val="false"/>
          <w:color w:val="000000"/>
          <w:sz w:val="20"/>
        </w:rPr>
        <w:t>), contains statements that are considered “forward-looking statements” within the meaning of the Private Securities Litigation Reform Act of 1995, as amended.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 “expect,” “may,” “could,” “will,” “plans,” “depending,” “seeking,” “anticipates,” “goal,” “objective,” “target,” “estimates,” “future,” “strategy,”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execute on our VISION 2030 Strategy;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grow our presence in the automotive/electric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defense/aerospace, industrial, life sciences, safety/security and international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of future acquisitions or dispositions and the successful integration of any acquired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success of our strategy to diversify our business by entering markets outside the semiconductor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market;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indications of a change in the market cycles in the semiconductor (“</w:t>
      </w:r>
      <w:r>
        <w:rPr>
          <w:rFonts w:ascii="Arial;sans-serif" w:hAnsi="Arial;sans-serif"/>
          <w:b/>
          <w:color w:val="000000"/>
          <w:sz w:val="20"/>
          <w:u w:val="single"/>
        </w:rPr>
        <w:t>semi</w:t>
      </w:r>
      <w:r>
        <w:rPr>
          <w:color w:val="000000"/>
        </w:rPr>
        <w:t>”</w:t>
      </w:r>
      <w:r>
        <w:rPr>
          <w:rFonts w:ascii="Arial;sans-serif" w:hAnsi="Arial;sans-serif"/>
          <w:b w:val="false"/>
          <w:color w:val="000000"/>
          <w:sz w:val="20"/>
        </w:rPr>
        <w:t>) market, or other markets we serve;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and trends in the semi market, including changes in the demand for semiconductors;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convert backlog to sales and to ship product in a timely manner;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loss of any one or more of our largest customers, or a reduction in orders by a major customer;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materials used to manufacture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interruptions in our supply chain caused by external factors;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sufficiency of cash balances, lines of credit and net cash from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stock price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borrow funds or raise capital to finance potential acquisitions or for working capital;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rate of, and timing of, capital expenditures by our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exchange rate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progress of product development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anticipated market for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failure to maintain a proper and effective system of disclosure controls and internal control over financial reporting;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and retention of key personnel or our ability to hire personnel at anticipated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conditions both domestically and globally; and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other risk factors included in “</w:t>
      </w:r>
      <w:r>
        <w:rPr>
          <w:rFonts w:ascii="Arial;sans-serif" w:hAnsi="Arial;sans-serif"/>
          <w:b/>
          <w:color w:val="000000"/>
          <w:sz w:val="20"/>
        </w:rPr>
        <w:t>Part II; Item 1A. Risk Factor</w:t>
      </w:r>
      <w:r>
        <w:rPr>
          <w:rFonts w:ascii="Arial;sans-serif" w:hAnsi="Arial;sans-serif"/>
          <w:b w:val="false"/>
          <w:color w:val="000000"/>
          <w:sz w:val="20"/>
        </w:rPr>
        <w:t>s” in this Report and in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in our Annual Report on Form 10-K for the year ended December 31, 2024 (the “</w:t>
      </w:r>
      <w:r>
        <w:rPr>
          <w:rFonts w:ascii="Arial;sans-serif" w:hAnsi="Arial;sans-serif"/>
          <w:b/>
          <w:color w:val="000000"/>
          <w:sz w:val="20"/>
          <w:u w:val="single"/>
        </w:rPr>
        <w:t>2024 Form 10-K</w:t>
      </w:r>
      <w:r>
        <w:rPr>
          <w:color w:val="000000"/>
        </w:rPr>
        <w: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lineRule="auto" w:line="288" w:before="0" w:after="200"/>
        <w:jc w:val="left"/>
        <w:rPr/>
      </w:pPr>
      <w:r>
        <w:rPr>
          <w:rFonts w:ascii="Arial;sans-serif" w:hAnsi="Arial;sans-serif"/>
          <w:b w:val="false"/>
          <w:color w:val="000000"/>
          <w:sz w:val="20"/>
        </w:rPr>
        <w:t>This MD&amp;A should be read in conjunction with the accompanying consolidated financial statements. In addition, please refer to the discussion of our business and markets contained in “</w:t>
      </w:r>
      <w:r>
        <w:rPr>
          <w:rFonts w:ascii="Arial;sans-serif" w:hAnsi="Arial;sans-serif"/>
          <w:b/>
          <w:color w:val="000000"/>
          <w:sz w:val="20"/>
        </w:rPr>
        <w:t>Part I; Item 1. Business</w:t>
      </w:r>
      <w:r>
        <w:rPr>
          <w:rFonts w:ascii="Arial;sans-serif" w:hAnsi="Arial;sans-serif"/>
          <w:b w:val="false"/>
          <w:color w:val="000000"/>
          <w:sz w:val="20"/>
        </w:rPr>
        <w:t>,” of our 2024 Form 10-K.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are a global supplier of innovative test and process technology solutions for use in manufacturing and testing across a wide range of markets including semi, auto/EV, defense/aerospace, industrial, life sciences, safety/security and other. We have three reportable segments which are also our reporting units: Electronic Test, (which includes our semiconductor test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equipment, flying probe and in-circuit testers), Environmental Technologies (which includes our thermal test, process and storage products) and Process Technologies (which includes our induction heating and video imaging products).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Markets</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Part I; Item 1. Business; Markets</w:t>
      </w:r>
      <w:r>
        <w:rPr>
          <w:color w:val="000000"/>
        </w:rPr>
        <w:t xml:space="preserve">” </w:t>
      </w:r>
      <w:r>
        <w:rPr>
          <w:rFonts w:ascii="Arial;sans-serif" w:hAnsi="Arial;sans-serif"/>
          <w:b w:val="false"/>
          <w:color w:val="000000"/>
          <w:sz w:val="20"/>
        </w:rPr>
        <w:t>of our 2024 Form 10-K, we are focused on specific target markets which include auto/EV, defense/aerospace, industrial, life sciences, safety/security as well as both the front-end and back-end of the semiconductor manufacturing industry.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pPr>
      <w:r>
        <w:rPr>
          <w:rFonts w:ascii="Arial;sans-serif" w:hAnsi="Arial;sans-serif"/>
          <w:b w:val="false"/>
          <w:color w:val="000000"/>
          <w:sz w:val="20"/>
        </w:rPr>
        <w:t>The portion of our business that is derived from the semi market is substantially dependent upon the demand for ATE by semiconductor manufacturers and companies that specialize in the testing of integrated circuits (“</w:t>
      </w:r>
      <w:r>
        <w:rPr>
          <w:rFonts w:ascii="Arial;sans-serif" w:hAnsi="Arial;sans-serif"/>
          <w:b/>
          <w:color w:val="000000"/>
          <w:sz w:val="20"/>
          <w:u w:val="single"/>
        </w:rPr>
        <w:t>ICs</w:t>
      </w:r>
      <w:r>
        <w:rPr>
          <w:color w:val="000000"/>
        </w:rPr>
        <w:t>”</w:t>
      </w:r>
      <w:r>
        <w:rPr>
          <w:rFonts w:ascii="Arial;sans-serif" w:hAnsi="Arial;sans-serif"/>
          <w:b w:val="false"/>
          <w:color w:val="000000"/>
          <w:sz w:val="20"/>
        </w:rPr>
        <w:t>)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semi market is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year-over-year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Management has taken, and will continue to take, such actions it deems appropriate to adjust our strategies, products and operations to counter such shifts in market practices as they become evident.</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Part I; Item 1. Business; Strategy</w:t>
      </w:r>
      <w:r>
        <w:rPr>
          <w:color w:val="000000"/>
        </w:rPr>
        <w:t xml:space="preserve">” </w:t>
      </w:r>
      <w:r>
        <w:rPr>
          <w:rFonts w:ascii="Arial;sans-serif" w:hAnsi="Arial;sans-serif"/>
          <w:b w:val="false"/>
          <w:color w:val="000000"/>
          <w:sz w:val="20"/>
        </w:rPr>
        <w:t>of our 2024 Form 10-K,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auto/EV, defense/aerospace, industrial, life sciences and safety/security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Known Trends</w:t>
      </w:r>
    </w:p>
    <w:p>
      <w:pPr>
        <w:pStyle w:val="TextBody"/>
        <w:bidi w:val="0"/>
        <w:spacing w:lineRule="auto" w:line="288" w:before="0" w:after="200"/>
        <w:jc w:val="left"/>
        <w:rPr/>
      </w:pPr>
      <w:r>
        <w:rPr>
          <w:rFonts w:ascii="Arial;sans-serif" w:hAnsi="Arial;sans-serif"/>
          <w:b w:val="false"/>
          <w:color w:val="000000"/>
          <w:sz w:val="20"/>
        </w:rPr>
        <w:t>As noted in “</w:t>
      </w:r>
      <w:r>
        <w:rPr>
          <w:rFonts w:ascii="Arial;sans-serif" w:hAnsi="Arial;sans-serif"/>
          <w:b/>
          <w:color w:val="000000"/>
          <w:sz w:val="20"/>
        </w:rPr>
        <w:t>Part I; Item 1; Financial Statements; Notes to Consolidated Financial Statements; Note (10) Debt,</w:t>
      </w:r>
      <w:r>
        <w:rPr>
          <w:color w:val="000000"/>
        </w:rPr>
        <w:t xml:space="preserve">” </w:t>
      </w:r>
      <w:r>
        <w:rPr>
          <w:rFonts w:ascii="Arial;sans-serif" w:hAnsi="Arial;sans-serif"/>
          <w:b w:val="false"/>
          <w:color w:val="000000"/>
          <w:sz w:val="20"/>
        </w:rPr>
        <w:t>our Loan Agreement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contains financial covenants, including a fixed charge coverage ratio of not less than 1.25 to 1.0. At March 31, 2025, we were in compliance with all of the covenants included in the Loan Agreement except for the fixed charge coverage ratio, which was 0.99 to 1.0, for which we obtained a waiver from M&amp;T.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fixed charge coverage ratio is calculated over the trailing twelve months, so the net loss reported in the first quarter will impact our ability to meet this covenant in future periods notwithstanding our strong cash position. We anticipate that we likely will not be in compliance with the fixed charge coverage ratio as currently defined for the three months ended June 30, 2025. As a result, we are in discussions with M&amp;T regarding options to address this covenant, including an amendment to the Credit Facility to adjust the formula used to calculate the fixed charge coverage ratio that reflects our strong cash position and provides flexibility to respond to volatile market conditions, a broader waiver in terms of scope and/or time from M&amp;T, or paying down outstanding balances under the Credit Facility, however, there can be no assurance that a resolution acceptable to the Company will be attained.</w:t>
      </w:r>
    </w:p>
    <w:p>
      <w:pPr>
        <w:pStyle w:val="TextBody"/>
        <w:bidi w:val="0"/>
        <w:spacing w:lineRule="auto" w:line="288" w:before="0" w:after="200"/>
        <w:jc w:val="left"/>
        <w:rPr/>
      </w:pPr>
      <w:r>
        <w:rPr>
          <w:rFonts w:ascii="Arial;sans-serif" w:hAnsi="Arial;sans-serif"/>
          <w:b w:val="false"/>
          <w:color w:val="000000"/>
          <w:sz w:val="20"/>
        </w:rPr>
        <w:t>We continue to monitor recent macroeconomic factors, including but not limited to changes in global trade policy, tariffs and related reciprocal or retaliatory trade actions announced by the U.S., China and other countries. The degree to which changes in global trade policy, tariffs and other related actions will impact our business, financial condition and results of operations depends on future developments, which are uncertain. Changes in global trade policies, tariffs and other related actions may negatively impact demand, pricing and cost for our products and technologies, contribute to the inherent uncertainties in estimating future customer demand and increase our material costs, any of which could negatively impacting our results of operations and cash flows. See “</w:t>
      </w:r>
      <w:r>
        <w:rPr>
          <w:rFonts w:ascii="Arial;sans-serif" w:hAnsi="Arial;sans-serif"/>
          <w:b/>
          <w:color w:val="000000"/>
          <w:sz w:val="20"/>
        </w:rPr>
        <w:t>Part II; Item 1A. Risk Factors</w:t>
      </w:r>
      <w:r>
        <w:rPr>
          <w:color w:val="000000"/>
        </w:rPr>
        <w:t xml:space="preserve">” </w:t>
      </w:r>
      <w:r>
        <w:rPr>
          <w:rFonts w:ascii="Arial;sans-serif" w:hAnsi="Arial;sans-serif"/>
          <w:b w:val="false"/>
          <w:color w:val="000000"/>
          <w:sz w:val="20"/>
        </w:rPr>
        <w:t>in this Report, including the risk factor title “</w:t>
      </w:r>
      <w:r>
        <w:rPr>
          <w:rFonts w:ascii="Arial;sans-serif" w:hAnsi="Arial;sans-serif"/>
          <w:b/>
          <w:i/>
          <w:color w:val="000000"/>
          <w:sz w:val="20"/>
        </w:rPr>
        <w:t>U.S. tariff policies and potential global retaliatory countermeasures could increase our cost, disrupt our supply chain or affect customer purchasing activities, any of which could negatively impact our results of operations.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Global Supply Chain Constraints</w:t>
      </w:r>
    </w:p>
    <w:p>
      <w:pPr>
        <w:pStyle w:val="TextBody"/>
        <w:bidi w:val="0"/>
        <w:spacing w:lineRule="auto" w:line="288" w:before="0" w:after="200"/>
        <w:jc w:val="left"/>
        <w:rPr/>
      </w:pPr>
      <w:r>
        <w:rPr>
          <w:rFonts w:ascii="Arial;sans-serif" w:hAnsi="Arial;sans-serif"/>
          <w:b w:val="false"/>
          <w:color w:val="000000"/>
          <w:sz w:val="20"/>
        </w:rPr>
        <w:t>In early October 2023, Hamas attacked Israel and Israel formally declared war in response to the attack. The conflict with Hamas and others in the region is ongoing, and it is unclear when it might end.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has a sole source supplier of capacitors used in certain of our induction heating products that is located in Israel. This supplier is the sole source supplier of capacitors for numerous induction companies, and currently there are no viable alternatives available. We have been in frequent contact with our supplier since the conflict with Hamas began. We maintain a two-to-three month safety stock on these items. Our supplier has indicated that they have large stock available at more than one facility in Israel, so they believe they have redundancies in place that will help ensure that the supply chain to their customers is uninterrupted. We continue to monitor the situation closely and are 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color w:val="000000"/>
          <w:sz w:val="20"/>
        </w:rPr>
        <w:t>Acculogic Inc. (“</w:t>
      </w:r>
      <w:r>
        <w:rPr>
          <w:rFonts w:ascii="Arial;sans-serif" w:hAnsi="Arial;sans-serif"/>
          <w:b/>
          <w:color w:val="000000"/>
          <w:sz w:val="20"/>
          <w:u w:val="single"/>
        </w:rPr>
        <w:t>Acculogic</w:t>
      </w:r>
      <w:r>
        <w:rPr>
          <w:color w:val="000000"/>
        </w:rPr>
        <w:t>”</w:t>
      </w:r>
      <w:r>
        <w:rPr>
          <w:rFonts w:ascii="Arial;sans-serif" w:hAnsi="Arial;sans-serif"/>
          <w:b w:val="false"/>
          <w:color w:val="000000"/>
          <w:sz w:val="20"/>
        </w:rPr>
        <w:t>) purchases certain parts from a key sole-source supplier in Belarus, which is bordered by Russia to the east and northeast and Ukraine to the south. As a result of the ongoing war between Russia and Ukraine, in August 2024, the United States, Canada and the European Union added additional sanctions on Belarus, which included adding this supplier to a list of prohibited entities. We have not received materials from this supplier since the issuance of Executive Order 14038. Our remaining supply of these materials is significantly depleted and will be exhausted after the end of the second quarter of 2025. We have recently qualified a new supplier for these materials and have started receiving this new supply of materials. Testing is still ongoing, and we have not yet shipped systems incorporating these new materials to our customers but expect to do so before the end of the second quarter. Additionally, we have applied to the Office of Foreign Asset Control (“</w:t>
      </w:r>
      <w:r>
        <w:rPr>
          <w:rFonts w:ascii="Arial;sans-serif" w:hAnsi="Arial;sans-serif"/>
          <w:b/>
          <w:color w:val="000000"/>
          <w:sz w:val="20"/>
          <w:u w:val="single"/>
        </w:rPr>
        <w:t>OFAC</w:t>
      </w:r>
      <w:r>
        <w:rPr>
          <w:color w:val="000000"/>
        </w:rPr>
        <w:t>”</w:t>
      </w:r>
      <w:r>
        <w:rPr>
          <w:rFonts w:ascii="Arial;sans-serif" w:hAnsi="Arial;sans-serif"/>
          <w:b w:val="false"/>
          <w:color w:val="000000"/>
          <w:sz w:val="20"/>
        </w:rPr>
        <w:t>) to obtain permission for additional purchases from the Belarus supplier through December 31, 2025, but have not yet received the Office’s response and are uncertain of when that response may be received. Additionally, we are applying to Global Affairs Canada for similar permission, now that this supplier has been placed on a restricted parties list in Canada, as well. There can be no assurance that we will be granted a license by OFAC or Global Affairs Canada in a timely manner or at all, or that if granted a license by OFAC or Global Affairs Canada that such supplier in Belarus will be willing or able to provide these parts on reasonable commercial terms or at all.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while the supply chain and logistics challenges that we encountered throughout 2022 have eased, uncertainty in the global trade environment remains.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pStyle w:val="TextBody"/>
        <w:bidi w:val="0"/>
        <w:spacing w:lineRule="auto" w:line="288" w:before="0" w:after="200"/>
        <w:jc w:val="left"/>
        <w:rPr/>
      </w:pPr>
      <w:r>
        <w:rPr>
          <w:rFonts w:ascii="Arial;sans-serif" w:hAnsi="Arial;sans-serif"/>
          <w:b w:val="false"/>
          <w:color w:val="000000"/>
          <w:sz w:val="20"/>
        </w:rPr>
        <w:t>Please refer to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of our 2024 Form 10-K for further discussion of the risks associated with our business operations, including risks associated with foreign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Critical Accounting Estimates</w:t>
      </w:r>
    </w:p>
    <w:p>
      <w:pPr>
        <w:pStyle w:val="TextBody"/>
        <w:bidi w:val="0"/>
        <w:spacing w:lineRule="auto" w:line="288" w:before="0" w:after="200"/>
        <w:jc w:val="left"/>
        <w:rPr/>
      </w:pPr>
      <w:r>
        <w:rPr>
          <w:rFonts w:ascii="Arial;sans-serif" w:hAnsi="Arial;sans-serif"/>
          <w:b w:val="false"/>
          <w:color w:val="000000"/>
          <w:sz w:val="20"/>
        </w:rPr>
        <w:t>The preparation of consolidated financial statements in conformity with accounting principles generally accepted in the United States of America (“</w:t>
      </w:r>
      <w:r>
        <w:rPr>
          <w:rFonts w:ascii="Arial;sans-serif" w:hAnsi="Arial;sans-serif"/>
          <w:b/>
          <w:color w:val="000000"/>
          <w:sz w:val="20"/>
          <w:u w:val="single"/>
        </w:rPr>
        <w:t>U.S. GAAP</w:t>
      </w:r>
      <w:r>
        <w:rPr>
          <w:color w:val="000000"/>
        </w:rPr>
        <w:t>”</w:t>
      </w:r>
      <w:r>
        <w:rPr>
          <w:rFonts w:ascii="Arial;sans-serif" w:hAnsi="Arial;sans-serif"/>
          <w:b w:val="false"/>
          <w:color w:val="000000"/>
          <w:sz w:val="20"/>
        </w:rPr>
        <w:t>)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2025, there have been no significant changes to the accounting estimates that we have deemed critical. Our critical accounting estimates are more fully described in “</w:t>
      </w:r>
      <w:r>
        <w:rPr>
          <w:rFonts w:ascii="Arial;sans-serif" w:hAnsi="Arial;sans-serif"/>
          <w:b/>
          <w:color w:val="000000"/>
          <w:sz w:val="20"/>
        </w:rPr>
        <w:t>Part I; Item 7.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results of operations for our three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a particular operating segment where significant to an understanding of that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Three Months Ended March 31, 2025, Compared to Three Months Ended March 31, 2024</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Revenue</w:t>
      </w:r>
    </w:p>
    <w:tbl>
      <w:tblPr>
        <w:tblW w:w="8814"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56"/>
        <w:gridCol w:w="912"/>
        <w:gridCol w:w="132"/>
        <w:gridCol w:w="132"/>
        <w:gridCol w:w="132"/>
        <w:gridCol w:w="132"/>
        <w:gridCol w:w="256"/>
        <w:gridCol w:w="912"/>
        <w:gridCol w:w="132"/>
        <w:gridCol w:w="109"/>
        <w:gridCol w:w="109"/>
        <w:gridCol w:w="109"/>
        <w:gridCol w:w="211"/>
        <w:gridCol w:w="706"/>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29,824 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revenue by market:</w:t>
      </w:r>
    </w:p>
    <w:tbl>
      <w:tblPr>
        <w:tblW w:w="12806" w:type="dxa"/>
        <w:jc w:val="center"/>
        <w:tblInd w:w="0" w:type="dxa"/>
        <w:tblLayout w:type="fixed"/>
        <w:tblCellMar>
          <w:top w:w="28" w:type="dxa"/>
          <w:left w:w="28" w:type="dxa"/>
          <w:bottom w:w="28" w:type="dxa"/>
          <w:right w:w="28" w:type="dxa"/>
        </w:tblCellMar>
      </w:tblPr>
      <w:tblGrid>
        <w:gridCol w:w="393"/>
        <w:gridCol w:w="253"/>
        <w:gridCol w:w="255"/>
        <w:gridCol w:w="109"/>
        <w:gridCol w:w="109"/>
        <w:gridCol w:w="109"/>
        <w:gridCol w:w="196"/>
        <w:gridCol w:w="646"/>
        <w:gridCol w:w="109"/>
        <w:gridCol w:w="109"/>
        <w:gridCol w:w="109"/>
        <w:gridCol w:w="109"/>
        <w:gridCol w:w="278"/>
        <w:gridCol w:w="278"/>
        <w:gridCol w:w="256"/>
        <w:gridCol w:w="109"/>
        <w:gridCol w:w="109"/>
        <w:gridCol w:w="109"/>
        <w:gridCol w:w="196"/>
        <w:gridCol w:w="646"/>
        <w:gridCol w:w="109"/>
        <w:gridCol w:w="109"/>
        <w:gridCol w:w="109"/>
        <w:gridCol w:w="109"/>
        <w:gridCol w:w="278"/>
        <w:gridCol w:w="278"/>
        <w:gridCol w:w="256"/>
        <w:gridCol w:w="109"/>
        <w:gridCol w:w="109"/>
        <w:gridCol w:w="109"/>
        <w:gridCol w:w="196"/>
        <w:gridCol w:w="571"/>
        <w:gridCol w:w="109"/>
        <w:gridCol w:w="109"/>
        <w:gridCol w:w="109"/>
        <w:gridCol w:w="109"/>
        <w:gridCol w:w="277"/>
        <w:gridCol w:w="279"/>
        <w:gridCol w:w="256"/>
        <w:gridCol w:w="109"/>
        <w:gridCol w:w="109"/>
        <w:gridCol w:w="109"/>
        <w:gridCol w:w="196"/>
        <w:gridCol w:w="646"/>
        <w:gridCol w:w="109"/>
        <w:gridCol w:w="109"/>
        <w:gridCol w:w="109"/>
        <w:gridCol w:w="109"/>
        <w:gridCol w:w="278"/>
        <w:gridCol w:w="278"/>
        <w:gridCol w:w="256"/>
        <w:gridCol w:w="109"/>
        <w:gridCol w:w="109"/>
        <w:gridCol w:w="109"/>
        <w:gridCol w:w="196"/>
        <w:gridCol w:w="571"/>
        <w:gridCol w:w="109"/>
        <w:gridCol w:w="109"/>
        <w:gridCol w:w="109"/>
        <w:gridCol w:w="109"/>
        <w:gridCol w:w="240"/>
        <w:gridCol w:w="241"/>
        <w:gridCol w:w="301"/>
      </w:tblGrid>
      <w:tr>
        <w:trPr/>
        <w:tc>
          <w:tcPr>
            <w:tcW w:w="3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8" w:type="dxa"/>
            <w:gridSpan w:val="57"/>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(45.2)</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26,637 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29,824 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(3,187)</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36,603 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(9,966)</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w:t>
            </w:r>
          </w:p>
        </w:tc>
        <w:tc>
          <w:tcPr>
            <w:tcW w:w="30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first quarter revenue was down as semi was impacted by $6.0 million in lower sales and industrial market sales declined $1.2 million. This was partially offset by increases of $2.0 million to auto/EV, $1.0 million to life sciences, and $1.3 million to other markets. Sequentially, revenue from industrial, life sciences and other markets increased compared with the trailing fourth quarter.</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Orders and Backlog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the orders received by market:</w:t>
      </w:r>
    </w:p>
    <w:tbl>
      <w:tblPr>
        <w:tblW w:w="12806" w:type="dxa"/>
        <w:jc w:val="center"/>
        <w:tblInd w:w="0" w:type="dxa"/>
        <w:tblLayout w:type="fixed"/>
        <w:tblCellMar>
          <w:top w:w="28" w:type="dxa"/>
          <w:left w:w="28" w:type="dxa"/>
          <w:bottom w:w="28" w:type="dxa"/>
          <w:right w:w="28" w:type="dxa"/>
        </w:tblCellMar>
      </w:tblPr>
      <w:tblGrid>
        <w:gridCol w:w="393"/>
        <w:gridCol w:w="253"/>
        <w:gridCol w:w="255"/>
        <w:gridCol w:w="109"/>
        <w:gridCol w:w="109"/>
        <w:gridCol w:w="109"/>
        <w:gridCol w:w="196"/>
        <w:gridCol w:w="646"/>
        <w:gridCol w:w="109"/>
        <w:gridCol w:w="109"/>
        <w:gridCol w:w="109"/>
        <w:gridCol w:w="109"/>
        <w:gridCol w:w="278"/>
        <w:gridCol w:w="278"/>
        <w:gridCol w:w="256"/>
        <w:gridCol w:w="109"/>
        <w:gridCol w:w="109"/>
        <w:gridCol w:w="109"/>
        <w:gridCol w:w="196"/>
        <w:gridCol w:w="646"/>
        <w:gridCol w:w="109"/>
        <w:gridCol w:w="109"/>
        <w:gridCol w:w="109"/>
        <w:gridCol w:w="109"/>
        <w:gridCol w:w="278"/>
        <w:gridCol w:w="278"/>
        <w:gridCol w:w="256"/>
        <w:gridCol w:w="109"/>
        <w:gridCol w:w="109"/>
        <w:gridCol w:w="109"/>
        <w:gridCol w:w="196"/>
        <w:gridCol w:w="556"/>
        <w:gridCol w:w="109"/>
        <w:gridCol w:w="109"/>
        <w:gridCol w:w="109"/>
        <w:gridCol w:w="109"/>
        <w:gridCol w:w="263"/>
        <w:gridCol w:w="263"/>
        <w:gridCol w:w="256"/>
        <w:gridCol w:w="109"/>
        <w:gridCol w:w="109"/>
        <w:gridCol w:w="109"/>
        <w:gridCol w:w="196"/>
        <w:gridCol w:w="646"/>
        <w:gridCol w:w="109"/>
        <w:gridCol w:w="109"/>
        <w:gridCol w:w="109"/>
        <w:gridCol w:w="109"/>
        <w:gridCol w:w="278"/>
        <w:gridCol w:w="278"/>
        <w:gridCol w:w="256"/>
        <w:gridCol w:w="109"/>
        <w:gridCol w:w="109"/>
        <w:gridCol w:w="109"/>
        <w:gridCol w:w="196"/>
        <w:gridCol w:w="571"/>
        <w:gridCol w:w="109"/>
        <w:gridCol w:w="109"/>
        <w:gridCol w:w="109"/>
        <w:gridCol w:w="109"/>
        <w:gridCol w:w="263"/>
        <w:gridCol w:w="263"/>
        <w:gridCol w:w="301"/>
      </w:tblGrid>
      <w:tr>
        <w:trPr/>
        <w:tc>
          <w:tcPr>
            <w:tcW w:w="3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8" w:type="dxa"/>
            <w:gridSpan w:val="57"/>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85.8 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n/m</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25,349 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22,799 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30,669 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(5,320)</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30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n/m    Not meaningful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first quarter orders increased reflecting strength in industrial, auto/EV, safety/security and life science markets while orders slowed in defense/aerospace and semi markets. Specifically in semi, orders from back-end were essentially flat, while demand in front-end remains low.</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Sequentially, the decrease in orders was partially the result of customer delays during economic uncertainty, especially in the semi market where orders declined $6.0 million. Additionally, demand from defense/aerospace and life sciences slowed during the first quarter outweighing gains in demand from life sciences, auto/EV and safety/security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March 31, 2025, our backlog of unfilled orders for all products was $38.2 million compared to $55.5 million at March 31, 2024, and $39.5 million at December 31, 2024. Our backlog includes customer orders that we have accepted, substantially all of which we expect to deliver in the next twelve months.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Gross Margin</w:t>
      </w:r>
    </w:p>
    <w:tbl>
      <w:tblPr>
        <w:tblW w:w="8815"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24"/>
        <w:gridCol w:w="798"/>
        <w:gridCol w:w="304"/>
        <w:gridCol w:w="115"/>
        <w:gridCol w:w="115"/>
        <w:gridCol w:w="115"/>
        <w:gridCol w:w="224"/>
        <w:gridCol w:w="798"/>
        <w:gridCol w:w="304"/>
        <w:gridCol w:w="109"/>
        <w:gridCol w:w="109"/>
        <w:gridCol w:w="109"/>
        <w:gridCol w:w="211"/>
        <w:gridCol w:w="706"/>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11,056 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13,076 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Gross margin declined 230 basis points in the three months ended March 31, 2025, compared to the same prior year period due to the absorption of fixed costs on lower volumes along with an unfavorable product sales mix. The current year period also includes a full quarter’s worth of Alfamation™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Selling Expense</w:t>
      </w:r>
    </w:p>
    <w:tbl>
      <w:tblPr>
        <w:tblW w:w="8441"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42"/>
        <w:gridCol w:w="741"/>
        <w:gridCol w:w="328"/>
        <w:gridCol w:w="125"/>
        <w:gridCol w:w="125"/>
        <w:gridCol w:w="125"/>
        <w:gridCol w:w="242"/>
        <w:gridCol w:w="741"/>
        <w:gridCol w:w="328"/>
        <w:gridCol w:w="109"/>
        <w:gridCol w:w="109"/>
        <w:gridCol w:w="109"/>
        <w:gridCol w:w="211"/>
        <w:gridCol w:w="436"/>
        <w:gridCol w:w="109"/>
        <w:gridCol w:w="109"/>
        <w:gridCol w:w="109"/>
        <w:gridCol w:w="109"/>
        <w:gridCol w:w="248"/>
        <w:gridCol w:w="248"/>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Selling expense for the three months ended March 31, 2025, declined slightly compared to the prior year period, but not at the rate of the revenue decline. Sales commissions, payroll and payroll related costs decreased, however, we recognized an increase in warranty expense compared to the prior year period. The full quarter impact of Alfamation™ was inconsequential.</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Engineering and Product Development Expense</w:t>
      </w:r>
    </w:p>
    <w:tbl>
      <w:tblPr>
        <w:tblW w:w="9835" w:type="dxa"/>
        <w:jc w:val="center"/>
        <w:tblInd w:w="0" w:type="dxa"/>
        <w:tblLayout w:type="fixed"/>
        <w:tblCellMar>
          <w:top w:w="28" w:type="dxa"/>
          <w:left w:w="28" w:type="dxa"/>
          <w:bottom w:w="28" w:type="dxa"/>
          <w:right w:w="28" w:type="dxa"/>
        </w:tblCellMar>
      </w:tblPr>
      <w:tblGrid>
        <w:gridCol w:w="1515"/>
        <w:gridCol w:w="1332"/>
        <w:gridCol w:w="1337"/>
        <w:gridCol w:w="109"/>
        <w:gridCol w:w="109"/>
        <w:gridCol w:w="109"/>
        <w:gridCol w:w="242"/>
        <w:gridCol w:w="741"/>
        <w:gridCol w:w="328"/>
        <w:gridCol w:w="125"/>
        <w:gridCol w:w="125"/>
        <w:gridCol w:w="125"/>
        <w:gridCol w:w="242"/>
        <w:gridCol w:w="741"/>
        <w:gridCol w:w="328"/>
        <w:gridCol w:w="109"/>
        <w:gridCol w:w="109"/>
        <w:gridCol w:w="109"/>
        <w:gridCol w:w="211"/>
        <w:gridCol w:w="481"/>
        <w:gridCol w:w="109"/>
        <w:gridCol w:w="109"/>
        <w:gridCol w:w="109"/>
        <w:gridCol w:w="109"/>
        <w:gridCol w:w="270"/>
        <w:gridCol w:w="271"/>
        <w:gridCol w:w="331"/>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Engineering and product development expense for the three months ended March 31, 2025, increased compared to the prior year period due to the full quarter impact of Alfamation™. The increases were due to increased payroll and payroll related costs at Alfamation™.</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General and Administrative Expense</w:t>
      </w:r>
    </w:p>
    <w:tbl>
      <w:tblPr>
        <w:tblW w:w="8785" w:type="dxa"/>
        <w:jc w:val="center"/>
        <w:tblInd w:w="0" w:type="dxa"/>
        <w:tblLayout w:type="fixed"/>
        <w:tblCellMar>
          <w:top w:w="28" w:type="dxa"/>
          <w:left w:w="28" w:type="dxa"/>
          <w:bottom w:w="28" w:type="dxa"/>
          <w:right w:w="28" w:type="dxa"/>
        </w:tblCellMar>
      </w:tblPr>
      <w:tblGrid>
        <w:gridCol w:w="1173"/>
        <w:gridCol w:w="1031"/>
        <w:gridCol w:w="1035"/>
        <w:gridCol w:w="109"/>
        <w:gridCol w:w="109"/>
        <w:gridCol w:w="109"/>
        <w:gridCol w:w="242"/>
        <w:gridCol w:w="741"/>
        <w:gridCol w:w="328"/>
        <w:gridCol w:w="125"/>
        <w:gridCol w:w="125"/>
        <w:gridCol w:w="125"/>
        <w:gridCol w:w="242"/>
        <w:gridCol w:w="741"/>
        <w:gridCol w:w="328"/>
        <w:gridCol w:w="109"/>
        <w:gridCol w:w="109"/>
        <w:gridCol w:w="109"/>
        <w:gridCol w:w="211"/>
        <w:gridCol w:w="481"/>
        <w:gridCol w:w="109"/>
        <w:gridCol w:w="109"/>
        <w:gridCol w:w="109"/>
        <w:gridCol w:w="109"/>
        <w:gridCol w:w="218"/>
        <w:gridCol w:w="218"/>
        <w:gridCol w:w="331"/>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General and administrative expense for the three months ended March 31, 2025, increased compared to the prior year period due to the full quarter impact of Alfamation™, partially offset by decreases in acquisition-related costs and a decrease in bonus expense. During the first quarter of 2025, we disaggregated the amortization of intangible assets and restructuring costs from general and administrative expenses in all periods presented.</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Amortization of Acquired Intangible Assets</w:t>
      </w:r>
    </w:p>
    <w:tbl>
      <w:tblPr>
        <w:tblW w:w="9416" w:type="dxa"/>
        <w:jc w:val="center"/>
        <w:tblInd w:w="0" w:type="dxa"/>
        <w:tblLayout w:type="fixed"/>
        <w:tblCellMar>
          <w:top w:w="28" w:type="dxa"/>
          <w:left w:w="28" w:type="dxa"/>
          <w:bottom w:w="28" w:type="dxa"/>
          <w:right w:w="28" w:type="dxa"/>
        </w:tblCellMar>
      </w:tblPr>
      <w:tblGrid>
        <w:gridCol w:w="1363"/>
        <w:gridCol w:w="1199"/>
        <w:gridCol w:w="1203"/>
        <w:gridCol w:w="109"/>
        <w:gridCol w:w="109"/>
        <w:gridCol w:w="109"/>
        <w:gridCol w:w="277"/>
        <w:gridCol w:w="632"/>
        <w:gridCol w:w="375"/>
        <w:gridCol w:w="143"/>
        <w:gridCol w:w="143"/>
        <w:gridCol w:w="143"/>
        <w:gridCol w:w="277"/>
        <w:gridCol w:w="632"/>
        <w:gridCol w:w="375"/>
        <w:gridCol w:w="109"/>
        <w:gridCol w:w="109"/>
        <w:gridCol w:w="109"/>
        <w:gridCol w:w="211"/>
        <w:gridCol w:w="481"/>
        <w:gridCol w:w="109"/>
        <w:gridCol w:w="109"/>
        <w:gridCol w:w="109"/>
        <w:gridCol w:w="109"/>
        <w:gridCol w:w="270"/>
        <w:gridCol w:w="271"/>
        <w:gridCol w:w="331"/>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Amortization of acquired intangible assets for the three months ended March 31, 2025, increased compared to the prior year period due to the full quarter impact of the additional finite-lived intangible assets acquired in the Alfamation™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Restructuring Costs</w:t>
      </w:r>
    </w:p>
    <w:tbl>
      <w:tblPr>
        <w:tblW w:w="8078"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86"/>
        <w:gridCol w:w="653"/>
        <w:gridCol w:w="388"/>
        <w:gridCol w:w="148"/>
        <w:gridCol w:w="148"/>
        <w:gridCol w:w="148"/>
        <w:gridCol w:w="286"/>
        <w:gridCol w:w="551"/>
        <w:gridCol w:w="388"/>
        <w:gridCol w:w="109"/>
        <w:gridCol w:w="109"/>
        <w:gridCol w:w="109"/>
        <w:gridCol w:w="211"/>
        <w:gridCol w:w="481"/>
        <w:gridCol w:w="109"/>
        <w:gridCol w:w="109"/>
        <w:gridCol w:w="109"/>
        <w:gridCol w:w="109"/>
        <w:gridCol w:w="123"/>
        <w:gridCol w:w="123"/>
        <w:gridCol w:w="17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Restructuring costs for the three months ended March 31, 2025, represent the costs recognized for the Videology Consolidation of the Netherlands operations into our US operations in Mansfield, MA. These costs were for severance and retention accruals along with the payroll-related costs. See “</w:t>
      </w:r>
      <w:r>
        <w:rPr>
          <w:rFonts w:ascii="Arial;sans-serif" w:hAnsi="Arial;sans-serif"/>
          <w:b/>
          <w:color w:val="000000"/>
          <w:sz w:val="20"/>
        </w:rPr>
        <w:t>Part I; Item 1. Financial Statements; Notes to Consolidated Financial Statements; Note (16) Restructuring</w:t>
      </w:r>
      <w:r>
        <w:rPr>
          <w:color w:val="000000"/>
        </w:rPr>
        <w:t xml:space="preserve">” </w:t>
      </w:r>
      <w:r>
        <w:rPr>
          <w:rFonts w:ascii="Arial;sans-serif" w:hAnsi="Arial;sans-serif"/>
          <w:b w:val="false"/>
          <w:color w:val="000000"/>
          <w:sz w:val="20"/>
        </w:rPr>
        <w:t>for further details. There were no restructuring programs in the prior year period.</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Income Tax (Benefit) Expense</w:t>
      </w:r>
    </w:p>
    <w:tbl>
      <w:tblPr>
        <w:tblW w:w="8756"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70"/>
        <w:gridCol w:w="692"/>
        <w:gridCol w:w="366"/>
        <w:gridCol w:w="139"/>
        <w:gridCol w:w="139"/>
        <w:gridCol w:w="139"/>
        <w:gridCol w:w="270"/>
        <w:gridCol w:w="616"/>
        <w:gridCol w:w="366"/>
        <w:gridCol w:w="109"/>
        <w:gridCol w:w="109"/>
        <w:gridCol w:w="109"/>
        <w:gridCol w:w="211"/>
        <w:gridCol w:w="541"/>
        <w:gridCol w:w="109"/>
        <w:gridCol w:w="109"/>
        <w:gridCol w:w="109"/>
        <w:gridCol w:w="109"/>
        <w:gridCol w:w="353"/>
        <w:gridCol w:w="353"/>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 quarterly basis, we record income tax (benefit) or expense based on the expected annualized effective tax rate for the various taxing jurisdictions in which we operate our businesses. For the three months ended March 31, 2025, we recorded a tax benefit based on our pre-tax loss and expected annualized rate, whereas in the comparable period we reported pre-tax income. There were no unusual tax adjustments recorded in either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lineRule="auto" w:line="288" w:before="0" w:after="200"/>
        <w:jc w:val="left"/>
        <w:rPr/>
      </w:pPr>
      <w:r>
        <w:rPr>
          <w:rFonts w:ascii="Arial;sans-serif" w:hAnsi="Arial;sans-serif"/>
          <w:b w:val="false"/>
          <w:color w:val="000000"/>
          <w:sz w:val="20"/>
        </w:rPr>
        <w:t>As discussed more fully in the “</w:t>
      </w:r>
      <w:r>
        <w:rPr>
          <w:rFonts w:ascii="Arial;sans-serif" w:hAnsi="Arial;sans-serif"/>
          <w:b/>
          <w:color w:val="000000"/>
          <w:sz w:val="20"/>
        </w:rPr>
        <w:t>Overview</w:t>
      </w:r>
      <w:r>
        <w:rPr>
          <w:color w:val="000000"/>
        </w:rPr>
        <w:t xml:space="preserve">” </w:t>
      </w:r>
      <w:r>
        <w:rPr>
          <w:rFonts w:ascii="Arial;sans-serif" w:hAnsi="Arial;sans-serif"/>
          <w:b w:val="false"/>
          <w:color w:val="000000"/>
          <w:sz w:val="20"/>
        </w:rPr>
        <w:t>section above,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As discussed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to our consolidated financial statements in this Report, on October 15, 2021, we entered into an Amended and Restated Loan and Security Agreement with M&amp;T which, was subsequently amended on October 28, 2021, December 30, 2021, September 20, 2022, May 2, 2024, and December 18, 2024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The Credit Facility has a five-year contract period that began on the October 15, 2021, and, as amended, expires on May 2, 2031, and draws under the Term Note,as amended, are permissible until May 2,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At March 31, 2025, we have not borrowed any amounts under the $10.0 million Revolving Facility. Our borrowings under the Term Note are discussed below and our available drawing capacity under the Term Note at March 31, 2025, was $30.0 million. The principal balance of the Revolving Facility and the principal balance of any amount drawn under the Term Note accrues interest based on the Secured Overnight Financing Rate or a bank-defined base rate plus an applicable margin, depending on leverage. The Loan Agreement includes customary affirmative, negative and financial covenants, including a maximum ratio of consolidated funded debt to consolidated EBITDA of not more than 3.0 to 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and a fixed charge coverage ratio of not less than 1.25 to 1.0. Our obligations under the Loan Agreement are secured by liens on substantially all of our tangible and intangible assets. At March 31, 2025, we were in compliance with all of the covenants included in the Loan Agreement, except for the fixed charge coverage ratio financial covenant which was 0.99 to 1.0 for the quarter ended March 31, 2025, for which we have received a one-time waiver from M&amp;T.</w:t>
      </w:r>
    </w:p>
    <w:p>
      <w:pPr>
        <w:pStyle w:val="TextBody"/>
        <w:bidi w:val="0"/>
        <w:spacing w:lineRule="auto" w:line="288" w:before="0" w:after="200"/>
        <w:jc w:val="left"/>
        <w:rPr/>
      </w:pPr>
      <w:r>
        <w:rPr>
          <w:rFonts w:ascii="Arial;sans-serif" w:hAnsi="Arial;sans-serif"/>
          <w:b w:val="false"/>
          <w:color w:val="000000"/>
          <w:sz w:val="20"/>
        </w:rPr>
        <w:t>On October 28, 2021, we drew $12 million under the Term Note to finance the acquisition of Videology</w:t>
      </w:r>
      <w:r>
        <w:rPr>
          <w:rFonts w:ascii="Arial;sans-serif" w:hAnsi="Arial;sans-serif"/>
          <w:b w:val="false"/>
          <w:color w:val="000000"/>
          <w:sz w:val="13"/>
        </w:rPr>
        <w:t>®</w:t>
      </w:r>
      <w:r>
        <w:rPr>
          <w:rFonts w:ascii="Arial;sans-serif" w:hAnsi="Arial;sans-serif"/>
          <w:b w:val="false"/>
          <w:color w:val="000000"/>
          <w:sz w:val="20"/>
        </w:rPr>
        <w:t>.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December 29, 2021, we drew $8.5 million under the Term Note to finance the acquisition of Acculogic. We did not enter into an interest rate swap agreement with M&amp;T related to this draw. The annual interest rate we expect to pay for this draw under the Term Note is variable. At March 31, 2025, it was 6.5% based on current leverage. </w:t>
      </w:r>
    </w:p>
    <w:p>
      <w:pPr>
        <w:pStyle w:val="TextBody"/>
        <w:bidi w:val="0"/>
        <w:spacing w:lineRule="auto" w:line="288" w:before="0" w:after="200"/>
        <w:jc w:val="left"/>
        <w:rPr/>
      </w:pPr>
      <w:r>
        <w:rPr>
          <w:rFonts w:ascii="Arial;sans-serif" w:hAnsi="Arial;sans-serif"/>
          <w:b w:val="false"/>
          <w:i/>
          <w:color w:val="000000"/>
          <w:sz w:val="20"/>
          <w:u w:val="single"/>
        </w:rPr>
        <w:t>Alfamation</w:t>
      </w:r>
      <w:r>
        <w:rPr>
          <w:color w:val="000000"/>
          <w:u w:val="single"/>
        </w:rPr>
        <w:t xml:space="preserve">™ </w:t>
      </w:r>
      <w:r>
        <w:rPr>
          <w:rFonts w:ascii="Arial;sans-serif" w:hAnsi="Arial;sans-serif"/>
          <w:b w:val="false"/>
          <w:i/>
          <w:color w:val="000000"/>
          <w:sz w:val="20"/>
          <w:u w:val="single"/>
        </w:rPr>
        <w:t>Debt</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Note (3) Acquisition</w:t>
      </w:r>
      <w:r>
        <w:rPr>
          <w:rFonts w:ascii="Arial;sans-serif" w:hAnsi="Arial;sans-serif"/>
          <w:b w:val="false"/>
          <w:color w:val="000000"/>
          <w:sz w:val="20"/>
        </w:rPr>
        <w:t>,” we assumed debt with the acquisition of Alfamation™ which totaled $11.3 million as of the acquisition date. The debt acquired is comprised of both fixed and variable rate bank issued term loans as well as short-term variable rate financing backed by Alfamation™’s accounts receivable. This debt is spread across several different institutions with monthly, quarterly or semi-annual repayment schedules.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March 31, 2025, Alfamation™’s debt was valued at $4.9 million, including $1.1 million that is backed by Alfamation™’s accounts receivable. The reduction since the acquisition date represents repayments of short-term instruments and principal payments on long-term debt, net of new borrowings that are backed by Alfamation™’s accounts receivable. The short-term variable financing rate at March 31, 2025, was 3.5%. At March 31, 2025, the weighted average interest rate payable on the bank issued term loans was 1.1% for fixed rate debt and 4.0% for variable rate debt and the overall weighted average interest rate for the bank issued term loans was 3.3%.</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interest expense for the three months ended March 31, 2025 and 2024, related to our various debt arrangements was $0.2 million and $0.1 million, respectively.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Liquidity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cash and cash equivalents and working capital were as follows:</w:t>
      </w:r>
    </w:p>
    <w:tbl>
      <w:tblPr>
        <w:tblW w:w="6503" w:type="dxa"/>
        <w:jc w:val="center"/>
        <w:tblInd w:w="0" w:type="dxa"/>
        <w:tblLayout w:type="fixed"/>
        <w:tblCellMar>
          <w:top w:w="28" w:type="dxa"/>
          <w:left w:w="28" w:type="dxa"/>
          <w:bottom w:w="28" w:type="dxa"/>
          <w:right w:w="28" w:type="dxa"/>
        </w:tblCellMar>
      </w:tblPr>
      <w:tblGrid>
        <w:gridCol w:w="895"/>
        <w:gridCol w:w="789"/>
        <w:gridCol w:w="791"/>
        <w:gridCol w:w="109"/>
        <w:gridCol w:w="109"/>
        <w:gridCol w:w="109"/>
        <w:gridCol w:w="292"/>
        <w:gridCol w:w="1042"/>
        <w:gridCol w:w="151"/>
        <w:gridCol w:w="109"/>
        <w:gridCol w:w="109"/>
        <w:gridCol w:w="109"/>
        <w:gridCol w:w="357"/>
        <w:gridCol w:w="1272"/>
        <w:gridCol w:w="260"/>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22,048 </w:t>
            </w:r>
          </w:p>
        </w:tc>
        <w:tc>
          <w:tcPr>
            <w:tcW w:w="15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19,830 </w:t>
            </w:r>
          </w:p>
        </w:tc>
        <w:tc>
          <w:tcPr>
            <w:tcW w:w="26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46,864 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As of March 31, 2025, $12.0 million, or 55%, of our cash and cash equivalents was held by our foreign subsidiaries.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to our consolidated financial statements in this Report.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estimate that our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Our current strategy for growth includes pursuing acquisition opportunities for complementary businesses, technologies or products. As previously discussed, we currently anticipate that any additional long-term cash requirements related to our strategy would be funded through a combination of our cash and cash equivalents, the remaining availability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color w:val="000000"/>
          <w:sz w:val="20"/>
        </w:rPr>
        <w:t>Term Note or by issuing equity. The borrowing availability under the Term Note was expanded in September 2022 as discussed above and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to our consolidated financial statements in this Report.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Cash Flows</w:t>
      </w:r>
    </w:p>
    <w:p>
      <w:pPr>
        <w:pStyle w:val="TextBody"/>
        <w:bidi w:val="0"/>
        <w:spacing w:lineRule="auto" w:line="288" w:before="0" w:after="200"/>
        <w:jc w:val="left"/>
        <w:rPr/>
      </w:pPr>
      <w:r>
        <w:rPr>
          <w:rFonts w:ascii="Arial;sans-serif" w:hAnsi="Arial;sans-serif"/>
          <w:b w:val="false"/>
          <w:i/>
          <w:color w:val="000000"/>
          <w:sz w:val="20"/>
        </w:rPr>
        <w:t>Operating Activities:</w:t>
      </w:r>
      <w:r>
        <w:rPr>
          <w:color w:val="000000"/>
        </w:rPr>
        <w:t xml:space="preserve"> </w:t>
      </w:r>
      <w:r>
        <w:rPr>
          <w:rFonts w:ascii="Arial;sans-serif" w:hAnsi="Arial;sans-serif"/>
          <w:b w:val="false"/>
          <w:color w:val="000000"/>
          <w:sz w:val="20"/>
        </w:rPr>
        <w:t>Net cash provided by operating activities for the three months ended March 31, 2025, was $5.5 million, an increase of $3.5 million compared to the prior year period. The increase was driven by increased collections of our accounts receivable, offset partially by the decrease in net earnings from the comparative period as a result of the net loss during the three months ended March 31, 2025, decreases in accounts payable, accrued expenses and other liabilities. Non-cash adjustments to net (loss) earnings increased primarily due to increased depreciation and amortization resulting from the full-quarter impact of Alfamation™.</w:t>
      </w:r>
    </w:p>
    <w:p>
      <w:pPr>
        <w:pStyle w:val="TextBody"/>
        <w:bidi w:val="0"/>
        <w:spacing w:lineRule="auto" w:line="288" w:before="0" w:after="200"/>
        <w:jc w:val="left"/>
        <w:rPr/>
      </w:pPr>
      <w:r>
        <w:rPr>
          <w:rFonts w:ascii="Arial;sans-serif" w:hAnsi="Arial;sans-serif"/>
          <w:b w:val="false"/>
          <w:i/>
          <w:color w:val="000000"/>
          <w:sz w:val="20"/>
        </w:rPr>
        <w:t>Investing Activities:</w:t>
      </w:r>
      <w:r>
        <w:rPr>
          <w:color w:val="000000"/>
        </w:rPr>
        <w:t xml:space="preserve"> </w:t>
      </w:r>
      <w:r>
        <w:rPr>
          <w:rFonts w:ascii="Arial;sans-serif" w:hAnsi="Arial;sans-serif"/>
          <w:b w:val="false"/>
          <w:color w:val="000000"/>
          <w:sz w:val="20"/>
        </w:rPr>
        <w:t>Net cash used in investing activities for the three months ended March 31, 2025, was $0.2 million, a decreased usage of $19.0 million compared to the prior year period. During the three months ended March 31, 2024, we used $18.9 million of cash to acquire Alfamation™, whereas in the current year period we did not have any acquisitions. Capital expenditures for property and equipment were consistent in both periods.</w:t>
      </w:r>
    </w:p>
    <w:p>
      <w:pPr>
        <w:pStyle w:val="TextBody"/>
        <w:bidi w:val="0"/>
        <w:spacing w:lineRule="auto" w:line="288" w:before="0" w:after="200"/>
        <w:jc w:val="left"/>
        <w:rPr/>
      </w:pPr>
      <w:r>
        <w:rPr>
          <w:rFonts w:ascii="Arial;sans-serif" w:hAnsi="Arial;sans-serif"/>
          <w:b w:val="false"/>
          <w:i/>
          <w:color w:val="000000"/>
          <w:sz w:val="20"/>
        </w:rPr>
        <w:t>Financing Activities:</w:t>
      </w:r>
      <w:r>
        <w:rPr>
          <w:color w:val="000000"/>
        </w:rPr>
        <w:t xml:space="preserve"> </w:t>
      </w:r>
      <w:r>
        <w:rPr>
          <w:rFonts w:ascii="Arial;sans-serif" w:hAnsi="Arial;sans-serif"/>
          <w:b w:val="false"/>
          <w:color w:val="000000"/>
          <w:sz w:val="20"/>
        </w:rPr>
        <w:t>Net cash used in financing activities for the three months ended March 31, 2025, was $3.4 million, an increased usage of $2.5 million compared to the prior year period. The increase is due to the repayments of short-term borrowings used in the Alfamation™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New or Recently Adopted Accounting Standards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Part I; Item 1. Financial Statements; Notes to Consolidated Financial Statements; Note (2) Summary of Significant Accounting Policies; (s) Effect of Recently Adopted Amendments to Authoritative Accounting Guidance and (t) Effect of Recently Issued Amendments to Authoritative Accounting Guidance Not Yet Adopted</w:t>
      </w:r>
      <w:r>
        <w:rPr>
          <w:color w:val="000000"/>
        </w:rPr>
        <w:t xml:space="preserve">” </w:t>
      </w:r>
      <w:r>
        <w:rPr>
          <w:rFonts w:ascii="Arial;sans-serif" w:hAnsi="Arial;sans-serif"/>
          <w:b w:val="false"/>
          <w:color w:val="000000"/>
          <w:sz w:val="20"/>
        </w:rPr>
        <w:t>for information concerning the implementation and impact of new or recently adopted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Off-Balance Sheet Arrangements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off-balance sheet arrangements during the three months ended March 31, 2025, that have or are reasonably likely to have, a current or future effect on our financial condition, changes in financial condition, revenue or expenses, results of operations, liquidity, capital expenditures or capital resources that is material to our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3.QUANTITATIVE AND QUALITATIVE DISCLOSURES ABOUT MARKET RISK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This disclosure is not required for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4.CONTROLS AND PROCEDURES</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Evaluation of Disclosure Controls and Procedures</w:t>
      </w:r>
    </w:p>
    <w:p>
      <w:pPr>
        <w:pStyle w:val="TextBody"/>
        <w:bidi w:val="0"/>
        <w:spacing w:lineRule="auto" w:line="288" w:before="0" w:after="200"/>
        <w:jc w:val="left"/>
        <w:rPr/>
      </w:pPr>
      <w:r>
        <w:rPr>
          <w:rFonts w:ascii="Arial;sans-serif" w:hAnsi="Arial;sans-serif"/>
          <w:b w:val="false"/>
          <w:color w:val="000000"/>
          <w:sz w:val="20"/>
        </w:rPr>
        <w:t>We maintain disclosure controls and procedures, as such term is defined in Rule 13a-15(e) under the Exchange Act of 1934, as amended, (the “</w:t>
      </w:r>
      <w:r>
        <w:rPr>
          <w:rFonts w:ascii="Arial;sans-serif" w:hAnsi="Arial;sans-serif"/>
          <w:b/>
          <w:color w:val="000000"/>
          <w:sz w:val="20"/>
          <w:u w:val="single"/>
        </w:rPr>
        <w:t>Exchange Act</w:t>
      </w:r>
      <w:r>
        <w:rPr>
          <w:color w:val="000000"/>
        </w:rPr>
        <w:t>”</w:t>
      </w:r>
      <w:r>
        <w:rPr>
          <w:rFonts w:ascii="Arial;sans-serif" w:hAnsi="Arial;sans-serif"/>
          <w:b w:val="false"/>
          <w:color w:val="000000"/>
          <w:sz w:val="20"/>
        </w:rPr>
        <w: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CEO/CFO Conclusions about the Effectiveness of the Disclosure Controls and Procedures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required by Rule 13a-15(b) of the Exchange 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Changes in Internal Control Over Financial Reporting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pPr>
      <w:r>
        <w:rPr>
          <w:rFonts w:ascii="Arial;sans-serif" w:hAnsi="Arial;sans-serif"/>
          <w:b/>
          <w:color w:val="000000"/>
          <w:sz w:val="20"/>
        </w:rPr>
        <w:t>PART II.</w:t>
      </w:r>
      <w:r>
        <w:rPr>
          <w:color w:val="000000"/>
        </w:rPr>
        <w:t xml:space="preserve"> </w:t>
      </w:r>
      <w:r>
        <w:rPr>
          <w:rFonts w:ascii="Arial;sans-serif" w:hAnsi="Arial;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1.Legal Proceedings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we may be a party to legal proceedings occurring in the ordinary course of business. We are not currently involved in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1A. Risk Factors</w:t>
      </w:r>
    </w:p>
    <w:p>
      <w:pPr>
        <w:pStyle w:val="TextBody"/>
        <w:bidi w:val="0"/>
        <w:spacing w:lineRule="auto" w:line="288" w:before="0" w:after="200"/>
        <w:jc w:val="left"/>
        <w:rPr/>
      </w:pPr>
      <w:r>
        <w:rPr>
          <w:rFonts w:ascii="Arial;sans-serif" w:hAnsi="Arial;sans-serif"/>
          <w:b w:val="false"/>
          <w:color w:val="000000"/>
          <w:sz w:val="20"/>
        </w:rPr>
        <w:t xml:space="preserve">The following risk factors supplement the risk factors described in </w:t>
      </w:r>
      <w:r>
        <w:rPr>
          <w:color w:val="000000"/>
        </w:rPr>
        <w:t>“</w:t>
      </w:r>
      <w:r>
        <w:rPr>
          <w:rFonts w:ascii="Arial;sans-serif" w:hAnsi="Arial;sans-serif"/>
          <w:b/>
          <w:color w:val="000000"/>
          <w:sz w:val="20"/>
        </w:rPr>
        <w:t xml:space="preserve">Part I; Item 1A; Risk Factors” </w:t>
      </w:r>
      <w:r>
        <w:rPr>
          <w:rFonts w:ascii="Arial;sans-serif" w:hAnsi="Arial;sans-serif"/>
          <w:b w:val="false"/>
          <w:color w:val="000000"/>
          <w:sz w:val="20"/>
        </w:rPr>
        <w:t>of our 2024 Form 10-K Report and should be read in conjunction with the risk factors described in our 2024 Form 10-K Report:</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The terms and covenants relating to our credit facility could adversely impact our ability to pursue our strategy and our financial performance and liquidity, and thus we may need additional financial resources to maintain our liquidity.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credit facility with M&amp;T Bank contains covenants requiring us to, among other things, provide financial and other information and to provide notice upon the occurrence of certain events affecting us or our business. These covenants also place restrictions on our ability to incur additional indebtedness, and enter into certain transactions, including selling assets, engaging in mergers or acquisitions, or engaging in transactions with affiliates. If we fail to satisfy one or more of the covenants under our credit facility, we would be in default thereunder and may be required to repay such debt with capital from other sources or otherwise not be able to draw down against our facility. Under such circumstances, we may have difficulty in locating another lender that would be willing to extend credit to us, and other sources of capital may not be available to us on reasonable terms or at all.</w:t>
      </w:r>
    </w:p>
    <w:p>
      <w:pPr>
        <w:pStyle w:val="TextBody"/>
        <w:bidi w:val="0"/>
        <w:spacing w:lineRule="auto" w:line="288" w:before="0" w:after="200"/>
        <w:jc w:val="left"/>
        <w:rPr/>
      </w:pPr>
      <w:r>
        <w:rPr>
          <w:rFonts w:ascii="Arial;sans-serif" w:hAnsi="Arial;sans-serif"/>
          <w:b w:val="false"/>
          <w:color w:val="000000"/>
          <w:sz w:val="20"/>
        </w:rPr>
        <w:t xml:space="preserve">At December 31, 2024, we were in compliance with all of the covenants included in our Loan Agreement. At March 31, 2025, we were in compliance with all of the covenants included in the Loan Agreement, except for the fixed charge coverage ratio financial covenant which was 0.99 to 1.0 for the quarter ended March 31, 2025, for which we have received a one-time waiver from M&amp;T on May 1, 2025. We anticipate that we likely will not be in compliance with the fixed charge coverage ratio as currently defined for the three months ended June 30, 2025. As a result, we are in discussions with M&amp;T regarding options to address this covenant, including an amendment to the Credit Facility to adjust the formula used to calculate the fixed charge coverage ratio that reflects our strong cash position and provides flexibility to respond to volatile market conditions, a broader waiver in terms of scope and/or time from M&amp;T, or paying down outstanding balances under the Credit Facility, however, there can be no assurance that a resolution acceptable to the Company will be attained. See </w:t>
      </w:r>
      <w:r>
        <w:rPr>
          <w:color w:val="000000"/>
        </w:rPr>
        <w:t>“</w:t>
      </w:r>
      <w:r>
        <w:rPr>
          <w:rFonts w:ascii="Arial;sans-serif" w:hAnsi="Arial;sans-serif"/>
          <w:b/>
          <w:color w:val="000000"/>
          <w:sz w:val="20"/>
        </w:rPr>
        <w:t>Part I; Item 1. Financial Statements; Notes to Consolidated Financial Statements; Note (10) Debt</w:t>
      </w:r>
      <w:r>
        <w:rPr>
          <w:color w:val="000000"/>
        </w:rPr>
        <w:t>” “</w:t>
      </w:r>
      <w:r>
        <w:rPr>
          <w:rFonts w:ascii="Arial;sans-serif" w:hAnsi="Arial;sans-serif"/>
          <w:b/>
          <w:color w:val="000000"/>
          <w:sz w:val="20"/>
        </w:rPr>
        <w:t>Part I; Item 2. Management’s Discussion and Analysis of Financial Condition and Results of Operations; Liquidity and Capital Resources; Credit Facility</w:t>
      </w:r>
      <w:r>
        <w:rPr>
          <w:color w:val="000000"/>
        </w:rPr>
        <w:t xml:space="preserve">” </w:t>
      </w:r>
      <w:r>
        <w:rPr>
          <w:rFonts w:ascii="Arial;sans-serif" w:hAnsi="Arial;sans-serif"/>
          <w:b w:val="false"/>
          <w:color w:val="000000"/>
          <w:sz w:val="20"/>
        </w:rPr>
        <w:t>in this Report for a discussion of the material terms of our credit facility.</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U.S. tariff policies and potential global retaliatory countermeasures could increase our cost, disrupt our supply chain or affect customer purchasing activities, any of which could negatively impact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U.S. and foreign trade policy, including the imposition of tariffs and other trade barriers, could adversely affect our business, financial condition, and results of operations. For example, the recent imposition of a 10% base tariff on imports from certain countries and higher, country-specific tariffs on other countries, including a 145% tariff on certain Chinese imports, has increased our material costs and may force us to seek alternative suppliers or navigate through a period of reduced orders and revenues and/or unprofitability if we are unable to pass cost increases onto customers. We believe that approximately 73% of our materials are sourced from within the United States, however approximately 52% of our revenue for the three months ended March 31, 2025, were shipped to customers outside of the United States and thus potentially exposed to tariffs. Retaliatory tariffs by China and other countries could further disrupt our supply chain, reduce demand for our products, or result in lost sales. The unpredictable nature of these trade policies and the potential for further escalation may increase uncertainty and volatility in our industry, which could negatively impact our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2.Unregistered Sales of Equity Securities and Use of Proceeds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provides information with respect to purchases made by or on behalf of the Company or any “affiliated purchaser” as defined in Rule 10b-18(a)(3) under the Exchange Act, of our common stock during the three months ended March 31, 2025, including shares of common stock surrendered to us by employees to cover tax withholdings under the net settlement provisions of our restricted stock awards and those made pursuant to publicly announced plans or programs and those not made pursuant to publicly announced plans or programs.</w:t>
      </w:r>
    </w:p>
    <w:tbl>
      <w:tblPr>
        <w:tblW w:w="7457" w:type="dxa"/>
        <w:jc w:val="center"/>
        <w:tblInd w:w="0" w:type="dxa"/>
        <w:tblLayout w:type="fixed"/>
        <w:tblCellMar>
          <w:top w:w="28" w:type="dxa"/>
          <w:left w:w="28" w:type="dxa"/>
          <w:bottom w:w="28" w:type="dxa"/>
          <w:right w:w="28" w:type="dxa"/>
        </w:tblCellMar>
      </w:tblPr>
      <w:tblGrid>
        <w:gridCol w:w="477"/>
        <w:gridCol w:w="418"/>
        <w:gridCol w:w="424"/>
        <w:gridCol w:w="109"/>
        <w:gridCol w:w="109"/>
        <w:gridCol w:w="109"/>
        <w:gridCol w:w="365"/>
        <w:gridCol w:w="365"/>
        <w:gridCol w:w="366"/>
        <w:gridCol w:w="109"/>
        <w:gridCol w:w="109"/>
        <w:gridCol w:w="109"/>
        <w:gridCol w:w="261"/>
        <w:gridCol w:w="669"/>
        <w:gridCol w:w="134"/>
        <w:gridCol w:w="109"/>
        <w:gridCol w:w="109"/>
        <w:gridCol w:w="109"/>
        <w:gridCol w:w="444"/>
        <w:gridCol w:w="444"/>
        <w:gridCol w:w="446"/>
        <w:gridCol w:w="109"/>
        <w:gridCol w:w="109"/>
        <w:gridCol w:w="109"/>
        <w:gridCol w:w="391"/>
        <w:gridCol w:w="391"/>
        <w:gridCol w:w="554"/>
      </w:tblGrid>
      <w:tr>
        <w:trPr/>
        <w:tc>
          <w:tcPr>
            <w:tcW w:w="4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br/>
              <w:t>Number</w:t>
              <w:br/>
              <w:t>of Shares</w:t>
              <w:br/>
              <w:t>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Average</w:t>
              <w:br/>
              <w:t>Price Paid</w:t>
              <w:b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Total </w:t>
              <w:br/>
              <w:t>Number</w:t>
              <w:br/>
              <w:t>of Shares</w:t>
              <w:br/>
              <w:t>Purchased</w:t>
              <w:br/>
              <w:t>as Part of</w:t>
              <w:br/>
              <w:t>Publicly</w:t>
              <w:br/>
              <w:t>Announced</w:t>
              <w:br/>
              <w:t>Plans</w:t>
              <w:br/>
              <w:t xml:space="preserve">or Programs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Approximate</w:t>
              <w:br/>
              <w:t>Dollar</w:t>
              <w:br/>
              <w:t xml:space="preserve">Value of </w:t>
              <w:br/>
              <w:t>Shares</w:t>
              <w:br/>
              <w:t xml:space="preserve">That May </w:t>
              <w:br/>
              <w:t>Yet Be</w:t>
              <w:br/>
              <w:t xml:space="preserve">Purchased </w:t>
              <w:br/>
              <w:t>Under</w:t>
              <w:br/>
              <w:t>the Plans or</w:t>
              <w:br/>
              <w:t>Programs</w:t>
            </w:r>
          </w:p>
        </w:tc>
      </w:tr>
      <w:tr>
        <w:trPr/>
        <w:tc>
          <w:tcPr>
            <w:tcW w:w="131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January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February 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3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On March 5, 2025, our Board of Directors authorized the renewal of our previously expired share repurchase plan (the “</w:t>
      </w:r>
      <w:r>
        <w:rPr>
          <w:rFonts w:ascii="Arial;sans-serif" w:hAnsi="Arial;sans-serif"/>
          <w:b/>
          <w:color w:val="000000"/>
          <w:sz w:val="20"/>
        </w:rPr>
        <w:t>Repurchase Plan</w:t>
      </w:r>
      <w:r>
        <w:rPr>
          <w:color w:val="000000"/>
        </w:rPr>
        <w:t>”</w:t>
      </w:r>
      <w:r>
        <w:rPr>
          <w:rFonts w:ascii="Arial;sans-serif" w:hAnsi="Arial;sans-serif"/>
          <w:b w:val="false"/>
          <w:color w:val="000000"/>
          <w:sz w:val="20"/>
        </w:rPr>
        <w:t>) whereby we may repurchase shares of our common stock on the open market with a total aggregate repurchase amount of up to $10.0 million. As of the renewal date, we had approximately $9.0 million available for repurchases under the Repurchase Plan. The Repurchase Plan may be suspended or discontinued at any time without prior notice.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repurchases of shares under the Repurchase Plan during the three months ended March 31, 2025. As of March 31, 2025, we had repurchased 141,117 shares under the Repurchase Plan at a fair value of $1.0 million. All of the shares repurchased pursuant to the Repurchase Plan have been retired.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3.Defaults Upon Senior Securities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4.Mine Safety Disclosures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5.Other Information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first quarter ended March 31, 2025,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C02026"/>
          <w:sz w:val="20"/>
        </w:rPr>
        <w:t>Item 6.</w:t>
      </w:r>
      <w:r>
        <w:rPr>
          <w:rFonts w:ascii="Arial;sans-serif" w:hAnsi="Arial;sans-serif"/>
          <w:b/>
          <w:color w:val="C02026"/>
          <w:sz w:val="20"/>
        </w:rPr>
        <w:t>Exhibits</w:t>
      </w:r>
    </w:p>
    <w:tbl>
      <w:tblPr>
        <w:tblW w:w="10205" w:type="dxa"/>
        <w:jc w:val="left"/>
        <w:tblInd w:w="0" w:type="dxa"/>
        <w:tblLayout w:type="fixed"/>
        <w:tblCellMar>
          <w:top w:w="28" w:type="dxa"/>
          <w:left w:w="28" w:type="dxa"/>
          <w:bottom w:w="28" w:type="dxa"/>
          <w:right w:w="28" w:type="dxa"/>
        </w:tblCellMar>
      </w:tblPr>
      <w:tblGrid>
        <w:gridCol w:w="359"/>
        <w:gridCol w:w="315"/>
        <w:gridCol w:w="317"/>
        <w:gridCol w:w="1909"/>
        <w:gridCol w:w="1739"/>
        <w:gridCol w:w="1745"/>
        <w:gridCol w:w="175"/>
        <w:gridCol w:w="175"/>
        <w:gridCol w:w="176"/>
        <w:gridCol w:w="172"/>
        <w:gridCol w:w="172"/>
        <w:gridCol w:w="173"/>
        <w:gridCol w:w="220"/>
        <w:gridCol w:w="220"/>
        <w:gridCol w:w="221"/>
        <w:gridCol w:w="239"/>
        <w:gridCol w:w="239"/>
        <w:gridCol w:w="240"/>
        <w:gridCol w:w="407"/>
        <w:gridCol w:w="407"/>
        <w:gridCol w:w="58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Exhibit Number</w:t>
            </w:r>
          </w:p>
        </w:tc>
        <w:tc>
          <w:tcPr>
            <w:tcW w:w="5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Description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Form</w:t>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File No.</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Exhibit</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Filing Date</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Filed/ Furnished Herewith</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tt-20250331xex311.htm">
              <w:r>
                <w:rPr>
                  <w:rStyle w:val="InternetLink"/>
                  <w:rFonts w:ascii="Arial;sans-serif" w:hAnsi="Arial;sans-serif"/>
                  <w:b w:val="false"/>
                  <w:color w:val="0000FF"/>
                  <w:sz w:val="16"/>
                  <w:u w:val="single"/>
                </w:rPr>
                <w:t>Certification of Chief Executive Officer pursuant to Rule 13a-14(a)</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tt-20250331xex312.htm">
              <w:r>
                <w:rPr>
                  <w:rStyle w:val="InternetLink"/>
                  <w:rFonts w:ascii="Arial;sans-serif" w:hAnsi="Arial;sans-serif"/>
                  <w:b w:val="false"/>
                  <w:color w:val="0000FF"/>
                  <w:sz w:val="16"/>
                  <w:u w:val="single"/>
                </w:rPr>
                <w:t>Certification of Chief Financial Officer pursuant to Rule 13a-14(a)</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tt-20250331xex321.htm">
              <w:r>
                <w:rPr>
                  <w:rStyle w:val="InternetLink"/>
                  <w:rFonts w:ascii="Arial;sans-serif" w:hAnsi="Arial;sans-serif"/>
                  <w:b w:val="false"/>
                  <w:color w:val="0000FF"/>
                  <w:sz w:val="16"/>
                  <w:u w:val="single"/>
                </w:rPr>
                <w:t>Certification of Chief Executive Officer furnished pursuant to 18 U.S.C. Section 1350, as adopted pursuant to Section 906 of the Sarbanes-Oxley Act of 2002</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tt-20250331xex322.htm">
              <w:r>
                <w:rPr>
                  <w:rStyle w:val="InternetLink"/>
                  <w:rFonts w:ascii="Arial;sans-serif" w:hAnsi="Arial;sans-serif"/>
                  <w:b w:val="false"/>
                  <w:color w:val="0000FF"/>
                  <w:sz w:val="16"/>
                  <w:u w:val="single"/>
                </w:rPr>
                <w:t>Certification of Chief Financial Officer furnished pursuant to 18 U.S.C. Section 1350, as adopted pursuant to Section 906 of the Sarbanes-Oxley Act of 2002</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101.INS</w:t>
            </w:r>
          </w:p>
        </w:tc>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Instance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101.SCH</w:t>
            </w:r>
          </w:p>
        </w:tc>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101.CAL</w:t>
            </w:r>
          </w:p>
        </w:tc>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101.DEF</w:t>
            </w:r>
          </w:p>
        </w:tc>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101.LAB</w:t>
            </w:r>
          </w:p>
        </w:tc>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101.PRE</w:t>
            </w:r>
          </w:p>
        </w:tc>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Filed herewith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5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Furnished herewith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261e45121f8149fe91e62b79bb170bb9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Signatures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73" w:type="dxa"/>
        <w:jc w:val="left"/>
        <w:tblInd w:w="0" w:type="dxa"/>
        <w:tblLayout w:type="fixed"/>
        <w:tblCellMar>
          <w:top w:w="28" w:type="dxa"/>
          <w:left w:w="28" w:type="dxa"/>
          <w:bottom w:w="28" w:type="dxa"/>
          <w:right w:w="28" w:type="dxa"/>
        </w:tblCellMar>
      </w:tblPr>
      <w:tblGrid>
        <w:gridCol w:w="211"/>
        <w:gridCol w:w="186"/>
        <w:gridCol w:w="188"/>
        <w:gridCol w:w="394"/>
        <w:gridCol w:w="394"/>
        <w:gridCol w:w="396"/>
        <w:gridCol w:w="1259"/>
        <w:gridCol w:w="1259"/>
        <w:gridCol w:w="178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InTest Corporation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May 8, 2025</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Richard N. Grant, Jr.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Richard N. Grant, Jr.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May 8, 2025</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Chief Financial Officer, Treasurer and Secretary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31.1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- 47 -</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Richard N. Grant, Jr.,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600"/>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May 8, 2025</w:t>
      </w:r>
    </w:p>
    <w:tbl>
      <w:tblPr>
        <w:tblW w:w="4104" w:type="dxa"/>
        <w:jc w:val="left"/>
        <w:tblInd w:w="0" w:type="dxa"/>
        <w:tblLayout w:type="fixed"/>
        <w:tblCellMar>
          <w:top w:w="28" w:type="dxa"/>
          <w:left w:w="28" w:type="dxa"/>
          <w:bottom w:w="28" w:type="dxa"/>
          <w:right w:w="28" w:type="dxa"/>
        </w:tblCellMar>
      </w:tblPr>
      <w:tblGrid>
        <w:gridCol w:w="124"/>
        <w:gridCol w:w="109"/>
        <w:gridCol w:w="109"/>
        <w:gridCol w:w="1129"/>
        <w:gridCol w:w="1129"/>
        <w:gridCol w:w="11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EXHIBIT 31.2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Duncan Gilmour,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600"/>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May 8, 2025</w:t>
      </w:r>
    </w:p>
    <w:tbl>
      <w:tblPr>
        <w:tblW w:w="4973" w:type="dxa"/>
        <w:jc w:val="left"/>
        <w:tblInd w:w="0" w:type="dxa"/>
        <w:tblLayout w:type="fixed"/>
        <w:tblCellMar>
          <w:top w:w="28" w:type="dxa"/>
          <w:left w:w="28" w:type="dxa"/>
          <w:bottom w:w="28" w:type="dxa"/>
          <w:right w:w="28" w:type="dxa"/>
        </w:tblCellMar>
      </w:tblPr>
      <w:tblGrid>
        <w:gridCol w:w="124"/>
        <w:gridCol w:w="109"/>
        <w:gridCol w:w="109"/>
        <w:gridCol w:w="1418"/>
        <w:gridCol w:w="1418"/>
        <w:gridCol w:w="142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32.1</w:t>
      </w:r>
    </w:p>
    <w:p>
      <w:pPr>
        <w:pStyle w:val="TextBody"/>
        <w:bidi w:val="0"/>
        <w:spacing w:lineRule="auto" w:line="288" w:before="0" w:after="60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w:t>
      </w:r>
    </w:p>
    <w:p>
      <w:pPr>
        <w:pStyle w:val="TextBody"/>
        <w:bidi w:val="0"/>
        <w:spacing w:lineRule="auto" w:line="288" w:before="0" w:after="60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Quarterly Report of InTest Corporation (the "Company") on Form 10-Q for the period ended March 31, 2025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pStyle w:val="TextBody"/>
        <w:bidi w:val="0"/>
        <w:spacing w:lineRule="auto" w:line="288" w:before="0" w:after="240"/>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960"/>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531" w:type="dxa"/>
        <w:jc w:val="left"/>
        <w:tblInd w:w="0" w:type="dxa"/>
        <w:tblLayout w:type="fixed"/>
        <w:tblCellMar>
          <w:top w:w="28" w:type="dxa"/>
          <w:left w:w="28" w:type="dxa"/>
          <w:bottom w:w="28" w:type="dxa"/>
          <w:right w:w="28" w:type="dxa"/>
        </w:tblCellMar>
      </w:tblPr>
      <w:tblGrid>
        <w:gridCol w:w="211"/>
        <w:gridCol w:w="186"/>
        <w:gridCol w:w="188"/>
        <w:gridCol w:w="394"/>
        <w:gridCol w:w="394"/>
        <w:gridCol w:w="396"/>
        <w:gridCol w:w="109"/>
        <w:gridCol w:w="109"/>
        <w:gridCol w:w="109"/>
        <w:gridCol w:w="1006"/>
        <w:gridCol w:w="1006"/>
        <w:gridCol w:w="142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32.2</w:t>
      </w:r>
    </w:p>
    <w:p>
      <w:pPr>
        <w:pStyle w:val="TextBody"/>
        <w:bidi w:val="0"/>
        <w:spacing w:lineRule="auto" w:line="288" w:before="0" w:after="60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w:t>
      </w:r>
    </w:p>
    <w:p>
      <w:pPr>
        <w:pStyle w:val="TextBody"/>
        <w:bidi w:val="0"/>
        <w:spacing w:lineRule="auto" w:line="288" w:before="0" w:after="60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Quarterly Report of InTest Corporation (the "Company") on Form 10-Q for the period ended March 31, 2025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pStyle w:val="TextBody"/>
        <w:bidi w:val="0"/>
        <w:spacing w:lineRule="auto" w:line="288" w:before="0" w:after="240"/>
        <w:ind w:left="0" w:right="0" w:hanging="27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720"/>
        <w:ind w:left="0" w:right="0" w:hanging="27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461" w:type="dxa"/>
        <w:jc w:val="left"/>
        <w:tblInd w:w="0" w:type="dxa"/>
        <w:tblLayout w:type="fixed"/>
        <w:tblCellMar>
          <w:top w:w="28" w:type="dxa"/>
          <w:left w:w="28" w:type="dxa"/>
          <w:bottom w:w="28" w:type="dxa"/>
          <w:right w:w="28" w:type="dxa"/>
        </w:tblCellMar>
      </w:tblPr>
      <w:tblGrid>
        <w:gridCol w:w="233"/>
        <w:gridCol w:w="205"/>
        <w:gridCol w:w="207"/>
        <w:gridCol w:w="394"/>
        <w:gridCol w:w="394"/>
        <w:gridCol w:w="396"/>
        <w:gridCol w:w="109"/>
        <w:gridCol w:w="109"/>
        <w:gridCol w:w="109"/>
        <w:gridCol w:w="1260"/>
        <w:gridCol w:w="1260"/>
        <w:gridCol w:w="178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25171</Words>
  <Characters>137606</Characters>
  <CharactersWithSpaces>160963</CharactersWithSpaces>
  <Paragraphs>2934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