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982"/>
        <w:spacing w:after="0"/>
        <w:rPr>
          <w:sz w:val="20"/>
          <w:szCs w:val="20"/>
          <w:color w:val="auto"/>
        </w:rPr>
      </w:pPr>
      <w:r>
        <w:rPr>
          <w:rFonts w:ascii="Times New Roman" w:cs="Times New Roman" w:eastAsia="Times New Roman" w:hAnsi="Times New Roman"/>
          <w:sz w:val="18"/>
          <w:szCs w:val="18"/>
          <w:color w:val="auto"/>
        </w:rPr>
        <w:t>_____________</w:t>
      </w:r>
    </w:p>
    <w:p>
      <w:pPr>
        <w:spacing w:after="0" w:line="203"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ind w:left="4982"/>
        <w:spacing w:after="0"/>
        <w:rPr>
          <w:sz w:val="20"/>
          <w:szCs w:val="20"/>
          <w:color w:val="auto"/>
        </w:rPr>
      </w:pPr>
      <w:r>
        <w:rPr>
          <w:rFonts w:ascii="Times New Roman" w:cs="Times New Roman" w:eastAsia="Times New Roman" w:hAnsi="Times New Roman"/>
          <w:sz w:val="18"/>
          <w:szCs w:val="18"/>
          <w:b w:val="1"/>
          <w:bCs w:val="1"/>
          <w:color w:val="auto"/>
        </w:rPr>
        <w:t>_____________</w:t>
      </w:r>
    </w:p>
    <w:p>
      <w:pPr>
        <w:spacing w:after="0" w:line="9"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(Mark One)</w:t>
      </w:r>
    </w:p>
    <w:p>
      <w:pPr>
        <w:spacing w:after="0" w:line="4" w:lineRule="exact"/>
        <w:rPr>
          <w:sz w:val="24"/>
          <w:szCs w:val="24"/>
          <w:color w:val="auto"/>
        </w:rPr>
      </w:pPr>
    </w:p>
    <w:p>
      <w:pPr>
        <w:ind w:left="3642" w:right="1660" w:hanging="3642"/>
        <w:spacing w:after="0" w:line="266" w:lineRule="auto"/>
        <w:tabs>
          <w:tab w:leader="none" w:pos="2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2019</w:t>
      </w:r>
      <w:r>
        <w:rPr>
          <w:rFonts w:ascii="Times New Roman" w:cs="Times New Roman" w:eastAsia="Times New Roman" w:hAnsi="Times New Roman"/>
          <w:sz w:val="18"/>
          <w:szCs w:val="18"/>
          <w:color w:val="auto"/>
        </w:rPr>
        <w:t xml:space="preserve"> or</w:t>
      </w:r>
    </w:p>
    <w:p>
      <w:pPr>
        <w:spacing w:after="0" w:line="172" w:lineRule="exact"/>
        <w:rPr>
          <w:sz w:val="24"/>
          <w:szCs w:val="24"/>
          <w:color w:val="auto"/>
        </w:rPr>
      </w:pPr>
    </w:p>
    <w:p>
      <w:pPr>
        <w:ind w:left="2702" w:right="1660" w:hanging="2702"/>
        <w:spacing w:after="0" w:line="286" w:lineRule="auto"/>
        <w:tabs>
          <w:tab w:leader="none" w:pos="24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__________________ to ___________________</w:t>
      </w:r>
    </w:p>
    <w:p>
      <w:pPr>
        <w:spacing w:after="0" w:line="159"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1-36117</w:t>
      </w:r>
    </w:p>
    <w:p>
      <w:pPr>
        <w:spacing w:after="0" w:line="221"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b w:val="1"/>
          <w:bCs w:val="1"/>
          <w:u w:val="single" w:color="auto"/>
          <w:color w:val="auto"/>
        </w:rPr>
        <w:t>inTEST Corporation</w:t>
      </w:r>
    </w:p>
    <w:p>
      <w:pPr>
        <w:spacing w:after="0" w:line="31"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tbl>
      <w:tblPr>
        <w:tblLayout w:type="fixed"/>
        <w:tblInd w:w="782"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3560" w:type="dxa"/>
            <w:vAlign w:val="bottom"/>
            <w:gridSpan w:val="2"/>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8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22-2370659</w:t>
            </w:r>
          </w:p>
        </w:tc>
      </w:tr>
      <w:tr>
        <w:trPr>
          <w:trHeight w:val="20"/>
        </w:trPr>
        <w:tc>
          <w:tcPr>
            <w:tcW w:w="1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98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94"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804 East Gate Drive, Suite 200</w:t>
      </w:r>
    </w:p>
    <w:p>
      <w:pPr>
        <w:spacing w:after="0" w:line="31"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b w:val="1"/>
          <w:bCs w:val="1"/>
          <w:u w:val="single" w:color="auto"/>
          <w:color w:val="auto"/>
        </w:rPr>
        <w:t>Mt. Laurel, New Jersey 08054</w:t>
      </w:r>
    </w:p>
    <w:p>
      <w:pPr>
        <w:spacing w:after="0" w:line="9"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b w:val="1"/>
          <w:bCs w:val="1"/>
          <w:u w:val="single" w:color="auto"/>
          <w:color w:val="auto"/>
        </w:rPr>
        <w:t>(856) 505-8800</w:t>
      </w:r>
    </w:p>
    <w:p>
      <w:pPr>
        <w:spacing w:after="0" w:line="31"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362"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29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30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7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740" w:type="dxa"/>
            <w:vAlign w:val="bottom"/>
          </w:tcPr>
          <w:p>
            <w:pPr>
              <w:spacing w:after="0"/>
              <w:rPr>
                <w:sz w:val="20"/>
                <w:szCs w:val="20"/>
                <w:color w:val="auto"/>
              </w:rPr>
            </w:pPr>
          </w:p>
        </w:tc>
        <w:tc>
          <w:tcPr>
            <w:tcW w:w="256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rPr>
              <w:t>INTT</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ind w:left="2" w:right="1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2"/>
        <w:spacing w:after="0" w:line="207" w:lineRule="exact"/>
        <w:tabs>
          <w:tab w:leader="none" w:pos="802"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left="2" w:right="1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(SS 232.405 of this chapter) during the preceding 12 months (or for such shorter period that the registrant was required to submit such files).</w:t>
      </w:r>
    </w:p>
    <w:p>
      <w:pPr>
        <w:spacing w:after="0" w:line="2" w:lineRule="exact"/>
        <w:rPr>
          <w:sz w:val="24"/>
          <w:szCs w:val="24"/>
          <w:color w:val="auto"/>
        </w:rPr>
      </w:pPr>
    </w:p>
    <w:p>
      <w:pPr>
        <w:ind w:left="2"/>
        <w:spacing w:after="0" w:line="207" w:lineRule="exact"/>
        <w:tabs>
          <w:tab w:leader="none" w:pos="802"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left="2"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62"/>
          </w:cols>
          <w:pgMar w:left="378" w:top="688" w:right="459" w:bottom="1440" w:gutter="0" w:footer="0" w:header="0"/>
        </w:sectPr>
      </w:pPr>
    </w:p>
    <w:p>
      <w:pPr>
        <w:spacing w:after="0" w:line="147" w:lineRule="exact"/>
        <w:rPr>
          <w:sz w:val="24"/>
          <w:szCs w:val="24"/>
          <w:color w:val="auto"/>
        </w:rPr>
      </w:pPr>
    </w:p>
    <w:p>
      <w:pPr>
        <w:ind w:left="42"/>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42"/>
        <w:spacing w:after="0" w:line="207" w:lineRule="exact"/>
        <w:tabs>
          <w:tab w:leader="none" w:pos="1662"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8" w:lineRule="exact"/>
        <w:rPr>
          <w:sz w:val="24"/>
          <w:szCs w:val="24"/>
          <w:color w:val="auto"/>
        </w:rPr>
      </w:pPr>
    </w:p>
    <w:p>
      <w:pPr>
        <w:sectPr>
          <w:pgSz w:w="11900" w:h="16838" w:orient="portrait"/>
          <w:cols w:equalWidth="0" w:num="2">
            <w:col w:w="6002" w:space="720"/>
            <w:col w:w="4340"/>
          </w:cols>
          <w:pgMar w:left="378" w:top="688" w:right="459" w:bottom="1440" w:gutter="0" w:footer="0" w:header="0"/>
          <w:type w:val="continuous"/>
        </w:sectPr>
      </w:pPr>
    </w:p>
    <w:p>
      <w:pPr>
        <w:ind w:left="42"/>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3" w:lineRule="exact"/>
        <w:rPr>
          <w:sz w:val="24"/>
          <w:szCs w:val="24"/>
          <w:color w:val="auto"/>
        </w:rPr>
      </w:pPr>
    </w:p>
    <w:p>
      <w:pPr>
        <w:sectPr>
          <w:pgSz w:w="11900" w:h="16838" w:orient="portrait"/>
          <w:cols w:equalWidth="0" w:num="2">
            <w:col w:w="2002" w:space="80"/>
            <w:col w:w="8980"/>
          </w:cols>
          <w:pgMar w:left="378" w:top="688" w:right="459" w:bottom="1440" w:gutter="0" w:footer="0" w:header="0"/>
          <w:type w:val="continuous"/>
        </w:sectPr>
      </w:pPr>
    </w:p>
    <w:p>
      <w:pPr>
        <w:ind w:left="2"/>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2"/>
        <w:spacing w:after="0" w:line="207" w:lineRule="exact"/>
        <w:tabs>
          <w:tab w:leader="none" w:pos="802"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left="2"/>
        <w:spacing w:after="0"/>
        <w:rPr>
          <w:sz w:val="20"/>
          <w:szCs w:val="20"/>
          <w:color w:val="auto"/>
        </w:rPr>
      </w:pPr>
      <w:r>
        <w:rPr>
          <w:rFonts w:ascii="Times New Roman" w:cs="Times New Roman" w:eastAsia="Times New Roman" w:hAnsi="Times New Roman"/>
          <w:sz w:val="18"/>
          <w:szCs w:val="18"/>
          <w:color w:val="auto"/>
        </w:rPr>
        <w:t>Number of shares of Common Stock, $0.01 par value, outstanding as of the close of business on October 31, 2019: 10,494,761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377825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2"/>
          </w:cols>
          <w:pgMar w:left="378" w:top="688" w:right="4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0" w:type="dxa"/>
            <w:vAlign w:val="bottom"/>
          </w:tcPr>
          <w:p>
            <w:pPr>
              <w:spacing w:after="0"/>
              <w:rPr>
                <w:sz w:val="17"/>
                <w:szCs w:val="17"/>
                <w:color w:val="auto"/>
              </w:rPr>
            </w:pPr>
          </w:p>
        </w:tc>
        <w:tc>
          <w:tcPr>
            <w:tcW w:w="5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Balance Sheets as of September 30, 2019 (Unaudited) and December 31, 2018</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Unaudited Consolidated Statements of Operations for the three months and nine months ended September 30, 2019 and 2018</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00" w:type="dxa"/>
            <w:vAlign w:val="bottom"/>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Unaudited Consolidated Statements of Comprehensive Earnings (Loss) for the three months and nine months ended September 30, 2019</w:t>
            </w:r>
          </w:p>
        </w:tc>
        <w:tc>
          <w:tcPr>
            <w:tcW w:w="560" w:type="dxa"/>
            <w:vAlign w:val="bottom"/>
            <w:gridSpan w:val="3"/>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and 2018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Unaudited Consolidated Statements of Stockholders' Equity for the three months and nine months ended September 30, 2019 and 2018</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Unaudited Consolidated Statements of Cash Flows for the nine months ended September 30, 2019 and 2018</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1A.</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2.</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3.</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Defaults Upon Senior Securities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4.</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Mine Safety Disclosures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5.</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6.</w:t>
            </w:r>
          </w:p>
        </w:tc>
        <w:tc>
          <w:tcPr>
            <w:tcW w:w="10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Signatures</w:t>
            </w:r>
          </w:p>
        </w:tc>
        <w:tc>
          <w:tcPr>
            <w:tcW w:w="1000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52"/>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2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8,025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$232 and $233, respectively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property and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certificates of deposit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61,305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2,728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sales commission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Earnout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Contingent liability for repayment of state and local grant funds received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or outstanding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 shares authorized; 10,604,132 and 10,523,035 shares issued,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 at cost; 33,077 shares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61,305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3" w:name="page4"/>
    <w:bookmarkEnd w:id="3"/>
    <w:p>
      <w:pPr>
        <w:spacing w:after="0" w:line="185" w:lineRule="auto"/>
        <w:framePr w:w="300" w:h="160" w:wrap="auto" w:vAnchor="page" w:hAnchor="page" w:x="5800" w:y="942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238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14,632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20,160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47,046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3,318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 to contingent consideration liability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9,873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per common share - basic</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10,421,383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10,355,673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10,405,892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10,341,552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(loss) per common share - diluted</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and common share equivalents outstanding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10,429,536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10,355,673</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10,423,121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10,377,505</w:t>
            </w:r>
          </w:p>
        </w:tc>
        <w:tc>
          <w:tcPr>
            <w:tcW w:w="0" w:type="dxa"/>
            <w:vAlign w:val="bottom"/>
          </w:tcPr>
          <w:p>
            <w:pPr>
              <w:spacing w:after="0"/>
              <w:rPr>
                <w:sz w:val="1"/>
                <w:szCs w:val="1"/>
                <w:color w:val="auto"/>
              </w:rPr>
            </w:pPr>
          </w:p>
        </w:tc>
      </w:tr>
    </w:tbl>
    <w:p>
      <w:pPr>
        <w:spacing w:after="0" w:line="19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1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1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w:t>
            </w:r>
          </w:p>
        </w:tc>
        <w:tc>
          <w:tcPr>
            <w:tcW w:w="36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647</w:t>
            </w:r>
          </w:p>
        </w:tc>
        <w:tc>
          <w:tcPr>
            <w:tcW w:w="8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366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8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0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10"/>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6"/>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2019</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10,523,035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15,683</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10,603,335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35,380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(12,325)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10,626,390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16,634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Repurchase and retirement of common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September 30, 2019</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10,604,132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26,971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17,281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0"/>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6"/>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2018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10,427,435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12,646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79,200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2018</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10,506,635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2018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10,518,535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26,151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0" w:gutter="0" w:footer="0" w:header="0"/>
        </w:sectPr>
      </w:pPr>
    </w:p>
    <w:bookmarkStart w:id="6" w:name="page7"/>
    <w:bookmarkEnd w:id="6"/>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Issuance of unvested shares of restricted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September 30,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10,523,035</w:t>
            </w:r>
          </w:p>
        </w:tc>
        <w:tc>
          <w:tcPr>
            <w:tcW w:w="20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26,331</w:t>
            </w:r>
          </w:p>
        </w:tc>
        <w:tc>
          <w:tcPr>
            <w:tcW w:w="22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16,475</w:t>
            </w:r>
          </w:p>
        </w:tc>
        <w:tc>
          <w:tcPr>
            <w:tcW w:w="220" w:type="dxa"/>
            <w:vAlign w:val="bottom"/>
            <w:vMerge w:val="continue"/>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gridSpan w:val="14"/>
          </w:tcPr>
          <w:p>
            <w:pPr>
              <w:jc w:val="right"/>
              <w:ind w:right="27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-857250</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68580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920" w:space="360"/>
            <w:col w:w="8040"/>
          </w:cols>
          <w:pgMar w:left="240" w:top="12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6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16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1,598</w:t>
            </w: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 of earnout related to Ambrell acquisition</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(12,167)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Adjustment to earnout payable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Amortization of deferred compensation related to stock-based awards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Proceeds from sale of demonstration equipment, net of gain</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1,254</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Restricted certificates of deposit</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Customer deposits and deferred revenue</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sales commission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Domestic and foreign income taxes payable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Contingent liability for repayment of state and local grant funds received</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Long-term portion of federal transition tax payable</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(9,131)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earnout related to Ambrell acquisition</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Effects of exchange rates on cash</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all activities</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(9,836)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17,861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8,025</w:t>
            </w:r>
          </w:p>
        </w:tc>
        <w:tc>
          <w:tcPr>
            <w:tcW w:w="102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w:t>
            </w: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Domestic and foreign income taxes</w:t>
            </w:r>
          </w:p>
        </w:tc>
        <w:tc>
          <w:tcPr>
            <w:tcW w:w="162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w:t>
            </w:r>
          </w:p>
        </w:tc>
        <w:tc>
          <w:tcPr>
            <w:tcW w:w="10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8" w:name="page9"/>
    <w:bookmarkEnd w:id="8"/>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31"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p>
      <w:pPr>
        <w:ind w:left="972" w:hanging="972"/>
        <w:spacing w:after="0"/>
        <w:tabs>
          <w:tab w:leader="none" w:pos="97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ind w:left="932" w:right="160"/>
        <w:spacing w:after="0" w:line="255" w:lineRule="auto"/>
        <w:rPr>
          <w:sz w:val="20"/>
          <w:szCs w:val="20"/>
          <w:color w:val="auto"/>
        </w:rPr>
      </w:pPr>
      <w:r>
        <w:rPr>
          <w:rFonts w:ascii="Times New Roman" w:cs="Times New Roman" w:eastAsia="Times New Roman" w:hAnsi="Times New Roman"/>
          <w:sz w:val="18"/>
          <w:szCs w:val="18"/>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which are also our reportable segments: Thermal Products ("Thermal") and Electromechanical Semiconductor Products ("EMS"). Our Thermal segment designs, manufactures and sells our thermal test and thermal process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wholly-owned subsidiaries.</w:t>
      </w:r>
    </w:p>
    <w:p>
      <w:pPr>
        <w:spacing w:after="0" w:line="189" w:lineRule="exact"/>
        <w:rPr>
          <w:sz w:val="20"/>
          <w:szCs w:val="20"/>
          <w:color w:val="auto"/>
        </w:rPr>
      </w:pPr>
    </w:p>
    <w:p>
      <w:pPr>
        <w:ind w:left="932" w:right="40"/>
        <w:spacing w:after="0" w:line="255" w:lineRule="auto"/>
        <w:rPr>
          <w:sz w:val="20"/>
          <w:szCs w:val="20"/>
          <w:color w:val="auto"/>
        </w:rPr>
      </w:pPr>
      <w:r>
        <w:rPr>
          <w:rFonts w:ascii="Times New Roman" w:cs="Times New Roman" w:eastAsia="Times New Roman" w:hAnsi="Times New Roman"/>
          <w:sz w:val="18"/>
          <w:szCs w:val="18"/>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consumer electronics, defense/aerospace, energy, industrial and telecommunications markets. As a result of the acquisition of Ambrell Corporation (“Ambrell”) in May 2017, our Thermal segment also sells into the consumer products packaging, fiber optics and other sectors within the broader industrial market, and into the wafer processing sector within the broader semiconductor market.</w:t>
      </w:r>
    </w:p>
    <w:p>
      <w:pPr>
        <w:spacing w:after="0" w:line="189" w:lineRule="exact"/>
        <w:rPr>
          <w:sz w:val="20"/>
          <w:szCs w:val="20"/>
          <w:color w:val="auto"/>
        </w:rPr>
      </w:pPr>
    </w:p>
    <w:p>
      <w:pPr>
        <w:ind w:left="932" w:right="100"/>
        <w:spacing w:after="0" w:line="261" w:lineRule="auto"/>
        <w:rPr>
          <w:sz w:val="20"/>
          <w:szCs w:val="20"/>
          <w:color w:val="auto"/>
        </w:rPr>
      </w:pPr>
      <w:r>
        <w:rPr>
          <w:rFonts w:ascii="Times New Roman" w:cs="Times New Roman" w:eastAsia="Times New Roman" w:hAnsi="Times New Roman"/>
          <w:sz w:val="18"/>
          <w:szCs w:val="18"/>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80" w:lineRule="exact"/>
        <w:rPr>
          <w:sz w:val="20"/>
          <w:szCs w:val="20"/>
          <w:color w:val="auto"/>
        </w:rPr>
      </w:pPr>
    </w:p>
    <w:p>
      <w:pPr>
        <w:ind w:left="932"/>
        <w:spacing w:after="0" w:line="252" w:lineRule="auto"/>
        <w:rPr>
          <w:sz w:val="20"/>
          <w:szCs w:val="20"/>
          <w:color w:val="auto"/>
        </w:rPr>
      </w:pPr>
      <w:r>
        <w:rPr>
          <w:rFonts w:ascii="Times New Roman" w:cs="Times New Roman" w:eastAsia="Times New Roman" w:hAnsi="Times New Roman"/>
          <w:sz w:val="18"/>
          <w:szCs w:val="18"/>
          <w:color w:val="auto"/>
        </w:rPr>
        <w:t>Historically, we have referred to our markets as “Semiconductor” (which includes both the broader semiconductor market as well as the more specialized ATE and wafer processing sectors within the broader semiconductor market), and “Non-Semiconductor” (which includes all of the other markets we serve). Starting in the second quarter of 2019, we are referring to the broader semiconductor market, including the ATE and wafer processing sectors within that market, as the “Semi Market.” All other markets are designated as “Multimarket.” The Semi Market, which is the principal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200" w:lineRule="exact"/>
        <w:rPr>
          <w:sz w:val="20"/>
          <w:szCs w:val="20"/>
          <w:color w:val="auto"/>
        </w:rPr>
      </w:pPr>
    </w:p>
    <w:p>
      <w:pPr>
        <w:spacing w:after="0" w:line="236" w:lineRule="exact"/>
        <w:rPr>
          <w:sz w:val="20"/>
          <w:szCs w:val="20"/>
          <w:color w:val="auto"/>
        </w:rPr>
      </w:pPr>
    </w:p>
    <w:p>
      <w:pPr>
        <w:ind w:left="972" w:hanging="972"/>
        <w:spacing w:after="0"/>
        <w:tabs>
          <w:tab w:leader="none" w:pos="97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 and Use of Estimates</w:t>
      </w:r>
    </w:p>
    <w:p>
      <w:pPr>
        <w:spacing w:after="0" w:line="229" w:lineRule="exact"/>
        <w:rPr>
          <w:sz w:val="20"/>
          <w:szCs w:val="20"/>
          <w:color w:val="auto"/>
        </w:rPr>
      </w:pPr>
    </w:p>
    <w:p>
      <w:pPr>
        <w:ind w:left="93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and deferred tax assets and liabilities including related valuation allowances, are particularly impacted by estimates.</w:t>
      </w:r>
    </w:p>
    <w:p>
      <w:pPr>
        <w:spacing w:after="0" w:line="189"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72"/>
          </w:cols>
          <w:pgMar w:left="248" w:top="576" w:right="379" w:bottom="1440" w:gutter="0" w:footer="0" w:header="0"/>
        </w:sectPr>
      </w:pPr>
    </w:p>
    <w:bookmarkStart w:id="9" w:name="page10"/>
    <w:bookmarkEnd w:id="9"/>
    <w:p>
      <w:pPr>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2018 (“2018 Form 10-K”) filed on March 26, 2019 with the Securities and Exchange Commission.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be comparable with the current period's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Combinations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 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Intangible and Long-Lived Assets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9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9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1180" w:top="580" w:right="439" w:bottom="1440" w:gutter="0" w:footer="0" w:header="0"/>
        </w:sectPr>
      </w:pPr>
    </w:p>
    <w:bookmarkStart w:id="10" w:name="page11"/>
    <w:bookmarkEnd w:id="10"/>
    <w:p>
      <w:pPr>
        <w:ind w:right="20"/>
        <w:spacing w:after="0" w:line="255" w:lineRule="auto"/>
        <w:rPr>
          <w:sz w:val="20"/>
          <w:szCs w:val="20"/>
          <w:color w:val="auto"/>
        </w:rPr>
      </w:pPr>
      <w:r>
        <w:rPr>
          <w:rFonts w:ascii="Times New Roman" w:cs="Times New Roman" w:eastAsia="Times New Roman" w:hAnsi="Times New Roman"/>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recognize revenue in accordance with the guidance in ASC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determine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under short-term lease agreements. We recognize revenue from equipment leases on a straight-line basis over the lease term.</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net 30, net 45 or net 60 day payment terms. We generally do not provide a right of return to our customers. Revenue is recognized net of any taxes collected from customers, which are subsequently remitted to governmental authorities.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sell thermal test and thermal process products (“thermal products”) and semiconductor test products. Our thermal products include ThermoStreams, ThermoChambers and process chillers, which we sell under our Temptronic, Sigma and Thermonics product lines, and Ambrell’s precision induction heating systems, including EkoHeat and EasyHeat products. Our semiconductor test products include manipulators, docking hardware and electrical interface products. We provide post-warranty service for the equipment we sell. We sell semiconductor test products and certain thermal products to the Semi Market. We also sell our thermal products to markets outside the Semi Market (referred to collectively as “Multimarket”) that include the automotive, defense/aerospace, industrial, telecommunications and other markets.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lease certain of our equipment under short-term leasing agreements with original lease terms of six months or less. Our lease agreements do not contain purchase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Contracts with Customers</w:t>
      </w:r>
    </w:p>
    <w:p>
      <w:pPr>
        <w:spacing w:after="0" w:line="2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9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180" w:top="580"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 with a Customer</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only costs we incur associated with obtaining contracts with customers are sales commissions that we pay to our internal sales personnel or third-party sales representatives. These costs are calculated based on an established percentage of the selling price of each product or service sold. Commissions are considered earned by our internal sales personnel at the time we recognize revenue for a particular transaction. Commissions are considered earned by third-party sales representatives at the time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Warranties</w:t>
      </w:r>
    </w:p>
    <w:p>
      <w:pPr>
        <w:spacing w:after="0" w:line="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sale of our products, we generally provide standard one or two year product warranties which are detailed in our terms and conditions and communicated to our customers. Our standard warranties are not offered for sale separately from our products; therefore, there is no separate performance obligation related to our standard warranties. We record estimated warranty expense for our standard warranties at the time of sale based upon historical claims experience. In very limited cases, we offer customers an option to separately purchase an extended warranty for certain of our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Notes 4 and 12 for further information about our revenue from contracts with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account for leases in accordance with ASC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842. Operating leases are included in operating lease right-of-use (“ROU”) assets and operating lease liabilities in our consolidated balance sheets. Finance leases are included in property and equipment and financing lease liabilities. We do not currently have any financing leases.</w:t>
      </w:r>
    </w:p>
    <w:p>
      <w:pPr>
        <w:spacing w:after="0" w:line="18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180" w:top="578" w:right="519" w:bottom="1440" w:gutter="0" w:footer="0" w:header="0"/>
        </w:sectPr>
      </w:pPr>
    </w:p>
    <w:bookmarkStart w:id="12" w:name="page13"/>
    <w:bookmarkEnd w:id="12"/>
    <w:p>
      <w:pPr>
        <w:ind w:right="60"/>
        <w:spacing w:after="0" w:line="254"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6"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have made an accounting policy election not to apply the recognition requirements of ASC 842 to short-term leases (leases with a term of one year or less at the commencement date of the lease). Lease expense for short-term lease payments is recognized on a straight-line basis over the lease term.</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“Effect of Recently Adopted Amendments to Authoritative Accounting Guidance” below and Note 7 for further disclosures regarding our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Contingent Liability for Repayment of State and Local Grant Funds Received</w:t>
      </w:r>
    </w:p>
    <w:p>
      <w:pPr>
        <w:spacing w:after="0" w:line="22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connection with a new facility in Rochester, New York, which our subsidiary, Ambrell, occupied in May 2018, we entered into agreements with the city of Rochester and the state of New York under which we may receive grants totaling up to $550 to help offset a portion of the cost of the leasehold improvements we have made to this facility. In exchange for the funds we may receive under these agreements, we are required to create and maintain specified levels of employment in this location through various dates ending in 2023. If we fail to meet these employment targets, we may be required to repay a proportionate share of the funds received. As of September 30, 2019, we have received $463 in grant funds. We do not expect to receive the remaining $87 of grant funds during 2019, as we currently do not expect to increase our number of employees to the level required to receive these funds during 2019. We have recorded the amounts received under these agreements as a contingent liability on our balance sheet. As time passes, portions of the funds received will no longer be subject to repayment if we have met the employment requirements of the agreements. Amounts that we are irrevocably entitled to keep will be reclassified to deferred revenue and amortized to income on a straight-line basis over the remaining lease term for the Rochester facility.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Subsequent Events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made an assessment of our operations and determined that there were no material subsequent events requiring adjustment to, or disclosure in, our consolidated financial statements for the nine months ended September 30, 2019.</w:t>
      </w:r>
    </w:p>
    <w:p>
      <w:pPr>
        <w:spacing w:after="0" w:line="16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180" w:top="580"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the Tax Cuts and Jobs Act. This legislation made significant changes in the U.S. tax laws including reducing the corporate tax rate to 21% and creating a territorial tax system with a one-time mandatory transition tax payable on previously unremitted earnings of foreign subsidiaries, among other things. See Note 12 to the consolidated financial statements in our 2018 Form 10-K for additional information regarding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Earnings (Loss) Per Common Share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0220"/>
          </w:cols>
          <w:pgMar w:left="1180" w:top="57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Potentially dilutive securities:</w:t>
      </w:r>
    </w:p>
    <w:p>
      <w:pPr>
        <w:spacing w:after="0" w:line="9" w:lineRule="exact"/>
        <w:rPr>
          <w:sz w:val="20"/>
          <w:szCs w:val="20"/>
          <w:color w:val="auto"/>
        </w:rPr>
      </w:pPr>
    </w:p>
    <w:p>
      <w:pPr>
        <w:ind w:left="40"/>
        <w:spacing w:after="0" w:line="273" w:lineRule="auto"/>
        <w:rPr>
          <w:sz w:val="20"/>
          <w:szCs w:val="20"/>
          <w:color w:val="auto"/>
        </w:rPr>
      </w:pPr>
      <w:r>
        <w:rPr>
          <w:rFonts w:ascii="Times New Roman" w:cs="Times New Roman" w:eastAsia="Times New Roman" w:hAnsi="Times New Roman"/>
          <w:sz w:val="17"/>
          <w:szCs w:val="17"/>
          <w:color w:val="auto"/>
        </w:rPr>
        <w:t>Unvested shares of restricted stock and employee stock options Weighted average common shares and common share equivalents</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outstanding - diluted</w:t>
      </w:r>
    </w:p>
    <w:p>
      <w:pPr>
        <w:spacing w:after="0" w:line="207" w:lineRule="exact"/>
        <w:rPr>
          <w:sz w:val="20"/>
          <w:szCs w:val="20"/>
          <w:color w:val="auto"/>
        </w:rPr>
      </w:pPr>
    </w:p>
    <w:p>
      <w:pPr>
        <w:ind w:left="200" w:right="100" w:hanging="161"/>
        <w:spacing w:after="0" w:line="282" w:lineRule="auto"/>
        <w:rPr>
          <w:sz w:val="20"/>
          <w:szCs w:val="20"/>
          <w:color w:val="auto"/>
        </w:rPr>
      </w:pPr>
      <w:r>
        <w:rPr>
          <w:rFonts w:ascii="Times New Roman" w:cs="Times New Roman" w:eastAsia="Times New Roman" w:hAnsi="Times New Roman"/>
          <w:sz w:val="18"/>
          <w:szCs w:val="18"/>
          <w:color w:val="auto"/>
        </w:rPr>
        <w:t>Average number of potentially dilutive securities excluded from calculation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0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70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4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r>
      <w:tr>
        <w:trPr>
          <w:trHeight w:val="228"/>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10,421,383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10,355,673</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10,405,892</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10,341,552</w:t>
            </w:r>
          </w:p>
        </w:tc>
        <w:tc>
          <w:tcPr>
            <w:tcW w:w="20" w:type="dxa"/>
            <w:vAlign w:val="bottom"/>
          </w:tcPr>
          <w:p>
            <w:pPr>
              <w:spacing w:after="0"/>
              <w:rPr>
                <w:sz w:val="19"/>
                <w:szCs w:val="19"/>
                <w:color w:val="auto"/>
              </w:rPr>
            </w:pPr>
          </w:p>
        </w:tc>
      </w:tr>
      <w:tr>
        <w:trPr>
          <w:trHeight w:val="414"/>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35,953</w:t>
            </w:r>
          </w:p>
        </w:tc>
      </w:tr>
      <w:tr>
        <w:trPr>
          <w:trHeight w:val="20"/>
        </w:trPr>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10,429,536</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10,355,673</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10,423,121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10,377,505</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657,969</w:t>
            </w:r>
          </w:p>
        </w:tc>
        <w:tc>
          <w:tcPr>
            <w:tcW w:w="22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360,970</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501,964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188,339</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-3199765</wp:posOffset>
            </wp:positionH>
            <wp:positionV relativeFrom="paragraph">
              <wp:posOffset>-1105535</wp:posOffset>
            </wp:positionV>
            <wp:extent cx="65176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-831215</wp:posOffset>
            </wp:positionV>
            <wp:extent cx="651764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-3199765</wp:posOffset>
            </wp:positionH>
            <wp:positionV relativeFrom="paragraph">
              <wp:posOffset>-410845</wp:posOffset>
            </wp:positionV>
            <wp:extent cx="65176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4760" w:space="320"/>
            <w:col w:w="5140"/>
          </w:cols>
          <w:pgMar w:left="1180" w:top="576"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Effect of Recently Adopted Amendments to Authoritative Accounting Guidance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February 2016, the FASB issued amendments to the current guidance on accounting for lease transactions, which is presented in ASC 842. Subsequent to February 2016, the FASB has issued additional clarifying guidance on certain aspects of this new guidance, along with certain practical expedients that may be applied.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is required to record a ROU asset and a lease liability on the balance sheet for all leases with terms longer than 12 months. Leases are classified as either finance or operating, with classification affecting the pattern of expense recognition in the income statement. The two permitted transition methods under the guidance are the modified retrospective transition approach, which requires application of the guidance for all comparative periods presented, and the cumulative effect adjustment approach, which requires prospective application at the adoption date.</w:t>
      </w:r>
    </w:p>
    <w:p>
      <w:pPr>
        <w:spacing w:after="0" w:line="18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180" w:top="576" w:right="499" w:bottom="1440" w:gutter="0" w:footer="0" w:header="0"/>
          <w:type w:val="continuous"/>
        </w:sectPr>
      </w:pPr>
    </w:p>
    <w:bookmarkStart w:id="14" w:name="page15"/>
    <w:bookmarkEnd w:id="14"/>
    <w:p>
      <w:pPr>
        <w:ind w:left="940" w:right="440"/>
        <w:spacing w:after="0" w:line="253" w:lineRule="auto"/>
        <w:rPr>
          <w:sz w:val="20"/>
          <w:szCs w:val="20"/>
          <w:color w:val="auto"/>
        </w:rPr>
      </w:pPr>
      <w:r>
        <w:rPr>
          <w:rFonts w:ascii="Times New Roman" w:cs="Times New Roman" w:eastAsia="Times New Roman" w:hAnsi="Times New Roman"/>
          <w:sz w:val="18"/>
          <w:szCs w:val="18"/>
          <w:color w:val="auto"/>
        </w:rPr>
        <w:t>The amendments were effective for us as of January 1, 2019. We adopted the amendments on January 1, 2019 using the cumulative effect adjustment approach. Accordingly, prior periods have not been restated. We have decided to elect the package of practical expedients, which includes the grandfathering of lease classification and, accordingly, we have not re-evaluated any of our leases for classification purposes in connection with the implementation of ASC 842. They are all still being treated as operating leases under ASC 842. We do not currently have any lease contracts that meet the criteria to be categorized as financing leases under ASC 842. We have no embedded leases, nor do we have any initial direct costs. We are not electing the hindsight practical expedient and therefore are not reevaluating the lease terms that we used under ASC 840.The implementation of this new guidance had a significant impact on our consolidated balance sheet as a result of recording ROU assets and lease liabilities for all of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this new guidance did not have a significant impact on our pattern of expense recognition for any of our multi-year leases. See “Leases” above and Note 7 for further disclosures regarding our leases.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972"/>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Goodwill and intangible assets on our balance sheets are the result of our acquisitions of Sigma Systems Corp. ("Sigma") in October 2008,</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Thermonics, Inc. ("Thermonics") in January 2012 and Ambrell in May 2017. All of our goodwill and intangible assets are allocated to our</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Thermal segment. Goodwill totaled $13,738 at each of September 30, 2019 and December 31, 2018.</w:t>
      </w:r>
    </w:p>
    <w:p>
      <w:pPr>
        <w:spacing w:after="0" w:line="20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Assets</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Changes in the amount of the carrying value of finite-lived intangible assets for the nine months ended September 30, 2019 are as follows: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2019</w:t>
            </w:r>
          </w:p>
        </w:tc>
        <w:tc>
          <w:tcPr>
            <w:tcW w:w="3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8,201</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w:t>
            </w:r>
          </w:p>
        </w:tc>
      </w:tr>
      <w:tr>
        <w:trPr>
          <w:trHeight w:val="20"/>
        </w:trPr>
        <w:tc>
          <w:tcPr>
            <w:tcW w:w="5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2019</w:t>
            </w:r>
          </w:p>
        </w:tc>
        <w:tc>
          <w:tcPr>
            <w:tcW w:w="38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7,257</w:t>
            </w:r>
          </w:p>
        </w:tc>
      </w:tr>
      <w:tr>
        <w:trPr>
          <w:trHeight w:val="20"/>
        </w:trPr>
        <w:tc>
          <w:tcPr>
            <w:tcW w:w="540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tables provide further detail about our intangible assets as of September 30, 2019 and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6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3,532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Patents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 name</w:t>
            </w:r>
          </w:p>
        </w:tc>
        <w:tc>
          <w:tcPr>
            <w:tcW w:w="1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4,823</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Trademarks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6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10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4,823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5" w:name="page16"/>
    <w:bookmarkEnd w:id="15"/>
    <w:p>
      <w:pPr>
        <w:spacing w:after="0" w:line="1" w:lineRule="exact"/>
        <w:rPr>
          <w:sz w:val="20"/>
          <w:szCs w:val="20"/>
          <w:color w:val="auto"/>
        </w:rPr>
      </w:pPr>
    </w:p>
    <w:tbl>
      <w:tblPr>
        <w:tblLayout w:type="fixed"/>
        <w:tblInd w:w="97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10,480</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7,763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backlog</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4,379</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8,201</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6,710</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4,379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32" w:right="720"/>
        <w:spacing w:after="0" w:line="266" w:lineRule="auto"/>
        <w:rPr>
          <w:sz w:val="20"/>
          <w:szCs w:val="20"/>
          <w:color w:val="auto"/>
        </w:rPr>
      </w:pPr>
      <w:r>
        <w:rPr>
          <w:rFonts w:ascii="Times New Roman" w:cs="Times New Roman" w:eastAsia="Times New Roman" w:hAnsi="Times New Roman"/>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76" w:lineRule="exact"/>
        <w:rPr>
          <w:sz w:val="20"/>
          <w:szCs w:val="20"/>
          <w:color w:val="auto"/>
        </w:rPr>
      </w:pPr>
    </w:p>
    <w:p>
      <w:pPr>
        <w:ind w:left="932" w:right="120"/>
        <w:spacing w:after="0" w:line="266" w:lineRule="auto"/>
        <w:rPr>
          <w:sz w:val="20"/>
          <w:szCs w:val="20"/>
          <w:color w:val="auto"/>
        </w:rPr>
      </w:pPr>
      <w:r>
        <w:rPr>
          <w:rFonts w:ascii="Times New Roman" w:cs="Times New Roman" w:eastAsia="Times New Roman" w:hAnsi="Times New Roman"/>
          <w:sz w:val="18"/>
          <w:szCs w:val="18"/>
          <w:color w:val="auto"/>
        </w:rPr>
        <w:t>Total amortization expense for our finite-lived intangible assets was $312 and $944 for the three and nine months ended September 30, 2019, respectively, and $323 and $786 for the three and nine months ended September 30, 2018, respectively. The following table sets forth the estimated annual amortization expense for each of the next five years:</w:t>
      </w:r>
    </w:p>
    <w:p>
      <w:pPr>
        <w:spacing w:after="0" w:line="194"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(remainder)</w:t>
            </w:r>
          </w:p>
        </w:tc>
        <w:tc>
          <w:tcPr>
            <w:tcW w:w="4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3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3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r>
    </w:tbl>
    <w:p>
      <w:pPr>
        <w:spacing w:after="0" w:line="200" w:lineRule="exact"/>
        <w:rPr>
          <w:sz w:val="20"/>
          <w:szCs w:val="20"/>
          <w:color w:val="auto"/>
        </w:rPr>
      </w:pPr>
    </w:p>
    <w:p>
      <w:pPr>
        <w:spacing w:after="0" w:line="237" w:lineRule="exact"/>
        <w:rPr>
          <w:sz w:val="20"/>
          <w:szCs w:val="20"/>
          <w:color w:val="auto"/>
        </w:rPr>
      </w:pPr>
    </w:p>
    <w:p>
      <w:pPr>
        <w:ind w:left="972" w:hanging="972"/>
        <w:spacing w:after="0"/>
        <w:tabs>
          <w:tab w:leader="none" w:pos="97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sz w:val="20"/>
          <w:szCs w:val="20"/>
          <w:color w:val="auto"/>
        </w:rPr>
      </w:pPr>
    </w:p>
    <w:p>
      <w:pPr>
        <w:ind w:left="932"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provide additional information about our revenue from contracts with customers, including revenue by customer and product type and revenue by market. See also Note 12 for information about revenue by operating segment and geographic region.</w:t>
      </w:r>
    </w:p>
    <w:p>
      <w:pPr>
        <w:spacing w:after="0" w:line="158"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customer type: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 user</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42,310</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OEM/Integrator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4,736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47,046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product type: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Thermal test</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13,817</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Induction heating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14,232</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Semiconductor test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12,734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Service/other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6,263</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20,160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47,046</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60,128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 by market: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Semi</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11,415</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24,878</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15,983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Telecommunications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1,437</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Multimarket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47,046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8"/>
          <w:szCs w:val="18"/>
          <w:color w:val="auto"/>
        </w:rPr>
        <w:t>There was no significant change in the amount of the allowance for doubtful accounts for the nine months ended September 30, 2019.</w:t>
      </w:r>
    </w:p>
    <w:p>
      <w:pPr>
        <w:spacing w:after="0" w:line="225"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32"/>
          </w:cols>
          <w:pgMar w:left="248" w:top="576" w:right="419" w:bottom="1440" w:gutter="0" w:footer="0" w:header="0"/>
        </w:sectPr>
      </w:pPr>
    </w:p>
    <w:bookmarkStart w:id="16" w:name="page17"/>
    <w:bookmarkEnd w:id="16"/>
    <w:p>
      <w:pPr>
        <w:ind w:left="980" w:hanging="972"/>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940" w:right="320"/>
        <w:spacing w:after="0" w:line="289" w:lineRule="auto"/>
        <w:rPr>
          <w:sz w:val="20"/>
          <w:szCs w:val="20"/>
          <w:color w:val="auto"/>
        </w:rPr>
      </w:pPr>
      <w:r>
        <w:rPr>
          <w:rFonts w:ascii="Times New Roman" w:cs="Times New Roman" w:eastAsia="Times New Roman" w:hAnsi="Times New Roman"/>
          <w:sz w:val="17"/>
          <w:szCs w:val="17"/>
          <w:color w:val="auto"/>
        </w:rPr>
        <w:t>During each of the nine months ended September 30, 2019 and 2018, Texas Instruments Incorporated accounted for 11% of our consolidated net revenues. While both of our segments sold to this customer, these revenues were primarily generated by our EMS segment. No other customers accounted for 10% or more of our consolidated net revenues during the nine months ended September 30, 2019 and 2018.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80" w:hanging="972"/>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Inventories held at September 30, 2019 and December 31, 2018 were comprised of the following:</w:t>
      </w:r>
    </w:p>
    <w:p>
      <w:pPr>
        <w:spacing w:after="0" w:line="22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5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4,654</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876</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consigned to others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778</w:t>
            </w:r>
          </w:p>
        </w:tc>
      </w:tr>
      <w:tr>
        <w:trPr>
          <w:trHeight w:val="20"/>
        </w:trPr>
        <w:tc>
          <w:tcPr>
            <w:tcW w:w="4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3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6,520</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940" w:right="200"/>
        <w:spacing w:after="0" w:line="282" w:lineRule="auto"/>
        <w:rPr>
          <w:sz w:val="20"/>
          <w:szCs w:val="20"/>
          <w:color w:val="auto"/>
        </w:rPr>
      </w:pPr>
      <w:r>
        <w:rPr>
          <w:rFonts w:ascii="Times New Roman" w:cs="Times New Roman" w:eastAsia="Times New Roman" w:hAnsi="Times New Roman"/>
          <w:sz w:val="18"/>
          <w:szCs w:val="18"/>
          <w:color w:val="auto"/>
        </w:rPr>
        <w:t>Total charges incurred for excess and obsolete inventory for the three and nine months ended September 30, 2019 and 2018, respectively, were as follows: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380" w:type="dxa"/>
            <w:vAlign w:val="bottom"/>
            <w:gridSpan w:val="5"/>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380" w:type="dxa"/>
            <w:vAlign w:val="bottom"/>
            <w:gridSpan w:val="5"/>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and obsolete inventory charges</w:t>
            </w:r>
          </w:p>
        </w:tc>
        <w:tc>
          <w:tcPr>
            <w:tcW w:w="96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0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hanging="972"/>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940" w:right="400"/>
        <w:spacing w:after="0" w:line="266" w:lineRule="auto"/>
        <w:rPr>
          <w:sz w:val="20"/>
          <w:szCs w:val="20"/>
          <w:color w:val="auto"/>
        </w:rPr>
      </w:pPr>
      <w:r>
        <w:rPr>
          <w:rFonts w:ascii="Times New Roman" w:cs="Times New Roman" w:eastAsia="Times New Roman" w:hAnsi="Times New Roman"/>
          <w:sz w:val="18"/>
          <w:szCs w:val="18"/>
          <w:color w:val="auto"/>
        </w:rPr>
        <w:t>As previously discussed in Note 2, we account for our leases in accordance with the guidance in ASC 842, which was effective for us as of January 1, 2019. In connection with the implementation of ASC 842, we recorded non-cash increases in operating lease liabilities and ROU assets of $5,197 and $4,816, respectively, as of the effective date of this guidance.</w:t>
      </w:r>
    </w:p>
    <w:p>
      <w:pPr>
        <w:spacing w:after="0" w:line="176" w:lineRule="exact"/>
        <w:rPr>
          <w:sz w:val="20"/>
          <w:szCs w:val="20"/>
          <w:color w:val="auto"/>
        </w:rPr>
      </w:pPr>
    </w:p>
    <w:p>
      <w:pPr>
        <w:jc w:val="both"/>
        <w:ind w:left="940" w:right="400"/>
        <w:spacing w:after="0" w:line="266" w:lineRule="auto"/>
        <w:rPr>
          <w:sz w:val="20"/>
          <w:szCs w:val="20"/>
          <w:color w:val="auto"/>
        </w:rPr>
      </w:pPr>
      <w:r>
        <w:rPr>
          <w:rFonts w:ascii="Times New Roman" w:cs="Times New Roman" w:eastAsia="Times New Roman" w:hAnsi="Times New Roman"/>
          <w:sz w:val="18"/>
          <w:szCs w:val="18"/>
          <w:color w:val="auto"/>
        </w:rPr>
        <w:t>We lease our offices, warehouse facilities and certain equipment under non-cancellable operating leases that expire at various dates through 2028. Total operating lease and short-term lease costs for the three and nine months ended September 30, 2019 and 2018, respectively,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1,106</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8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00" w:type="dxa"/>
            <w:vAlign w:val="bottom"/>
            <w:gridSpan w:val="7"/>
          </w:tcPr>
          <w:p>
            <w:pPr>
              <w:ind w:left="940"/>
              <w:spacing w:after="0"/>
              <w:rPr>
                <w:sz w:val="20"/>
                <w:szCs w:val="20"/>
                <w:color w:val="auto"/>
              </w:rPr>
            </w:pPr>
            <w:r>
              <w:rPr>
                <w:rFonts w:ascii="Times New Roman" w:cs="Times New Roman" w:eastAsia="Times New Roman" w:hAnsi="Times New Roman"/>
                <w:sz w:val="18"/>
                <w:szCs w:val="18"/>
                <w:color w:val="auto"/>
              </w:rPr>
              <w:t>The following is additional information about our leases as of September 30, 2019: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remaining lease terms (in years)</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to   8.7</w:t>
            </w:r>
          </w:p>
        </w:tc>
        <w:tc>
          <w:tcPr>
            <w:tcW w:w="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9" w:right="239" w:bottom="1440" w:gutter="0" w:footer="0" w:header="0"/>
        </w:sectPr>
      </w:pPr>
    </w:p>
    <w:bookmarkStart w:id="17" w:name="page18"/>
    <w:bookmarkEnd w:id="17"/>
    <w:p>
      <w:pPr>
        <w:spacing w:after="0" w:line="1"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nine months ended September 30, 2019 was as follows: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increases (decreases) in operating lease liabilities and ROU assets as a result of lease modifications:</w:t>
            </w: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Modification to Ambrell’s U.K. facility lease</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 to lease for facility in Mansfield, Massachusetts</w:t>
            </w:r>
          </w:p>
        </w:tc>
        <w:tc>
          <w:tcPr>
            <w:tcW w:w="7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Modification to Ambrell’s Netherlands facility lease</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40" w:right="280"/>
        <w:spacing w:after="0" w:line="261" w:lineRule="auto"/>
        <w:rPr>
          <w:sz w:val="20"/>
          <w:szCs w:val="20"/>
          <w:color w:val="auto"/>
        </w:rPr>
      </w:pPr>
      <w:r>
        <w:rPr>
          <w:rFonts w:ascii="Times New Roman" w:cs="Times New Roman" w:eastAsia="Times New Roman" w:hAnsi="Times New Roman"/>
          <w:sz w:val="18"/>
          <w:szCs w:val="18"/>
          <w:color w:val="auto"/>
        </w:rPr>
        <w:t>The lease for Ambrell’s U.K. facility had an original term of 15 years, which extended through August 2029. The lease included the option to terminate the lease at specified points in time without penalty. We exercised this option in March 2019, and the lease expired in September 2019. At the effective date of this modification, we recorded a reduction in our ROU assets and operating lease liabilities of approximately $486.</w:t>
      </w:r>
    </w:p>
    <w:p>
      <w:pPr>
        <w:spacing w:after="0" w:line="180" w:lineRule="exact"/>
        <w:rPr>
          <w:sz w:val="20"/>
          <w:szCs w:val="20"/>
          <w:color w:val="auto"/>
        </w:rPr>
      </w:pPr>
    </w:p>
    <w:p>
      <w:pPr>
        <w:ind w:left="940" w:right="300"/>
        <w:spacing w:after="0" w:line="258" w:lineRule="auto"/>
        <w:rPr>
          <w:sz w:val="20"/>
          <w:szCs w:val="20"/>
          <w:color w:val="auto"/>
        </w:rPr>
      </w:pPr>
      <w:r>
        <w:rPr>
          <w:rFonts w:ascii="Times New Roman" w:cs="Times New Roman" w:eastAsia="Times New Roman" w:hAnsi="Times New Roman"/>
          <w:sz w:val="18"/>
          <w:szCs w:val="18"/>
          <w:color w:val="auto"/>
        </w:rPr>
        <w:t>On April 8, 2019, we executed an amendment to the lease for our facility in Mansfield, Massachusetts that extended the term of the lease for an additional forty months to December 31, 2024 and expanded the amount of leased space by approximately 6,100 square feet. The current rate per square foot that is in place through August 31, 2021 (the original expiration date of the lease) did not change. After August 31, 2021, there are predetermined fixed escalations of the rate as outlined in the amendment. As a result of this modification, we recorded an increase in our ROU assets and operating lease liabilities of approximately $1,811.</w:t>
      </w:r>
    </w:p>
    <w:p>
      <w:pPr>
        <w:spacing w:after="0" w:line="184" w:lineRule="exact"/>
        <w:rPr>
          <w:sz w:val="20"/>
          <w:szCs w:val="20"/>
          <w:color w:val="auto"/>
        </w:rPr>
      </w:pPr>
    </w:p>
    <w:p>
      <w:pPr>
        <w:ind w:left="940" w:right="340"/>
        <w:spacing w:after="0" w:line="266" w:lineRule="auto"/>
        <w:rPr>
          <w:sz w:val="20"/>
          <w:szCs w:val="20"/>
          <w:color w:val="auto"/>
        </w:rPr>
      </w:pPr>
      <w:r>
        <w:rPr>
          <w:rFonts w:ascii="Times New Roman" w:cs="Times New Roman" w:eastAsia="Times New Roman" w:hAnsi="Times New Roman"/>
          <w:sz w:val="18"/>
          <w:szCs w:val="18"/>
          <w:color w:val="auto"/>
        </w:rPr>
        <w:t>During the third quarter of 2019, the lease for a portion of Ambrell’s facility in the Netherlands was modified to reduce the term of that lease to expire in September 2019 as that portion of the space was no longer needed. At the effective date of this modification, we recorded a reduction in our ROU assets and operating lease liabilities of approximately $48.</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as of September 30, 2019 were as follows:</w:t>
            </w:r>
          </w:p>
        </w:tc>
        <w:tc>
          <w:tcPr>
            <w:tcW w:w="1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(remainder)</w:t>
            </w:r>
          </w:p>
        </w:tc>
        <w:tc>
          <w:tcPr>
            <w:tcW w:w="2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2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hanging="972"/>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Letters of Credit</w:t>
      </w:r>
    </w:p>
    <w:p>
      <w:pPr>
        <w:spacing w:after="0" w:line="229" w:lineRule="exact"/>
        <w:rPr>
          <w:sz w:val="20"/>
          <w:szCs w:val="20"/>
          <w:color w:val="auto"/>
        </w:rPr>
      </w:pPr>
    </w:p>
    <w:p>
      <w:pPr>
        <w:ind w:left="940" w:right="280"/>
        <w:spacing w:after="0" w:line="258" w:lineRule="auto"/>
        <w:rPr>
          <w:sz w:val="20"/>
          <w:szCs w:val="20"/>
          <w:color w:val="auto"/>
        </w:rPr>
      </w:pPr>
      <w:r>
        <w:rPr>
          <w:rFonts w:ascii="Times New Roman" w:cs="Times New Roman" w:eastAsia="Times New Roman" w:hAnsi="Times New Roman"/>
          <w:sz w:val="18"/>
          <w:szCs w:val="18"/>
          <w:color w:val="auto"/>
        </w:rPr>
        <w:t>We have issued letters of credit as the security deposits for certain of our domestic leases. These letters of credit are secured by pledged certificates of deposit that are classified as Restricted Certificates of Deposit on our balance sheets. The terms of our leases require us to renew these letters of credit at least 30 days prior to their expiration dates for successive terms of not less than one year until lease expiration. In accordance with the terms of our lease, the letter of credit related to our facility in Mt. Laurel, New Jersey was reduced from $125 to $90 on April 1, 2019. On April 8, 2019, the lease for our Mansfield, Massachusetts facility was modified as previously discussed.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Letters of Credit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L/C</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Lease</w:t>
            </w:r>
          </w:p>
        </w:tc>
        <w:tc>
          <w:tcPr>
            <w:tcW w:w="100" w:type="dxa"/>
            <w:vAlign w:val="bottom"/>
          </w:tcPr>
          <w:p>
            <w:pPr>
              <w:spacing w:after="0"/>
              <w:rPr>
                <w:sz w:val="20"/>
                <w:szCs w:val="20"/>
                <w:color w:val="auto"/>
              </w:rPr>
            </w:pPr>
          </w:p>
        </w:tc>
        <w:tc>
          <w:tcPr>
            <w:tcW w:w="28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Amount Outstanding</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L/C</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 Laurel, NJ</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3/29/2010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3/31/2020</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4/30/2021 $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Mansfield, MA</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12/31/2024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12/31/2024</w:t>
            </w: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3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80" w:type="dxa"/>
            <w:vAlign w:val="bottom"/>
          </w:tcPr>
          <w:p>
            <w:pPr>
              <w:spacing w:after="0"/>
              <w:rPr>
                <w:sz w:val="24"/>
                <w:szCs w:val="24"/>
                <w:color w:val="auto"/>
              </w:rPr>
            </w:pPr>
          </w:p>
        </w:tc>
        <w:tc>
          <w:tcPr>
            <w:tcW w:w="360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8" w:name="page19"/>
    <w:bookmarkEnd w:id="18"/>
    <w:p>
      <w:pPr>
        <w:ind w:left="972" w:hanging="972"/>
        <w:spacing w:after="0"/>
        <w:tabs>
          <w:tab w:leader="none" w:pos="97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932" w:right="320"/>
        <w:spacing w:after="0" w:line="282" w:lineRule="auto"/>
        <w:rPr>
          <w:sz w:val="20"/>
          <w:szCs w:val="20"/>
          <w:color w:val="auto"/>
        </w:rPr>
      </w:pPr>
      <w:r>
        <w:rPr>
          <w:rFonts w:ascii="Times New Roman" w:cs="Times New Roman" w:eastAsia="Times New Roman" w:hAnsi="Times New Roman"/>
          <w:sz w:val="18"/>
          <w:szCs w:val="18"/>
          <w:color w:val="auto"/>
        </w:rPr>
        <w:t>As of September 30, 2019, we have unvested restricted stock awards and stock options granted under stock-based compensation plans that are described more fully in Note 14 to the consolidated financial statements in our 2018 Form 10-K.</w:t>
      </w:r>
    </w:p>
    <w:p>
      <w:pPr>
        <w:spacing w:after="0" w:line="162" w:lineRule="exact"/>
        <w:rPr>
          <w:sz w:val="20"/>
          <w:szCs w:val="20"/>
          <w:color w:val="auto"/>
        </w:rPr>
      </w:pPr>
    </w:p>
    <w:p>
      <w:pPr>
        <w:ind w:left="932" w:right="440"/>
        <w:spacing w:after="0" w:line="261" w:lineRule="auto"/>
        <w:rPr>
          <w:sz w:val="20"/>
          <w:szCs w:val="20"/>
          <w:color w:val="auto"/>
        </w:rPr>
      </w:pPr>
      <w:r>
        <w:rPr>
          <w:rFonts w:ascii="Times New Roman" w:cs="Times New Roman" w:eastAsia="Times New Roman" w:hAnsi="Times New Roman"/>
          <w:sz w:val="18"/>
          <w:szCs w:val="18"/>
          <w:color w:val="auto"/>
        </w:rPr>
        <w:t>As of September 30, 2019, total unrecognized compensation expense related to unvested restricted stock awards and stock options was $2,023. The weighted average period over which this expense is expected to be recognized is 2.9 years. The following table shows the allocation of the compensation expense we recorded during the three and nine months ended September 30, 2019 and 2018, respectively, related to stock-based compensation:</w:t>
      </w:r>
    </w:p>
    <w:p>
      <w:pPr>
        <w:spacing w:after="0" w:line="176"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34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46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8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and product development expense</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4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32"/>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18"/>
          <w:szCs w:val="18"/>
          <w:color w:val="auto"/>
        </w:rPr>
        <w:t>There was no stock-based compensation expense capitalized in the three or nine months ended September 30, 2019 or 2018.</w:t>
      </w:r>
    </w:p>
    <w:p>
      <w:pPr>
        <w:spacing w:after="0" w:line="221"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Awards</w:t>
      </w:r>
    </w:p>
    <w:p>
      <w:pPr>
        <w:spacing w:after="0" w:line="229" w:lineRule="exact"/>
        <w:rPr>
          <w:sz w:val="20"/>
          <w:szCs w:val="20"/>
          <w:color w:val="auto"/>
        </w:rPr>
      </w:pPr>
    </w:p>
    <w:p>
      <w:pPr>
        <w:jc w:val="both"/>
        <w:ind w:left="932" w:right="160"/>
        <w:spacing w:after="0" w:line="266" w:lineRule="auto"/>
        <w:rPr>
          <w:sz w:val="20"/>
          <w:szCs w:val="20"/>
          <w:color w:val="auto"/>
        </w:rPr>
      </w:pPr>
      <w:r>
        <w:rPr>
          <w:rFonts w:ascii="Times New Roman" w:cs="Times New Roman" w:eastAsia="Times New Roman" w:hAnsi="Times New Roman"/>
          <w:sz w:val="18"/>
          <w:szCs w:val="18"/>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76"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18"/>
          <w:szCs w:val="18"/>
          <w:color w:val="auto"/>
        </w:rPr>
        <w:t>The following table summarizes the activity related to unvested shares of restricted stock for the nine months ended September 30, 2019:</w:t>
      </w:r>
    </w:p>
    <w:p>
      <w:pPr>
        <w:spacing w:after="0" w:line="221"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68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88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68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January 1, 2019</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114,750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132,580</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(60,474)</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(12,325)</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7.14</w:t>
            </w:r>
          </w:p>
        </w:tc>
      </w:tr>
      <w:tr>
        <w:trPr>
          <w:trHeight w:val="20"/>
        </w:trPr>
        <w:tc>
          <w:tcPr>
            <w:tcW w:w="68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outstanding, September 30, 2019</w:t>
            </w: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174,531</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6.55</w:t>
            </w: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932" w:right="240"/>
        <w:spacing w:after="0" w:line="282" w:lineRule="auto"/>
        <w:rPr>
          <w:sz w:val="20"/>
          <w:szCs w:val="20"/>
          <w:color w:val="auto"/>
        </w:rPr>
      </w:pPr>
      <w:r>
        <w:rPr>
          <w:rFonts w:ascii="Times New Roman" w:cs="Times New Roman" w:eastAsia="Times New Roman" w:hAnsi="Times New Roman"/>
          <w:sz w:val="18"/>
          <w:szCs w:val="18"/>
          <w:color w:val="auto"/>
        </w:rPr>
        <w:t>The total fair value of the shares that vested during each of the nine months ended September 30, 2019 and 2018 was $370 as of the vesting dates of these shares.</w:t>
      </w:r>
    </w:p>
    <w:p>
      <w:pPr>
        <w:spacing w:after="0" w:line="158" w:lineRule="exact"/>
        <w:rPr>
          <w:sz w:val="20"/>
          <w:szCs w:val="20"/>
          <w:color w:val="auto"/>
        </w:rPr>
      </w:pPr>
    </w:p>
    <w:p>
      <w:pPr>
        <w:ind w:left="93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9" w:lineRule="exact"/>
        <w:rPr>
          <w:sz w:val="20"/>
          <w:szCs w:val="20"/>
          <w:color w:val="auto"/>
        </w:rPr>
      </w:pPr>
    </w:p>
    <w:p>
      <w:pPr>
        <w:ind w:left="932" w:right="260"/>
        <w:spacing w:after="0" w:line="266" w:lineRule="auto"/>
        <w:rPr>
          <w:sz w:val="20"/>
          <w:szCs w:val="20"/>
          <w:color w:val="auto"/>
        </w:rPr>
      </w:pPr>
      <w:r>
        <w:rPr>
          <w:rFonts w:ascii="Times New Roman" w:cs="Times New Roman" w:eastAsia="Times New Roman" w:hAnsi="Times New Roman"/>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76"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32"/>
          </w:cols>
          <w:pgMar w:left="248" w:top="819" w:right="419" w:bottom="1440" w:gutter="0" w:footer="0" w:header="0"/>
        </w:sectPr>
      </w:pPr>
    </w:p>
    <w:bookmarkStart w:id="19" w:name="page20"/>
    <w:bookmarkEnd w:id="19"/>
    <w:p>
      <w:pPr>
        <w:ind w:left="940" w:right="200"/>
        <w:spacing w:after="0" w:line="282" w:lineRule="auto"/>
        <w:rPr>
          <w:sz w:val="20"/>
          <w:szCs w:val="20"/>
          <w:color w:val="auto"/>
        </w:rPr>
      </w:pPr>
      <w:r>
        <w:rPr>
          <w:rFonts w:ascii="Times New Roman" w:cs="Times New Roman" w:eastAsia="Times New Roman" w:hAnsi="Times New Roman"/>
          <w:sz w:val="18"/>
          <w:szCs w:val="18"/>
          <w:color w:val="auto"/>
        </w:rPr>
        <w:t>The fair value for stock options granted during the nine months ended September 30, 2019 and 2018 was estimated at the date of grant using the Black-Scholes option pricing model with the following weighted average assumptions:</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Pr>
          <w:p>
            <w:pPr>
              <w:spacing w:after="0"/>
              <w:rPr>
                <w:sz w:val="20"/>
                <w:szCs w:val="20"/>
                <w:color w:val="auto"/>
              </w:rPr>
            </w:pPr>
          </w:p>
        </w:tc>
      </w:tr>
      <w:tr>
        <w:trPr>
          <w:trHeight w:val="210"/>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common stock market price volatility factor</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expected life of stock options (years)</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9" w:lineRule="exact"/>
        <w:rPr>
          <w:sz w:val="20"/>
          <w:szCs w:val="20"/>
          <w:color w:val="auto"/>
        </w:rPr>
      </w:pPr>
    </w:p>
    <w:p>
      <w:pPr>
        <w:ind w:left="940" w:right="160"/>
        <w:spacing w:after="0" w:line="282"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issued during the nine months ended September 30, 2019 and 2018 was $2.75 and $3.50, respectively.</w:t>
      </w:r>
    </w:p>
    <w:p>
      <w:pPr>
        <w:spacing w:after="0" w:line="1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for the nine months ended September 30, 2019:</w:t>
      </w:r>
    </w:p>
    <w:p>
      <w:pPr>
        <w:sectPr>
          <w:pgSz w:w="11900" w:h="16838" w:orient="portrait"/>
          <w:cols w:equalWidth="0" w:num="1">
            <w:col w:w="11280"/>
          </w:cols>
          <w:pgMar w:left="240" w:top="58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Options outstanding, January 1, 2019 (21,800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-119380</wp:posOffset>
            </wp:positionV>
            <wp:extent cx="651764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-130810</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651764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5"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Options outstanding, September 30, 2019 (87,900 exercisable)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80" w:hanging="972"/>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REPURCHASE PLANS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7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17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191"/>
        </w:trPr>
        <w:tc>
          <w:tcPr>
            <w:tcW w:w="15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264,400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ind w:left="1000"/>
              <w:spacing w:after="0" w:line="191" w:lineRule="exact"/>
              <w:rPr>
                <w:sz w:val="20"/>
                <w:szCs w:val="20"/>
                <w:color w:val="auto"/>
              </w:rPr>
            </w:pPr>
            <w:r>
              <w:rPr>
                <w:rFonts w:ascii="Times New Roman" w:cs="Times New Roman" w:eastAsia="Times New Roman" w:hAnsi="Times New Roman"/>
                <w:sz w:val="18"/>
                <w:szCs w:val="18"/>
                <w:color w:val="auto"/>
                <w:w w:val="88"/>
              </w:rPr>
              <w:t>7.54</w:t>
            </w:r>
          </w:p>
        </w:tc>
        <w:tc>
          <w:tcPr>
            <w:tcW w:w="20" w:type="dxa"/>
            <w:vAlign w:val="bottom"/>
          </w:tcPr>
          <w:p>
            <w:pPr>
              <w:spacing w:after="0"/>
              <w:rPr>
                <w:sz w:val="16"/>
                <w:szCs w:val="16"/>
                <w:color w:val="auto"/>
              </w:rPr>
            </w:pPr>
          </w:p>
        </w:tc>
      </w:tr>
      <w:tr>
        <w:trPr>
          <w:trHeight w:val="216"/>
        </w:trPr>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249,460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5"/>
              </w:rPr>
              <w:t>6.25</w:t>
            </w:r>
          </w:p>
        </w:tc>
      </w:tr>
      <w:tr>
        <w:trPr>
          <w:trHeight w:val="216"/>
        </w:trPr>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ind w:left="1260"/>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8"/>
                <w:szCs w:val="18"/>
                <w:color w:val="auto"/>
              </w:rPr>
            </w:pPr>
          </w:p>
        </w:tc>
      </w:tr>
      <w:tr>
        <w:trPr>
          <w:trHeight w:val="234"/>
        </w:trPr>
        <w:tc>
          <w:tcPr>
            <w:tcW w:w="1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(7,050)</w:t>
            </w:r>
          </w:p>
        </w:tc>
        <w:tc>
          <w:tcPr>
            <w:tcW w:w="220" w:type="dxa"/>
            <w:vAlign w:val="bottom"/>
          </w:tcPr>
          <w:p>
            <w:pPr>
              <w:spacing w:after="0"/>
              <w:rPr>
                <w:sz w:val="20"/>
                <w:szCs w:val="20"/>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5"/>
              </w:rPr>
              <w:t>8.45</w:t>
            </w:r>
          </w:p>
        </w:tc>
      </w:tr>
      <w:tr>
        <w:trPr>
          <w:trHeight w:val="210"/>
        </w:trPr>
        <w:tc>
          <w:tcPr>
            <w:tcW w:w="15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506,810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95"/>
              </w:rPr>
              <w:t>6.89</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59" w:lineRule="exact"/>
        <w:rPr>
          <w:sz w:val="20"/>
          <w:szCs w:val="20"/>
          <w:color w:val="auto"/>
        </w:rPr>
      </w:pPr>
    </w:p>
    <w:p>
      <w:pPr>
        <w:sectPr>
          <w:pgSz w:w="11900" w:h="16838" w:orient="portrait"/>
          <w:cols w:equalWidth="0" w:num="2">
            <w:col w:w="7140" w:space="720"/>
            <w:col w:w="3420"/>
          </w:cols>
          <w:pgMar w:left="240" w:top="580" w:right="379" w:bottom="1440" w:gutter="0" w:footer="0" w:header="0"/>
          <w:type w:val="continuous"/>
        </w:sectPr>
      </w:pPr>
    </w:p>
    <w:p>
      <w:pPr>
        <w:spacing w:after="0" w:line="29" w:lineRule="exact"/>
        <w:rPr>
          <w:sz w:val="20"/>
          <w:szCs w:val="20"/>
          <w:color w:val="auto"/>
        </w:rPr>
      </w:pPr>
    </w:p>
    <w:p>
      <w:pPr>
        <w:ind w:left="980" w:right="340"/>
        <w:spacing w:after="0" w:line="266" w:lineRule="auto"/>
        <w:rPr>
          <w:sz w:val="20"/>
          <w:szCs w:val="20"/>
          <w:color w:val="auto"/>
        </w:rPr>
      </w:pPr>
      <w:r>
        <w:rPr>
          <w:rFonts w:ascii="Times New Roman" w:cs="Times New Roman" w:eastAsia="Times New Roman" w:hAnsi="Times New Roman"/>
          <w:sz w:val="18"/>
          <w:szCs w:val="18"/>
          <w:color w:val="auto"/>
        </w:rPr>
        <w:t>On July 31, 2019, our Board of Directors terminated the 2015 Stock Repurchase Plan which had been authorized on October 27, 2015 and under which we had repurchased a total of 297,020 shares at a cost of $1,195. The shares were repurchased between December 2015 and January 2017. All of the repurchased shares were retired.</w:t>
      </w:r>
    </w:p>
    <w:p>
      <w:pPr>
        <w:spacing w:after="0" w:line="176" w:lineRule="exact"/>
        <w:rPr>
          <w:sz w:val="20"/>
          <w:szCs w:val="20"/>
          <w:color w:val="auto"/>
        </w:rPr>
      </w:pPr>
    </w:p>
    <w:p>
      <w:pPr>
        <w:ind w:left="980"/>
        <w:spacing w:after="0" w:line="254" w:lineRule="auto"/>
        <w:rPr>
          <w:sz w:val="20"/>
          <w:szCs w:val="20"/>
          <w:color w:val="auto"/>
        </w:rPr>
      </w:pPr>
      <w:r>
        <w:rPr>
          <w:rFonts w:ascii="Times New Roman" w:cs="Times New Roman" w:eastAsia="Times New Roman" w:hAnsi="Times New Roman"/>
          <w:sz w:val="18"/>
          <w:szCs w:val="18"/>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may be made under a Rule 10b5-1 plan entered into with RW Baird &amp; Co., which would permit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 Purchases began on September 18, 2019 under this plan. During the nine months ended September 30, 2019, we repurchased 39,158 shares under the 2019 Repurchase Plan at a cost of $179, which includes fees paid to our broker of $1. All of the repurchased shares were retired.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hanging="972"/>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sz w:val="20"/>
          <w:szCs w:val="20"/>
          <w:color w:val="auto"/>
        </w:rPr>
      </w:pPr>
    </w:p>
    <w:p>
      <w:pPr>
        <w:ind w:left="940" w:right="140"/>
        <w:spacing w:after="0" w:line="255" w:lineRule="auto"/>
        <w:rPr>
          <w:sz w:val="20"/>
          <w:szCs w:val="20"/>
          <w:color w:val="auto"/>
        </w:rPr>
      </w:pPr>
      <w:r>
        <w:rPr>
          <w:rFonts w:ascii="Times New Roman" w:cs="Times New Roman" w:eastAsia="Times New Roman" w:hAnsi="Times New Roman"/>
          <w:sz w:val="18"/>
          <w:szCs w:val="18"/>
          <w:color w:val="auto"/>
        </w:rPr>
        <w:t>We have defined contribution 401(k) plans for our employees who work in the U.S. All permanent employees of inTEST Corporation, inTEST EMS LLC,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and nine months ended September 30, 2019, we recorded $53 and $335 of expense for matching contributions, respectively. For the three and nine months ended September 30, 2018 we recorded $53 and $258 of expense for matching contributions, respectively.</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580" w:right="379" w:bottom="1440" w:gutter="0" w:footer="0" w:header="0"/>
          <w:type w:val="continuous"/>
        </w:sectPr>
      </w:pPr>
    </w:p>
    <w:bookmarkStart w:id="20" w:name="page21"/>
    <w:bookmarkEnd w:id="20"/>
    <w:p>
      <w:pPr>
        <w:ind w:left="940" w:right="340"/>
        <w:spacing w:after="0" w:line="255" w:lineRule="auto"/>
        <w:rPr>
          <w:sz w:val="20"/>
          <w:szCs w:val="20"/>
          <w:color w:val="auto"/>
        </w:rPr>
      </w:pPr>
      <w:r>
        <w:rPr>
          <w:rFonts w:ascii="Times New Roman" w:cs="Times New Roman" w:eastAsia="Times New Roman" w:hAnsi="Times New Roman"/>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make a matching contribution of 25% of each employee's contributions up to a maximum of 2% of such employee's annual compensation. For the three and nine months ended September 30, 2019, we recorded $11 and $48 of expense for matching contributions, respectively. For the three and nine months ended September 30, 2018 we recorded $18 and $54 of expense for matching contributions,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80" w:hanging="972"/>
        <w:spacing w:after="0"/>
        <w:tabs>
          <w:tab w:leader="none" w:pos="9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left="940" w:right="280"/>
        <w:spacing w:after="0" w:line="255" w:lineRule="auto"/>
        <w:rPr>
          <w:sz w:val="20"/>
          <w:szCs w:val="20"/>
          <w:color w:val="auto"/>
        </w:rPr>
      </w:pPr>
      <w:r>
        <w:rPr>
          <w:rFonts w:ascii="Times New Roman" w:cs="Times New Roman" w:eastAsia="Times New Roman" w:hAnsi="Times New Roman"/>
          <w:sz w:val="18"/>
          <w:szCs w:val="18"/>
          <w:color w:val="auto"/>
        </w:rPr>
        <w:t>We have two reportable segments, which are also our reporting units, Thermal and EMS. Thermal includes the operations of Temptronic, Thermonics, Sigma, inTEST Thermal Solutions GmbH (Germany), inTEST Pte, Limited (Singapore) and Ambrell. Sales of this segment consist primarily of temperature management systems that we design, manufacture and market under our Temptronic, Thermonics and Sigma product lines, and precision induction heating systems that are designed, manufactured and marketed by Ambrell. In addition, this segment provides post-warranty service and support. 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89" w:lineRule="exact"/>
        <w:rPr>
          <w:sz w:val="20"/>
          <w:szCs w:val="20"/>
          <w:color w:val="auto"/>
        </w:rPr>
      </w:pPr>
    </w:p>
    <w:p>
      <w:pPr>
        <w:ind w:left="940" w:right="340"/>
        <w:spacing w:after="0" w:line="261" w:lineRule="auto"/>
        <w:rPr>
          <w:sz w:val="20"/>
          <w:szCs w:val="20"/>
          <w:color w:val="auto"/>
        </w:rPr>
      </w:pPr>
      <w:r>
        <w:rPr>
          <w:rFonts w:ascii="Times New Roman" w:cs="Times New Roman" w:eastAsia="Times New Roman" w:hAnsi="Times New Roman"/>
          <w:sz w:val="18"/>
          <w:szCs w:val="18"/>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consumer electronics, consumer product packaging, defense/aerospace, energy, fiber optics, industrial, telecommunications and other markets.</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w:t>
            </w:r>
          </w:p>
        </w:tc>
        <w:tc>
          <w:tcPr>
            <w:tcW w:w="140" w:type="dxa"/>
            <w:vAlign w:val="bottom"/>
          </w:tcPr>
          <w:p>
            <w:pPr>
              <w:spacing w:after="0"/>
              <w:rPr>
                <w:sz w:val="18"/>
                <w:szCs w:val="18"/>
                <w:color w:val="auto"/>
              </w:rPr>
            </w:pP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14,616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33,775</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41,849</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13,271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18,279</w:t>
            </w: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40" w:type="dxa"/>
            <w:vAlign w:val="bottom"/>
          </w:tcPr>
          <w:p>
            <w:pPr>
              <w:spacing w:after="0"/>
              <w:rPr>
                <w:sz w:val="18"/>
                <w:szCs w:val="18"/>
                <w:color w:val="auto"/>
              </w:rPr>
            </w:pP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20,160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47,046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60,128</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Earnings (loss) before income tax expense (benefit):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18"/>
                <w:szCs w:val="18"/>
                <w:color w:val="auto"/>
              </w:rPr>
            </w:pP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1,816</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4,779</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(1,617)</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(1,055)</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1,956</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5,540</w:t>
            </w:r>
          </w:p>
        </w:tc>
      </w:tr>
      <w:tr>
        <w:trPr>
          <w:trHeight w:val="197"/>
        </w:trPr>
        <w:tc>
          <w:tcPr>
            <w:tcW w:w="20" w:type="dxa"/>
            <w:vAlign w:val="bottom"/>
          </w:tcPr>
          <w:p>
            <w:pPr>
              <w:spacing w:after="0"/>
              <w:rPr>
                <w:sz w:val="17"/>
                <w:szCs w:val="17"/>
                <w:color w:val="auto"/>
              </w:rPr>
            </w:pPr>
          </w:p>
        </w:tc>
        <w:tc>
          <w:tcPr>
            <w:tcW w:w="46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Net earnings (loss):</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Thermal</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1,592</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EMS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978</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1,327</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3,928</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Pr>
          <w:p>
            <w:pPr>
              <w:spacing w:after="0"/>
              <w:rPr>
                <w:sz w:val="18"/>
                <w:szCs w:val="18"/>
                <w:color w:val="auto"/>
              </w:rPr>
            </w:pP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3,829</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3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55,343</w:t>
            </w:r>
          </w:p>
        </w:tc>
        <w:tc>
          <w:tcPr>
            <w:tcW w:w="1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3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6,692</w:t>
            </w:r>
          </w:p>
        </w:tc>
        <w:tc>
          <w:tcPr>
            <w:tcW w:w="1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5,152</w:t>
            </w:r>
          </w:p>
        </w:tc>
        <w:tc>
          <w:tcPr>
            <w:tcW w:w="18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67,187</w:t>
            </w:r>
          </w:p>
        </w:tc>
        <w:tc>
          <w:tcPr>
            <w:tcW w:w="180" w:type="dxa"/>
            <w:vAlign w:val="bottom"/>
          </w:tcPr>
          <w:p>
            <w:pPr>
              <w:spacing w:after="0"/>
              <w:rPr>
                <w:sz w:val="21"/>
                <w:szCs w:val="21"/>
                <w:color w:val="auto"/>
              </w:rPr>
            </w:pPr>
          </w:p>
        </w:tc>
      </w:tr>
      <w:tr>
        <w:trPr>
          <w:trHeight w:val="413"/>
        </w:trPr>
        <w:tc>
          <w:tcPr>
            <w:tcW w:w="980" w:type="dxa"/>
            <w:vAlign w:val="bottom"/>
          </w:tcPr>
          <w:p>
            <w:pPr>
              <w:spacing w:after="0"/>
              <w:rPr>
                <w:sz w:val="24"/>
                <w:szCs w:val="24"/>
                <w:color w:val="auto"/>
              </w:rPr>
            </w:pPr>
          </w:p>
        </w:tc>
        <w:tc>
          <w:tcPr>
            <w:tcW w:w="2980" w:type="dxa"/>
            <w:vAlign w:val="bottom"/>
            <w:tcBorders>
              <w:top w:val="single" w:sz="8" w:color="CCEEFF"/>
            </w:tcBorders>
          </w:tcPr>
          <w:p>
            <w:pPr>
              <w:spacing w:after="0"/>
              <w:rPr>
                <w:sz w:val="24"/>
                <w:szCs w:val="24"/>
                <w:color w:val="auto"/>
              </w:rPr>
            </w:pPr>
          </w:p>
        </w:tc>
        <w:tc>
          <w:tcPr>
            <w:tcW w:w="3900" w:type="dxa"/>
            <w:vAlign w:val="bottom"/>
            <w:tcBorders>
              <w:top w:val="single" w:sz="8" w:color="CCEEFF"/>
            </w:tcBorders>
          </w:tcPr>
          <w:p>
            <w:pPr>
              <w:jc w:val="right"/>
              <w:ind w:right="191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1" w:name="page22"/>
    <w:bookmarkEnd w:id="21"/>
    <w:p>
      <w:pPr>
        <w:ind w:left="760"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our geographic areas of operation. Net revenues from unaffiliated customers are based on the location to which the goods are shipped.</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46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19,319</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18,343</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27,727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41,785</w:t>
            </w:r>
          </w:p>
        </w:tc>
      </w:tr>
      <w:tr>
        <w:trPr>
          <w:trHeight w:val="20"/>
        </w:trPr>
        <w:tc>
          <w:tcPr>
            <w:tcW w:w="4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47,046</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60,128</w:t>
            </w: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2,327</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6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2,717</w:t>
            </w:r>
          </w:p>
        </w:tc>
      </w:tr>
      <w:tr>
        <w:trPr>
          <w:trHeight w:val="20"/>
        </w:trPr>
        <w:tc>
          <w:tcPr>
            <w:tcW w:w="6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60" w:right="960" w:hanging="939"/>
        <w:spacing w:after="0" w:line="503"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Risk Factors and Forward-Looking Statements</w:t>
      </w:r>
    </w:p>
    <w:p>
      <w:pPr>
        <w:spacing w:after="0" w:line="1" w:lineRule="exact"/>
        <w:rPr>
          <w:sz w:val="20"/>
          <w:szCs w:val="20"/>
          <w:color w:val="auto"/>
        </w:rPr>
      </w:pPr>
    </w:p>
    <w:p>
      <w:pPr>
        <w:ind w:left="760" w:right="100"/>
        <w:spacing w:after="0" w:line="254" w:lineRule="auto"/>
        <w:rPr>
          <w:sz w:val="20"/>
          <w:szCs w:val="20"/>
          <w:color w:val="auto"/>
        </w:rPr>
      </w:pPr>
      <w:r>
        <w:rPr>
          <w:rFonts w:ascii="Times New Roman" w:cs="Times New Roman" w:eastAsia="Times New Roman" w:hAnsi="Times New Roman"/>
          <w:sz w:val="18"/>
          <w:szCs w:val="18"/>
          <w:color w:val="auto"/>
        </w:rPr>
        <w:t>In addition to historical information, this report and management’s discussion and analysis (“MD&amp;A”) contains statements relating to possible future events and results that are considered "forward-looking statements" within the meaning of the Private Securities Litigation Reform Act of 1995, as amended. These statements can often be identified by the use of forward-looking terminology such as "believes," "expects," "intends," "may," "will," "should," "plans" or "anticipates" or similar terminology. See Part I, Item 1 - "Business - Cautionary Statement Regarding Forward-Looking Statements" in our 2018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and MD&amp;A to reflect events or circumstances after the date hereof or to reflect the occurrence of anticipated or unanticipated events.</w:t>
      </w:r>
    </w:p>
    <w:p>
      <w:pPr>
        <w:spacing w:after="0" w:line="186" w:lineRule="exact"/>
        <w:rPr>
          <w:sz w:val="20"/>
          <w:szCs w:val="20"/>
          <w:color w:val="auto"/>
        </w:rPr>
      </w:pPr>
    </w:p>
    <w:p>
      <w:pPr>
        <w:ind w:left="760" w:right="120"/>
        <w:spacing w:after="0" w:line="254" w:lineRule="auto"/>
        <w:rPr>
          <w:sz w:val="20"/>
          <w:szCs w:val="20"/>
          <w:color w:val="auto"/>
        </w:rPr>
      </w:pPr>
      <w:r>
        <w:rPr>
          <w:rFonts w:ascii="Times New Roman" w:cs="Times New Roman" w:eastAsia="Times New Roman" w:hAnsi="Times New Roman"/>
          <w:sz w:val="18"/>
          <w:szCs w:val="18"/>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include, but are not limited to indications of a change in the market cycles in the Semi Market or other markets we serve; changes in business conditions and general economic conditions both domestically and globally; changes in the demand for semiconductors, generally; the success of our strategy to diversify our business by entering markets outside the Semi Market; the possibility of future acquisitions or dispositions and the successful integration of any acquired operations; the ability to borrow funds or raise capital to finance major potential acquisitions; the costs associated with reviewing and evaluating potential transactions; changes in the rates of, and timing of, capital expenditures by our customers; progress of product development programs; increases in raw material and fabrication costs associated with our products; and other risk factors included in Part I, Item 1A - "Risk Factors" in our 2018 Form 10-K. Material changes to such risk factors may be reported in subsequent Quarterly Reports on Form 10-Q in Part II, Item 1A.</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MD&amp;A should be read in conjunction with the accompanying consolidated financial statements.</w:t>
      </w:r>
    </w:p>
    <w:p>
      <w:pPr>
        <w:spacing w:after="0" w:line="225" w:lineRule="exact"/>
        <w:rPr>
          <w:sz w:val="20"/>
          <w:szCs w:val="20"/>
          <w:color w:val="auto"/>
        </w:rPr>
      </w:pPr>
    </w:p>
    <w:p>
      <w:pPr>
        <w:ind w:left="760" w:right="160"/>
        <w:spacing w:after="0" w:line="261" w:lineRule="auto"/>
        <w:rPr>
          <w:sz w:val="20"/>
          <w:szCs w:val="20"/>
          <w:color w:val="auto"/>
        </w:rPr>
      </w:pPr>
      <w:r>
        <w:rPr>
          <w:rFonts w:ascii="Times New Roman" w:cs="Times New Roman" w:eastAsia="Times New Roman" w:hAnsi="Times New Roman"/>
          <w:sz w:val="18"/>
          <w:szCs w:val="18"/>
          <w:color w:val="auto"/>
        </w:rPr>
        <w:t>We are a global supplier of precision-engineered solutions for use in manufacturing and testing across a wide range of markets including automotive, defense/aerospace, energy, industrial, semiconductor and telecommunications. We manage our business as two operating segments: Thermal and EMS. Our Thermal segment designs, manufactures and sells our thermal test and thermal process products while our EMS segment designs, manufactures and sells our semiconductor test products.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420" w:top="580" w:right="419" w:bottom="1440" w:gutter="0" w:footer="0" w:header="0"/>
        </w:sectPr>
      </w:pPr>
    </w:p>
    <w:bookmarkStart w:id="22" w:name="page23"/>
    <w:bookmarkEnd w:id="22"/>
    <w:p>
      <w:pPr>
        <w:ind w:right="160"/>
        <w:spacing w:after="0" w:line="256" w:lineRule="auto"/>
        <w:rPr>
          <w:sz w:val="20"/>
          <w:szCs w:val="20"/>
          <w:color w:val="auto"/>
        </w:rPr>
      </w:pPr>
      <w:r>
        <w:rPr>
          <w:rFonts w:ascii="Times New Roman" w:cs="Times New Roman" w:eastAsia="Times New Roman" w:hAnsi="Times New Roman"/>
          <w:sz w:val="18"/>
          <w:szCs w:val="18"/>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Our Thermal segment sells its products to many of these same types of customers. However, it also sells into a variety of other markets, including the automotive, consumer electronics, defense/aerospace, energy, industrial and telecommunications markets. As a result of the acquisition of Ambrell in May 2017, our Thermal segment also sells into the consumer products packaging, fiber optics and other sectors within the broader industrial market, and into the wafer processing sector within the broader semiconductor market.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Markets</w:t>
      </w:r>
    </w:p>
    <w:p>
      <w:pPr>
        <w:spacing w:after="0" w:line="2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Historically, we have referred to our markets as “Semiconductor” (which includes both the broader semiconductor market as well as the more specialized semiconductor ATE and wafer processing sectors within the broader semiconductor market), and “Non-Semiconductor” (which includes all of the other markets we serve). Starting in the second quarter of 2019, we are referring to the semiconductor market, including the ATE and wafer processing sectors within that market, as the “Semi Market.” All other markets are designated as “Multimarket.” While the Semi Market is the cornerstone of inTEST and a very important component of our business, Multimarket is where we have focused our strategic growth efforts in the last several years. Our goal has been to grow our business, both organically and through acquisition, in these markets as we believe these markets have historically been less cyclical than the Semi Market. It is important to note that business within our Thermal segment can fall into either the Semi Market or Multimarket, depending upon how our customers utilize our products or upon their respective applications. Prior to the acquisition of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product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reduced our dependence on customers in the Semi Market. We expect that our future orders and net revenues will be approximately equally split between the Semi Market and Multimarket.</w:t>
      </w:r>
    </w:p>
    <w:p>
      <w:pPr>
        <w:spacing w:after="0" w:line="19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portion of our business that is derived from the Semi Market is substantially dependent upon the demand for ATE by semiconductor manufacturers and companies that specialize in the testing of integrated circuits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8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180" w:top="580" w:right="499" w:bottom="1440" w:gutter="0" w:footer="0" w:header="0"/>
        </w:sectPr>
      </w:pPr>
    </w:p>
    <w:bookmarkStart w:id="23" w:name="page24"/>
    <w:bookmarkEnd w:id="23"/>
    <w:p>
      <w:pPr>
        <w:ind w:left="940" w:right="280"/>
        <w:spacing w:after="0" w:line="266" w:lineRule="auto"/>
        <w:rPr>
          <w:sz w:val="20"/>
          <w:szCs w:val="20"/>
          <w:color w:val="auto"/>
        </w:rPr>
      </w:pPr>
      <w:r>
        <w:rPr>
          <w:rFonts w:ascii="Times New Roman" w:cs="Times New Roman" w:eastAsia="Times New Roman" w:hAnsi="Times New Roman"/>
          <w:sz w:val="18"/>
          <w:szCs w:val="18"/>
          <w:color w:val="auto"/>
        </w:rPr>
        <w:t>In addition to being cyclical, the Semi Market has also developed a seasonal pattern, with the second and third quarters being the periods of strong demand and the first and fourth quarters being periods of weakened demand. These periods of heightened or reduced demand can shift depending on various factors impacting both our customers and the markets that they serve.</w:t>
      </w:r>
    </w:p>
    <w:p>
      <w:pPr>
        <w:spacing w:after="0" w:line="176" w:lineRule="exact"/>
        <w:rPr>
          <w:sz w:val="20"/>
          <w:szCs w:val="20"/>
          <w:color w:val="auto"/>
        </w:rPr>
      </w:pPr>
    </w:p>
    <w:p>
      <w:pPr>
        <w:ind w:left="940" w:right="280"/>
        <w:spacing w:after="0" w:line="261" w:lineRule="auto"/>
        <w:rPr>
          <w:sz w:val="20"/>
          <w:szCs w:val="20"/>
          <w:color w:val="auto"/>
        </w:rPr>
      </w:pPr>
      <w:r>
        <w:rPr>
          <w:rFonts w:ascii="Times New Roman" w:cs="Times New Roman" w:eastAsia="Times New Roman" w:hAnsi="Times New Roman"/>
          <w:sz w:val="18"/>
          <w:szCs w:val="18"/>
          <w:color w:val="auto"/>
        </w:rPr>
        <w:t>Third-party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 result of macro-economic or customer-specific factors impacting Semi Market demand, or if we have gained or lost market share to a competitor during the period.</w:t>
      </w:r>
    </w:p>
    <w:p>
      <w:pPr>
        <w:spacing w:after="0" w:line="180" w:lineRule="exact"/>
        <w:rPr>
          <w:sz w:val="20"/>
          <w:szCs w:val="20"/>
          <w:color w:val="auto"/>
        </w:rPr>
      </w:pPr>
    </w:p>
    <w:p>
      <w:pPr>
        <w:ind w:left="940" w:right="340"/>
        <w:spacing w:after="0" w:line="254" w:lineRule="auto"/>
        <w:rPr>
          <w:sz w:val="20"/>
          <w:szCs w:val="20"/>
          <w:color w:val="auto"/>
        </w:rPr>
      </w:pPr>
      <w:r>
        <w:rPr>
          <w:rFonts w:ascii="Times New Roman" w:cs="Times New Roman" w:eastAsia="Times New Roman" w:hAnsi="Times New Roman"/>
          <w:sz w:val="18"/>
          <w:szCs w:val="18"/>
          <w:color w:val="auto"/>
        </w:rPr>
        <w:t>While the majority of our orders and net revenues are derived from the Semi Market, our operating results do not always follow the overall trend in the Semi Market in any given period. We believe that these anomalies may be driven by a variety of factors within the Semi Market, including, for example, changing product requirements, longer time periods between new product offerings by OEMs and changes in customer buying patterns. In addition, in recent periods, we have seen instances when demand within the Semi Market is not consistent for each of our product segments or for any given product within a particular product segment. This inconsistency in demand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86" w:lineRule="exact"/>
        <w:rPr>
          <w:sz w:val="20"/>
          <w:szCs w:val="20"/>
          <w:color w:val="auto"/>
        </w:rPr>
      </w:pPr>
    </w:p>
    <w:p>
      <w:pPr>
        <w:ind w:left="940" w:right="420"/>
        <w:spacing w:after="0" w:line="253" w:lineRule="auto"/>
        <w:rPr>
          <w:sz w:val="20"/>
          <w:szCs w:val="20"/>
          <w:color w:val="auto"/>
        </w:rPr>
      </w:pPr>
      <w:r>
        <w:rPr>
          <w:rFonts w:ascii="Times New Roman" w:cs="Times New Roman" w:eastAsia="Times New Roman" w:hAnsi="Times New Roman"/>
          <w:sz w:val="18"/>
          <w:szCs w:val="18"/>
          <w:color w:val="auto"/>
        </w:rPr>
        <w:t>As previously mentioned, as part of our ongoing strategy to reduce the impact of Semi Market volatility on our business operations, we continue to diversify our served markets to address the thermal test and thermal process requirements of several other markets outside the Semi Market. These include the automotive, consumer electronics, consumer product packaging, defense/aerospace, energy, fiber optics, industrial, telecommunications and other markets which we now refer to as Multimarket. We believe that these markets usually are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these markets. In addition, our orders and net revenues in any given period in these markets do not necessarily reflect the overall trends in these markets due to our limited market shares. Consequently, we are continuing to evaluate buying patterns and opportunities for growth in these markets that may affect our performance. The level of our orders and net revenues from these markets has varied in the past, and we expect will vary significantly in the future, as we work to build our presence in these markets and establish new markets for our products.</w:t>
      </w:r>
    </w:p>
    <w:p>
      <w:pPr>
        <w:spacing w:after="0" w:line="1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i w:val="1"/>
          <w:iCs w:val="1"/>
          <w:u w:val="single" w:color="auto"/>
          <w:color w:val="auto"/>
        </w:rPr>
        <w:t>Orders and Backlog</w:t>
      </w:r>
    </w:p>
    <w:p>
      <w:pPr>
        <w:spacing w:after="0" w:line="2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orders received by operating segment and market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2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6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9,543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14,907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(2,569)</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 w:type="dxa"/>
            <w:vAlign w:val="bottom"/>
            <w:vMerge w:val="restart"/>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Semi Market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6,602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8,629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Multimarket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(2,133)</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7,292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30,476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42,686</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(12,210)</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11,197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(5,965)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41,673</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(18,175)</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Semi Market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20,804</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35,118</w:t>
            </w:r>
          </w:p>
        </w:tc>
        <w:tc>
          <w:tcPr>
            <w:tcW w:w="100" w:type="dxa"/>
            <w:vAlign w:val="bottom"/>
          </w:tcPr>
          <w:p>
            <w:pPr>
              <w:spacing w:after="0"/>
              <w:rPr>
                <w:sz w:val="18"/>
                <w:szCs w:val="18"/>
                <w:color w:val="auto"/>
              </w:rPr>
            </w:pP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(14,314)</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Multimarket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20,869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(3,861)</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41,673</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(18,175)</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Total consolidated orders for the three months ended September 30, 2019 were $13.9 million compared to $20.0 million for the same period in 2018 and $15.9 million for the three months ended June 30, 2019. Orders from Multimarket customers for the three months ended September 30, 2019 were $7.3 million, or 52% of total consolidated orders, compared to $9.4 million, or 47% of total consolidated orders for the same period in 2018 and $7.3 million or 46% of total consolidated orders for the three months ended June 30, 2019.</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consolidated orders for the nine months ended September 30, 2019 were $41.7 million compared to $59.8 million for the same period in 2018. Orders from Multimarket customers for the nine months ended September 30, 2019 were $20.9 million, or 50% of total consolidated orders, compared to $24.7 million, or 41% of total consolidated orders for the same period in 2018.</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significant decrease in our consolidated orders during the three and nine months ended September 30, 2019 as compared to the same periods in 2018 primarily represents cyclical and seasonal softening in the Semi Market, where approximately half of our business is derived. Orders for the nine months ended September 30, 2019 were also affected by reduced demand from some of our Multimarket customers, specifically in the optical transceivers sector within the telecommunications market, which we believe primarily reflects technological changes occurring in that market, and the industrial market, reflecting reduced demand experienced by Ambrell. In addition to market specific drivers, we believe slowing growth in the global economy as well as trade tensions between the U.S. and China have also contributed to the declines in demand which we have experienced.</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At September 30, 2019, our backlog of unfilled orders for all products was approximately $8.0 million compared with approximately $13.4 million at September 30, 2018 and $8.8 million at June 30, 2019. Our backlog includes customer orders which we have accepted, substantially all of which we expect to deliver in 2019. The significant decline in our backlog at September 30, 2019 as compared to September 30, 2018 primarily reflects the impact of the aforementioned weakness in the Semi Market and, to a lesser extent, reduced demand from certain Multimarket customers that we serve.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8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00"/>
          </w:cols>
          <w:pgMar w:left="1180" w:top="576"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net revenues by operating segment and market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6"/>
          </w:tcPr>
          <w:p>
            <w:pPr>
              <w:jc w:val="center"/>
              <w:ind w:right="315"/>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gridSpan w:val="6"/>
          </w:tcPr>
          <w:p>
            <w:pPr>
              <w:jc w:val="center"/>
              <w:ind w:right="315"/>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3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10,622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14,616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(3,994)</w:t>
            </w:r>
          </w:p>
        </w:tc>
        <w:tc>
          <w:tcPr>
            <w:tcW w:w="2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10,519</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(1,534)</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(5,528)</w:t>
            </w:r>
          </w:p>
        </w:tc>
        <w:tc>
          <w:tcPr>
            <w:tcW w:w="2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14,352</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Semi Market</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7,126</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11,415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(4,289)</w:t>
            </w:r>
          </w:p>
        </w:tc>
        <w:tc>
          <w:tcPr>
            <w:tcW w:w="2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7,641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(515)</w:t>
            </w:r>
          </w:p>
        </w:tc>
        <w:tc>
          <w:tcPr>
            <w:tcW w:w="2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Multimarket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(1,239)</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(5,528)</w:t>
            </w:r>
          </w:p>
        </w:tc>
        <w:tc>
          <w:tcPr>
            <w:tcW w:w="2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14,352</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Nine</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Thermal</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33,775</w:t>
            </w:r>
          </w:p>
        </w:tc>
        <w:tc>
          <w:tcPr>
            <w:tcW w:w="20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41,849</w:t>
            </w:r>
          </w:p>
        </w:tc>
        <w:tc>
          <w:tcPr>
            <w:tcW w:w="14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(8,074)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13,271</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18,279</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47,046</w:t>
            </w:r>
          </w:p>
        </w:tc>
        <w:tc>
          <w:tcPr>
            <w:tcW w:w="20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60,128</w:t>
            </w:r>
          </w:p>
        </w:tc>
        <w:tc>
          <w:tcPr>
            <w:tcW w:w="14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(13,082)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2"/>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gridSpan w:val="4"/>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Semi Market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24,878</w:t>
            </w:r>
          </w:p>
        </w:tc>
        <w:tc>
          <w:tcPr>
            <w:tcW w:w="20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34,997</w:t>
            </w:r>
          </w:p>
        </w:tc>
        <w:tc>
          <w:tcPr>
            <w:tcW w:w="14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(10,119)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Multimarket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22,168</w:t>
            </w:r>
          </w:p>
        </w:tc>
        <w:tc>
          <w:tcPr>
            <w:tcW w:w="2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25,131</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47,046</w:t>
            </w:r>
          </w:p>
        </w:tc>
        <w:tc>
          <w:tcPr>
            <w:tcW w:w="200" w:type="dxa"/>
            <w:vAlign w:val="bottom"/>
          </w:tcPr>
          <w:p>
            <w:pPr>
              <w:spacing w:after="0"/>
              <w:rPr>
                <w:sz w:val="18"/>
                <w:szCs w:val="18"/>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60,128</w:t>
            </w:r>
          </w:p>
        </w:tc>
        <w:tc>
          <w:tcPr>
            <w:tcW w:w="140" w:type="dxa"/>
            <w:vAlign w:val="bottom"/>
          </w:tcPr>
          <w:p>
            <w:pPr>
              <w:spacing w:after="0"/>
              <w:rPr>
                <w:sz w:val="18"/>
                <w:szCs w:val="18"/>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(13,082)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Total consolidated net revenues for the three months ended September 30, 2019 were $14.6 million compared to $20.2 million for the same period in 2018 and $14.4 million for the three months ended June 30, 2019. Total consolidated net revenues for the nine months ended September 30, 2019 were $47.0 million compared to $60.1 million for the same period in 2018. We believe the decreases in our consolidated net revenues primarily reflect the aforementioned softening in the Semi Market, reduced demand from certain Multimarket customers that we serve and, to a lesser extent, slowing growth in the global economy as well as trade tensions between the U.S. and China.</w:t>
      </w:r>
    </w:p>
    <w:p>
      <w:pPr>
        <w:spacing w:after="0" w:line="18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Net revenues from Multimarket customers for the three months ended September 30, 2019 were $7.5 million, or 51% of total consolidated net revenues, compared to $8.7 million, or 43% of total consolidated net revenues for the same period in 2018 and $6.7 million or 47% of total consolidated net revenues for the three months ended June 30, 2019. Net revenues from customers in Multimarket for the nine months ended September 30, 2019 were $22.2 million, or 47% of total consolidated net revenues, compared to $25.1 million, or 42% of total consolidated net revenues for the same period in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Three Months Ended September 30, 2019 Compared to Three Months Ended September 30, 2018</w:t>
      </w:r>
    </w:p>
    <w:p>
      <w:pPr>
        <w:spacing w:after="0" w:line="225"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were $14.6 million for the three months ended September 30, 2019 compared to $20.2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2018, a decrease of $5.5 million, or 27%. We believe the decrease in our net revenues during the third quarter of 2019 primarily reflects the factors previously discussed in the Overview.</w:t>
      </w:r>
    </w:p>
    <w:p>
      <w:pPr>
        <w:spacing w:after="0" w:line="17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00"/>
          </w:cols>
          <w:pgMar w:left="1180" w:top="57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consolidated gross margin was 49% of net revenues for the three months ended September 30, 2019 as compared to 50%</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net revenues for the same period in 2018. The decrease in our gross margin as a percentage of net revenues primarily reflects an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fixed operating costs as a percentage of net revenues. Although our fixed operating costs decreased by $373,000 in absolute dollar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they represented 16% of net revenues for the three months ended September 30, 2019 as compared to 14% of net revenues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period in 2018. This is a result of not being as fully absorbed by the lower net revenues levels in the third quarter of 2019.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$373,000 decrease in our fixed operating costs primarily reflects headcount reductions and lower levels of outsourced labor in our Thermal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and a reduction in supplies used in production and service in our Thermal segment. The increase in our fixed operating costs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of net revenues was partially offset by a reduction in component material costs for the three months ended September 30, 2019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same period in 2018, reflecting changes in product and customer mix for both of our segments.</w:t>
      </w:r>
    </w:p>
    <w:p>
      <w:pPr>
        <w:spacing w:after="0" w:line="20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Expense. </w:t>
      </w:r>
      <w:r>
        <w:rPr>
          <w:rFonts w:ascii="Times New Roman" w:cs="Times New Roman" w:eastAsia="Times New Roman" w:hAnsi="Times New Roman"/>
          <w:sz w:val="18"/>
          <w:szCs w:val="18"/>
          <w:color w:val="auto"/>
        </w:rPr>
        <w:t>Selling expense was $2.0 million for the three months ended September 30, 2019 compared to $2.3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2018, a decrease of $247,000, or 11%. The decrease primarily reflects lower levels of commission expense as a result of the reduction in net revenues, and, to a lesser extent, decreased warranty costs.</w:t>
      </w:r>
    </w:p>
    <w:p>
      <w:pPr>
        <w:spacing w:after="0" w:line="1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Development Expense. </w:t>
      </w:r>
      <w:r>
        <w:rPr>
          <w:rFonts w:ascii="Times New Roman" w:cs="Times New Roman" w:eastAsia="Times New Roman" w:hAnsi="Times New Roman"/>
          <w:sz w:val="18"/>
          <w:szCs w:val="18"/>
          <w:color w:val="auto"/>
        </w:rPr>
        <w:t>Engineering and product development expense was $1.3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compared to $1.2 million for the same period in 2018, an increase of $54,000, or 5%. The increase primarily reflects higher levels of spending on materials used in new product development and third-party resources used in research and development projects by our Thermal segment.</w:t>
      </w:r>
    </w:p>
    <w:p>
      <w:pPr>
        <w:spacing w:after="0" w:line="180"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$3.1 million for the three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$3.3 million for the same period in 2018, a decrease of $224,000, or 7%. The decrease primarily reflects a reduction in profit-related bonus expense which was partially offset by increases in both legal costs and stock-based compensation expense.</w:t>
      </w:r>
    </w:p>
    <w:p>
      <w:pPr>
        <w:spacing w:after="0" w:line="1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Liability Adjustment. </w:t>
      </w:r>
      <w:r>
        <w:rPr>
          <w:rFonts w:ascii="Times New Roman" w:cs="Times New Roman" w:eastAsia="Times New Roman" w:hAnsi="Times New Roman"/>
          <w:sz w:val="18"/>
          <w:szCs w:val="18"/>
          <w:color w:val="auto"/>
        </w:rPr>
        <w:t>During the three months ended September 30, 2018, we recorded an increase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liability for contingent consideration of $3.1 million. This liability was a result of our acquisition of Ambrell in May 2017 and is discussed further in Notes 3 and 4 to our consolidated financial statements in our 2018 Form 10-K. The increase in the fair value was primarily a result of an increase in the then-projected adjusted EBITDA of Ambrell for 2018. There was no similar adjustment for the three months ended September 30, 2019 as the contingent consideration liability was finalized as of December 31, 2018.</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three months ended September 30, 2019, we recorded income tax expense of $147,000 compared to $728,000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in 2018. Our effective tax rate was 19% for the three months ended September 30, 2019 compared to 449% for the same period in 2018. On a quarterly basis, we record income tax expense or benefit based on the expected annualized effective tax rate for the various taxing jurisdictions in which we operate our businesses. The higher effective tax rate for the three months ended September 30, 2018 reflects recording the aforementioned increase of $3.1 million in our liability for contingent consideration during that period. This adjustment was not deductible for tax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Nine Months Ended September 30, 2019 Compared to Nine Months Ended September 30, 2018</w:t>
      </w:r>
    </w:p>
    <w:p>
      <w:pPr>
        <w:spacing w:after="0" w:line="225"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were $47.0 million for the nine months ended September 30, 2019 compared to $60.1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2018, a decrease of $13.1 million, or 22%. We believe the decrease in our net revenues during the first nine months of 2019 primarily reflects the factors previously discussed in the Overview.</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Our consolidated gross margin was 48% of net revenues for the nine months ended September 30, 2019 as compared to 51%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net revenues for the same period in 2018. The decrease in our gross margin as a percentage of net revenues primarily reflects an increase in our fixed operating costs as a percentage of net revenues. Although our fixed operating costs decreased by $493,000 in absolute dollar terms, they represented 16% of net revenues for the nine months ended September 30, 2019 as compared to 13% of net revenues for the same period in 2018. This is a result of not being as fully absorbed by the lower net revenues levels in the first nine months of 2019. The $493,000 decrease in our fixed operating costs primarily reflects a reduction in facility related costs for Ambrell as a result of its relocation in May 2018 and lower levels of outsourced labor in our Thermal segment. These decreases were partially offset by an increase in materials used for service in our Thermal segment and a reduction in the utilization rates at our machine shop in our EMS segment. The increase in our fixed operating costs as a percentage of net revenues was partially offset by a reduction in component material costs in our Thermal segment for the nine months ended September 30, 2019 as compared to the same period in 2018, reflecting changes in product and customer mix.</w:t>
      </w:r>
    </w:p>
    <w:p>
      <w:pPr>
        <w:spacing w:after="0" w:line="18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00"/>
          </w:cols>
          <w:pgMar w:left="1180" w:top="578" w:right="519" w:bottom="1440" w:gutter="0" w:footer="0" w:header="0"/>
        </w:sectPr>
      </w:pPr>
    </w:p>
    <w:bookmarkStart w:id="27" w:name="page28"/>
    <w:bookmarkEnd w:id="27"/>
    <w:p>
      <w:pPr>
        <w:ind w:left="940" w:right="5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Expense. </w:t>
      </w:r>
      <w:r>
        <w:rPr>
          <w:rFonts w:ascii="Times New Roman" w:cs="Times New Roman" w:eastAsia="Times New Roman" w:hAnsi="Times New Roman"/>
          <w:sz w:val="18"/>
          <w:szCs w:val="18"/>
          <w:color w:val="auto"/>
        </w:rPr>
        <w:t>Selling expense was $6.5 million for the nine months ended September 30, 2019 compared to $7.3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2018, a decrease of $800,000, or 11%. The decrease primarily reflects lower levels of commission expense as a result of the reduction in net revenues. To a lesser extent, there were also reductions in salary and benefits expense in our Thermal segment, reflecting lower headcount, decreased levels of warranty costs, and reduced spending on advertising and travel.</w:t>
      </w:r>
    </w:p>
    <w:p>
      <w:pPr>
        <w:spacing w:after="0" w:line="180" w:lineRule="exact"/>
        <w:rPr>
          <w:sz w:val="20"/>
          <w:szCs w:val="20"/>
          <w:color w:val="auto"/>
        </w:rPr>
      </w:pPr>
    </w:p>
    <w:p>
      <w:pPr>
        <w:ind w:left="940" w:right="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Development Expense. </w:t>
      </w:r>
      <w:r>
        <w:rPr>
          <w:rFonts w:ascii="Times New Roman" w:cs="Times New Roman" w:eastAsia="Times New Roman" w:hAnsi="Times New Roman"/>
          <w:sz w:val="18"/>
          <w:szCs w:val="18"/>
          <w:color w:val="auto"/>
        </w:rPr>
        <w:t>Engineering and product development expense was $3.8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compared to $3.7 million for the same period in 2018, an increase of $20,000, or 1%. Higher levels of spending on materials used in new product development and third-party resources used in research and development projects by our Thermal segment were partially offset by decreases in legal fees paid related to our intellectual property.</w:t>
      </w:r>
    </w:p>
    <w:p>
      <w:pPr>
        <w:spacing w:after="0" w:line="180" w:lineRule="exact"/>
        <w:rPr>
          <w:sz w:val="20"/>
          <w:szCs w:val="20"/>
          <w:color w:val="auto"/>
        </w:rPr>
      </w:pPr>
    </w:p>
    <w:p>
      <w:pPr>
        <w:ind w:left="940" w:right="3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$10.5 million for the nine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$9.6 million for the same period in 2018, an increase of $906,000, or 9%. During the nine months ended September 30, 2019, we incurred $683,000 related to an acquisition opportunity which we have decided not to pursue, and $242,000 for costs related to the consolidation of Ambrell’s European operations. There were no similar costs in the same period in 2018. When adjusted to eliminate these costs, general and administrative expense would have been relatively unchanged at $9.6 million in both periods. Decreases in expense for profit-related bonuses were offset by increases in salary and benefits expense, reflecting hiring new employees, higher levels of amortization expense related to intangible assets and an increase in compensation expense related to stock-based awards.</w:t>
      </w:r>
    </w:p>
    <w:p>
      <w:pPr>
        <w:spacing w:after="0" w:line="183" w:lineRule="exact"/>
        <w:rPr>
          <w:sz w:val="20"/>
          <w:szCs w:val="20"/>
          <w:color w:val="auto"/>
        </w:rPr>
      </w:pPr>
    </w:p>
    <w:p>
      <w:pPr>
        <w:ind w:left="940" w:right="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Liability Adjustment. </w:t>
      </w:r>
      <w:r>
        <w:rPr>
          <w:rFonts w:ascii="Times New Roman" w:cs="Times New Roman" w:eastAsia="Times New Roman" w:hAnsi="Times New Roman"/>
          <w:sz w:val="18"/>
          <w:szCs w:val="18"/>
          <w:color w:val="auto"/>
        </w:rPr>
        <w:t>During the nine months ended September 30, 2018, we recorded an increase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liability for contingent consideration of $4.1 million. This liability was a result of our acquisition of Ambrell in May 2017 and is discussed further in Notes 3 and 4 to our consolidated financial statements in our 2018 Form 10-K. The increase in the fair value was primarily a result of an increase in the then-projected adjusted EBITDA of Ambrell for the year ending December 31, 2018. There was no similar adjustment for the nine months ended September 30, 2019 as the contingent consideration liability was finalized as of December 31, 2018.</w:t>
      </w:r>
    </w:p>
    <w:p>
      <w:pPr>
        <w:spacing w:after="0" w:line="183" w:lineRule="exact"/>
        <w:rPr>
          <w:sz w:val="20"/>
          <w:szCs w:val="20"/>
          <w:color w:val="auto"/>
        </w:rPr>
      </w:pPr>
    </w:p>
    <w:p>
      <w:pPr>
        <w:ind w:left="940" w:right="2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the nine months ended September 30, 2019, we recorded income tax expense of $358,000 compared to $1.7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same period in 2018. Our effective tax rate was 18% for the nine months ended September 30, 2019 compared to 31% for the same period in 2018. On a quarterly basis, we record income tax expense or benefit based on the expected annualized effective tax rate for the various taxing jurisdictions in which we operate our businesses. The higher effective tax rate for the nine months ended September 30, 2018 reflects recording the aforementioned increase of $4.1 million in our liability for contingent consideration during that period. This adjustment was not deductible for tax purposes.</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left="940" w:right="280"/>
        <w:spacing w:after="0" w:line="266" w:lineRule="auto"/>
        <w:rPr>
          <w:sz w:val="20"/>
          <w:szCs w:val="20"/>
          <w:color w:val="auto"/>
        </w:rPr>
      </w:pPr>
      <w:r>
        <w:rPr>
          <w:rFonts w:ascii="Times New Roman" w:cs="Times New Roman" w:eastAsia="Times New Roman" w:hAnsi="Times New Roman"/>
          <w:sz w:val="18"/>
          <w:szCs w:val="18"/>
          <w:color w:val="auto"/>
        </w:rPr>
        <w:t>As discussed more fully in the Overview, our business and results of operations are substantially dependent upon the demand within the Semi Market. The cyclical and volatile nature of demand in this market makes estimates of future revenues, results of operations and net cash flows difficult.</w:t>
      </w:r>
    </w:p>
    <w:p>
      <w:pPr>
        <w:spacing w:after="0" w:line="176" w:lineRule="exact"/>
        <w:rPr>
          <w:sz w:val="20"/>
          <w:szCs w:val="20"/>
          <w:color w:val="auto"/>
        </w:rPr>
      </w:pPr>
    </w:p>
    <w:p>
      <w:pPr>
        <w:ind w:left="940" w:right="400"/>
        <w:spacing w:after="0" w:line="266"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2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Our cash and cash equivalents and working capital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17,861</w:t>
            </w:r>
          </w:p>
        </w:tc>
        <w:tc>
          <w:tcPr>
            <w:tcW w:w="18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16,278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14,203</w:t>
            </w:r>
          </w:p>
        </w:tc>
        <w:tc>
          <w:tcPr>
            <w:tcW w:w="18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24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8" w:right="239" w:bottom="1440" w:gutter="0" w:footer="0" w:header="0"/>
        </w:sectPr>
      </w:pPr>
    </w:p>
    <w:bookmarkStart w:id="28" w:name="page29"/>
    <w:bookmarkEnd w:id="28"/>
    <w:p>
      <w:pPr>
        <w:spacing w:after="0" w:line="255" w:lineRule="auto"/>
        <w:rPr>
          <w:sz w:val="20"/>
          <w:szCs w:val="20"/>
          <w:color w:val="auto"/>
        </w:rPr>
      </w:pPr>
      <w:r>
        <w:rPr>
          <w:rFonts w:ascii="Times New Roman" w:cs="Times New Roman" w:eastAsia="Times New Roman" w:hAnsi="Times New Roman"/>
          <w:sz w:val="18"/>
          <w:szCs w:val="18"/>
          <w:color w:val="auto"/>
        </w:rPr>
        <w:t>As of September 30, 2019, $3.6 million, or 45%, of our cash and cash equivalents was held by our foreign subsidiaries. We currently expect our cash and cash equivalents and projected future cash flow to be sufficient to support our short term working capital requirements and other corporate requirements, including any future repurchases of shares made under the 2019 Repurchase Plan (which is discussed more fully in Note 10 to our consolidated financial statements). However, we may need additional financial resources, which could include debt or equity financings,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used in operations for the nine months ended September 30, 2019 was $9.1 million. During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we paid the $12.2 million earnout payable that was on our balance sheet at December 31, 2018. This earnout payable was related to the acquisition of Ambrell. For the nine months ended September 30, 2019, we recorded net earnings of $1.6 million. During this same period, we had non-cash charges of $2.4 million for depreciation and amortization that included $952,000 of amortization related to our ROU assets. These ROU assets, and the related operating lease liabilities, were established at January 1, 2019 in connection with the adoption of ASC 842, as discussed further in Notes 2 and 7 to our consolidated financial statements. During the nine months ended September 30, 2019, we also recorded $638,000 of deferred compensation expense related to stock-based awards. During the first nine months of 2019, accounts receivable decreased $1.3 million from the level at December 31, 2018, primarily reflecting the reduced level of shipments in the third quarter of 2019 compared to the level in the fourth quarter of 2018, while inventories and accounts payable increased $1.6 million and $943,000, respectively, primarily reflecting purchasing activity for products with long-lead times. Accrued wages and benefits declined $969,000 during the first nine months of 2019, primarily reflecting the payout of profit-related bonuses that had been accrued at December 31, 2018 on our results for the year. Operating lease liabilities decreased $1.1 million, reflecting payments made under our various lease agreements. Customer deposits and deferred revenue decreased $509,000 during the first nine months of 2019, reflecting changes in the timing of payments received from customers and the recognition of revenue under our contracts with customers.</w:t>
      </w:r>
    </w:p>
    <w:p>
      <w:pPr>
        <w:spacing w:after="0" w:line="18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During the nine months ended September 30, 2019, purchases of property and equipment were $413,000. We have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commitments for capital expenditures for the balance of 2019; however, depending upon changes in market demand or manufacturing and sales strategies, we may make such purchases or investments as we deem necessary and appropriate.</w:t>
      </w:r>
    </w:p>
    <w:p>
      <w:pPr>
        <w:spacing w:after="0" w:line="17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During the nine months ended September 30, 2019, we utilized $179,000 to repurchase 39,158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under the 2019 Repurchase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or Recently Adopted Accounting Standards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See the Notes to our consolidated financial statements for information concerning the implementation and impact of new or recently adopted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2019, there have been no significant changes to the accounting policies that we have deemed critical. These policies are more fully described in our 2018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 -Balance Sheet Arrangements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were no off-balance sheet arrangements during the nine months ended September 30, 2019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7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85725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180" w:top="580" w:right="499" w:bottom="1440" w:gutter="0" w:footer="0" w:header="0"/>
        </w:sectPr>
      </w:pPr>
    </w:p>
    <w:bookmarkStart w:id="29" w:name="page30"/>
    <w:bookmarkEnd w:id="2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disclosure is not required for a smaller reporting company.</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89"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color w:val="auto"/>
        </w:rPr>
        <w:t>CEO/CFO Conclusions about the Effectiveness of the Disclosure Controls and Procedures</w:t>
      </w:r>
      <w:r>
        <w:rPr>
          <w:rFonts w:ascii="Times New Roman" w:cs="Times New Roman" w:eastAsia="Times New Roman" w:hAnsi="Times New Roman"/>
          <w:sz w:val="18"/>
          <w:szCs w:val="18"/>
          <w:color w:val="auto"/>
        </w:rPr>
        <w:t>. As required by Rule 13a-15(b),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From time to time we may be a party to legal proceedings occurring in the ordinary course of business. We are not currently involved in any material legal proceedings.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2018 Form 10-K filed with the Securities and Exchange Commission on March 26, 2019. There have been no changes from the risk factors set forth in our 2018 Form 10-K.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85725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00"/>
          </w:cols>
          <w:pgMar w:left="780" w:top="576" w:right="819" w:bottom="1440" w:gutter="0" w:footer="0" w:header="0"/>
        </w:sectPr>
      </w:pPr>
    </w:p>
    <w:bookmarkStart w:id="30" w:name="page31"/>
    <w:bookmarkEnd w:id="3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jc w:val="both"/>
        <w:ind w:left="340" w:right="52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or on behalf of the Company or any “affiliated purchaser” as defined in Rule 10b-18(a)(3) under the Exchange Act, of our common stock during the three months ended September 30, 2019, including those made pursuant to publicly announced plans or programs and those not made pursuant to publicly announced plans or programs.</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 of Shares</w:t>
            </w:r>
          </w:p>
        </w:tc>
      </w:tr>
      <w:tr>
        <w:trPr>
          <w:trHeight w:val="216"/>
        </w:trPr>
        <w:tc>
          <w:tcPr>
            <w:tcW w:w="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Purchased Under</w:t>
            </w:r>
          </w:p>
        </w:tc>
      </w:tr>
      <w:tr>
        <w:trPr>
          <w:trHeight w:val="216"/>
        </w:trPr>
        <w:tc>
          <w:tcPr>
            <w:tcW w:w="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11"/>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600" w:type="dxa"/>
            <w:vAlign w:val="bottom"/>
            <w:gridSpan w:val="2"/>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August 1-31</w:t>
            </w:r>
            <w:r>
              <w:rPr>
                <w:rFonts w:ascii="Times New Roman" w:cs="Times New Roman" w:eastAsia="Times New Roman" w:hAnsi="Times New Roman"/>
                <w:sz w:val="27"/>
                <w:szCs w:val="27"/>
                <w:color w:val="auto"/>
                <w:vertAlign w:val="superscript"/>
              </w:rPr>
              <w:t>(1)</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12,000</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4.51</w:t>
            </w:r>
          </w:p>
        </w:tc>
        <w:tc>
          <w:tcPr>
            <w:tcW w:w="18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r>
      <w:tr>
        <w:trPr>
          <w:trHeight w:val="243"/>
        </w:trPr>
        <w:tc>
          <w:tcPr>
            <w:tcW w:w="360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September 1-30</w:t>
            </w:r>
            <w:r>
              <w:rPr>
                <w:rFonts w:ascii="Times New Roman" w:cs="Times New Roman" w:eastAsia="Times New Roman" w:hAnsi="Times New Roman"/>
                <w:sz w:val="28"/>
                <w:szCs w:val="28"/>
                <w:color w:val="auto"/>
                <w:vertAlign w:val="superscript"/>
              </w:rPr>
              <w:t>(2)</w:t>
            </w: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39,158</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39,158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2,822,000</w:t>
            </w:r>
          </w:p>
        </w:tc>
        <w:tc>
          <w:tcPr>
            <w:tcW w:w="100" w:type="dxa"/>
            <w:vAlign w:val="bottom"/>
          </w:tcPr>
          <w:p>
            <w:pPr>
              <w:spacing w:after="0"/>
              <w:rPr>
                <w:sz w:val="21"/>
                <w:szCs w:val="21"/>
                <w:color w:val="auto"/>
              </w:rPr>
            </w:pPr>
          </w:p>
        </w:tc>
      </w:tr>
      <w:tr>
        <w:trPr>
          <w:trHeight w:val="250"/>
        </w:trPr>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51,158</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39,158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left="920" w:right="680" w:hanging="480"/>
        <w:spacing w:after="0" w:line="210" w:lineRule="auto"/>
        <w:tabs>
          <w:tab w:leader="none" w:pos="9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shares were purchased by the Company’s President and Chief Executive Officer, James Pelrin, who may be deemed to be an “affiliated purchaser” as defined in Rule 10b-18(a)(3) under the Exchange Act. All of the shares were purchased in open market transactions, and none of the shares were purchased by the Company.</w:t>
      </w:r>
    </w:p>
    <w:p>
      <w:pPr>
        <w:spacing w:after="0" w:line="227" w:lineRule="exact"/>
        <w:rPr>
          <w:rFonts w:ascii="Times New Roman" w:cs="Times New Roman" w:eastAsia="Times New Roman" w:hAnsi="Times New Roman"/>
          <w:sz w:val="30"/>
          <w:szCs w:val="30"/>
          <w:color w:val="auto"/>
          <w:vertAlign w:val="superscript"/>
        </w:rPr>
      </w:pPr>
    </w:p>
    <w:p>
      <w:pPr>
        <w:ind w:left="920" w:right="80" w:hanging="480"/>
        <w:spacing w:after="0" w:line="210" w:lineRule="auto"/>
        <w:tabs>
          <w:tab w:leader="none" w:pos="920"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July 31, 2019, our Board of Directors terminated the 2015 Stock Repurchase Plan which had been authorized on October 27, 2015 and under which we had repurchased a total of 297,020 shares at a cost of $1.2 million. The shares were repurchased between December 2015 and January 2017. All of the repurchased shares were retired.</w:t>
      </w:r>
    </w:p>
    <w:p>
      <w:pPr>
        <w:spacing w:after="0" w:line="200" w:lineRule="exact"/>
        <w:rPr>
          <w:rFonts w:ascii="Times New Roman" w:cs="Times New Roman" w:eastAsia="Times New Roman" w:hAnsi="Times New Roman"/>
          <w:sz w:val="30"/>
          <w:szCs w:val="30"/>
          <w:color w:val="auto"/>
          <w:vertAlign w:val="superscript"/>
        </w:rPr>
      </w:pPr>
    </w:p>
    <w:p>
      <w:pPr>
        <w:ind w:left="920"/>
        <w:spacing w:after="0" w:line="256"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July 31, 2019, our Board of Directors authorized the repurchase of up to $3.0 million of our common stock from time to time on the open market, in compliance with Rule 10b-18 under the Securities Exchange Act of 1934, or in privately negotiated transactions pursuant to the 2019 Repurchase Plan. Repurchases may be made under a Rule 10b5-1 plan entered into with RW Baird &amp; Co., which permits shares to be repurchased when we might otherwise be precluded from doing so under insider trading laws and our internal trading windows. The 2019 Repurchase Plan does not obligate us to purchase any particular amount of common stock and may be suspended or discontinued at any time without prior notice. The 2019 Repurchase Plan is funded using our operating cash flow or available cash.</w:t>
      </w:r>
    </w:p>
    <w:p>
      <w:pPr>
        <w:spacing w:after="0" w:line="187" w:lineRule="exact"/>
        <w:rPr>
          <w:rFonts w:ascii="Times New Roman" w:cs="Times New Roman" w:eastAsia="Times New Roman" w:hAnsi="Times New Roman"/>
          <w:sz w:val="30"/>
          <w:szCs w:val="30"/>
          <w:color w:val="auto"/>
          <w:vertAlign w:val="superscript"/>
        </w:rPr>
      </w:pPr>
    </w:p>
    <w:p>
      <w:pPr>
        <w:ind w:left="920" w:right="220"/>
        <w:spacing w:after="0" w:line="282"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September 30, 2019, we had repurchased 39,158 shares under the 2019 Repurchase Plan at fair market value of $178,000. All of the repurchased shares were retired. Fees paid to our broker related to the repurchase of these shares totaled $1,000.</w:t>
      </w:r>
    </w:p>
    <w:p>
      <w:pPr>
        <w:spacing w:after="0" w:line="3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85725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780" w:top="576" w:right="2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19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2"/>
        </w:trPr>
        <w:tc>
          <w:tcPr>
            <w:tcW w:w="19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31.1</w:t>
            </w:r>
          </w:p>
        </w:tc>
        <w:tc>
          <w:tcPr>
            <w:tcW w:w="49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Certification of Chief Executive Officer pursuant to Rule 13a-14(a).</w:t>
              </w:r>
            </w:hyperlink>
          </w:p>
        </w:tc>
        <w:tc>
          <w:tcPr>
            <w:tcW w:w="4560" w:type="dxa"/>
            <w:vAlign w:val="bottom"/>
            <w:gridSpan w:val="3"/>
          </w:tcPr>
          <w:p>
            <w:pPr>
              <w:spacing w:after="0"/>
              <w:rPr>
                <w:sz w:val="24"/>
                <w:szCs w:val="24"/>
                <w:color w:val="auto"/>
              </w:rPr>
            </w:pPr>
          </w:p>
        </w:tc>
      </w:tr>
      <w:tr>
        <w:trPr>
          <w:trHeight w:val="223"/>
        </w:trPr>
        <w:tc>
          <w:tcPr>
            <w:tcW w:w="19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31.2</w:t>
            </w:r>
          </w:p>
        </w:tc>
        <w:tc>
          <w:tcPr>
            <w:tcW w:w="9460" w:type="dxa"/>
            <w:vAlign w:val="bottom"/>
            <w:gridSpan w:val="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Certification of Chief Financial Officer pursuant to Rule 13a-14(a).</w:t>
              </w:r>
            </w:hyperlink>
          </w:p>
        </w:tc>
      </w:tr>
      <w:tr>
        <w:trPr>
          <w:trHeight w:val="20"/>
        </w:trPr>
        <w:tc>
          <w:tcPr>
            <w:tcW w:w="196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9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32.1</w:t>
            </w:r>
          </w:p>
        </w:tc>
        <w:tc>
          <w:tcPr>
            <w:tcW w:w="92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Certification of Chief Executive Officer furnished pursuant to 18 U.S.C. Section 1350, as adopted pursuant to Section 906 of the</w:t>
              </w:r>
            </w:hyperlink>
          </w:p>
        </w:tc>
        <w:tc>
          <w:tcPr>
            <w:tcW w:w="200" w:type="dxa"/>
            <w:vAlign w:val="bottom"/>
          </w:tcPr>
          <w:p>
            <w:pPr>
              <w:spacing w:after="0"/>
              <w:rPr>
                <w:sz w:val="19"/>
                <w:szCs w:val="19"/>
                <w:color w:val="auto"/>
              </w:rPr>
            </w:pPr>
          </w:p>
        </w:tc>
      </w:tr>
      <w:tr>
        <w:trPr>
          <w:trHeight w:val="196"/>
        </w:trPr>
        <w:tc>
          <w:tcPr>
            <w:tcW w:w="196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Sarbanes-Oxley Act of 2002.</w:t>
              </w:r>
            </w:hyperlink>
          </w:p>
        </w:tc>
        <w:tc>
          <w:tcPr>
            <w:tcW w:w="7360" w:type="dxa"/>
            <w:vAlign w:val="bottom"/>
            <w:gridSpan w:val="5"/>
          </w:tcPr>
          <w:p>
            <w:pPr>
              <w:spacing w:after="0"/>
              <w:rPr>
                <w:sz w:val="17"/>
                <w:szCs w:val="17"/>
                <w:color w:val="auto"/>
              </w:rPr>
            </w:pPr>
          </w:p>
        </w:tc>
      </w:tr>
      <w:tr>
        <w:trPr>
          <w:trHeight w:val="196"/>
        </w:trPr>
        <w:tc>
          <w:tcPr>
            <w:tcW w:w="1960" w:type="dxa"/>
            <w:vAlign w:val="bottom"/>
          </w:tcPr>
          <w:p>
            <w:pPr>
              <w:ind w:left="98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460" w:type="dxa"/>
            <w:vAlign w:val="bottom"/>
            <w:gridSpan w:val="6"/>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Certification of Chief Financial Officer furnished pursuant to 18 U.S.C. Section 1350, as adopted pursuant to Section 906 of the</w:t>
              </w:r>
            </w:hyperlink>
          </w:p>
        </w:tc>
      </w:tr>
      <w:tr>
        <w:trPr>
          <w:trHeight w:val="196"/>
        </w:trPr>
        <w:tc>
          <w:tcPr>
            <w:tcW w:w="196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Sarbanes-Oxley Act of 2002.</w:t>
              </w:r>
            </w:hyperlink>
          </w:p>
        </w:tc>
        <w:tc>
          <w:tcPr>
            <w:tcW w:w="7100" w:type="dxa"/>
            <w:vAlign w:val="bottom"/>
            <w:tcBorders>
              <w:top w:val="single" w:sz="8" w:color="0000EE"/>
            </w:tcBorders>
            <w:gridSpan w:val="3"/>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237"/>
        </w:trPr>
        <w:tc>
          <w:tcPr>
            <w:tcW w:w="19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Instance Document</w:t>
            </w:r>
          </w:p>
        </w:tc>
      </w:tr>
      <w:tr>
        <w:trPr>
          <w:trHeight w:val="243"/>
        </w:trPr>
        <w:tc>
          <w:tcPr>
            <w:tcW w:w="19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19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101.CAL</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43"/>
        </w:trPr>
        <w:tc>
          <w:tcPr>
            <w:tcW w:w="19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43"/>
        </w:trPr>
        <w:tc>
          <w:tcPr>
            <w:tcW w:w="19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101.LAB</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19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59"/>
        </w:trPr>
        <w:tc>
          <w:tcPr>
            <w:tcW w:w="1960" w:type="dxa"/>
            <w:vAlign w:val="bottom"/>
          </w:tcPr>
          <w:p>
            <w:pPr>
              <w:spacing w:after="0"/>
              <w:rPr>
                <w:sz w:val="24"/>
                <w:szCs w:val="24"/>
                <w:color w:val="auto"/>
              </w:rPr>
            </w:pPr>
          </w:p>
        </w:tc>
        <w:tc>
          <w:tcPr>
            <w:tcW w:w="4840" w:type="dxa"/>
            <w:vAlign w:val="bottom"/>
            <w:gridSpan w:val="2"/>
          </w:tcPr>
          <w:p>
            <w:pPr>
              <w:ind w:left="360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9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76" w:right="239" w:bottom="1440" w:gutter="0" w:footer="0" w:header="0"/>
        </w:sectPr>
      </w:pPr>
    </w:p>
    <w:bookmarkStart w:id="32" w:name="page33"/>
    <w:bookmarkEnd w:id="32"/>
    <w:p>
      <w:pPr>
        <w:jc w:val="center"/>
        <w:ind w:right="-3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20" w:type="dxa"/>
            <w:vAlign w:val="bottom"/>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inTEST Corporation</w:t>
            </w:r>
          </w:p>
        </w:tc>
      </w:tr>
      <w:tr>
        <w:trPr>
          <w:trHeight w:val="824"/>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Date:November 13, 2019</w:t>
            </w:r>
          </w:p>
        </w:tc>
        <w:tc>
          <w:tcPr>
            <w:tcW w:w="4720" w:type="dxa"/>
            <w:vAlign w:val="bottom"/>
            <w:gridSpan w:val="4"/>
          </w:tcPr>
          <w:p>
            <w:pPr>
              <w:ind w:left="1220"/>
              <w:spacing w:after="0"/>
              <w:rPr>
                <w:sz w:val="20"/>
                <w:szCs w:val="20"/>
                <w:color w:val="auto"/>
              </w:rPr>
            </w:pPr>
            <w:r>
              <w:rPr>
                <w:rFonts w:ascii="Times New Roman" w:cs="Times New Roman" w:eastAsia="Times New Roman" w:hAnsi="Times New Roman"/>
                <w:sz w:val="18"/>
                <w:szCs w:val="18"/>
                <w:color w:val="auto"/>
              </w:rPr>
              <w:t>/s/ James Pelrin</w:t>
            </w:r>
          </w:p>
        </w:tc>
      </w:tr>
      <w:tr>
        <w:trPr>
          <w:trHeight w:val="20"/>
        </w:trPr>
        <w:tc>
          <w:tcPr>
            <w:tcW w:w="380" w:type="dxa"/>
            <w:vAlign w:val="bottom"/>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720" w:type="dxa"/>
            <w:vAlign w:val="bottom"/>
            <w:gridSpan w:val="4"/>
          </w:tcPr>
          <w:p>
            <w:pPr>
              <w:ind w:left="1220"/>
              <w:spacing w:after="0" w:line="196" w:lineRule="exact"/>
              <w:rPr>
                <w:sz w:val="20"/>
                <w:szCs w:val="20"/>
                <w:color w:val="auto"/>
              </w:rPr>
            </w:pPr>
            <w:r>
              <w:rPr>
                <w:rFonts w:ascii="Times New Roman" w:cs="Times New Roman" w:eastAsia="Times New Roman" w:hAnsi="Times New Roman"/>
                <w:sz w:val="18"/>
                <w:szCs w:val="18"/>
                <w:color w:val="auto"/>
              </w:rPr>
              <w:t>James Pelrin</w:t>
            </w:r>
          </w:p>
        </w:tc>
      </w:tr>
      <w:tr>
        <w:trPr>
          <w:trHeight w:val="236"/>
        </w:trPr>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20" w:type="dxa"/>
            <w:vAlign w:val="bottom"/>
            <w:gridSpan w:val="4"/>
          </w:tcPr>
          <w:p>
            <w:pPr>
              <w:ind w:left="12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824"/>
        </w:trPr>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Date:November 13, 2019</w:t>
            </w:r>
          </w:p>
        </w:tc>
        <w:tc>
          <w:tcPr>
            <w:tcW w:w="4720" w:type="dxa"/>
            <w:vAlign w:val="bottom"/>
            <w:gridSpan w:val="4"/>
          </w:tcPr>
          <w:p>
            <w:pPr>
              <w:ind w:left="1220"/>
              <w:spacing w:after="0"/>
              <w:rPr>
                <w:sz w:val="20"/>
                <w:szCs w:val="20"/>
                <w:color w:val="auto"/>
              </w:rPr>
            </w:pPr>
            <w:r>
              <w:rPr>
                <w:rFonts w:ascii="Times New Roman" w:cs="Times New Roman" w:eastAsia="Times New Roman" w:hAnsi="Times New Roman"/>
                <w:sz w:val="18"/>
                <w:szCs w:val="18"/>
                <w:color w:val="auto"/>
              </w:rPr>
              <w:t>/s/ Hugh T. Regan, Jr.</w:t>
            </w:r>
          </w:p>
        </w:tc>
      </w:tr>
      <w:tr>
        <w:trPr>
          <w:trHeight w:val="20"/>
        </w:trPr>
        <w:tc>
          <w:tcPr>
            <w:tcW w:w="380" w:type="dxa"/>
            <w:vAlign w:val="bottom"/>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720" w:type="dxa"/>
            <w:vAlign w:val="bottom"/>
            <w:gridSpan w:val="4"/>
          </w:tcPr>
          <w:p>
            <w:pPr>
              <w:ind w:left="1220"/>
              <w:spacing w:after="0" w:line="196" w:lineRule="exact"/>
              <w:rPr>
                <w:sz w:val="20"/>
                <w:szCs w:val="20"/>
                <w:color w:val="auto"/>
              </w:rPr>
            </w:pPr>
            <w:r>
              <w:rPr>
                <w:rFonts w:ascii="Times New Roman" w:cs="Times New Roman" w:eastAsia="Times New Roman" w:hAnsi="Times New Roman"/>
                <w:sz w:val="18"/>
                <w:szCs w:val="18"/>
                <w:color w:val="auto"/>
              </w:rPr>
              <w:t>Hugh T. Regan, Jr.</w:t>
            </w:r>
          </w:p>
        </w:tc>
      </w:tr>
      <w:tr>
        <w:trPr>
          <w:trHeight w:val="236"/>
        </w:trPr>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720" w:type="dxa"/>
            <w:vAlign w:val="bottom"/>
            <w:gridSpan w:val="4"/>
          </w:tcPr>
          <w:p>
            <w:pPr>
              <w:ind w:left="1220"/>
              <w:spacing w:after="0"/>
              <w:rPr>
                <w:sz w:val="20"/>
                <w:szCs w:val="20"/>
                <w:color w:val="auto"/>
              </w:rPr>
            </w:pPr>
            <w:r>
              <w:rPr>
                <w:rFonts w:ascii="Times New Roman" w:cs="Times New Roman" w:eastAsia="Times New Roman" w:hAnsi="Times New Roman"/>
                <w:sz w:val="18"/>
                <w:szCs w:val="18"/>
                <w:i w:val="1"/>
                <w:iCs w:val="1"/>
                <w:color w:val="auto"/>
                <w:w w:val="98"/>
              </w:rPr>
              <w:t>Secretary, Treasurer and Chief Financial Officer</w:t>
            </w:r>
          </w:p>
        </w:tc>
      </w:tr>
      <w:tr>
        <w:trPr>
          <w:trHeight w:val="432"/>
        </w:trPr>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760"/>
          </w:cols>
          <w:pgMar w:left="380" w:top="576" w:right="7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James Pelrin, certify that:</w:t>
      </w:r>
    </w:p>
    <w:p>
      <w:pPr>
        <w:spacing w:after="0" w:line="225" w:lineRule="exact"/>
        <w:rPr>
          <w:sz w:val="20"/>
          <w:szCs w:val="20"/>
          <w:color w:val="auto"/>
        </w:rPr>
      </w:pPr>
    </w:p>
    <w:p>
      <w:pPr>
        <w:ind w:left="780" w:hanging="322"/>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5" w:lineRule="exact"/>
        <w:rPr>
          <w:rFonts w:ascii="Times New Roman" w:cs="Times New Roman" w:eastAsia="Times New Roman" w:hAnsi="Times New Roman"/>
          <w:sz w:val="18"/>
          <w:szCs w:val="18"/>
          <w:color w:val="auto"/>
        </w:rPr>
      </w:pPr>
    </w:p>
    <w:p>
      <w:pPr>
        <w:ind w:right="180" w:firstLine="458"/>
        <w:spacing w:after="0" w:line="282" w:lineRule="auto"/>
        <w:tabs>
          <w:tab w:leader="none" w:pos="7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40" w:firstLine="458"/>
        <w:spacing w:after="0" w:line="282" w:lineRule="auto"/>
        <w:tabs>
          <w:tab w:leader="none" w:pos="7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458"/>
        <w:spacing w:after="0" w:line="266" w:lineRule="auto"/>
        <w:tabs>
          <w:tab w:leader="none" w:pos="7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340" w:right="220" w:firstLine="352"/>
        <w:spacing w:after="0" w:line="266" w:lineRule="auto"/>
        <w:tabs>
          <w:tab w:leader="none" w:pos="9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40" w:right="560" w:firstLine="352"/>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760" w:firstLine="352"/>
        <w:spacing w:after="0" w:line="282" w:lineRule="auto"/>
        <w:tabs>
          <w:tab w:leader="none" w:pos="9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52"/>
        <w:spacing w:after="0" w:line="26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80" w:firstLine="458"/>
        <w:spacing w:after="0" w:line="282" w:lineRule="auto"/>
        <w:tabs>
          <w:tab w:leader="none" w:pos="7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140" w:firstLine="352"/>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100" w:firstLine="352"/>
        <w:spacing w:after="0" w:line="282" w:lineRule="auto"/>
        <w:tabs>
          <w:tab w:leader="none" w:pos="99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u w:val="single" w:color="auto"/>
          <w:color w:val="auto"/>
        </w:rPr>
        <w:t>/s/ James Pelrin</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James Pelrin</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Hugh T. Regan, Jr., certify that:</w:t>
      </w:r>
    </w:p>
    <w:p>
      <w:pPr>
        <w:spacing w:after="0" w:line="225" w:lineRule="exact"/>
        <w:rPr>
          <w:sz w:val="20"/>
          <w:szCs w:val="20"/>
          <w:color w:val="auto"/>
        </w:rPr>
      </w:pPr>
    </w:p>
    <w:p>
      <w:pPr>
        <w:ind w:left="780" w:hanging="322"/>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inTEST Corporation;</w:t>
      </w:r>
    </w:p>
    <w:p>
      <w:pPr>
        <w:spacing w:after="0" w:line="225" w:lineRule="exact"/>
        <w:rPr>
          <w:rFonts w:ascii="Times New Roman" w:cs="Times New Roman" w:eastAsia="Times New Roman" w:hAnsi="Times New Roman"/>
          <w:sz w:val="18"/>
          <w:szCs w:val="18"/>
          <w:color w:val="auto"/>
        </w:rPr>
      </w:pPr>
    </w:p>
    <w:p>
      <w:pPr>
        <w:ind w:right="180" w:firstLine="458"/>
        <w:spacing w:after="0" w:line="282" w:lineRule="auto"/>
        <w:tabs>
          <w:tab w:leader="none" w:pos="7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140" w:firstLine="458"/>
        <w:spacing w:after="0" w:line="282" w:lineRule="auto"/>
        <w:tabs>
          <w:tab w:leader="none" w:pos="7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458"/>
        <w:spacing w:after="0" w:line="266" w:lineRule="auto"/>
        <w:tabs>
          <w:tab w:leader="none" w:pos="7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340" w:right="220" w:firstLine="352"/>
        <w:spacing w:after="0" w:line="266" w:lineRule="auto"/>
        <w:tabs>
          <w:tab w:leader="none" w:pos="9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340" w:right="560" w:firstLine="352"/>
        <w:spacing w:after="0" w:line="266" w:lineRule="auto"/>
        <w:tabs>
          <w:tab w:leader="none" w:pos="10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340" w:right="760" w:firstLine="352"/>
        <w:spacing w:after="0" w:line="282" w:lineRule="auto"/>
        <w:tabs>
          <w:tab w:leader="none" w:pos="9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right="100" w:firstLine="352"/>
        <w:spacing w:after="0" w:line="266" w:lineRule="auto"/>
        <w:tabs>
          <w:tab w:leader="none" w:pos="10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80" w:firstLine="458"/>
        <w:spacing w:after="0" w:line="282" w:lineRule="auto"/>
        <w:tabs>
          <w:tab w:leader="none" w:pos="7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140" w:firstLine="352"/>
        <w:spacing w:after="0" w:line="282"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100" w:firstLine="352"/>
        <w:spacing w:after="0" w:line="282" w:lineRule="auto"/>
        <w:tabs>
          <w:tab w:leader="none" w:pos="9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13,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u w:val="single" w:color="auto"/>
          <w:color w:val="auto"/>
        </w:rPr>
        <w:t>/s/ Hugh T. Regan, Jr.</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Hugh T. Regan, Jr.</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Secretary, Treasurer and Chief Financial Officer</w:t>
      </w:r>
    </w:p>
    <w:p>
      <w:pPr>
        <w:sectPr>
          <w:pgSz w:w="11900" w:h="16838" w:orient="portrait"/>
          <w:cols w:equalWidth="0" w:num="1">
            <w:col w:w="11420"/>
          </w:cols>
          <w:pgMar w:left="240" w:top="117"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September 30, 2019 as filed with the Securities and Exchange Commission on the date hereof (the "Report"), I, James Pelrin, President and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November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u w:val="single" w:color="auto"/>
          <w:color w:val="auto"/>
        </w:rPr>
        <w:t>/s/ James Pelrin</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James Pelrin</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inTEST Corporation (the "Company") on Form 10-Q for the period ended September 30, 2019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u w:val="single" w:color="auto"/>
          <w:color w:val="auto"/>
        </w:rPr>
        <w:t>/s/ Hugh T. Regan, Jr.</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Hugh T. Regan, Jr.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Secretary, Treasurer and 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decimal"/>
      <w:start w:val="12"/>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2019-12-28T01:42:01Z</dcterms:created>
  <dcterms:modified xsi:type="dcterms:W3CDTF">2019-12-28T01:42:01Z</dcterms:modified>
</cp:coreProperties>
</file>