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ind w:right="198"/>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ind w:right="198"/>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8"/>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842"/>
        <w:spacing w:after="0"/>
        <w:rPr>
          <w:sz w:val="20"/>
          <w:szCs w:val="20"/>
          <w:color w:val="auto"/>
        </w:rPr>
      </w:pPr>
      <w:r>
        <w:rPr>
          <w:rFonts w:ascii="Arial" w:cs="Arial" w:eastAsia="Arial" w:hAnsi="Arial"/>
          <w:sz w:val="18"/>
          <w:szCs w:val="18"/>
          <w:color w:val="auto"/>
        </w:rPr>
        <w:t>_____________</w:t>
      </w:r>
    </w:p>
    <w:p>
      <w:pPr>
        <w:spacing w:after="0" w:line="207" w:lineRule="exact"/>
        <w:rPr>
          <w:sz w:val="24"/>
          <w:szCs w:val="24"/>
          <w:color w:val="auto"/>
        </w:rPr>
      </w:pPr>
    </w:p>
    <w:p>
      <w:pPr>
        <w:jc w:val="center"/>
        <w:ind w:right="198"/>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ind w:left="4842"/>
        <w:spacing w:after="0"/>
        <w:rPr>
          <w:sz w:val="20"/>
          <w:szCs w:val="20"/>
          <w:color w:val="auto"/>
        </w:rPr>
      </w:pPr>
      <w:r>
        <w:rPr>
          <w:rFonts w:ascii="Arial" w:cs="Arial" w:eastAsia="Arial" w:hAnsi="Arial"/>
          <w:sz w:val="18"/>
          <w:szCs w:val="18"/>
          <w:b w:val="1"/>
          <w:bCs w:val="1"/>
          <w:color w:val="auto"/>
        </w:rPr>
        <w:t>_____________</w:t>
      </w:r>
    </w:p>
    <w:p>
      <w:pPr>
        <w:spacing w:after="0" w:line="9" w:lineRule="exact"/>
        <w:rPr>
          <w:sz w:val="24"/>
          <w:szCs w:val="24"/>
          <w:color w:val="auto"/>
        </w:rPr>
      </w:pPr>
    </w:p>
    <w:p>
      <w:pPr>
        <w:ind w:left="2"/>
        <w:spacing w:after="0"/>
        <w:rPr>
          <w:sz w:val="20"/>
          <w:szCs w:val="20"/>
          <w:color w:val="auto"/>
        </w:rPr>
      </w:pPr>
      <w:r>
        <w:rPr>
          <w:rFonts w:ascii="Arial" w:cs="Arial" w:eastAsia="Arial" w:hAnsi="Arial"/>
          <w:sz w:val="18"/>
          <w:szCs w:val="18"/>
          <w:i w:val="1"/>
          <w:iCs w:val="1"/>
          <w:color w:val="auto"/>
        </w:rPr>
        <w:t>(Mark One)</w:t>
      </w:r>
    </w:p>
    <w:p>
      <w:pPr>
        <w:spacing w:after="0" w:line="4" w:lineRule="exact"/>
        <w:rPr>
          <w:sz w:val="24"/>
          <w:szCs w:val="24"/>
          <w:color w:val="auto"/>
        </w:rPr>
      </w:pPr>
    </w:p>
    <w:p>
      <w:pPr>
        <w:ind w:left="3862" w:right="1660" w:hanging="3862"/>
        <w:spacing w:after="0" w:line="476" w:lineRule="auto"/>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2018</w:t>
      </w:r>
      <w:r>
        <w:rPr>
          <w:rFonts w:ascii="Arial" w:cs="Arial" w:eastAsia="Arial" w:hAnsi="Arial"/>
          <w:sz w:val="18"/>
          <w:szCs w:val="18"/>
          <w:color w:val="auto"/>
        </w:rPr>
        <w:t xml:space="preserve"> or</w:t>
      </w:r>
    </w:p>
    <w:p>
      <w:pPr>
        <w:spacing w:after="0" w:line="30" w:lineRule="exact"/>
        <w:rPr>
          <w:sz w:val="24"/>
          <w:szCs w:val="24"/>
          <w:color w:val="auto"/>
        </w:rPr>
      </w:pPr>
    </w:p>
    <w:p>
      <w:pPr>
        <w:ind w:left="2702" w:right="1660" w:hanging="2702"/>
        <w:spacing w:after="0" w:line="533" w:lineRule="auto"/>
        <w:tabs>
          <w:tab w:leader="none" w:pos="252"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 to ___________________</w:t>
      </w:r>
    </w:p>
    <w:p>
      <w:pPr>
        <w:jc w:val="center"/>
        <w:ind w:right="-81"/>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221" w:lineRule="exact"/>
        <w:rPr>
          <w:sz w:val="24"/>
          <w:szCs w:val="24"/>
          <w:color w:val="auto"/>
        </w:rPr>
      </w:pPr>
    </w:p>
    <w:p>
      <w:pPr>
        <w:jc w:val="center"/>
        <w:ind w:right="-81"/>
        <w:spacing w:after="0"/>
        <w:rPr>
          <w:sz w:val="20"/>
          <w:szCs w:val="20"/>
          <w:color w:val="auto"/>
        </w:rPr>
      </w:pPr>
      <w:r>
        <w:rPr>
          <w:rFonts w:ascii="Arial" w:cs="Arial" w:eastAsia="Arial" w:hAnsi="Arial"/>
          <w:sz w:val="18"/>
          <w:szCs w:val="18"/>
          <w:b w:val="1"/>
          <w:bCs w:val="1"/>
          <w:u w:val="single" w:color="auto"/>
          <w:color w:val="auto"/>
        </w:rPr>
        <w:t>inTEST Corporation</w:t>
      </w:r>
    </w:p>
    <w:p>
      <w:pPr>
        <w:spacing w:after="0" w:line="27" w:lineRule="exact"/>
        <w:rPr>
          <w:sz w:val="24"/>
          <w:szCs w:val="24"/>
          <w:color w:val="auto"/>
        </w:rPr>
      </w:pPr>
    </w:p>
    <w:p>
      <w:pPr>
        <w:jc w:val="center"/>
        <w:ind w:right="-81"/>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1222"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600" w:type="dxa"/>
            <w:vAlign w:val="bottom"/>
            <w:gridSpan w:val="4"/>
          </w:tcPr>
          <w:p>
            <w:pPr>
              <w:spacing w:after="0"/>
              <w:rPr>
                <w:sz w:val="17"/>
                <w:szCs w:val="17"/>
                <w:color w:val="auto"/>
              </w:rPr>
            </w:pPr>
          </w:p>
        </w:tc>
        <w:tc>
          <w:tcPr>
            <w:tcW w:w="1020" w:type="dxa"/>
            <w:vAlign w:val="bottom"/>
            <w:gridSpan w:val="2"/>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22-2370659</w:t>
            </w:r>
          </w:p>
        </w:tc>
        <w:tc>
          <w:tcPr>
            <w:tcW w:w="1040" w:type="dxa"/>
            <w:vAlign w:val="bottom"/>
          </w:tcPr>
          <w:p>
            <w:pPr>
              <w:spacing w:after="0"/>
              <w:rPr>
                <w:sz w:val="17"/>
                <w:szCs w:val="17"/>
                <w:color w:val="auto"/>
              </w:rPr>
            </w:pPr>
          </w:p>
        </w:tc>
      </w:tr>
      <w:tr>
        <w:trPr>
          <w:trHeight w:val="237"/>
        </w:trPr>
        <w:tc>
          <w:tcPr>
            <w:tcW w:w="5120" w:type="dxa"/>
            <w:vAlign w:val="bottom"/>
            <w:gridSpan w:val="6"/>
          </w:tcPr>
          <w:p>
            <w:pPr>
              <w:jc w:val="center"/>
              <w:ind w:right="8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940" w:type="dxa"/>
            <w:vAlign w:val="bottom"/>
            <w:gridSpan w:val="4"/>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14"/>
        </w:trPr>
        <w:tc>
          <w:tcPr>
            <w:tcW w:w="1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40" w:type="dxa"/>
            <w:vAlign w:val="bottom"/>
            <w:gridSpan w:val="8"/>
          </w:tcPr>
          <w:p>
            <w:pPr>
              <w:jc w:val="center"/>
              <w:ind w:right="1880"/>
              <w:spacing w:after="0"/>
              <w:rPr>
                <w:sz w:val="20"/>
                <w:szCs w:val="20"/>
                <w:color w:val="auto"/>
              </w:rPr>
            </w:pPr>
            <w:r>
              <w:rPr>
                <w:rFonts w:ascii="Arial" w:cs="Arial" w:eastAsia="Arial" w:hAnsi="Arial"/>
                <w:sz w:val="18"/>
                <w:szCs w:val="18"/>
                <w:b w:val="1"/>
                <w:bCs w:val="1"/>
                <w:color w:val="auto"/>
                <w:w w:val="90"/>
              </w:rPr>
              <w:t>804 East Gate Drive, Suite 200</w:t>
            </w:r>
          </w:p>
        </w:tc>
      </w:tr>
      <w:tr>
        <w:trPr>
          <w:trHeight w:val="194"/>
        </w:trPr>
        <w:tc>
          <w:tcPr>
            <w:tcW w:w="1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300" w:type="dxa"/>
            <w:vAlign w:val="bottom"/>
            <w:tcBorders>
              <w:bottom w:val="single" w:sz="8" w:color="auto"/>
            </w:tcBorders>
            <w:gridSpan w:val="4"/>
          </w:tcPr>
          <w:p>
            <w:pPr>
              <w:jc w:val="center"/>
              <w:spacing w:after="0" w:line="194" w:lineRule="exact"/>
              <w:rPr>
                <w:sz w:val="20"/>
                <w:szCs w:val="20"/>
                <w:color w:val="auto"/>
              </w:rPr>
            </w:pPr>
            <w:r>
              <w:rPr>
                <w:rFonts w:ascii="Arial" w:cs="Arial" w:eastAsia="Arial" w:hAnsi="Arial"/>
                <w:sz w:val="18"/>
                <w:szCs w:val="18"/>
                <w:b w:val="1"/>
                <w:bCs w:val="1"/>
                <w:color w:val="auto"/>
                <w:w w:val="92"/>
              </w:rPr>
              <w:t>Mt. Laurel, New Jersey 08054</w:t>
            </w:r>
          </w:p>
        </w:tc>
        <w:tc>
          <w:tcPr>
            <w:tcW w:w="2560" w:type="dxa"/>
            <w:vAlign w:val="bottom"/>
            <w:gridSpan w:val="3"/>
          </w:tcPr>
          <w:p>
            <w:pPr>
              <w:spacing w:after="0"/>
              <w:rPr>
                <w:sz w:val="16"/>
                <w:szCs w:val="16"/>
                <w:color w:val="auto"/>
              </w:rPr>
            </w:pPr>
          </w:p>
        </w:tc>
      </w:tr>
      <w:tr>
        <w:trPr>
          <w:trHeight w:val="237"/>
        </w:trPr>
        <w:tc>
          <w:tcPr>
            <w:tcW w:w="1800" w:type="dxa"/>
            <w:vAlign w:val="bottom"/>
          </w:tcPr>
          <w:p>
            <w:pPr>
              <w:spacing w:after="0"/>
              <w:rPr>
                <w:sz w:val="20"/>
                <w:szCs w:val="20"/>
                <w:color w:val="auto"/>
              </w:rPr>
            </w:pPr>
          </w:p>
        </w:tc>
        <w:tc>
          <w:tcPr>
            <w:tcW w:w="6260" w:type="dxa"/>
            <w:vAlign w:val="bottom"/>
            <w:gridSpan w:val="9"/>
          </w:tcPr>
          <w:p>
            <w:pPr>
              <w:jc w:val="center"/>
              <w:ind w:right="1160"/>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392"/>
        </w:trPr>
        <w:tc>
          <w:tcPr>
            <w:tcW w:w="3780" w:type="dxa"/>
            <w:vAlign w:val="bottom"/>
            <w:gridSpan w:val="4"/>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(856) 505-8800</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2"/>
        </w:trPr>
        <w:tc>
          <w:tcPr>
            <w:tcW w:w="1800" w:type="dxa"/>
            <w:vAlign w:val="bottom"/>
          </w:tcPr>
          <w:p>
            <w:pPr>
              <w:spacing w:after="0"/>
              <w:rPr>
                <w:sz w:val="19"/>
                <w:szCs w:val="19"/>
                <w:color w:val="auto"/>
              </w:rPr>
            </w:pPr>
          </w:p>
        </w:tc>
        <w:tc>
          <w:tcPr>
            <w:tcW w:w="6260" w:type="dxa"/>
            <w:vAlign w:val="bottom"/>
            <w:gridSpan w:val="9"/>
          </w:tcPr>
          <w:p>
            <w:pPr>
              <w:jc w:val="center"/>
              <w:ind w:right="1160"/>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230"/>
        </w:trPr>
        <w:tc>
          <w:tcPr>
            <w:tcW w:w="5120" w:type="dxa"/>
            <w:vAlign w:val="bottom"/>
            <w:gridSpan w:val="6"/>
          </w:tcPr>
          <w:p>
            <w:pPr>
              <w:jc w:val="right"/>
              <w:spacing w:after="0"/>
              <w:rPr>
                <w:sz w:val="20"/>
                <w:szCs w:val="20"/>
                <w:color w:val="auto"/>
              </w:rPr>
            </w:pPr>
            <w:r>
              <w:rPr>
                <w:rFonts w:ascii="Arial" w:cs="Arial" w:eastAsia="Arial" w:hAnsi="Arial"/>
                <w:sz w:val="18"/>
                <w:szCs w:val="18"/>
                <w:color w:val="auto"/>
              </w:rPr>
              <w:t>_________________</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2" w:lineRule="exact"/>
        <w:rPr>
          <w:sz w:val="24"/>
          <w:szCs w:val="24"/>
          <w:color w:val="auto"/>
        </w:rPr>
      </w:pPr>
    </w:p>
    <w:p>
      <w:pPr>
        <w:ind w:left="2" w:right="1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
        <w:spacing w:after="0" w:line="207" w:lineRule="exact"/>
        <w:tabs>
          <w:tab w:leader="none" w:pos="801"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left="2" w:right="30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w:t>
      </w:r>
    </w:p>
    <w:p>
      <w:pPr>
        <w:ind w:left="2"/>
        <w:spacing w:after="0" w:line="207" w:lineRule="exact"/>
        <w:tabs>
          <w:tab w:leader="none" w:pos="801"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left="2" w:right="3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62"/>
          </w:cols>
          <w:pgMar w:left="518" w:top="692" w:right="319" w:bottom="1440" w:gutter="0" w:footer="0" w:header="0"/>
        </w:sectPr>
      </w:pPr>
    </w:p>
    <w:p>
      <w:pPr>
        <w:spacing w:after="0" w:line="149" w:lineRule="exact"/>
        <w:rPr>
          <w:sz w:val="24"/>
          <w:szCs w:val="24"/>
          <w:color w:val="auto"/>
        </w:rPr>
      </w:pPr>
    </w:p>
    <w:p>
      <w:pPr>
        <w:ind w:left="62"/>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62"/>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32" w:lineRule="exact"/>
        <w:rPr>
          <w:sz w:val="24"/>
          <w:szCs w:val="24"/>
          <w:color w:val="auto"/>
        </w:rPr>
      </w:pPr>
    </w:p>
    <w:p>
      <w:pPr>
        <w:ind w:left="62"/>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39" w:lineRule="exact"/>
        <w:rPr>
          <w:sz w:val="24"/>
          <w:szCs w:val="24"/>
          <w:color w:val="auto"/>
        </w:rPr>
      </w:pPr>
    </w:p>
    <w:p>
      <w:pPr>
        <w:sectPr>
          <w:pgSz w:w="11900" w:h="16838" w:orient="portrait"/>
          <w:cols w:equalWidth="0" w:num="2">
            <w:col w:w="5862" w:space="720"/>
            <w:col w:w="4480"/>
          </w:cols>
          <w:pgMar w:left="518" w:top="692" w:right="319" w:bottom="1440" w:gutter="0" w:footer="0" w:header="0"/>
          <w:type w:val="continuous"/>
        </w:sectPr>
      </w:pPr>
    </w:p>
    <w:p>
      <w:pPr>
        <w:spacing w:after="0" w:line="9" w:lineRule="exact"/>
        <w:rPr>
          <w:sz w:val="24"/>
          <w:szCs w:val="24"/>
          <w:color w:val="auto"/>
        </w:rPr>
      </w:pPr>
    </w:p>
    <w:p>
      <w:pPr>
        <w:ind w:left="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ind w:left="2"/>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2"/>
        <w:spacing w:after="0" w:line="207" w:lineRule="exact"/>
        <w:tabs>
          <w:tab w:leader="none" w:pos="801"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left="2"/>
        <w:spacing w:after="0"/>
        <w:rPr>
          <w:sz w:val="20"/>
          <w:szCs w:val="20"/>
          <w:color w:val="auto"/>
        </w:rPr>
      </w:pPr>
      <w:r>
        <w:rPr>
          <w:rFonts w:ascii="Arial" w:cs="Arial" w:eastAsia="Arial" w:hAnsi="Arial"/>
          <w:sz w:val="18"/>
          <w:szCs w:val="18"/>
          <w:color w:val="auto"/>
        </w:rPr>
        <w:t>Number of shares of Common Stock, $.01 par value, outstanding as of the close of business on July 31, 2018:</w:t>
      </w:r>
    </w:p>
    <w:p>
      <w:pPr>
        <w:spacing w:after="0" w:line="225" w:lineRule="exact"/>
        <w:rPr>
          <w:sz w:val="24"/>
          <w:szCs w:val="24"/>
          <w:color w:val="auto"/>
        </w:rPr>
      </w:pPr>
    </w:p>
    <w:p>
      <w:pPr>
        <w:jc w:val="center"/>
        <w:ind w:right="-61"/>
        <w:spacing w:after="0"/>
        <w:rPr>
          <w:sz w:val="20"/>
          <w:szCs w:val="20"/>
          <w:color w:val="auto"/>
        </w:rPr>
      </w:pPr>
      <w:r>
        <w:rPr>
          <w:rFonts w:ascii="Arial" w:cs="Arial" w:eastAsia="Arial" w:hAnsi="Arial"/>
          <w:sz w:val="18"/>
          <w:szCs w:val="18"/>
          <w:color w:val="auto"/>
        </w:rPr>
        <w:t>10,489,958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-170815</wp:posOffset>
            </wp:positionH>
            <wp:positionV relativeFrom="paragraph">
              <wp:posOffset>375285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2"/>
          </w:cols>
          <w:pgMar w:left="518" w:top="692" w:right="31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9"/>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380" w:type="dxa"/>
            <w:vAlign w:val="bottom"/>
            <w:gridSpan w:val="10"/>
            <w:vMerge w:val="restart"/>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1"/>
        </w:trPr>
        <w:tc>
          <w:tcPr>
            <w:tcW w:w="920" w:type="dxa"/>
            <w:vAlign w:val="bottom"/>
            <w:gridSpan w:val="2"/>
            <w:vMerge w:val="continue"/>
          </w:tcPr>
          <w:p>
            <w:pPr>
              <w:spacing w:after="0"/>
              <w:rPr>
                <w:sz w:val="17"/>
                <w:szCs w:val="17"/>
                <w:color w:val="auto"/>
              </w:rPr>
            </w:pPr>
          </w:p>
        </w:tc>
        <w:tc>
          <w:tcPr>
            <w:tcW w:w="2400" w:type="dxa"/>
            <w:vAlign w:val="bottom"/>
            <w:tcBorders>
              <w:bottom w:val="single" w:sz="8" w:color="0000EE"/>
            </w:tcBorders>
            <w:gridSpan w:val="9"/>
            <w:vMerge w:val="continue"/>
          </w:tcPr>
          <w:p>
            <w:pPr>
              <w:spacing w:after="0"/>
              <w:rPr>
                <w:sz w:val="17"/>
                <w:szCs w:val="17"/>
                <w:color w:val="auto"/>
              </w:rPr>
            </w:pPr>
          </w:p>
        </w:tc>
        <w:tc>
          <w:tcPr>
            <w:tcW w:w="7380" w:type="dxa"/>
            <w:vAlign w:val="bottom"/>
            <w:gridSpan w:val="10"/>
            <w:vMerge w:val="continue"/>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w:t>
            </w:r>
          </w:p>
        </w:tc>
        <w:tc>
          <w:tcPr>
            <w:tcW w:w="1600" w:type="dxa"/>
            <w:vAlign w:val="bottom"/>
            <w:tcBorders>
              <w:bottom w:val="single" w:sz="8" w:color="0000EE"/>
            </w:tcBorders>
            <w:gridSpan w:val="5"/>
          </w:tcPr>
          <w:p>
            <w:pPr>
              <w:spacing w:after="0"/>
              <w:rPr>
                <w:rFonts w:ascii="Arial" w:cs="Arial" w:eastAsia="Arial" w:hAnsi="Arial"/>
                <w:sz w:val="18"/>
                <w:szCs w:val="18"/>
                <w:b w:val="1"/>
                <w:bCs w:val="1"/>
                <w:i w:val="1"/>
                <w:iCs w:val="1"/>
                <w:color w:val="0000EE"/>
                <w:w w:val="87"/>
              </w:rPr>
            </w:pPr>
            <w:hyperlink w:anchor="page3">
              <w:r>
                <w:rPr>
                  <w:rFonts w:ascii="Arial" w:cs="Arial" w:eastAsia="Arial" w:hAnsi="Arial"/>
                  <w:sz w:val="18"/>
                  <w:szCs w:val="18"/>
                  <w:b w:val="1"/>
                  <w:bCs w:val="1"/>
                  <w:i w:val="1"/>
                  <w:iCs w:val="1"/>
                  <w:color w:val="0000EE"/>
                  <w:w w:val="87"/>
                </w:rPr>
                <w:t>Financial Statements</w:t>
              </w:r>
            </w:hyperlink>
          </w:p>
        </w:tc>
        <w:tc>
          <w:tcPr>
            <w:tcW w:w="8180" w:type="dxa"/>
            <w:vAlign w:val="bottom"/>
            <w:gridSpan w:val="14"/>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June 30, 2018 (Unaudited) and December 31, 2017</w:t>
              </w:r>
            </w:hyperlink>
          </w:p>
        </w:tc>
        <w:tc>
          <w:tcPr>
            <w:tcW w:w="3560" w:type="dxa"/>
            <w:vAlign w:val="bottom"/>
            <w:gridSpan w:val="6"/>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 for the three months and six months ended June 30, 2018 and 2017</w:t>
              </w:r>
            </w:hyperlink>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gridSpan w:val="19"/>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Consolidated Statements of Comprehensive Earnings for the three months and six months ended June 30, 2018 and 2017</w:t>
              </w:r>
            </w:hyperlink>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 of Stockholders' Equity for the six months ended June 30, 2018</w:t>
              </w:r>
            </w:hyperlink>
          </w:p>
        </w:tc>
        <w:tc>
          <w:tcPr>
            <w:tcW w:w="280" w:type="dxa"/>
            <w:vAlign w:val="bottom"/>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Consolidated Statements of Cash Flows for the six months ended June 30, 2018 and 2017</w:t>
              </w:r>
            </w:hyperlink>
          </w:p>
        </w:tc>
        <w:tc>
          <w:tcPr>
            <w:tcW w:w="2520" w:type="dxa"/>
            <w:vAlign w:val="bottom"/>
            <w:gridSpan w:val="3"/>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Consolidated Financial Statements</w:t>
              </w:r>
            </w:hyperlink>
          </w:p>
        </w:tc>
        <w:tc>
          <w:tcPr>
            <w:tcW w:w="6620" w:type="dxa"/>
            <w:vAlign w:val="bottom"/>
            <w:gridSpan w:val="9"/>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2.</w:t>
            </w:r>
          </w:p>
        </w:tc>
        <w:tc>
          <w:tcPr>
            <w:tcW w:w="9780" w:type="dxa"/>
            <w:vAlign w:val="bottom"/>
            <w:gridSpan w:val="19"/>
          </w:tcPr>
          <w:p>
            <w:pPr>
              <w:spacing w:after="0"/>
              <w:rPr>
                <w:rFonts w:ascii="Arial" w:cs="Arial" w:eastAsia="Arial" w:hAnsi="Arial"/>
                <w:sz w:val="18"/>
                <w:szCs w:val="18"/>
                <w:b w:val="1"/>
                <w:bCs w:val="1"/>
                <w:i w:val="1"/>
                <w:iCs w:val="1"/>
                <w:color w:val="0000EE"/>
              </w:rPr>
            </w:pPr>
            <w:hyperlink w:anchor="page22">
              <w:r>
                <w:rPr>
                  <w:rFonts w:ascii="Arial" w:cs="Arial" w:eastAsia="Arial" w:hAnsi="Arial"/>
                  <w:sz w:val="18"/>
                  <w:szCs w:val="18"/>
                  <w:b w:val="1"/>
                  <w:bCs w:val="1"/>
                  <w:i w:val="1"/>
                  <w:iCs w:val="1"/>
                  <w:color w:val="0000EE"/>
                </w:rPr>
                <w:t>Management's Discussion and Analysis of Financial Condition and Results of Operations</w:t>
              </w:r>
            </w:hyperlink>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3.</w:t>
            </w:r>
          </w:p>
        </w:tc>
        <w:tc>
          <w:tcPr>
            <w:tcW w:w="4480" w:type="dxa"/>
            <w:vAlign w:val="bottom"/>
            <w:tcBorders>
              <w:top w:val="single" w:sz="8" w:color="0000EE"/>
              <w:bottom w:val="single" w:sz="8" w:color="0000EE"/>
            </w:tcBorders>
            <w:gridSpan w:val="12"/>
          </w:tcPr>
          <w:p>
            <w:pPr>
              <w:spacing w:after="0"/>
              <w:rPr>
                <w:rFonts w:ascii="Arial" w:cs="Arial" w:eastAsia="Arial" w:hAnsi="Arial"/>
                <w:sz w:val="18"/>
                <w:szCs w:val="18"/>
                <w:b w:val="1"/>
                <w:bCs w:val="1"/>
                <w:i w:val="1"/>
                <w:iCs w:val="1"/>
                <w:color w:val="0000EE"/>
                <w:w w:val="87"/>
              </w:rPr>
            </w:pPr>
            <w:hyperlink w:anchor="page29">
              <w:r>
                <w:rPr>
                  <w:rFonts w:ascii="Arial" w:cs="Arial" w:eastAsia="Arial" w:hAnsi="Arial"/>
                  <w:sz w:val="18"/>
                  <w:szCs w:val="18"/>
                  <w:b w:val="1"/>
                  <w:bCs w:val="1"/>
                  <w:i w:val="1"/>
                  <w:iCs w:val="1"/>
                  <w:color w:val="0000EE"/>
                  <w:w w:val="87"/>
                </w:rPr>
                <w:t>Quantitative and Qualitative Disclosures About Market Risk</w:t>
              </w:r>
            </w:hyperlink>
          </w:p>
        </w:tc>
        <w:tc>
          <w:tcPr>
            <w:tcW w:w="2200" w:type="dxa"/>
            <w:vAlign w:val="bottom"/>
            <w:tcBorders>
              <w:top w:val="single" w:sz="8" w:color="0000EE"/>
            </w:tcBorders>
            <w:gridSpan w:val="2"/>
          </w:tcPr>
          <w:p>
            <w:pPr>
              <w:spacing w:after="0"/>
              <w:rPr>
                <w:sz w:val="24"/>
                <w:szCs w:val="24"/>
                <w:color w:val="auto"/>
              </w:rPr>
            </w:pPr>
          </w:p>
        </w:tc>
        <w:tc>
          <w:tcPr>
            <w:tcW w:w="3100" w:type="dxa"/>
            <w:vAlign w:val="bottom"/>
            <w:gridSpan w:val="5"/>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4.</w:t>
            </w:r>
          </w:p>
        </w:tc>
        <w:tc>
          <w:tcPr>
            <w:tcW w:w="1860" w:type="dxa"/>
            <w:vAlign w:val="bottom"/>
            <w:tcBorders>
              <w:bottom w:val="single" w:sz="8" w:color="0000EE"/>
            </w:tcBorders>
            <w:gridSpan w:val="7"/>
          </w:tcPr>
          <w:p>
            <w:pPr>
              <w:spacing w:after="0"/>
              <w:rPr>
                <w:rFonts w:ascii="Arial" w:cs="Arial" w:eastAsia="Arial" w:hAnsi="Arial"/>
                <w:sz w:val="18"/>
                <w:szCs w:val="18"/>
                <w:b w:val="1"/>
                <w:bCs w:val="1"/>
                <w:i w:val="1"/>
                <w:iCs w:val="1"/>
                <w:color w:val="0000EE"/>
                <w:w w:val="85"/>
              </w:rPr>
            </w:pPr>
            <w:hyperlink w:anchor="page29">
              <w:r>
                <w:rPr>
                  <w:rFonts w:ascii="Arial" w:cs="Arial" w:eastAsia="Arial" w:hAnsi="Arial"/>
                  <w:sz w:val="18"/>
                  <w:szCs w:val="18"/>
                  <w:b w:val="1"/>
                  <w:bCs w:val="1"/>
                  <w:i w:val="1"/>
                  <w:iCs w:val="1"/>
                  <w:color w:val="0000EE"/>
                  <w:w w:val="85"/>
                </w:rPr>
                <w:t>Controls and Procedures</w:t>
              </w:r>
            </w:hyperlink>
          </w:p>
        </w:tc>
        <w:tc>
          <w:tcPr>
            <w:tcW w:w="7920" w:type="dxa"/>
            <w:vAlign w:val="bottom"/>
            <w:gridSpan w:val="12"/>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780" w:type="dxa"/>
            <w:vAlign w:val="bottom"/>
            <w:gridSpan w:val="19"/>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OTHER INFORMATION</w:t>
              </w:r>
            </w:hyperlink>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w:t>
            </w:r>
          </w:p>
        </w:tc>
        <w:tc>
          <w:tcPr>
            <w:tcW w:w="2020" w:type="dxa"/>
            <w:vAlign w:val="bottom"/>
            <w:tcBorders>
              <w:top w:val="single" w:sz="8" w:color="0000EE"/>
            </w:tcBorders>
            <w:gridSpan w:val="8"/>
          </w:tcPr>
          <w:p>
            <w:pPr>
              <w:spacing w:after="0"/>
              <w:rPr>
                <w:rFonts w:ascii="Arial" w:cs="Arial" w:eastAsia="Arial" w:hAnsi="Arial"/>
                <w:sz w:val="18"/>
                <w:szCs w:val="18"/>
                <w:b w:val="1"/>
                <w:bCs w:val="1"/>
                <w:i w:val="1"/>
                <w:iCs w:val="1"/>
                <w:color w:val="0000EE"/>
              </w:rPr>
            </w:pPr>
            <w:hyperlink w:anchor="page30">
              <w:r>
                <w:rPr>
                  <w:rFonts w:ascii="Arial" w:cs="Arial" w:eastAsia="Arial" w:hAnsi="Arial"/>
                  <w:sz w:val="18"/>
                  <w:szCs w:val="18"/>
                  <w:b w:val="1"/>
                  <w:bCs w:val="1"/>
                  <w:i w:val="1"/>
                  <w:iCs w:val="1"/>
                  <w:color w:val="0000EE"/>
                </w:rPr>
                <w:t>Legal Proceedings</w:t>
              </w:r>
            </w:hyperlink>
          </w:p>
        </w:tc>
        <w:tc>
          <w:tcPr>
            <w:tcW w:w="7760" w:type="dxa"/>
            <w:vAlign w:val="bottom"/>
            <w:gridSpan w:val="11"/>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1A.</w:t>
            </w:r>
          </w:p>
        </w:tc>
        <w:tc>
          <w:tcPr>
            <w:tcW w:w="960" w:type="dxa"/>
            <w:vAlign w:val="bottom"/>
            <w:tcBorders>
              <w:top w:val="single" w:sz="8" w:color="0000EE"/>
              <w:bottom w:val="single" w:sz="8" w:color="0000EE"/>
            </w:tcBorders>
            <w:gridSpan w:val="2"/>
          </w:tcPr>
          <w:p>
            <w:pPr>
              <w:spacing w:after="0"/>
              <w:rPr>
                <w:rFonts w:ascii="Arial" w:cs="Arial" w:eastAsia="Arial" w:hAnsi="Arial"/>
                <w:sz w:val="18"/>
                <w:szCs w:val="18"/>
                <w:b w:val="1"/>
                <w:bCs w:val="1"/>
                <w:i w:val="1"/>
                <w:iCs w:val="1"/>
                <w:color w:val="0000EE"/>
                <w:w w:val="86"/>
              </w:rPr>
            </w:pPr>
            <w:hyperlink w:anchor="page30">
              <w:r>
                <w:rPr>
                  <w:rFonts w:ascii="Arial" w:cs="Arial" w:eastAsia="Arial" w:hAnsi="Arial"/>
                  <w:sz w:val="18"/>
                  <w:szCs w:val="18"/>
                  <w:b w:val="1"/>
                  <w:bCs w:val="1"/>
                  <w:i w:val="1"/>
                  <w:iCs w:val="1"/>
                  <w:color w:val="0000EE"/>
                  <w:w w:val="86"/>
                </w:rPr>
                <w:t>Risk Factors</w:t>
              </w:r>
            </w:hyperlink>
          </w:p>
        </w:tc>
        <w:tc>
          <w:tcPr>
            <w:tcW w:w="420" w:type="dxa"/>
            <w:vAlign w:val="bottom"/>
            <w:tcBorders>
              <w:top w:val="single" w:sz="8" w:color="0000EE"/>
            </w:tcBorders>
          </w:tcPr>
          <w:p>
            <w:pPr>
              <w:spacing w:after="0"/>
              <w:rPr>
                <w:sz w:val="24"/>
                <w:szCs w:val="24"/>
                <w:color w:val="auto"/>
              </w:rPr>
            </w:pPr>
          </w:p>
        </w:tc>
        <w:tc>
          <w:tcPr>
            <w:tcW w:w="8400" w:type="dxa"/>
            <w:vAlign w:val="bottom"/>
            <w:gridSpan w:val="16"/>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2.</w:t>
            </w:r>
          </w:p>
        </w:tc>
        <w:tc>
          <w:tcPr>
            <w:tcW w:w="9780" w:type="dxa"/>
            <w:vAlign w:val="bottom"/>
            <w:gridSpan w:val="19"/>
          </w:tcPr>
          <w:p>
            <w:pPr>
              <w:spacing w:after="0"/>
              <w:rPr>
                <w:rFonts w:ascii="Arial" w:cs="Arial" w:eastAsia="Arial" w:hAnsi="Arial"/>
                <w:sz w:val="18"/>
                <w:szCs w:val="18"/>
                <w:b w:val="1"/>
                <w:bCs w:val="1"/>
                <w:i w:val="1"/>
                <w:iCs w:val="1"/>
                <w:color w:val="0000EE"/>
              </w:rPr>
            </w:pPr>
            <w:hyperlink w:anchor="page30">
              <w:r>
                <w:rPr>
                  <w:rFonts w:ascii="Arial" w:cs="Arial" w:eastAsia="Arial" w:hAnsi="Arial"/>
                  <w:sz w:val="18"/>
                  <w:szCs w:val="18"/>
                  <w:b w:val="1"/>
                  <w:bCs w:val="1"/>
                  <w:i w:val="1"/>
                  <w:iCs w:val="1"/>
                  <w:color w:val="0000EE"/>
                </w:rPr>
                <w:t>Unregistered Sales of Equity Securities and Use of Proceeds</w:t>
              </w:r>
            </w:hyperlink>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3.</w:t>
            </w:r>
          </w:p>
        </w:tc>
        <w:tc>
          <w:tcPr>
            <w:tcW w:w="4460" w:type="dxa"/>
            <w:vAlign w:val="bottom"/>
            <w:tcBorders>
              <w:top w:val="single" w:sz="8" w:color="0000EE"/>
            </w:tcBorders>
            <w:gridSpan w:val="11"/>
          </w:tcPr>
          <w:p>
            <w:pPr>
              <w:spacing w:after="0"/>
              <w:rPr>
                <w:rFonts w:ascii="Arial" w:cs="Arial" w:eastAsia="Arial" w:hAnsi="Arial"/>
                <w:sz w:val="18"/>
                <w:szCs w:val="18"/>
                <w:b w:val="1"/>
                <w:bCs w:val="1"/>
                <w:i w:val="1"/>
                <w:iCs w:val="1"/>
                <w:color w:val="0000EE"/>
              </w:rPr>
            </w:pPr>
            <w:hyperlink w:anchor="page30">
              <w:r>
                <w:rPr>
                  <w:rFonts w:ascii="Arial" w:cs="Arial" w:eastAsia="Arial" w:hAnsi="Arial"/>
                  <w:sz w:val="18"/>
                  <w:szCs w:val="18"/>
                  <w:b w:val="1"/>
                  <w:bCs w:val="1"/>
                  <w:i w:val="1"/>
                  <w:iCs w:val="1"/>
                  <w:color w:val="0000EE"/>
                </w:rPr>
                <w:t>Defaults Upon Senior Securities</w:t>
              </w:r>
            </w:hyperlink>
          </w:p>
        </w:tc>
        <w:tc>
          <w:tcPr>
            <w:tcW w:w="5320" w:type="dxa"/>
            <w:vAlign w:val="bottom"/>
            <w:gridSpan w:val="8"/>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4.</w:t>
            </w:r>
          </w:p>
        </w:tc>
        <w:tc>
          <w:tcPr>
            <w:tcW w:w="2400" w:type="dxa"/>
            <w:vAlign w:val="bottom"/>
            <w:tcBorders>
              <w:top w:val="single" w:sz="8" w:color="0000EE"/>
            </w:tcBorders>
            <w:gridSpan w:val="9"/>
          </w:tcPr>
          <w:p>
            <w:pPr>
              <w:spacing w:after="0"/>
              <w:rPr>
                <w:rFonts w:ascii="Arial" w:cs="Arial" w:eastAsia="Arial" w:hAnsi="Arial"/>
                <w:sz w:val="18"/>
                <w:szCs w:val="18"/>
                <w:b w:val="1"/>
                <w:bCs w:val="1"/>
                <w:i w:val="1"/>
                <w:iCs w:val="1"/>
                <w:color w:val="0000EE"/>
              </w:rPr>
            </w:pPr>
            <w:hyperlink w:anchor="page30">
              <w:r>
                <w:rPr>
                  <w:rFonts w:ascii="Arial" w:cs="Arial" w:eastAsia="Arial" w:hAnsi="Arial"/>
                  <w:sz w:val="18"/>
                  <w:szCs w:val="18"/>
                  <w:b w:val="1"/>
                  <w:bCs w:val="1"/>
                  <w:i w:val="1"/>
                  <w:iCs w:val="1"/>
                  <w:color w:val="0000EE"/>
                </w:rPr>
                <w:t>Mine Safety Disclosures</w:t>
              </w:r>
            </w:hyperlink>
          </w:p>
        </w:tc>
        <w:tc>
          <w:tcPr>
            <w:tcW w:w="7380" w:type="dxa"/>
            <w:vAlign w:val="bottom"/>
            <w:gridSpan w:val="10"/>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5.</w:t>
            </w:r>
          </w:p>
        </w:tc>
        <w:tc>
          <w:tcPr>
            <w:tcW w:w="1400" w:type="dxa"/>
            <w:vAlign w:val="bottom"/>
            <w:tcBorders>
              <w:top w:val="single" w:sz="8" w:color="0000EE"/>
              <w:bottom w:val="single" w:sz="8" w:color="0000EE"/>
            </w:tcBorders>
            <w:gridSpan w:val="4"/>
          </w:tcPr>
          <w:p>
            <w:pPr>
              <w:spacing w:after="0"/>
              <w:rPr>
                <w:rFonts w:ascii="Arial" w:cs="Arial" w:eastAsia="Arial" w:hAnsi="Arial"/>
                <w:sz w:val="18"/>
                <w:szCs w:val="18"/>
                <w:b w:val="1"/>
                <w:bCs w:val="1"/>
                <w:i w:val="1"/>
                <w:iCs w:val="1"/>
                <w:color w:val="0000EE"/>
                <w:w w:val="90"/>
              </w:rPr>
            </w:pPr>
            <w:hyperlink w:anchor="page30">
              <w:r>
                <w:rPr>
                  <w:rFonts w:ascii="Arial" w:cs="Arial" w:eastAsia="Arial" w:hAnsi="Arial"/>
                  <w:sz w:val="18"/>
                  <w:szCs w:val="18"/>
                  <w:b w:val="1"/>
                  <w:bCs w:val="1"/>
                  <w:i w:val="1"/>
                  <w:iCs w:val="1"/>
                  <w:color w:val="0000EE"/>
                  <w:w w:val="90"/>
                </w:rPr>
                <w:t>Other Information</w:t>
              </w:r>
            </w:hyperlink>
          </w:p>
        </w:tc>
        <w:tc>
          <w:tcPr>
            <w:tcW w:w="400" w:type="dxa"/>
            <w:vAlign w:val="bottom"/>
            <w:tcBorders>
              <w:top w:val="single" w:sz="8" w:color="0000EE"/>
            </w:tcBorders>
            <w:gridSpan w:val="2"/>
          </w:tcPr>
          <w:p>
            <w:pPr>
              <w:spacing w:after="0"/>
              <w:rPr>
                <w:sz w:val="24"/>
                <w:szCs w:val="24"/>
                <w:color w:val="auto"/>
              </w:rPr>
            </w:pPr>
          </w:p>
        </w:tc>
        <w:tc>
          <w:tcPr>
            <w:tcW w:w="7980" w:type="dxa"/>
            <w:vAlign w:val="bottom"/>
            <w:gridSpan w:val="13"/>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6.</w:t>
            </w:r>
          </w:p>
        </w:tc>
        <w:tc>
          <w:tcPr>
            <w:tcW w:w="9780" w:type="dxa"/>
            <w:vAlign w:val="bottom"/>
            <w:gridSpan w:val="19"/>
          </w:tcPr>
          <w:p>
            <w:pPr>
              <w:spacing w:after="0"/>
              <w:rPr>
                <w:rFonts w:ascii="Arial" w:cs="Arial" w:eastAsia="Arial" w:hAnsi="Arial"/>
                <w:sz w:val="18"/>
                <w:szCs w:val="18"/>
                <w:b w:val="1"/>
                <w:bCs w:val="1"/>
                <w:i w:val="1"/>
                <w:iCs w:val="1"/>
                <w:color w:val="0000EE"/>
              </w:rPr>
            </w:pPr>
            <w:hyperlink w:anchor="page30">
              <w:r>
                <w:rPr>
                  <w:rFonts w:ascii="Arial" w:cs="Arial" w:eastAsia="Arial" w:hAnsi="Arial"/>
                  <w:sz w:val="18"/>
                  <w:szCs w:val="18"/>
                  <w:b w:val="1"/>
                  <w:bCs w:val="1"/>
                  <w:i w:val="1"/>
                  <w:iCs w:val="1"/>
                  <w:color w:val="0000EE"/>
                </w:rPr>
                <w:t>Exhibits</w:t>
              </w:r>
            </w:hyperlink>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rFonts w:ascii="Arial" w:cs="Arial" w:eastAsia="Arial" w:hAnsi="Arial"/>
                <w:sz w:val="18"/>
                <w:szCs w:val="18"/>
                <w:b w:val="1"/>
                <w:bCs w:val="1"/>
                <w:i w:val="1"/>
                <w:iCs w:val="1"/>
                <w:color w:val="0000EE"/>
                <w:w w:val="96"/>
              </w:rPr>
            </w:pPr>
            <w:hyperlink w:anchor="page31">
              <w:r>
                <w:rPr>
                  <w:rFonts w:ascii="Arial" w:cs="Arial" w:eastAsia="Arial" w:hAnsi="Arial"/>
                  <w:sz w:val="18"/>
                  <w:szCs w:val="18"/>
                  <w:b w:val="1"/>
                  <w:bCs w:val="1"/>
                  <w:i w:val="1"/>
                  <w:iCs w:val="1"/>
                  <w:color w:val="0000EE"/>
                  <w:w w:val="96"/>
                </w:rPr>
                <w:t>Signatures</w:t>
              </w:r>
            </w:hyperlink>
          </w:p>
        </w:tc>
        <w:tc>
          <w:tcPr>
            <w:tcW w:w="6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595"/>
        </w:trPr>
        <w:tc>
          <w:tcPr>
            <w:tcW w:w="80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10,713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Trade accounts receivable, net of allowance for doubtful accounts of $233 and $213, respectively</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11,596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Machinery and equipment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property and equipment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(4,530)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property and equipment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13,738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Restricted certificates of deposit</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62,037</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62,493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2,738</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wages and benefits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Customer deposits and deferred revenue</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and foreign income taxes payable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Earnout payable</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6,282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Federal transition tax payable, net of current portion</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2,464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 liability, net of current portion</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18,144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23,205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$0.01 par value; 5,000,000 shares authorized; no shares issued or outstanding</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$0.01 par value; 20,000,000 shares authorized; 10,518,535 and 10,427,435 shares issued,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17,041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earnings, foreign currency translation adjustments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Treasury stock, at cost; 33,077 shares</w:t>
            </w:r>
          </w:p>
        </w:tc>
        <w:tc>
          <w:tcPr>
            <w:tcW w:w="2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43,893</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62,037</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62,493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line="209" w:lineRule="auto"/>
        <w:framePr w:w="380" w:h="160" w:wrap="auto" w:vAnchor="page" w:hAnchor="page" w:x="5760" w:y="9420"/>
        <w:rPr>
          <w:rFonts w:ascii="Arial" w:cs="Arial" w:eastAsia="Arial" w:hAnsi="Arial"/>
          <w:sz w:val="16"/>
          <w:szCs w:val="16"/>
          <w:color w:val="auto"/>
        </w:rPr>
      </w:pPr>
      <w:r>
        <w:rPr>
          <w:rFonts w:ascii="Arial" w:cs="Arial" w:eastAsia="Arial" w:hAnsi="Arial"/>
          <w:sz w:val="16"/>
          <w:szCs w:val="16"/>
          <w:color w:val="auto"/>
        </w:rPr>
        <w:t>- 2 -</w:t>
      </w: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rFonts w:ascii="Arial" w:cs="Arial" w:eastAsia="Arial" w:hAnsi="Arial"/>
          <w:sz w:val="16"/>
          <w:szCs w:val="16"/>
          <w:color w:val="auto"/>
        </w:rPr>
      </w:pPr>
    </w:p>
    <w:p>
      <w:pPr>
        <w:spacing w:after="0" w:line="253"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21,097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15,888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39,968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19,663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13,919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expense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Engineering and product development expense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982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Adjustment to contingent consideration liability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6,393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6,139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14,881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2,282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Earnings before income tax expense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5,378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common share - basic</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10,342,674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10,277,155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10,334,492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10,270,860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earnings per common share - diluted</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0.39</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0.14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0.42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80" w:type="dxa"/>
            <w:vAlign w:val="bottom"/>
          </w:tcPr>
          <w:p>
            <w:pPr>
              <w:spacing w:after="0" w:line="201" w:lineRule="exact"/>
              <w:rPr>
                <w:sz w:val="20"/>
                <w:szCs w:val="20"/>
                <w:color w:val="auto"/>
              </w:rPr>
            </w:pPr>
            <w:r>
              <w:rPr>
                <w:rFonts w:ascii="Arial" w:cs="Arial" w:eastAsia="Arial" w:hAnsi="Arial"/>
                <w:sz w:val="18"/>
                <w:szCs w:val="18"/>
                <w:color w:val="auto"/>
                <w:w w:val="91"/>
              </w:rPr>
              <w:t>Weighted average common shares and common share equivalents outstanding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10,370,318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10,334,894</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10,367,812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10,315,115</w:t>
            </w:r>
          </w:p>
        </w:tc>
        <w:tc>
          <w:tcPr>
            <w:tcW w:w="0" w:type="dxa"/>
            <w:vAlign w:val="bottom"/>
          </w:tcPr>
          <w:p>
            <w:pPr>
              <w:spacing w:after="0"/>
              <w:rPr>
                <w:sz w:val="1"/>
                <w:szCs w:val="1"/>
                <w:color w:val="auto"/>
              </w:rPr>
            </w:pPr>
          </w:p>
        </w:tc>
      </w:tr>
    </w:tbl>
    <w:p>
      <w:pPr>
        <w:spacing w:after="0" w:line="202"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4,014</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Foreign currency translation adjustments</w:t>
            </w:r>
          </w:p>
        </w:tc>
        <w:tc>
          <w:tcPr>
            <w:tcW w:w="2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earnings</w:t>
            </w:r>
          </w:p>
        </w:tc>
        <w:tc>
          <w:tcPr>
            <w:tcW w:w="3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3,894</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4,313</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620" w:type="dxa"/>
            <w:vAlign w:val="bottom"/>
            <w:gridSpan w:val="8"/>
          </w:tcPr>
          <w:p>
            <w:pPr>
              <w:jc w:val="center"/>
              <w:ind w:right="54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80" w:type="dxa"/>
            <w:vAlign w:val="bottom"/>
          </w:tcPr>
          <w:p>
            <w:pPr>
              <w:jc w:val="right"/>
              <w:ind w:right="130"/>
              <w:spacing w:after="0"/>
              <w:rPr>
                <w:sz w:val="20"/>
                <w:szCs w:val="20"/>
                <w:color w:val="auto"/>
              </w:rPr>
            </w:pPr>
            <w:r>
              <w:rPr>
                <w:rFonts w:ascii="Arial" w:cs="Arial" w:eastAsia="Arial" w:hAnsi="Arial"/>
                <w:sz w:val="18"/>
                <w:szCs w:val="18"/>
                <w:color w:val="auto"/>
              </w:rPr>
              <w:t>- 3 -</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140" w:type="dxa"/>
            <w:vAlign w:val="bottom"/>
            <w:gridSpan w:val="7"/>
            <w:vMerge w:val="restart"/>
          </w:tcPr>
          <w:p>
            <w:pPr>
              <w:ind w:left="44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140" w:type="dxa"/>
            <w:vAlign w:val="bottom"/>
            <w:gridSpan w:val="7"/>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Paid-in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Retained</w:t>
            </w:r>
          </w:p>
        </w:tc>
        <w:tc>
          <w:tcPr>
            <w:tcW w:w="15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Treasury</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40" w:type="dxa"/>
            <w:vAlign w:val="bottom"/>
            <w:tcBorders>
              <w:top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Earnings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10,427,435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25,860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to stock-based awards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w w:val="98"/>
              </w:rPr>
              <w:t>Issuance of unvested shares of restricted</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stock</w:t>
            </w:r>
          </w:p>
        </w:tc>
        <w:tc>
          <w:tcPr>
            <w:tcW w:w="1040" w:type="dxa"/>
            <w:vAlign w:val="bottom"/>
            <w:gridSpan w:val="3"/>
          </w:tcPr>
          <w:p>
            <w:pPr>
              <w:ind w:left="440"/>
              <w:spacing w:after="0"/>
              <w:rPr>
                <w:sz w:val="20"/>
                <w:szCs w:val="20"/>
                <w:color w:val="auto"/>
              </w:rPr>
            </w:pPr>
            <w:r>
              <w:rPr>
                <w:rFonts w:ascii="Arial" w:cs="Arial" w:eastAsia="Arial" w:hAnsi="Arial"/>
                <w:sz w:val="18"/>
                <w:szCs w:val="18"/>
                <w:color w:val="auto"/>
              </w:rPr>
              <w:t>91,100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gridSpan w:val="2"/>
          </w:tcPr>
          <w:p>
            <w:pPr>
              <w:spacing w:after="0"/>
              <w:rPr>
                <w:sz w:val="20"/>
                <w:szCs w:val="20"/>
                <w:color w:val="auto"/>
              </w:rPr>
            </w:pPr>
            <w:r>
              <w:rPr>
                <w:rFonts w:ascii="Arial" w:cs="Arial" w:eastAsia="Arial" w:hAnsi="Arial"/>
                <w:sz w:val="18"/>
                <w:szCs w:val="18"/>
                <w:color w:val="auto"/>
              </w:rPr>
              <w:t>Balance, June 30, 2018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10,518,535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26,151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17,041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880" w:type="dxa"/>
            <w:vAlign w:val="bottom"/>
            <w:gridSpan w:val="19"/>
          </w:tcPr>
          <w:p>
            <w:pPr>
              <w:jc w:val="right"/>
              <w:ind w:right="1140"/>
              <w:spacing w:after="0"/>
              <w:rPr>
                <w:sz w:val="20"/>
                <w:szCs w:val="20"/>
                <w:color w:val="auto"/>
              </w:rPr>
            </w:pPr>
            <w:r>
              <w:rPr>
                <w:rFonts w:ascii="Arial" w:cs="Arial" w:eastAsia="Arial" w:hAnsi="Arial"/>
                <w:sz w:val="18"/>
                <w:szCs w:val="18"/>
                <w:color w:val="auto"/>
                <w:w w:val="91"/>
              </w:rPr>
              <w:t>See accompanying Notes to Consolidated 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right"/>
              <w:ind w:right="490"/>
              <w:spacing w:after="0"/>
              <w:rPr>
                <w:sz w:val="20"/>
                <w:szCs w:val="20"/>
                <w:color w:val="auto"/>
              </w:rPr>
            </w:pPr>
            <w:r>
              <w:rPr>
                <w:rFonts w:ascii="Arial" w:cs="Arial" w:eastAsia="Arial" w:hAnsi="Arial"/>
                <w:sz w:val="18"/>
                <w:szCs w:val="18"/>
                <w:color w:val="auto"/>
              </w:rPr>
              <w:t>- 4 -</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4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Six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20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4,395</w:t>
            </w:r>
          </w:p>
        </w:tc>
        <w:tc>
          <w:tcPr>
            <w:tcW w:w="10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840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Payment of earnout for 2017 related to Ambrell acquisition</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(1,710)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80"/>
              <w:spacing w:after="0"/>
              <w:rPr>
                <w:sz w:val="20"/>
                <w:szCs w:val="20"/>
                <w:color w:val="auto"/>
              </w:rPr>
            </w:pPr>
            <w:r>
              <w:rPr>
                <w:rFonts w:ascii="Arial" w:cs="Arial" w:eastAsia="Arial" w:hAnsi="Arial"/>
                <w:sz w:val="18"/>
                <w:szCs w:val="18"/>
                <w:color w:val="auto"/>
              </w:rPr>
              <w:t>Adjustment to earnout payable for 2018</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for excess and obsolete inventory</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80"/>
              <w:spacing w:after="0"/>
              <w:rPr>
                <w:sz w:val="20"/>
                <w:szCs w:val="20"/>
                <w:color w:val="auto"/>
              </w:rPr>
            </w:pPr>
            <w:r>
              <w:rPr>
                <w:rFonts w:ascii="Arial" w:cs="Arial" w:eastAsia="Arial" w:hAnsi="Arial"/>
                <w:sz w:val="18"/>
                <w:szCs w:val="18"/>
                <w:color w:val="auto"/>
              </w:rPr>
              <w:t>Foreign exchange gain</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deferred compensation related to stock-based awards</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80"/>
              <w:spacing w:after="0"/>
              <w:rPr>
                <w:sz w:val="20"/>
                <w:szCs w:val="20"/>
                <w:color w:val="auto"/>
              </w:rPr>
            </w:pPr>
            <w:r>
              <w:rPr>
                <w:rFonts w:ascii="Arial" w:cs="Arial" w:eastAsia="Arial" w:hAnsi="Arial"/>
                <w:sz w:val="18"/>
                <w:szCs w:val="18"/>
                <w:color w:val="auto"/>
              </w:rPr>
              <w:t>Loss on disposal of property and equipment</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sale of demonstration equipment, net of gain</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80"/>
              <w:spacing w:after="0"/>
              <w:rPr>
                <w:sz w:val="20"/>
                <w:szCs w:val="20"/>
                <w:color w:val="auto"/>
              </w:rPr>
            </w:pPr>
            <w:r>
              <w:rPr>
                <w:rFonts w:ascii="Arial" w:cs="Arial" w:eastAsia="Arial" w:hAnsi="Arial"/>
                <w:sz w:val="18"/>
                <w:szCs w:val="18"/>
                <w:color w:val="auto"/>
              </w:rPr>
              <w:t>Deferred income tax expense (benefit)</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Changes in assets and liabilities:</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640"/>
              <w:spacing w:after="0"/>
              <w:rPr>
                <w:sz w:val="20"/>
                <w:szCs w:val="20"/>
                <w:color w:val="auto"/>
              </w:rPr>
            </w:pPr>
            <w:r>
              <w:rPr>
                <w:rFonts w:ascii="Arial" w:cs="Arial" w:eastAsia="Arial" w:hAnsi="Arial"/>
                <w:sz w:val="18"/>
                <w:szCs w:val="18"/>
                <w:color w:val="auto"/>
              </w:rPr>
              <w:t>Trade accounts receivable</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(2,025)</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assets</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wages and benefits</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640"/>
              <w:spacing w:after="0"/>
              <w:rPr>
                <w:sz w:val="20"/>
                <w:szCs w:val="20"/>
                <w:color w:val="auto"/>
              </w:rPr>
            </w:pPr>
            <w:r>
              <w:rPr>
                <w:rFonts w:ascii="Arial" w:cs="Arial" w:eastAsia="Arial" w:hAnsi="Arial"/>
                <w:sz w:val="18"/>
                <w:szCs w:val="18"/>
                <w:color w:val="auto"/>
              </w:rPr>
              <w:t>Customer deposits and deferred revenue</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Domestic and foreign income taxes payable</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640"/>
              <w:spacing w:after="0"/>
              <w:rPr>
                <w:sz w:val="20"/>
                <w:szCs w:val="20"/>
                <w:color w:val="auto"/>
              </w:rPr>
            </w:pPr>
            <w:r>
              <w:rPr>
                <w:rFonts w:ascii="Arial" w:cs="Arial" w:eastAsia="Arial" w:hAnsi="Arial"/>
                <w:sz w:val="18"/>
                <w:szCs w:val="18"/>
                <w:color w:val="auto"/>
              </w:rPr>
              <w:t>Long-term portion of Federal transition tax payable</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current liabilities</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3,503</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business, net of cash acquired</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(1,920)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(1,920)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(22,158)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earnout for 2017 related to Ambrell acquisition</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(4,123)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Repurchases of common stock</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(4,123)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Effects of exchange rates on cash</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all activities</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(2,577)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13,290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10,713</w:t>
            </w:r>
          </w:p>
        </w:tc>
        <w:tc>
          <w:tcPr>
            <w:tcW w:w="10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Domestic and foreign income taxes</w:t>
            </w:r>
          </w:p>
        </w:tc>
        <w:tc>
          <w:tcPr>
            <w:tcW w:w="20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1,425</w:t>
            </w:r>
          </w:p>
        </w:tc>
        <w:tc>
          <w:tcPr>
            <w:tcW w:w="10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Details of acquisition:</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assets acquired, net of cash</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Liabilities assumed</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resulting from acquisition</w:t>
            </w: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w:t>
            </w:r>
          </w:p>
        </w:tc>
        <w:tc>
          <w:tcPr>
            <w:tcW w:w="10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rFonts w:ascii="Arial" w:cs="Arial" w:eastAsia="Arial" w:hAnsi="Arial"/>
          <w:sz w:val="18"/>
          <w:szCs w:val="18"/>
          <w:b w:val="1"/>
          <w:bCs w:val="1"/>
          <w:color w:val="auto"/>
        </w:rPr>
      </w:pPr>
    </w:p>
    <w:p>
      <w:pPr>
        <w:ind w:left="6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We are an independent designer, manufacturer and marketer of thermal management products and semiconductor automated test equipment (“ATE”) interface solutions. Our products are used by semiconductor manufacturers to perform development, qualifying and final testing of integrated circuits (“ICs”) and wafers, and for other electronic testing across a range of industries including the automotive, defense/aerospace, energy, industrial and telecommunications markets. We also offer induction heating products for joining and forming metals in a variety of industrial markets, including automotive, aerospace, machinery, wire &amp; fasteners, medical, semiconductor, food &amp; beverage, and packaging. We manufacture our products in the U.S. Marketing and support activities are conducted worldwide from our facilities in the U.S., Germany, Singapore, the Netherlands and the U.K. The consolidated entity is comprised of inTEST Corporation and our wholly-owned subsidiaries. We have two reportable segments, which are also our reporting units, Thermal Products ("Thermal") and Electromechanical Semiconductor Products ("EMS").</w:t>
      </w:r>
    </w:p>
    <w:p>
      <w:pPr>
        <w:spacing w:after="0" w:line="166" w:lineRule="exact"/>
        <w:rPr>
          <w:rFonts w:ascii="Arial" w:cs="Arial" w:eastAsia="Arial" w:hAnsi="Arial"/>
          <w:sz w:val="18"/>
          <w:szCs w:val="18"/>
          <w:b w:val="1"/>
          <w:bCs w:val="1"/>
          <w:color w:val="auto"/>
        </w:rPr>
      </w:pPr>
    </w:p>
    <w:p>
      <w:pPr>
        <w:ind w:left="66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On May 24, 2017, we completed the acquisition of Ambrell Corporation ("Ambrell"). The acquisition was completed by acquiring all of the outstanding capital stock of Ambrell. Ambrell is a manufacturer of precision induction heating systems which are used to conduct fast, efficient, repeatable non-contact heating of metals or other electrically conductive materials, in order to transform raw materials into finished parts. The Ambrell acquisition complements our current thermal technologies and broadens our diverse customer base, allowing expansion within many non-semiconductor related markets, such as consumer product packaging, fiber-optics, automotive and other markets. Ambrell's operations are included in our Thermal segment. Ambrell manufactures its products in the U.S. and conducts marketing and support activities from its facilities in the U.S., the Netherlands and the U.K. This acquisition is discussed further in Note 3.</w:t>
      </w:r>
    </w:p>
    <w:p>
      <w:pPr>
        <w:spacing w:after="0" w:line="177" w:lineRule="exact"/>
        <w:rPr>
          <w:rFonts w:ascii="Arial" w:cs="Arial" w:eastAsia="Arial" w:hAnsi="Arial"/>
          <w:sz w:val="18"/>
          <w:szCs w:val="18"/>
          <w:b w:val="1"/>
          <w:bCs w:val="1"/>
          <w:color w:val="auto"/>
        </w:rPr>
      </w:pPr>
    </w:p>
    <w:p>
      <w:pPr>
        <w:ind w:left="660" w:right="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ATE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ATE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We also continue to implement an acquisition strategy that may cause us to incur substantial expense in reviewing and evaluating potential transactions. We may or may not be successful in locating suitable businesses to acquire.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200" w:lineRule="exact"/>
        <w:rPr>
          <w:rFonts w:ascii="Arial" w:cs="Arial" w:eastAsia="Arial" w:hAnsi="Arial"/>
          <w:sz w:val="18"/>
          <w:szCs w:val="18"/>
          <w:b w:val="1"/>
          <w:bCs w:val="1"/>
          <w:color w:val="auto"/>
        </w:rPr>
      </w:pPr>
    </w:p>
    <w:p>
      <w:pPr>
        <w:spacing w:after="0" w:line="208" w:lineRule="exact"/>
        <w:rPr>
          <w:rFonts w:ascii="Arial" w:cs="Arial" w:eastAsia="Arial" w:hAnsi="Arial"/>
          <w:sz w:val="18"/>
          <w:szCs w:val="18"/>
          <w:b w:val="1"/>
          <w:bCs w:val="1"/>
          <w:color w:val="auto"/>
        </w:rPr>
      </w:pPr>
    </w:p>
    <w:p>
      <w:pPr>
        <w:ind w:left="660" w:right="5980" w:hanging="652"/>
        <w:spacing w:after="0" w:line="503"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u w:val="single" w:color="auto"/>
          <w:color w:val="auto"/>
        </w:rPr>
        <w:t>Basis of Presentation and Use of Estimates</w:t>
      </w:r>
    </w:p>
    <w:p>
      <w:pPr>
        <w:ind w:left="660" w:right="1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contingent consideration liabilities (and related earnout payable), and deferred tax assets and liabilities, including related valuation allowances, are particularly impacted by estimates.</w:t>
      </w:r>
    </w:p>
    <w:p>
      <w:pPr>
        <w:spacing w:after="0" w:line="177" w:lineRule="exact"/>
        <w:rPr>
          <w:rFonts w:ascii="Arial" w:cs="Arial" w:eastAsia="Arial" w:hAnsi="Arial"/>
          <w:sz w:val="18"/>
          <w:szCs w:val="18"/>
          <w:b w:val="1"/>
          <w:bCs w:val="1"/>
          <w:color w:val="auto"/>
        </w:rPr>
      </w:pPr>
    </w:p>
    <w:p>
      <w:pPr>
        <w:ind w:left="6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Form 10-K for the year ended December 31, 2017 (“2017 Form 10-K”) filed on March 28, 2018 with the Securities and Exchange Commission.</w:t>
      </w:r>
    </w:p>
    <w:p>
      <w:pPr>
        <w:spacing w:after="0" w:line="15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25" w:lineRule="exact"/>
        <w:rPr>
          <w:rFonts w:ascii="Arial" w:cs="Arial" w:eastAsia="Arial" w:hAnsi="Arial"/>
          <w:sz w:val="18"/>
          <w:szCs w:val="18"/>
          <w:b w:val="1"/>
          <w:bCs w:val="1"/>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225"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 party advisors. The assets purchased and liabilities assumed have been reflected in our consolidated balance sheets, and the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Fair Value Measurements</w:t>
      </w:r>
    </w:p>
    <w:p>
      <w:pPr>
        <w:spacing w:after="0" w:line="225"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The fair values of our financial instruments reflect the amounts that would be received to sell an asset or paid to transfer a liability in an orderly transaction between market participants at the measurement date (exit price).</w:t>
      </w:r>
    </w:p>
    <w:p>
      <w:pPr>
        <w:spacing w:after="0" w:line="170"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The carrying amounts of our financial instruments of cash and cash equivalents, trade accounts receivable, accounts payable and accrued liabilities approximate fair value due to their short maturities.</w:t>
      </w:r>
    </w:p>
    <w:p>
      <w:pPr>
        <w:spacing w:after="0" w:line="170"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We carry our contingent consideration liability at fair value. In accordance with the three-tier fair value hierarchy, we determined the fair value of our contingent consideration liability (and related earnout payable) using an option-based income approach with a Monte Carlo simulation model. The income approach uses Level 3, or unobservable inputs, as defined under the accounting guidance for fair value measurements. See Notes 3 and 4 for more information regarding our contingent consideration liability.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660" w:right="120"/>
        <w:spacing w:after="0" w:line="253" w:lineRule="auto"/>
        <w:rPr>
          <w:sz w:val="20"/>
          <w:szCs w:val="20"/>
          <w:color w:val="auto"/>
        </w:rPr>
      </w:pPr>
      <w:r>
        <w:rPr>
          <w:rFonts w:ascii="Arial" w:cs="Arial" w:eastAsia="Arial" w:hAnsi="Arial"/>
          <w:sz w:val="18"/>
          <w:szCs w:val="18"/>
          <w:color w:val="auto"/>
        </w:rPr>
        <w:t>We account for goodwill and intangible assets in accordance with Accounting Standards Codification ("ASC") 350 (Intangibles - Goodwill and Other).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the qualitative assessment indicates a potential impairment,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97" w:lineRule="exact"/>
        <w:rPr>
          <w:sz w:val="20"/>
          <w:szCs w:val="20"/>
          <w:color w:val="auto"/>
        </w:rPr>
      </w:pPr>
    </w:p>
    <w:p>
      <w:pPr>
        <w:ind w:left="660" w:right="20"/>
        <w:spacing w:after="0" w:line="269" w:lineRule="auto"/>
        <w:rPr>
          <w:sz w:val="20"/>
          <w:szCs w:val="20"/>
          <w:color w:val="auto"/>
        </w:rPr>
      </w:pPr>
      <w:r>
        <w:rPr>
          <w:rFonts w:ascii="Arial" w:cs="Arial" w:eastAsia="Arial" w:hAnsi="Arial"/>
          <w:sz w:val="17"/>
          <w:szCs w:val="17"/>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and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0" w:lineRule="exact"/>
        <w:rPr>
          <w:sz w:val="20"/>
          <w:szCs w:val="20"/>
          <w:color w:val="auto"/>
        </w:rPr>
      </w:pPr>
    </w:p>
    <w:p>
      <w:pPr>
        <w:ind w:left="660" w:right="80"/>
        <w:spacing w:after="0" w:line="254" w:lineRule="auto"/>
        <w:rPr>
          <w:sz w:val="20"/>
          <w:szCs w:val="20"/>
          <w:color w:val="auto"/>
        </w:rPr>
      </w:pPr>
      <w:r>
        <w:rPr>
          <w:rFonts w:ascii="Arial" w:cs="Arial" w:eastAsia="Arial" w:hAnsi="Arial"/>
          <w:sz w:val="18"/>
          <w:szCs w:val="18"/>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If we choose not to perform a qualitative assessment, then the quantitative impairment test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As discussed further under “Effect of Recently Adopted Amendments to Authoritative Accounting Guidance” below, effective January 1, 2018, 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under short-term lease agreements. We recognize revenue from equipment leases on a straight-line basis over the lease term.</w:t>
      </w:r>
    </w:p>
    <w:p>
      <w:pPr>
        <w:spacing w:after="0" w:line="182" w:lineRule="exact"/>
        <w:rPr>
          <w:sz w:val="20"/>
          <w:szCs w:val="20"/>
          <w:color w:val="auto"/>
        </w:rPr>
      </w:pPr>
    </w:p>
    <w:p>
      <w:pPr>
        <w:ind w:left="660" w:right="240"/>
        <w:spacing w:after="0" w:line="259" w:lineRule="auto"/>
        <w:rPr>
          <w:sz w:val="20"/>
          <w:szCs w:val="20"/>
          <w:color w:val="auto"/>
        </w:rPr>
      </w:pPr>
      <w:r>
        <w:rPr>
          <w:rFonts w:ascii="Arial" w:cs="Arial" w:eastAsia="Arial" w:hAnsi="Arial"/>
          <w:sz w:val="18"/>
          <w:szCs w:val="18"/>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net 30 or net 60 day payment terms. We generally do not provide a right of return to our customers. Revenue is recognized net of any taxes collected from customers, which are subsequently remitted to governmental authorities.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We sell thermal management products and semiconductor ATE interface solutions. Our thermal management products include ThermoStreams, ThermoChambers, ThermoChucks and process chillers which we sell under our Temptronic, Sigma and Thermonics product lines, and Ambrell’s precision induction heating systems, including EkoHeat and EasyHeat products. Our semiconductor ATE interface solutions include manipulators, docking hardware and electrical interface products. We provide post-warranty service for the equipment we sell. We sell semiconductor ATE interface solutions and certain thermal management products to the ATE market, which provides automated test equipment to the semiconductor market. We also sell our thermal products to markets outside the semiconductor market which include the automotive, defense/aerospace, industrial, telecommunications and other markets.</w:t>
      </w:r>
    </w:p>
    <w:p>
      <w:pPr>
        <w:spacing w:after="0" w:line="189"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We lease certain of our equipment under short-term leasing agreements with original lease terms of six months or less. Our lease agreements do not contain purchase options.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Types of Contracts with Customers</w:t>
      </w:r>
    </w:p>
    <w:p>
      <w:pPr>
        <w:spacing w:after="0" w:line="225" w:lineRule="exact"/>
        <w:rPr>
          <w:sz w:val="20"/>
          <w:szCs w:val="20"/>
          <w:color w:val="auto"/>
        </w:rPr>
      </w:pPr>
    </w:p>
    <w:p>
      <w:pPr>
        <w:ind w:left="660" w:right="100"/>
        <w:spacing w:after="0" w:line="276" w:lineRule="auto"/>
        <w:rPr>
          <w:sz w:val="20"/>
          <w:szCs w:val="20"/>
          <w:color w:val="auto"/>
        </w:rPr>
      </w:pPr>
      <w:r>
        <w:rPr>
          <w:rFonts w:ascii="Arial" w:cs="Arial" w:eastAsia="Arial" w:hAnsi="Arial"/>
          <w:sz w:val="17"/>
          <w:szCs w:val="17"/>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all products manufactured as part of our quality assurance process to determine that they comply with specifications prior to shipment to a customer.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We record accounts receivable at the time of invoicing. Accounts receivable, net of the allowance for doubtful accounts,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balance sheets.</w:t>
      </w:r>
    </w:p>
    <w:p>
      <w:pPr>
        <w:spacing w:after="0" w:line="187" w:lineRule="exact"/>
        <w:rPr>
          <w:sz w:val="20"/>
          <w:szCs w:val="20"/>
          <w:color w:val="auto"/>
        </w:rPr>
      </w:pPr>
    </w:p>
    <w:p>
      <w:pPr>
        <w:ind w:left="660" w:right="340"/>
        <w:spacing w:after="0" w:line="308" w:lineRule="auto"/>
        <w:rPr>
          <w:sz w:val="20"/>
          <w:szCs w:val="20"/>
          <w:color w:val="auto"/>
        </w:rPr>
      </w:pPr>
      <w:r>
        <w:rPr>
          <w:rFonts w:ascii="Arial" w:cs="Arial" w:eastAsia="Arial" w:hAnsi="Arial"/>
          <w:sz w:val="17"/>
          <w:szCs w:val="17"/>
          <w:color w:val="auto"/>
        </w:rPr>
        <w:t>The allowance for doubtful accounts reflects our best estimate of probable losses inherent in the accounts receivable balance. We determine the allowance based on known troubled accounts, if any, historical experience, and other currently available evidence.</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5" w:lineRule="exact"/>
        <w:rPr>
          <w:sz w:val="20"/>
          <w:szCs w:val="20"/>
          <w:color w:val="auto"/>
        </w:rPr>
      </w:pPr>
    </w:p>
    <w:p>
      <w:pPr>
        <w:ind w:left="660" w:right="180"/>
        <w:spacing w:after="0" w:line="255" w:lineRule="auto"/>
        <w:rPr>
          <w:sz w:val="20"/>
          <w:szCs w:val="20"/>
          <w:color w:val="auto"/>
        </w:rPr>
      </w:pPr>
      <w:r>
        <w:rPr>
          <w:rFonts w:ascii="Arial" w:cs="Arial" w:eastAsia="Arial" w:hAnsi="Arial"/>
          <w:sz w:val="18"/>
          <w:szCs w:val="18"/>
          <w:color w:val="auto"/>
        </w:rPr>
        <w:t>The only costs we incur associated with obtaining contracts with customers are sales commissions that we pay to our internal sales personnel or third-party sales representatives. These costs are calculated based on an established percentage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Warranties</w:t>
      </w:r>
    </w:p>
    <w:p>
      <w:pPr>
        <w:spacing w:after="0" w:line="225"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In connection with the sale of our products, we generally provide standard one or two 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In very limited cases, we offer customers an option to separately purchase an extended warranty for certain of our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Notes 6 and 12 for further information about our revenue from contracts with customers.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660" w:right="60"/>
        <w:spacing w:after="0" w:line="254" w:lineRule="auto"/>
        <w:rPr>
          <w:sz w:val="20"/>
          <w:szCs w:val="20"/>
          <w:color w:val="auto"/>
        </w:rPr>
      </w:pPr>
      <w:r>
        <w:rPr>
          <w:rFonts w:ascii="Arial" w:cs="Arial" w:eastAsia="Arial" w:hAnsi="Arial"/>
          <w:sz w:val="18"/>
          <w:szCs w:val="18"/>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$129 and $90 for the six months ended June 30, 2018 and 2017, respectively.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jc w:val="both"/>
        <w:ind w:left="660" w:right="60"/>
        <w:spacing w:after="0" w:line="259"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plans in Note 10.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six months ended June 30,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660" w:right="180"/>
        <w:spacing w:after="0" w:line="255"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left="660" w:right="240"/>
        <w:spacing w:after="0" w:line="264"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ectPr>
          <w:pgSz w:w="11900" w:h="16838" w:orient="portrait"/>
          <w:cols w:equalWidth="0" w:num="1">
            <w:col w:w="11380"/>
          </w:cols>
          <w:pgMar w:left="240" w:top="118"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Weighted average common shares outstanding - basic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Potentially dilutive securities:</w:t>
      </w:r>
    </w:p>
    <w:p>
      <w:pPr>
        <w:spacing w:after="0" w:line="9" w:lineRule="exact"/>
        <w:rPr>
          <w:sz w:val="20"/>
          <w:szCs w:val="20"/>
          <w:color w:val="auto"/>
        </w:rPr>
      </w:pPr>
    </w:p>
    <w:p>
      <w:pPr>
        <w:ind w:left="660" w:firstLine="324"/>
        <w:spacing w:after="0" w:line="310" w:lineRule="auto"/>
        <w:rPr>
          <w:sz w:val="20"/>
          <w:szCs w:val="20"/>
          <w:color w:val="auto"/>
        </w:rPr>
      </w:pPr>
      <w:r>
        <w:rPr>
          <w:rFonts w:ascii="Arial" w:cs="Arial" w:eastAsia="Arial" w:hAnsi="Arial"/>
          <w:sz w:val="15"/>
          <w:szCs w:val="15"/>
          <w:color w:val="auto"/>
        </w:rPr>
        <w:t>Unvested shares of restricted stock and stock options Weighted average common shares and common share equivalents</w:t>
      </w:r>
    </w:p>
    <w:p>
      <w:pPr>
        <w:ind w:left="820"/>
        <w:spacing w:after="0"/>
        <w:rPr>
          <w:sz w:val="20"/>
          <w:szCs w:val="20"/>
          <w:color w:val="auto"/>
        </w:rPr>
      </w:pPr>
      <w:r>
        <w:rPr>
          <w:rFonts w:ascii="Arial" w:cs="Arial" w:eastAsia="Arial" w:hAnsi="Arial"/>
          <w:sz w:val="18"/>
          <w:szCs w:val="18"/>
          <w:color w:val="auto"/>
        </w:rPr>
        <w:t>outstanding - diluted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8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b w:val="1"/>
                <w:bCs w:val="1"/>
                <w:color w:val="auto"/>
                <w:w w:val="88"/>
              </w:rPr>
              <w:t>June 30,</w:t>
            </w:r>
          </w:p>
        </w:tc>
      </w:tr>
      <w:tr>
        <w:trPr>
          <w:trHeight w:val="225"/>
        </w:trPr>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7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7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-8890</wp:posOffset>
            </wp:positionV>
            <wp:extent cx="687768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ind w:left="380"/>
        <w:spacing w:after="0"/>
        <w:tabs>
          <w:tab w:leader="none" w:pos="1760" w:val="left"/>
          <w:tab w:leader="none" w:pos="3160" w:val="left"/>
          <w:tab w:leader="none" w:pos="4560" w:val="left"/>
        </w:tabs>
        <w:rPr>
          <w:sz w:val="20"/>
          <w:szCs w:val="20"/>
          <w:color w:val="auto"/>
        </w:rPr>
      </w:pPr>
      <w:r>
        <w:rPr>
          <w:rFonts w:ascii="Arial" w:cs="Arial" w:eastAsia="Arial" w:hAnsi="Arial"/>
          <w:sz w:val="18"/>
          <w:szCs w:val="18"/>
          <w:color w:val="auto"/>
        </w:rPr>
        <w:t>10,342,674</w:t>
      </w:r>
      <w:r>
        <w:rPr>
          <w:sz w:val="20"/>
          <w:szCs w:val="20"/>
          <w:color w:val="auto"/>
        </w:rPr>
        <w:tab/>
      </w:r>
      <w:r>
        <w:rPr>
          <w:rFonts w:ascii="Arial" w:cs="Arial" w:eastAsia="Arial" w:hAnsi="Arial"/>
          <w:sz w:val="18"/>
          <w:szCs w:val="18"/>
          <w:color w:val="auto"/>
        </w:rPr>
        <w:t>10,277,155</w:t>
      </w:r>
      <w:r>
        <w:rPr>
          <w:sz w:val="20"/>
          <w:szCs w:val="20"/>
          <w:color w:val="auto"/>
        </w:rPr>
        <w:tab/>
      </w:r>
      <w:r>
        <w:rPr>
          <w:rFonts w:ascii="Arial" w:cs="Arial" w:eastAsia="Arial" w:hAnsi="Arial"/>
          <w:sz w:val="18"/>
          <w:szCs w:val="18"/>
          <w:color w:val="auto"/>
        </w:rPr>
        <w:t>10,334,492</w:t>
      </w:r>
      <w:r>
        <w:rPr>
          <w:sz w:val="20"/>
          <w:szCs w:val="20"/>
          <w:color w:val="auto"/>
        </w:rPr>
        <w:tab/>
      </w:r>
      <w:r>
        <w:rPr>
          <w:rFonts w:ascii="Arial" w:cs="Arial" w:eastAsia="Arial" w:hAnsi="Arial"/>
          <w:sz w:val="16"/>
          <w:szCs w:val="16"/>
          <w:color w:val="auto"/>
        </w:rPr>
        <w:t>10,270,860</w:t>
      </w:r>
    </w:p>
    <w:p>
      <w:pPr>
        <w:spacing w:after="0" w:line="209" w:lineRule="exact"/>
        <w:rPr>
          <w:sz w:val="20"/>
          <w:szCs w:val="20"/>
          <w:color w:val="auto"/>
        </w:rPr>
      </w:pPr>
    </w:p>
    <w:p>
      <w:pPr>
        <w:jc w:val="both"/>
        <w:ind w:left="700"/>
        <w:spacing w:after="0"/>
        <w:tabs>
          <w:tab w:leader="none" w:pos="2080" w:val="left"/>
          <w:tab w:leader="none" w:pos="3480" w:val="left"/>
          <w:tab w:leader="none" w:pos="4880" w:val="left"/>
        </w:tabs>
        <w:rPr>
          <w:sz w:val="20"/>
          <w:szCs w:val="20"/>
          <w:color w:val="auto"/>
        </w:rPr>
      </w:pPr>
      <w:r>
        <w:rPr>
          <w:rFonts w:ascii="Arial" w:cs="Arial" w:eastAsia="Arial" w:hAnsi="Arial"/>
          <w:sz w:val="18"/>
          <w:szCs w:val="18"/>
          <w:color w:val="auto"/>
        </w:rPr>
        <w:t>27,644</w:t>
      </w:r>
      <w:r>
        <w:rPr>
          <w:sz w:val="20"/>
          <w:szCs w:val="20"/>
          <w:color w:val="auto"/>
        </w:rPr>
        <w:tab/>
      </w:r>
      <w:r>
        <w:rPr>
          <w:rFonts w:ascii="Arial" w:cs="Arial" w:eastAsia="Arial" w:hAnsi="Arial"/>
          <w:sz w:val="18"/>
          <w:szCs w:val="18"/>
          <w:color w:val="auto"/>
        </w:rPr>
        <w:t>57,739</w:t>
      </w:r>
      <w:r>
        <w:rPr>
          <w:sz w:val="20"/>
          <w:szCs w:val="20"/>
          <w:color w:val="auto"/>
        </w:rPr>
        <w:tab/>
      </w:r>
      <w:r>
        <w:rPr>
          <w:rFonts w:ascii="Arial" w:cs="Arial" w:eastAsia="Arial" w:hAnsi="Arial"/>
          <w:sz w:val="18"/>
          <w:szCs w:val="18"/>
          <w:color w:val="auto"/>
        </w:rPr>
        <w:t>33,320</w:t>
      </w:r>
      <w:r>
        <w:rPr>
          <w:sz w:val="20"/>
          <w:szCs w:val="20"/>
          <w:color w:val="auto"/>
        </w:rPr>
        <w:tab/>
      </w:r>
      <w:r>
        <w:rPr>
          <w:rFonts w:ascii="Arial" w:cs="Arial" w:eastAsia="Arial" w:hAnsi="Arial"/>
          <w:sz w:val="16"/>
          <w:szCs w:val="16"/>
          <w:color w:val="auto"/>
        </w:rPr>
        <w:t>44,255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-121920</wp:posOffset>
            </wp:positionV>
            <wp:extent cx="687768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178" w:lineRule="exact"/>
        <w:rPr>
          <w:sz w:val="20"/>
          <w:szCs w:val="20"/>
          <w:color w:val="auto"/>
        </w:rPr>
      </w:pPr>
    </w:p>
    <w:p>
      <w:pPr>
        <w:ind w:left="380"/>
        <w:spacing w:after="0"/>
        <w:tabs>
          <w:tab w:leader="none" w:pos="1760" w:val="left"/>
          <w:tab w:leader="none" w:pos="3160" w:val="left"/>
          <w:tab w:leader="none" w:pos="4580" w:val="left"/>
        </w:tabs>
        <w:rPr>
          <w:sz w:val="20"/>
          <w:szCs w:val="20"/>
          <w:color w:val="auto"/>
        </w:rPr>
      </w:pPr>
      <w:r>
        <w:rPr>
          <w:rFonts w:ascii="Arial" w:cs="Arial" w:eastAsia="Arial" w:hAnsi="Arial"/>
          <w:sz w:val="18"/>
          <w:szCs w:val="18"/>
          <w:color w:val="auto"/>
        </w:rPr>
        <w:t>10,370,318</w:t>
      </w:r>
      <w:r>
        <w:rPr>
          <w:sz w:val="20"/>
          <w:szCs w:val="20"/>
          <w:color w:val="auto"/>
        </w:rPr>
        <w:tab/>
      </w:r>
      <w:r>
        <w:rPr>
          <w:rFonts w:ascii="Arial" w:cs="Arial" w:eastAsia="Arial" w:hAnsi="Arial"/>
          <w:sz w:val="18"/>
          <w:szCs w:val="18"/>
          <w:color w:val="auto"/>
        </w:rPr>
        <w:t>10,334,894</w:t>
      </w:r>
      <w:r>
        <w:rPr>
          <w:sz w:val="20"/>
          <w:szCs w:val="20"/>
          <w:color w:val="auto"/>
        </w:rPr>
        <w:tab/>
      </w:r>
      <w:r>
        <w:rPr>
          <w:rFonts w:ascii="Arial" w:cs="Arial" w:eastAsia="Arial" w:hAnsi="Arial"/>
          <w:sz w:val="18"/>
          <w:szCs w:val="18"/>
          <w:color w:val="auto"/>
        </w:rPr>
        <w:t>10,367,812</w:t>
      </w:r>
      <w:r>
        <w:rPr>
          <w:sz w:val="20"/>
          <w:szCs w:val="20"/>
          <w:color w:val="auto"/>
        </w:rPr>
        <w:tab/>
      </w:r>
      <w:r>
        <w:rPr>
          <w:rFonts w:ascii="Arial" w:cs="Arial" w:eastAsia="Arial" w:hAnsi="Arial"/>
          <w:sz w:val="15"/>
          <w:szCs w:val="15"/>
          <w:color w:val="auto"/>
        </w:rPr>
        <w:t>10,315,115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14605</wp:posOffset>
            </wp:positionV>
            <wp:extent cx="687768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5380" w:space="600"/>
            <w:col w:w="5400"/>
          </w:cols>
          <w:pgMar w:left="240" w:top="118" w:right="279" w:bottom="1440" w:gutter="0" w:footer="0" w:header="0"/>
          <w:type w:val="continuous"/>
        </w:sectPr>
      </w:pPr>
    </w:p>
    <w:p>
      <w:pPr>
        <w:spacing w:after="0" w:line="1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Average number of potentially dilutive securities excluded from</w:t>
            </w:r>
          </w:p>
        </w:tc>
        <w:tc>
          <w:tcPr>
            <w:tcW w:w="1700" w:type="dxa"/>
            <w:vAlign w:val="bottom"/>
            <w:vMerge w:val="restart"/>
          </w:tcPr>
          <w:p>
            <w:pPr>
              <w:jc w:val="right"/>
              <w:ind w:right="370"/>
              <w:spacing w:after="0"/>
              <w:rPr>
                <w:sz w:val="20"/>
                <w:szCs w:val="20"/>
                <w:color w:val="auto"/>
              </w:rPr>
            </w:pPr>
            <w:r>
              <w:rPr>
                <w:rFonts w:ascii="Arial" w:cs="Arial" w:eastAsia="Arial" w:hAnsi="Arial"/>
                <w:sz w:val="18"/>
                <w:szCs w:val="18"/>
                <w:color w:val="auto"/>
              </w:rPr>
              <w:t>275,831</w:t>
            </w:r>
          </w:p>
        </w:tc>
        <w:tc>
          <w:tcPr>
            <w:tcW w:w="1360" w:type="dxa"/>
            <w:vAlign w:val="bottom"/>
            <w:vMerge w:val="restart"/>
          </w:tcPr>
          <w:p>
            <w:pPr>
              <w:jc w:val="right"/>
              <w:ind w:right="310"/>
              <w:spacing w:after="0"/>
              <w:rPr>
                <w:sz w:val="20"/>
                <w:szCs w:val="20"/>
                <w:color w:val="auto"/>
              </w:rPr>
            </w:pPr>
            <w:r>
              <w:rPr>
                <w:rFonts w:ascii="Arial" w:cs="Arial" w:eastAsia="Arial" w:hAnsi="Arial"/>
                <w:sz w:val="18"/>
                <w:szCs w:val="18"/>
                <w:color w:val="auto"/>
              </w:rPr>
              <w:t>96,000</w:t>
            </w:r>
          </w:p>
        </w:tc>
        <w:tc>
          <w:tcPr>
            <w:tcW w:w="1440" w:type="dxa"/>
            <w:vAlign w:val="bottom"/>
            <w:vMerge w:val="restart"/>
          </w:tcPr>
          <w:p>
            <w:pPr>
              <w:jc w:val="right"/>
              <w:ind w:right="350"/>
              <w:spacing w:after="0"/>
              <w:rPr>
                <w:sz w:val="20"/>
                <w:szCs w:val="20"/>
                <w:color w:val="auto"/>
              </w:rPr>
            </w:pPr>
            <w:r>
              <w:rPr>
                <w:rFonts w:ascii="Arial" w:cs="Arial" w:eastAsia="Arial" w:hAnsi="Arial"/>
                <w:sz w:val="18"/>
                <w:szCs w:val="18"/>
                <w:color w:val="auto"/>
              </w:rPr>
              <w:t>189,794</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71,630</w:t>
            </w:r>
          </w:p>
        </w:tc>
        <w:tc>
          <w:tcPr>
            <w:tcW w:w="0" w:type="dxa"/>
            <w:vAlign w:val="bottom"/>
          </w:tcPr>
          <w:p>
            <w:pPr>
              <w:spacing w:after="0"/>
              <w:rPr>
                <w:sz w:val="1"/>
                <w:szCs w:val="1"/>
                <w:color w:val="auto"/>
              </w:rPr>
            </w:pPr>
          </w:p>
        </w:tc>
      </w:tr>
      <w:tr>
        <w:trPr>
          <w:trHeight w:val="230"/>
        </w:trPr>
        <w:tc>
          <w:tcPr>
            <w:tcW w:w="5260" w:type="dxa"/>
            <w:vAlign w:val="bottom"/>
          </w:tcPr>
          <w:p>
            <w:pPr>
              <w:ind w:left="160"/>
              <w:spacing w:after="0"/>
              <w:rPr>
                <w:sz w:val="20"/>
                <w:szCs w:val="20"/>
                <w:color w:val="auto"/>
              </w:rPr>
            </w:pPr>
            <w:r>
              <w:rPr>
                <w:rFonts w:ascii="Arial" w:cs="Arial" w:eastAsia="Arial" w:hAnsi="Arial"/>
                <w:sz w:val="18"/>
                <w:szCs w:val="18"/>
                <w:color w:val="auto"/>
              </w:rPr>
              <w:t>calculation</w:t>
            </w:r>
          </w:p>
        </w:tc>
        <w:tc>
          <w:tcPr>
            <w:tcW w:w="170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-24765</wp:posOffset>
            </wp:positionV>
            <wp:extent cx="34302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30270" cy="26035"/>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660" w:right="80"/>
        <w:spacing w:after="0" w:line="286" w:lineRule="auto"/>
        <w:rPr>
          <w:sz w:val="20"/>
          <w:szCs w:val="20"/>
          <w:color w:val="auto"/>
        </w:rPr>
      </w:pPr>
      <w:r>
        <w:rPr>
          <w:rFonts w:ascii="Arial" w:cs="Arial" w:eastAsia="Arial" w:hAnsi="Arial"/>
          <w:sz w:val="16"/>
          <w:szCs w:val="16"/>
          <w:color w:val="auto"/>
        </w:rPr>
        <w:t>In May 2014, the FASB issued new guidance on the recognition of revenue from contracts with customers. Subsequent to May 2014, the FASB issued additional clarifying guidance on certain aspects of this new guidance. This new guidance is presented in ASC Topic 606 (Revenue from Contracts with Customers) and replaced most existing revenue recognition guidance in U.S. GAAP when it became effective, which for us was on January 1, 2018. During the fourth quarter of 2017, we completed our review of all our revenue streams to identify any differences in timing, measurement or presentation of revenue recognition. This review included the types of revenue arrangements currently in place including a review of individual customer contracts related to each of our major revenue streams. Based on the results of our assessment, we concluded that the implementation of this new guidance would not have a significant impact on the timing or amount of revenue we recognize in any given period in comparison to the amount recognized under prior guidance. In addition, based on our assessment, we determined that we did not need to implement any major changes to existing accounting systems or internal controls. We adopted this guidance as of January 1, 2018 using the modified retrospective method which allowed us to make a cumulative adjustment to retained earnings for any differences in the amounts of revenue or expenses that would have been recognized in prior periods, had this new guidance been in place at that time, rather than retrospectively adjusting those prior periods. However, the implementation of this new guidance did not have any impact on our results of operations or our consolidated balance sheet as of the implementation date, as the timing and amount of revenue we recognized in prior periods did not change under the new guidance. See Notes 6 and 12 for additional disclosures about our revenue from contracts with customers.</w:t>
      </w:r>
    </w:p>
    <w:p>
      <w:pPr>
        <w:spacing w:after="0" w:line="172" w:lineRule="exact"/>
        <w:rPr>
          <w:sz w:val="20"/>
          <w:szCs w:val="20"/>
          <w:color w:val="auto"/>
        </w:rPr>
      </w:pPr>
    </w:p>
    <w:p>
      <w:pPr>
        <w:ind w:left="660" w:right="460"/>
        <w:spacing w:after="0" w:line="259" w:lineRule="auto"/>
        <w:rPr>
          <w:sz w:val="20"/>
          <w:szCs w:val="20"/>
          <w:color w:val="auto"/>
        </w:rPr>
      </w:pPr>
      <w:r>
        <w:rPr>
          <w:rFonts w:ascii="Arial" w:cs="Arial" w:eastAsia="Arial" w:hAnsi="Arial"/>
          <w:sz w:val="18"/>
          <w:szCs w:val="18"/>
          <w:color w:val="auto"/>
        </w:rPr>
        <w:t>In November 2016, the FASB issued amendments to the guidance on presentation of restricted cash within the statement of cash flows. The amendments require that restricted cash be included within cash and cash equivalents on the statement of cash flows. The amendments were effective for us as of January 1, 2018, and have been applied retrospectively. The implementation of these amendments did not have a material impact on our consolidated financial statements.</w:t>
      </w:r>
    </w:p>
    <w:p>
      <w:pPr>
        <w:spacing w:after="0" w:line="187"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In January 2017, the FASB issued amendments to clarify the current guidance on the definition of a business. The objective of the amendments is to assist entities with evaluating whether transactions should be accounted for as acquisitions (or disposals) of assets or businesses. The amendments were effective for us as of January 1, 2018. The implementation of these amendments did not have a material impact on our consolidated financial statements, and will be considered prospectively.</w:t>
      </w:r>
    </w:p>
    <w:p>
      <w:pPr>
        <w:spacing w:after="0" w:line="187"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In May 2017, the FASB issued amendments to the guidance on accounting for a change to the terms or conditions (modification) of a share-based payment award. The amendments provide that an entity should account for the effects of a modification unless the fair value and vesting conditions of the modified award and the classification of the modified award (equity or liability instrument) are the same as the original award immediately before the modification. The amendments were effective for us as of January 1, 2018. The amendments are to be applied prospectively to an award modified on or after the adoption date. The implementation of these amendments did not have a material impact on our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660" w:right="240"/>
        <w:spacing w:after="0" w:line="255" w:lineRule="auto"/>
        <w:rPr>
          <w:sz w:val="20"/>
          <w:szCs w:val="20"/>
          <w:color w:val="auto"/>
        </w:rPr>
      </w:pPr>
      <w:r>
        <w:rPr>
          <w:rFonts w:ascii="Arial" w:cs="Arial" w:eastAsia="Arial" w:hAnsi="Arial"/>
          <w:sz w:val="18"/>
          <w:szCs w:val="18"/>
          <w:color w:val="auto"/>
        </w:rPr>
        <w:t>In January 2017, the FASB issued amendments to the guidance on accounting for goodwill impairment. The amendments simplify the accounting for goodwill impairment by removing Step II of the goodwill impairment test, which requires a hypothetical purchase price allocation. Under the amendments, a goodwill impairment will now be the amount by which a reporting unit's carrying value exceeds its fair value, not to exceed the carrying amount of goodwill. The amendments will be applied prospectively and are effective for us as of January 1, 2020, with early application permitted beginning January 1, 2017. We do not expect the implementation of these amendments to have a material impact on our consolidated financial statements.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right="80"/>
        <w:spacing w:after="0" w:line="268" w:lineRule="auto"/>
        <w:rPr>
          <w:sz w:val="20"/>
          <w:szCs w:val="20"/>
          <w:color w:val="auto"/>
        </w:rPr>
      </w:pPr>
      <w:r>
        <w:rPr>
          <w:rFonts w:ascii="Arial" w:cs="Arial" w:eastAsia="Arial" w:hAnsi="Arial"/>
          <w:sz w:val="17"/>
          <w:szCs w:val="17"/>
          <w:color w:val="auto"/>
        </w:rPr>
        <w:t>In February 2016, the FASB issued amendments to the current guidance on accounting for lease transactions, which is presented in ASC Topic 842 (Leases). Subsequent to February 2016, the FASB has issued additional clarifying guidance on certain aspects of this new guidance. The intent of the updated guidance is to increase transparency and comparability among organizations by requiring lessees to recognize assets and liabilities on the balance sheet for the rights and obligations created by leases and to disclose key information about leasing arrangements. Under the new guidance, a lessee will be required to record a right-of-use asset and a lease liability on the balance sheet for all leases with terms longer than 12 months. Leases will be classified as either finance or operating, with classification affecting the pattern of expense recognition in the income statement. The amendments are effective for us as of January 1, 2019. A modified retrospective transition approach is required for lessees for capital and operating leases existing at, or entered into after, the beginning of the earliest comparative period presented in the financial statements, with certain practical expedients available. During the fourth quarter of 2017, we performed a preliminary assessment of the impact that the implementation of this guidance will have on our consolidated financial statements. Our assessment is ongoing. We currently expect that the implementation of this new guidance will have a significant impact on our consolidated balance sheet as a result of recording right-of-use assets and lease liabilities for all of our multi-year leases. Under current guidance, none of these leases has any related asset or liability recorded on our balance sheet. We do not currently expect that the implementation of this new guidance will have a significant impact on our pattern of expense recognition for any of our multi-year leases. However, we are still in the process of completing our assessment and our conclusions about the impact that this new guidance will have on our consolidated financial statements may change as we complete our assessment over the next two quarters.</w:t>
      </w:r>
    </w:p>
    <w:p>
      <w:pPr>
        <w:spacing w:after="0" w:line="200" w:lineRule="exact"/>
        <w:rPr>
          <w:sz w:val="20"/>
          <w:szCs w:val="20"/>
          <w:color w:val="auto"/>
        </w:rPr>
      </w:pPr>
    </w:p>
    <w:p>
      <w:pPr>
        <w:spacing w:after="0" w:line="220"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229" w:lineRule="exact"/>
        <w:rPr>
          <w:rFonts w:ascii="Arial" w:cs="Arial" w:eastAsia="Arial" w:hAnsi="Arial"/>
          <w:sz w:val="18"/>
          <w:szCs w:val="18"/>
          <w:b w:val="1"/>
          <w:bCs w:val="1"/>
          <w:color w:val="auto"/>
        </w:rPr>
      </w:pPr>
    </w:p>
    <w:p>
      <w:pPr>
        <w:ind w:left="660" w:right="3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May 24, 2017, we completed our acquisition of Ambrell. The purchase price for Ambrell was $22,000 in cash paid at closing, subject to a customary post-closing working capital adjustment, and additional contingent consideration of up to $18,000 in the form of earnouts paid based upon a multiple of adjusted EBITDA for 2017 and 2018, as further discussed below. The acquisition was completed by acquiring all of the outstanding capital stock of Ambrell. Total acquisition costs incurred to complete this transaction were $935. Acquisition costs were expensed as incurred and included in general and administrative expense.</w:t>
      </w:r>
    </w:p>
    <w:p>
      <w:pPr>
        <w:spacing w:after="0" w:line="188" w:lineRule="exact"/>
        <w:rPr>
          <w:rFonts w:ascii="Arial" w:cs="Arial" w:eastAsia="Arial" w:hAnsi="Arial"/>
          <w:sz w:val="18"/>
          <w:szCs w:val="18"/>
          <w:b w:val="1"/>
          <w:bCs w:val="1"/>
          <w:color w:val="auto"/>
        </w:rPr>
      </w:pPr>
    </w:p>
    <w:p>
      <w:pPr>
        <w:ind w:left="6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acquisition of Ambrell has been accounted for as a business combination using purchase accounting, and, accordingly, the results of Ambrell have been included in our consolidated results of operations from the date of acquisition. The allocation of the Ambrell purchase price was based on fair values as of May 24, 2017. The determination of fair value reflects our estimates and assumptions based on the information available as of the date the estimate is calculated.</w:t>
      </w:r>
    </w:p>
    <w:p>
      <w:pPr>
        <w:spacing w:after="0" w:line="187" w:lineRule="exact"/>
        <w:rPr>
          <w:sz w:val="20"/>
          <w:szCs w:val="20"/>
          <w:color w:val="auto"/>
        </w:rPr>
      </w:pPr>
    </w:p>
    <w:p>
      <w:pPr>
        <w:ind w:left="660" w:right="560"/>
        <w:spacing w:after="0" w:line="308" w:lineRule="auto"/>
        <w:rPr>
          <w:sz w:val="20"/>
          <w:szCs w:val="20"/>
          <w:color w:val="auto"/>
        </w:rPr>
      </w:pPr>
      <w:r>
        <w:rPr>
          <w:rFonts w:ascii="Arial" w:cs="Arial" w:eastAsia="Arial" w:hAnsi="Arial"/>
          <w:sz w:val="17"/>
          <w:szCs w:val="17"/>
          <w:color w:val="auto"/>
        </w:rPr>
        <w:t>The excess of the purchase price over the identifiable intangible and net tangible assets was allocated to goodwill and is not deductible for tax purposes. Goodwill is attributed to synergies that are expected to result from the operations of the combined businesses.</w:t>
      </w:r>
    </w:p>
    <w:p>
      <w:pPr>
        <w:spacing w:after="0" w:line="14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740" w:type="dxa"/>
            <w:vAlign w:val="bottom"/>
            <w:gridSpan w:val="2"/>
          </w:tcPr>
          <w:p>
            <w:pPr>
              <w:spacing w:after="0"/>
              <w:rPr>
                <w:sz w:val="20"/>
                <w:szCs w:val="20"/>
                <w:color w:val="auto"/>
              </w:rPr>
            </w:pPr>
            <w:r>
              <w:rPr>
                <w:rFonts w:ascii="Arial" w:cs="Arial" w:eastAsia="Arial" w:hAnsi="Arial"/>
                <w:sz w:val="18"/>
                <w:szCs w:val="18"/>
                <w:color w:val="auto"/>
              </w:rPr>
              <w:t>The total purchase price of $26,733 was comprised of:</w:t>
            </w: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paid to acquire the capital stock of Ambrell</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Estimated fair value of contingent consideration</w:t>
            </w:r>
          </w:p>
        </w:tc>
        <w:tc>
          <w:tcPr>
            <w:tcW w:w="5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00"/>
        <w:spacing w:after="0" w:line="268" w:lineRule="auto"/>
        <w:rPr>
          <w:sz w:val="20"/>
          <w:szCs w:val="20"/>
          <w:color w:val="auto"/>
        </w:rPr>
      </w:pPr>
      <w:r>
        <w:rPr>
          <w:rFonts w:ascii="Arial" w:cs="Arial" w:eastAsia="Arial" w:hAnsi="Arial"/>
          <w:sz w:val="17"/>
          <w:szCs w:val="17"/>
          <w:color w:val="auto"/>
        </w:rPr>
        <w:t>As noted above, the consideration paid for the acquisition of Ambrell includes contingent consideration in the form of earnouts based on the adjusted EBITDA of Ambrell for 2017 and 2018. Adjusted EBITDA is earnings (or loss) from operations before interest expense, benefit or provision for income taxes, depreciation and amortization, and excludes other non-recurring income and expense items as defined in the stock purchase agreement for Ambrell. The first earnout paid after calendar year 2017 was completed was an amount equal to 8x Ambrell's adjusted EBITDA for 2017 minus the $22,000 paid at closing. This amount was $5,833 and was paid in April 2018. The second earnout, if any, to be paid after calendar year 2018 is completed, will be an amount equal to 8x Ambrell's adjusted EBITDA for 2018 minus the sum of the $22,000 paid at closing and $5,833, the earnout paid with respect to 2017. The 2017 and 2018 earnouts, in the aggregate, are capped at $18,000. To estimate the fair value of the contingent consideration at the acquisition date and at the end of each quarter, an option based income approach using a Monte Carlo simulation model is utilized due to the non-linear payout structure. As of the acquisition date, this resulted in an estimated fair value of $4,123 for the 2017 and 2018 earnouts. This amount was recorded as a contingent consideration liability and included in the purchase price as of the acquisition date. At June 30, 2018, this same approach resulted in an estimated fair value of $6,282 for the 2018 earnout which is recorded as earnout payable on our balance sheet. Changes in the amount of the estimated fair value of the earnouts since the acquisition date are recorded as operating expenses in our statement of operations in the quarter in which they occur.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purchase price of $26,733 has been allocated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3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12,032</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4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16,300</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 and liabilities assumed:</w:t>
            </w:r>
          </w:p>
        </w:tc>
        <w:tc>
          <w:tcPr>
            <w:tcW w:w="4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Cash</w:t>
            </w:r>
          </w:p>
        </w:tc>
        <w:tc>
          <w:tcPr>
            <w:tcW w:w="4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648</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receivable</w:t>
            </w:r>
          </w:p>
        </w:tc>
        <w:tc>
          <w:tcPr>
            <w:tcW w:w="4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3,621</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4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1,917</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4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4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614</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(1,420)</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4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(1,280)</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advances</w:t>
            </w:r>
          </w:p>
        </w:tc>
        <w:tc>
          <w:tcPr>
            <w:tcW w:w="4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Deferred tax liability</w:t>
            </w:r>
          </w:p>
        </w:tc>
        <w:tc>
          <w:tcPr>
            <w:tcW w:w="4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(5,345)</w:t>
            </w:r>
          </w:p>
        </w:tc>
        <w:tc>
          <w:tcPr>
            <w:tcW w:w="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4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413"/>
        </w:trPr>
        <w:tc>
          <w:tcPr>
            <w:tcW w:w="1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800" w:type="dxa"/>
            <w:vAlign w:val="bottom"/>
          </w:tcPr>
          <w:p>
            <w:pPr>
              <w:jc w:val="right"/>
              <w:ind w:right="3890"/>
              <w:spacing w:after="0"/>
              <w:rPr>
                <w:sz w:val="20"/>
                <w:szCs w:val="20"/>
                <w:color w:val="auto"/>
              </w:rPr>
            </w:pPr>
            <w:r>
              <w:rPr>
                <w:rFonts w:ascii="Arial" w:cs="Arial" w:eastAsia="Arial" w:hAnsi="Arial"/>
                <w:sz w:val="18"/>
                <w:szCs w:val="18"/>
                <w:color w:val="auto"/>
              </w:rPr>
              <w:t>- 11 -</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63"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right="160"/>
        <w:spacing w:after="0" w:line="257" w:lineRule="auto"/>
        <w:rPr>
          <w:sz w:val="20"/>
          <w:szCs w:val="20"/>
          <w:color w:val="auto"/>
        </w:rPr>
      </w:pPr>
      <w:r>
        <w:rPr>
          <w:rFonts w:ascii="Arial" w:cs="Arial" w:eastAsia="Arial" w:hAnsi="Arial"/>
          <w:sz w:val="18"/>
          <w:szCs w:val="18"/>
          <w:color w:val="auto"/>
        </w:rPr>
        <w:t>We estimated the fair value of identifiable intangible assets acquired using a combination of the income, cost and market approaches. Identifiable intangible assets acquired include customer relationships, customer backlog, technology and trademarks. 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w:t>
      </w:r>
    </w:p>
    <w:p>
      <w:pPr>
        <w:spacing w:after="0" w:line="188"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color w:val="auto"/>
        </w:rPr>
        <w:t>The following table summarizes the estimated fair value of Ambrell's identifiable intangible assets and their estimated useful lives as of the acquisition date:</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Fair</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Useful Life</w:t>
            </w: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9,000</w:t>
            </w:r>
          </w:p>
        </w:tc>
        <w:tc>
          <w:tcPr>
            <w:tcW w:w="200" w:type="dxa"/>
            <w:vAlign w:val="bottom"/>
          </w:tcPr>
          <w:p>
            <w:pPr>
              <w:spacing w:after="0"/>
              <w:rPr>
                <w:sz w:val="18"/>
                <w:szCs w:val="18"/>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10,100</w:t>
            </w:r>
          </w:p>
        </w:tc>
        <w:tc>
          <w:tcPr>
            <w:tcW w:w="2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2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50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16,300</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80"/>
        <w:spacing w:after="0" w:line="279" w:lineRule="auto"/>
        <w:rPr>
          <w:sz w:val="20"/>
          <w:szCs w:val="20"/>
          <w:color w:val="auto"/>
        </w:rPr>
      </w:pPr>
      <w:r>
        <w:rPr>
          <w:rFonts w:ascii="Arial" w:cs="Arial" w:eastAsia="Arial" w:hAnsi="Arial"/>
          <w:sz w:val="17"/>
          <w:szCs w:val="17"/>
          <w:color w:val="auto"/>
        </w:rPr>
        <w:t>The following unaudited pro forma information gives effect to the acquisition of Ambrell as if the acquisition occurred on January 1, 2017. This proforma summary information does not reflect any operating efficiencies or costs savings that may be achieved by the combined businesses. It is presented for informational purposes only and is not necessarily indicative of what the actual results of operations would have been had the acquisition taken place as of that date, nor is it indicative of future consolidated results of operations:</w:t>
      </w:r>
    </w:p>
    <w:p>
      <w:pPr>
        <w:spacing w:after="0" w:line="167"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Three Months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6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June 30, 2017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June 30, 2017</w:t>
            </w:r>
          </w:p>
        </w:tc>
        <w:tc>
          <w:tcPr>
            <w:tcW w:w="80" w:type="dxa"/>
            <w:vAlign w:val="bottom"/>
          </w:tcPr>
          <w:p>
            <w:pPr>
              <w:spacing w:after="0"/>
              <w:rPr>
                <w:sz w:val="20"/>
                <w:szCs w:val="20"/>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18,896</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37,688</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earnings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2,059</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3,719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w:t>
            </w:r>
          </w:p>
        </w:tc>
      </w:tr>
    </w:tbl>
    <w:p>
      <w:pPr>
        <w:spacing w:after="0" w:line="202"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The pro forma results shown above do not reflect the impact on general and administrative expense of investment advisory costs, legal costs and other costs of $935 incurred by us as a direct result of the transaction.</w:t>
      </w:r>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rFonts w:ascii="Arial" w:cs="Arial" w:eastAsia="Arial" w:hAnsi="Arial"/>
          <w:sz w:val="18"/>
          <w:szCs w:val="18"/>
          <w:b w:val="1"/>
          <w:bCs w:val="1"/>
          <w:color w:val="auto"/>
        </w:rPr>
      </w:pPr>
    </w:p>
    <w:p>
      <w:pPr>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ASC Topic 820 (Fair Value Measurement)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spacing w:after="0" w:line="188" w:lineRule="exact"/>
        <w:rPr>
          <w:rFonts w:ascii="Arial" w:cs="Arial" w:eastAsia="Arial" w:hAnsi="Arial"/>
          <w:sz w:val="18"/>
          <w:szCs w:val="18"/>
          <w:b w:val="1"/>
          <w:bCs w:val="1"/>
          <w:color w:val="auto"/>
        </w:rPr>
      </w:pPr>
    </w:p>
    <w:p>
      <w:pPr>
        <w:ind w:left="6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Level 1 Valuations based on unadjusted quoted prices in active markets for identical assets or liabilities that we have the ability to access.</w:t>
      </w:r>
    </w:p>
    <w:p>
      <w:pPr>
        <w:spacing w:after="0" w:line="290" w:lineRule="exact"/>
        <w:rPr>
          <w:rFonts w:ascii="Arial" w:cs="Arial" w:eastAsia="Arial" w:hAnsi="Arial"/>
          <w:sz w:val="18"/>
          <w:szCs w:val="18"/>
          <w:b w:val="1"/>
          <w:bCs w:val="1"/>
          <w:color w:val="auto"/>
        </w:rPr>
      </w:pPr>
    </w:p>
    <w:p>
      <w:pPr>
        <w:ind w:left="1300" w:right="40" w:hanging="648"/>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173" w:lineRule="exact"/>
        <w:rPr>
          <w:rFonts w:ascii="Arial" w:cs="Arial" w:eastAsia="Arial" w:hAnsi="Arial"/>
          <w:sz w:val="18"/>
          <w:szCs w:val="18"/>
          <w:b w:val="1"/>
          <w:bCs w:val="1"/>
          <w:color w:val="auto"/>
        </w:rPr>
      </w:pPr>
    </w:p>
    <w:p>
      <w:pPr>
        <w:ind w:left="5620" w:hanging="101"/>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Valuations based on inputs that are unobservable and significant to the overall fair value measurement.</w:t>
      </w:r>
    </w:p>
    <w:p>
      <w:pPr>
        <w:spacing w:after="0" w:line="252" w:lineRule="exact"/>
        <w:rPr>
          <w:sz w:val="20"/>
          <w:szCs w:val="20"/>
          <w:color w:val="auto"/>
        </w:rPr>
      </w:pPr>
    </w:p>
    <w:p>
      <w:pPr>
        <w:ind w:left="660" w:right="240"/>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Recurring Fair Value Measurements</w:t>
      </w:r>
    </w:p>
    <w:p>
      <w:pPr>
        <w:spacing w:after="0" w:line="225" w:lineRule="exact"/>
        <w:rPr>
          <w:sz w:val="20"/>
          <w:szCs w:val="20"/>
          <w:color w:val="auto"/>
        </w:rPr>
      </w:pPr>
    </w:p>
    <w:p>
      <w:pPr>
        <w:ind w:left="660" w:right="120"/>
        <w:spacing w:after="0" w:line="291" w:lineRule="auto"/>
        <w:rPr>
          <w:sz w:val="20"/>
          <w:szCs w:val="20"/>
          <w:color w:val="auto"/>
        </w:rPr>
      </w:pPr>
      <w:r>
        <w:rPr>
          <w:rFonts w:ascii="Arial" w:cs="Arial" w:eastAsia="Arial" w:hAnsi="Arial"/>
          <w:sz w:val="16"/>
          <w:szCs w:val="16"/>
          <w:color w:val="auto"/>
        </w:rPr>
        <w:t>The contingent consideration liability on our balance sheets is measured at fair value on a recurring basis using Level 3 inputs. The current portion of this liability is reflected as an earnout payable on our balance sheets. Our contingent consideration liability is a result of our acquisition of Ambrell on May 24, 2017, and it represents the estimated fair value of the additional cash consideration payable that is contingent upon the achievement of certain financial results by Ambrell, as discussed more fully in Note 3. The fair value of this Level 3 instrument involves generating various scenarios for projected adjusted EBITDA over a specified time period, calculating the associated contingent consideration payments and discounting the average payments to present value. During the first six months of 2018, we recorded a $1,016 increase in the fair value of our contingent consideration liability as a result of an increase in the projected adjusted EBITDA of Ambrell for the year ended December 31, 2018.</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fair value hierarchy table presents information about liabilities measured at fair value on a recurring basis:</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Amounts at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2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1"/>
              </w:rPr>
              <w:t>Fair Value Measurement Using</w:t>
            </w:r>
          </w:p>
        </w:tc>
      </w:tr>
      <w:tr>
        <w:trPr>
          <w:trHeight w:val="210"/>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3"/>
          </w:tcPr>
          <w:p>
            <w:pPr>
              <w:jc w:val="right"/>
              <w:ind w:right="760"/>
              <w:spacing w:after="0"/>
              <w:rPr>
                <w:sz w:val="20"/>
                <w:szCs w:val="20"/>
                <w:color w:val="auto"/>
              </w:rPr>
            </w:pPr>
            <w:r>
              <w:rPr>
                <w:rFonts w:ascii="Arial" w:cs="Arial" w:eastAsia="Arial" w:hAnsi="Arial"/>
                <w:sz w:val="18"/>
                <w:szCs w:val="18"/>
                <w:b w:val="1"/>
                <w:bCs w:val="1"/>
                <w:color w:val="auto"/>
              </w:rPr>
              <w:t>Level 1</w:t>
            </w:r>
          </w:p>
        </w:tc>
        <w:tc>
          <w:tcPr>
            <w:tcW w:w="1460" w:type="dxa"/>
            <w:vAlign w:val="bottom"/>
            <w:tcBorders>
              <w:top w:val="single" w:sz="8" w:color="auto"/>
            </w:tcBorders>
            <w:gridSpan w:val="3"/>
          </w:tcPr>
          <w:p>
            <w:pPr>
              <w:jc w:val="center"/>
              <w:ind w:right="620"/>
              <w:spacing w:after="0"/>
              <w:rPr>
                <w:sz w:val="20"/>
                <w:szCs w:val="20"/>
                <w:color w:val="auto"/>
              </w:rPr>
            </w:pPr>
            <w:r>
              <w:rPr>
                <w:rFonts w:ascii="Arial" w:cs="Arial" w:eastAsia="Arial" w:hAnsi="Arial"/>
                <w:sz w:val="18"/>
                <w:szCs w:val="18"/>
                <w:b w:val="1"/>
                <w:bCs w:val="1"/>
                <w:color w:val="auto"/>
                <w:w w:val="91"/>
              </w:rPr>
              <w:t>Level 2</w:t>
            </w:r>
          </w:p>
        </w:tc>
        <w:tc>
          <w:tcPr>
            <w:tcW w:w="10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2018</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Earnout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6,282</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6,282</w:t>
            </w:r>
          </w:p>
        </w:tc>
      </w:tr>
      <w:tr>
        <w:trPr>
          <w:trHeight w:val="20"/>
        </w:trPr>
        <w:tc>
          <w:tcPr>
            <w:tcW w:w="4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Changes in the fair value of our Level 3 contingent consideration liability, including the earnout payable, for the six months ended June 30, 2018 were as follows: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-121920</wp:posOffset>
            </wp:positionV>
            <wp:extent cx="615759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Fair value adjustment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Payment of 2017 earnout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-130810</wp:posOffset>
            </wp:positionV>
            <wp:extent cx="615759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57595" cy="14605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151765</wp:posOffset>
            </wp:positionV>
            <wp:extent cx="615759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Balance at end of period</w:t>
      </w: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Six Months</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ind w:left="1060" w:hanging="1053"/>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11,099</w:t>
      </w:r>
    </w:p>
    <w:p>
      <w:pPr>
        <w:spacing w:after="0" w:line="34" w:lineRule="exact"/>
        <w:rPr>
          <w:rFonts w:ascii="Arial" w:cs="Arial" w:eastAsia="Arial" w:hAnsi="Arial"/>
          <w:sz w:val="17"/>
          <w:szCs w:val="17"/>
          <w:color w:val="auto"/>
        </w:rPr>
      </w:pPr>
    </w:p>
    <w:p>
      <w:pPr>
        <w:ind w:left="1140"/>
        <w:spacing w:after="0"/>
        <w:rPr>
          <w:rFonts w:ascii="Arial" w:cs="Arial" w:eastAsia="Arial" w:hAnsi="Arial"/>
          <w:sz w:val="17"/>
          <w:szCs w:val="17"/>
          <w:color w:val="auto"/>
        </w:rPr>
      </w:pPr>
      <w:r>
        <w:rPr>
          <w:rFonts w:ascii="Arial" w:cs="Arial" w:eastAsia="Arial" w:hAnsi="Arial"/>
          <w:sz w:val="18"/>
          <w:szCs w:val="18"/>
          <w:color w:val="auto"/>
        </w:rPr>
        <w:t>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9779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jc w:val="right"/>
        <w:ind w:right="460"/>
        <w:spacing w:after="0"/>
        <w:rPr>
          <w:sz w:val="20"/>
          <w:szCs w:val="20"/>
          <w:color w:val="auto"/>
        </w:rPr>
      </w:pPr>
      <w:r>
        <w:rPr>
          <w:rFonts w:ascii="Arial" w:cs="Arial" w:eastAsia="Arial" w:hAnsi="Arial"/>
          <w:sz w:val="18"/>
          <w:szCs w:val="18"/>
          <w:color w:val="auto"/>
        </w:rPr>
        <w:t>(5,833)</w:t>
      </w:r>
    </w:p>
    <w:p>
      <w:pPr>
        <w:spacing w:after="0" w:line="224" w:lineRule="exact"/>
        <w:rPr>
          <w:sz w:val="20"/>
          <w:szCs w:val="20"/>
          <w:color w:val="auto"/>
        </w:rPr>
      </w:pPr>
    </w:p>
    <w:p>
      <w:pPr>
        <w:ind w:left="1140" w:hanging="113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6,282</w:t>
      </w:r>
    </w:p>
    <w:p>
      <w:pPr>
        <w:spacing w:after="0" w:line="911" w:lineRule="exact"/>
        <w:rPr>
          <w:sz w:val="20"/>
          <w:szCs w:val="20"/>
          <w:color w:val="auto"/>
        </w:rPr>
      </w:pPr>
    </w:p>
    <w:p>
      <w:pPr>
        <w:sectPr>
          <w:pgSz w:w="11900" w:h="16838" w:orient="portrait"/>
          <w:cols w:equalWidth="0" w:num="2">
            <w:col w:w="8640" w:space="720"/>
            <w:col w:w="2060"/>
          </w:cols>
          <w:pgMar w:left="240" w:top="118" w:right="239" w:bottom="1440" w:gutter="0" w:footer="0" w:header="0"/>
          <w:type w:val="continuous"/>
        </w:sectPr>
      </w:pPr>
    </w:p>
    <w:p>
      <w:pPr>
        <w:spacing w:after="0" w:line="29"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Thermonics, Inc. ("Thermonics") in January 2012 and Ambrell in May 2017. All of our goodwill and intangible assets are allocated to our Thermal segment. Goodwill totaled $13,738 at each of June 30, 2018 and December 31, 2017.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amount of the carrying value of finite-lived intangible assets for the six months ended June 30, 2018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2018</w:t>
            </w:r>
          </w:p>
        </w:tc>
        <w:tc>
          <w:tcPr>
            <w:tcW w:w="56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9,304</w:t>
            </w:r>
          </w:p>
        </w:tc>
        <w:tc>
          <w:tcPr>
            <w:tcW w:w="42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Amortization</w:t>
            </w:r>
          </w:p>
        </w:tc>
        <w:tc>
          <w:tcPr>
            <w:tcW w:w="5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(463)</w:t>
            </w:r>
          </w:p>
        </w:tc>
        <w:tc>
          <w:tcPr>
            <w:tcW w:w="42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2018</w:t>
            </w:r>
          </w:p>
        </w:tc>
        <w:tc>
          <w:tcPr>
            <w:tcW w:w="50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8,841</w:t>
            </w:r>
          </w:p>
        </w:tc>
        <w:tc>
          <w:tcPr>
            <w:tcW w:w="420" w:type="dxa"/>
            <w:vAlign w:val="bottom"/>
          </w:tcPr>
          <w:p>
            <w:pPr>
              <w:spacing w:after="0"/>
              <w:rPr>
                <w:sz w:val="21"/>
                <w:szCs w:val="21"/>
                <w:color w:val="auto"/>
              </w:rPr>
            </w:pPr>
          </w:p>
        </w:tc>
      </w:tr>
      <w:tr>
        <w:trPr>
          <w:trHeight w:val="413"/>
        </w:trPr>
        <w:tc>
          <w:tcPr>
            <w:tcW w:w="1300" w:type="dxa"/>
            <w:vAlign w:val="bottom"/>
          </w:tcPr>
          <w:p>
            <w:pPr>
              <w:spacing w:after="0"/>
              <w:rPr>
                <w:sz w:val="24"/>
                <w:szCs w:val="24"/>
                <w:color w:val="auto"/>
              </w:rPr>
            </w:pPr>
          </w:p>
        </w:tc>
        <w:tc>
          <w:tcPr>
            <w:tcW w:w="3040" w:type="dxa"/>
            <w:vAlign w:val="bottom"/>
            <w:tcBorders>
              <w:top w:val="single" w:sz="8" w:color="CCEEFF"/>
            </w:tcBorders>
          </w:tcPr>
          <w:p>
            <w:pPr>
              <w:spacing w:after="0"/>
              <w:rPr>
                <w:sz w:val="24"/>
                <w:szCs w:val="24"/>
                <w:color w:val="auto"/>
              </w:rPr>
            </w:pPr>
          </w:p>
        </w:tc>
        <w:tc>
          <w:tcPr>
            <w:tcW w:w="5020" w:type="dxa"/>
            <w:vAlign w:val="bottom"/>
            <w:tcBorders>
              <w:top w:val="single" w:sz="8" w:color="CCEEFF"/>
            </w:tcBorders>
          </w:tcPr>
          <w:p>
            <w:pPr>
              <w:jc w:val="right"/>
              <w:ind w:right="3370"/>
              <w:spacing w:after="0"/>
              <w:rPr>
                <w:sz w:val="20"/>
                <w:szCs w:val="20"/>
                <w:color w:val="auto"/>
              </w:rPr>
            </w:pPr>
            <w:r>
              <w:rPr>
                <w:rFonts w:ascii="Arial" w:cs="Arial" w:eastAsia="Arial" w:hAnsi="Arial"/>
                <w:sz w:val="18"/>
                <w:szCs w:val="18"/>
                <w:color w:val="auto"/>
              </w:rPr>
              <w:t>- 13 -</w:t>
            </w:r>
          </w:p>
        </w:tc>
        <w:tc>
          <w:tcPr>
            <w:tcW w:w="6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130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50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type w:val="continuous"/>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 further detail about our intangible assets as of June 30, 2018 and December 31, 2017:</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2018</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6"/>
                <w:szCs w:val="16"/>
                <w:color w:val="auto"/>
              </w:rPr>
            </w:pPr>
          </w:p>
        </w:tc>
      </w:tr>
      <w:tr>
        <w:trPr>
          <w:trHeight w:val="216"/>
        </w:trPr>
        <w:tc>
          <w:tcPr>
            <w:tcW w:w="3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3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Amortization</w:t>
            </w:r>
          </w:p>
        </w:tc>
        <w:tc>
          <w:tcPr>
            <w:tcW w:w="26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0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10,480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2,177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8,303</w:t>
            </w:r>
          </w:p>
        </w:tc>
      </w:tr>
      <w:tr>
        <w:trPr>
          <w:trHeight w:val="216"/>
        </w:trPr>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r>
      <w:tr>
        <w:trPr>
          <w:trHeight w:val="216"/>
        </w:trPr>
        <w:tc>
          <w:tcPr>
            <w:tcW w:w="3520" w:type="dxa"/>
            <w:vAlign w:val="bottom"/>
          </w:tcPr>
          <w:p>
            <w:pPr>
              <w:ind w:left="160"/>
              <w:spacing w:after="0"/>
              <w:rPr>
                <w:sz w:val="20"/>
                <w:szCs w:val="20"/>
                <w:color w:val="auto"/>
              </w:rPr>
            </w:pPr>
            <w:r>
              <w:rPr>
                <w:rFonts w:ascii="Arial" w:cs="Arial" w:eastAsia="Arial" w:hAnsi="Arial"/>
                <w:sz w:val="18"/>
                <w:szCs w:val="18"/>
                <w:color w:val="auto"/>
              </w:rPr>
              <w:t>Patents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483</w:t>
            </w: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352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backlog</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12,580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3,739</w:t>
            </w: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8,841</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6,710</w:t>
            </w:r>
          </w:p>
        </w:tc>
      </w:tr>
      <w:tr>
        <w:trPr>
          <w:trHeight w:val="20"/>
        </w:trPr>
        <w:tc>
          <w:tcPr>
            <w:tcW w:w="3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3,739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15,551</w:t>
            </w:r>
          </w:p>
        </w:tc>
      </w:tr>
      <w:tr>
        <w:trPr>
          <w:trHeight w:val="413"/>
        </w:trPr>
        <w:tc>
          <w:tcPr>
            <w:tcW w:w="352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December 31, 2017</w:t>
            </w:r>
          </w:p>
        </w:tc>
        <w:tc>
          <w:tcPr>
            <w:tcW w:w="1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91"/>
        </w:trPr>
        <w:tc>
          <w:tcPr>
            <w:tcW w:w="3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6"/>
                <w:szCs w:val="16"/>
                <w:color w:val="auto"/>
              </w:rPr>
            </w:pPr>
          </w:p>
        </w:tc>
      </w:tr>
      <w:tr>
        <w:trPr>
          <w:trHeight w:val="216"/>
        </w:trPr>
        <w:tc>
          <w:tcPr>
            <w:tcW w:w="3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3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Amortization</w:t>
            </w:r>
          </w:p>
        </w:tc>
        <w:tc>
          <w:tcPr>
            <w:tcW w:w="26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0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10,480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1,828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8,652</w:t>
            </w:r>
          </w:p>
        </w:tc>
      </w:tr>
      <w:tr>
        <w:trPr>
          <w:trHeight w:val="216"/>
        </w:trPr>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r>
      <w:tr>
        <w:trPr>
          <w:trHeight w:val="216"/>
        </w:trPr>
        <w:tc>
          <w:tcPr>
            <w:tcW w:w="3520" w:type="dxa"/>
            <w:vAlign w:val="bottom"/>
          </w:tcPr>
          <w:p>
            <w:pPr>
              <w:ind w:left="160"/>
              <w:spacing w:after="0"/>
              <w:rPr>
                <w:sz w:val="20"/>
                <w:szCs w:val="20"/>
                <w:color w:val="auto"/>
              </w:rPr>
            </w:pPr>
            <w:r>
              <w:rPr>
                <w:rFonts w:ascii="Arial" w:cs="Arial" w:eastAsia="Arial" w:hAnsi="Arial"/>
                <w:sz w:val="18"/>
                <w:szCs w:val="18"/>
                <w:color w:val="auto"/>
              </w:rPr>
              <w:t>Patents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463</w:t>
            </w: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r>
      <w:tr>
        <w:trPr>
          <w:trHeight w:val="216"/>
        </w:trPr>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352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backlog</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12,580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3,276</w:t>
            </w: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9,304</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6,710</w:t>
            </w:r>
          </w:p>
        </w:tc>
      </w:tr>
      <w:tr>
        <w:trPr>
          <w:trHeight w:val="20"/>
        </w:trPr>
        <w:tc>
          <w:tcPr>
            <w:tcW w:w="3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16,014</w:t>
            </w:r>
          </w:p>
        </w:tc>
      </w:tr>
      <w:tr>
        <w:trPr>
          <w:trHeight w:val="20"/>
        </w:trPr>
        <w:tc>
          <w:tcPr>
            <w:tcW w:w="35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660" w:right="160"/>
        <w:spacing w:after="0" w:line="264"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amortization expense for our finite-lived intangible assets was $463 and $303 respectively, for the six months ended June 30, 2018 and 2017.</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estimated annual amortization expense for each of the next five years:</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2018 (remainder)</w:t>
            </w:r>
          </w:p>
        </w:tc>
        <w:tc>
          <w:tcPr>
            <w:tcW w:w="3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2019</w:t>
            </w:r>
          </w:p>
        </w:tc>
        <w:tc>
          <w:tcPr>
            <w:tcW w:w="37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2021</w:t>
            </w:r>
          </w:p>
        </w:tc>
        <w:tc>
          <w:tcPr>
            <w:tcW w:w="37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r>
    </w:tbl>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Changes in the amount of the allowance for doubtful accounts for the six months ended June 30, 2018 are as follows:</w:t>
      </w:r>
    </w:p>
    <w:p>
      <w:pPr>
        <w:sectPr>
          <w:pgSz w:w="11900" w:h="16838" w:orient="portrait"/>
          <w:cols w:equalWidth="0" w:num="1">
            <w:col w:w="11240"/>
          </w:cols>
          <w:pgMar w:left="240" w:top="118" w:right="419" w:bottom="1440" w:gutter="0" w:footer="0" w:header="0"/>
        </w:sectPr>
      </w:pP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Balance -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-121920</wp:posOffset>
            </wp:positionV>
            <wp:extent cx="579755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Bad debt expense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-130810</wp:posOffset>
            </wp:positionV>
            <wp:extent cx="579755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Balance - June 30, 2018</w:t>
      </w:r>
    </w:p>
    <w:p>
      <w:pPr>
        <w:spacing w:after="0" w:line="225" w:lineRule="exact"/>
        <w:rPr>
          <w:sz w:val="20"/>
          <w:szCs w:val="20"/>
          <w:color w:val="auto"/>
        </w:rPr>
      </w:pPr>
    </w:p>
    <w:p>
      <w:pPr>
        <w:jc w:val="right"/>
        <w:ind w:right="2180"/>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280" w:hanging="1280"/>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213</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50</w:t>
      </w:r>
    </w:p>
    <w:p>
      <w:pPr>
        <w:spacing w:after="0" w:line="9" w:lineRule="exact"/>
        <w:rPr>
          <w:sz w:val="20"/>
          <w:szCs w:val="20"/>
          <w:color w:val="auto"/>
        </w:rPr>
      </w:pPr>
    </w:p>
    <w:p>
      <w:pPr>
        <w:jc w:val="right"/>
        <w:ind w:right="820"/>
        <w:spacing w:after="0"/>
        <w:rPr>
          <w:sz w:val="20"/>
          <w:szCs w:val="20"/>
          <w:color w:val="auto"/>
        </w:rPr>
      </w:pPr>
      <w:r>
        <w:rPr>
          <w:rFonts w:ascii="Arial" w:cs="Arial" w:eastAsia="Arial" w:hAnsi="Arial"/>
          <w:sz w:val="18"/>
          <w:szCs w:val="18"/>
          <w:color w:val="auto"/>
        </w:rPr>
        <w:t>(30)</w:t>
      </w:r>
    </w:p>
    <w:p>
      <w:pPr>
        <w:spacing w:after="0" w:line="9" w:lineRule="exact"/>
        <w:rPr>
          <w:sz w:val="20"/>
          <w:szCs w:val="20"/>
          <w:color w:val="auto"/>
        </w:rPr>
      </w:pPr>
    </w:p>
    <w:p>
      <w:pPr>
        <w:ind w:left="1280" w:hanging="1280"/>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861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86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ectPr>
          <w:pgSz w:w="11900" w:h="16838" w:orient="portrait"/>
          <w:cols w:equalWidth="0" w:num="2">
            <w:col w:w="8080" w:space="720"/>
            <w:col w:w="2440"/>
          </w:cols>
          <w:pgMar w:left="240" w:top="118" w:right="419" w:bottom="1440" w:gutter="0" w:footer="0" w:header="0"/>
          <w:type w:val="continuous"/>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right="120"/>
        <w:spacing w:after="0" w:line="308" w:lineRule="auto"/>
        <w:rPr>
          <w:sz w:val="20"/>
          <w:szCs w:val="20"/>
          <w:color w:val="auto"/>
        </w:rPr>
      </w:pPr>
      <w:r>
        <w:rPr>
          <w:rFonts w:ascii="Arial" w:cs="Arial" w:eastAsia="Arial" w:hAnsi="Arial"/>
          <w:sz w:val="17"/>
          <w:szCs w:val="17"/>
          <w:color w:val="auto"/>
        </w:rPr>
        <w:t>The following tables provide additional information about our revenue from contracts with customers, including revenue by customer and product type and revenue by market. See also Note 12 for information about revenue by operating segment and geographic region.</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customer type: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End user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18,173</w:t>
            </w:r>
          </w:p>
        </w:tc>
        <w:tc>
          <w:tcPr>
            <w:tcW w:w="20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15,029</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34,502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OEM/Integrator</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21,097</w:t>
            </w:r>
          </w:p>
        </w:tc>
        <w:tc>
          <w:tcPr>
            <w:tcW w:w="20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15,888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39,968</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by product type:</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Thermal test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6,312</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12,420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Induction heating</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5,937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11,559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Semiconductor production test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12,148</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Service/other</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3,841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21,097</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39,968</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30,068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market: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Semiconductor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13,043</w:t>
            </w:r>
          </w:p>
        </w:tc>
        <w:tc>
          <w:tcPr>
            <w:tcW w:w="20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10,155</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23,582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10,653</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Telecommunications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2,622</w:t>
            </w: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non-semiconductor markets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21,097</w:t>
            </w:r>
          </w:p>
        </w:tc>
        <w:tc>
          <w:tcPr>
            <w:tcW w:w="20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15,888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39,968</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9" w:lineRule="exact"/>
        <w:rPr>
          <w:rFonts w:ascii="Arial" w:cs="Arial" w:eastAsia="Arial" w:hAnsi="Arial"/>
          <w:sz w:val="18"/>
          <w:szCs w:val="18"/>
          <w:b w:val="1"/>
          <w:bCs w:val="1"/>
          <w:color w:val="auto"/>
        </w:rPr>
      </w:pPr>
    </w:p>
    <w:p>
      <w:pPr>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During the six months ended June 30, 2018 and 2017, Texas Instruments Incorporated accounted for 13% and 15% of our consolidated net revenues, respectively. While both of our segments sold to this customer, these revenues were primarily generated by our EMS segment. During the six months ended June 30, 2017, Hakuto Co., Ltd., one of our distributors, accounted for 13% of our consolidated net revenues. These revenues were generated by our Thermal segment. No other customers accounted for 10% or more of our consolidated net revenues during the six months ended June 30, 2018 and 2017.</w:t>
      </w:r>
    </w:p>
    <w:p>
      <w:pPr>
        <w:spacing w:after="0" w:line="200" w:lineRule="exact"/>
        <w:rPr>
          <w:rFonts w:ascii="Arial" w:cs="Arial" w:eastAsia="Arial" w:hAnsi="Arial"/>
          <w:sz w:val="18"/>
          <w:szCs w:val="18"/>
          <w:b w:val="1"/>
          <w:bCs w:val="1"/>
          <w:color w:val="auto"/>
        </w:rPr>
      </w:pPr>
    </w:p>
    <w:p>
      <w:pPr>
        <w:spacing w:after="0" w:line="227" w:lineRule="exact"/>
        <w:rPr>
          <w:rFonts w:ascii="Arial" w:cs="Arial" w:eastAsia="Arial" w:hAnsi="Arial"/>
          <w:sz w:val="18"/>
          <w:szCs w:val="18"/>
          <w:b w:val="1"/>
          <w:bCs w:val="1"/>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Inventories held at June 30, 2018 and December 31, 2017 were comprised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320" w:type="dxa"/>
            <w:vAlign w:val="bottom"/>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Work in process</w:t>
            </w: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Inventory consigned to others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Finished goods</w:t>
            </w: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r>
      <w:tr>
        <w:trPr>
          <w:trHeight w:val="20"/>
        </w:trPr>
        <w:tc>
          <w:tcPr>
            <w:tcW w:w="6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6,859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4,966</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rFonts w:ascii="Arial" w:cs="Arial" w:eastAsia="Arial" w:hAnsi="Arial"/>
          <w:sz w:val="18"/>
          <w:szCs w:val="18"/>
          <w:b w:val="1"/>
          <w:bCs w:val="1"/>
          <w:color w:val="auto"/>
        </w:rPr>
      </w:pPr>
    </w:p>
    <w:p>
      <w:pPr>
        <w:ind w:left="6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Our outstanding letters of credit at June 30, 2018 and December 31, 2017 consisted of the following:</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Letters of Credit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rPr>
              <w:t>L/C</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6"/>
              </w:rPr>
              <w:t>Lease</w:t>
            </w:r>
          </w:p>
        </w:tc>
        <w:tc>
          <w:tcPr>
            <w:tcW w:w="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Amount Outstanding</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Original L/C</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Expiration</w:t>
            </w: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Expiration</w:t>
            </w: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Issue Date</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Mt. Laurel, NJ</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3/29/2010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3/31/2019</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4/30/2021 $</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Mansfield, MA</w:t>
            </w:r>
          </w:p>
        </w:tc>
        <w:tc>
          <w:tcPr>
            <w:tcW w:w="1040" w:type="dxa"/>
            <w:vAlign w:val="bottom"/>
          </w:tcPr>
          <w:p>
            <w:pPr>
              <w:jc w:val="right"/>
              <w:spacing w:after="0"/>
              <w:rPr>
                <w:sz w:val="20"/>
                <w:szCs w:val="20"/>
                <w:color w:val="auto"/>
              </w:rPr>
            </w:pPr>
            <w:r>
              <w:rPr>
                <w:rFonts w:ascii="Arial" w:cs="Arial" w:eastAsia="Arial" w:hAnsi="Arial"/>
                <w:sz w:val="18"/>
                <w:szCs w:val="18"/>
                <w:color w:val="auto"/>
              </w:rPr>
              <w:t>10/27/2010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11/08/2018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8/23/2021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rFonts w:ascii="Arial" w:cs="Arial" w:eastAsia="Arial" w:hAnsi="Arial"/>
          <w:sz w:val="18"/>
          <w:szCs w:val="18"/>
          <w:b w:val="1"/>
          <w:bCs w:val="1"/>
          <w:color w:val="auto"/>
        </w:rPr>
      </w:pPr>
    </w:p>
    <w:p>
      <w:pPr>
        <w:ind w:left="660" w:right="1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As of June 30, 2018, we have unvested restricted stock awards and stock options granted under stock-based compensation plans that are described more fully in Note 13 to the consolidated financial statements in our 2017 Form 10-K. On June 27, 2018, our stockholders approved the</w:t>
      </w:r>
    </w:p>
    <w:p>
      <w:pPr>
        <w:sectPr>
          <w:pgSz w:w="11900" w:h="16838" w:orient="portrait"/>
          <w:cols w:equalWidth="0" w:num="1">
            <w:col w:w="11300"/>
          </w:cols>
          <w:pgMar w:left="240" w:top="118" w:right="359" w:bottom="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amendment and restatement of the 2014 Stock Plan (the “Plan”) to increase the number of shares of common stock that may be delivered pursuant to awards granted under the Plan from 500,000 to 1,000,000 shares.</w:t>
      </w:r>
    </w:p>
    <w:p>
      <w:pPr>
        <w:spacing w:after="0" w:line="1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40"/>
          </w:cols>
          <w:pgMar w:left="900" w:top="125" w:right="45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right="560"/>
        <w:spacing w:after="0" w:line="259" w:lineRule="auto"/>
        <w:rPr>
          <w:sz w:val="20"/>
          <w:szCs w:val="20"/>
          <w:color w:val="auto"/>
        </w:rPr>
      </w:pPr>
      <w:r>
        <w:rPr>
          <w:rFonts w:ascii="Arial" w:cs="Arial" w:eastAsia="Arial" w:hAnsi="Arial"/>
          <w:sz w:val="18"/>
          <w:szCs w:val="18"/>
          <w:color w:val="auto"/>
        </w:rPr>
        <w:t>As of June 30, 2018, total unrecognized compensation expense related to unvested restricted stock awards and stock options was $1,539. The weighted average period over which this expense is expected to be recognized is 3.2 years. The following table shows the allocation of the compensation expense we recorded during the three and six months ended June 30, 2018 and 2017, respectively, related to stock-based compensation:</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8"/>
                <w:szCs w:val="18"/>
                <w:b w:val="1"/>
                <w:bCs w:val="1"/>
                <w:color w:val="auto"/>
              </w:rPr>
              <w:t>June 30,</w:t>
            </w: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Selling expense</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7"/>
              </w:rPr>
              <w:t>Engineering and product development expense</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9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94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289</w:t>
            </w: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r>
      <w:tr>
        <w:trPr>
          <w:trHeight w:val="20"/>
        </w:trPr>
        <w:tc>
          <w:tcPr>
            <w:tcW w:w="3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r>
      <w:tr>
        <w:trPr>
          <w:trHeight w:val="20"/>
        </w:trPr>
        <w:tc>
          <w:tcPr>
            <w:tcW w:w="3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stock-based compensation expense capitalized in the three or six months ended June 30, 2018 or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We record compensation expense for restricted stock awards based on the quoted market price of our stock at the grant date and amortize the expense over the vesting period. Restricted stock awards generally vest over four years. However, in March 2018 and 2017, we granted 32,000 and 22,500 shares of restricted stock, respectively, to our independent directors. These shares vest 25% at each of March 31, June 30, September 30, and December 31 of the year in which they were granted. The total compensation expense related to these shares is $270 and $143, respectively, and is recorded as the shares vest.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unvested shares of restricted stock for the six months ended June 30, 2018:</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320" w:type="dxa"/>
            <w:vAlign w:val="bottom"/>
          </w:tcPr>
          <w:p>
            <w:pPr>
              <w:spacing w:after="0"/>
              <w:rPr>
                <w:sz w:val="18"/>
                <w:szCs w:val="18"/>
                <w:color w:val="auto"/>
              </w:rPr>
            </w:pPr>
          </w:p>
        </w:tc>
        <w:tc>
          <w:tcPr>
            <w:tcW w:w="17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6320" w:type="dxa"/>
            <w:vAlign w:val="bottom"/>
          </w:tcPr>
          <w:p>
            <w:pPr>
              <w:spacing w:after="0"/>
              <w:rPr>
                <w:sz w:val="20"/>
                <w:szCs w:val="20"/>
                <w:color w:val="auto"/>
              </w:rPr>
            </w:pP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January 1, 2018</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75,225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91,100</w:t>
            </w:r>
          </w:p>
        </w:tc>
        <w:tc>
          <w:tcPr>
            <w:tcW w:w="2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8.29</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(31,700)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 outstanding, June 30, 2018</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134,625</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w:t>
            </w:r>
          </w:p>
        </w:tc>
      </w:tr>
    </w:tbl>
    <w:p>
      <w:pPr>
        <w:spacing w:after="0" w:line="202"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The total fair value of the shares that vested during the six months ended June 30, 2018 and 2017 was $238 and $197, respectively, as of the vesting dates of these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for stock options granted during the six months ended June 30, 2018 and 2017 was estimated at the date of grant using the Black-</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Scholes option pricing model with the following weighted average assumptions: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r>
      <w:tr>
        <w:trPr>
          <w:trHeight w:val="210"/>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6.25</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r>
    </w:tbl>
    <w:p>
      <w:pPr>
        <w:spacing w:after="0" w:line="187"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color w:val="auto"/>
        </w:rPr>
        <w:t>The per share weighted average fair value of stock options issued during the six months ended June 30, 2018 and 2017 was $3.52 and $2.64,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stock options for the six months ended June 30, 2018:</w:t>
      </w:r>
    </w:p>
    <w:p>
      <w:pPr>
        <w:sectPr>
          <w:pgSz w:w="11900" w:h="16838" w:orient="portrait"/>
          <w:cols w:equalWidth="0" w:num="1">
            <w:col w:w="11400"/>
          </w:cols>
          <w:pgMar w:left="240" w:top="118" w:right="259" w:bottom="3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Options outstanding, January 1, 2018 (4,950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65176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-130810</wp:posOffset>
            </wp:positionV>
            <wp:extent cx="651764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1764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Options outstanding, June 30, 2018 (22,700 exercisable)</w:t>
      </w:r>
    </w:p>
    <w:p>
      <w:pPr>
        <w:spacing w:after="0" w:line="225" w:lineRule="exact"/>
        <w:rPr>
          <w:sz w:val="20"/>
          <w:szCs w:val="20"/>
          <w:color w:val="auto"/>
        </w:rPr>
      </w:pPr>
    </w:p>
    <w:p>
      <w:pPr>
        <w:jc w:val="right"/>
        <w:ind w:right="1420"/>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5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r>
      <w:tr>
        <w:trPr>
          <w:trHeight w:val="195"/>
        </w:trPr>
        <w:tc>
          <w:tcPr>
            <w:tcW w:w="1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76,400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5.98</w:t>
            </w:r>
          </w:p>
        </w:tc>
        <w:tc>
          <w:tcPr>
            <w:tcW w:w="20" w:type="dxa"/>
            <w:vAlign w:val="bottom"/>
          </w:tcPr>
          <w:p>
            <w:pPr>
              <w:spacing w:after="0"/>
              <w:rPr>
                <w:sz w:val="16"/>
                <w:szCs w:val="16"/>
                <w:color w:val="auto"/>
              </w:rPr>
            </w:pPr>
          </w:p>
        </w:tc>
      </w:tr>
      <w:tr>
        <w:trPr>
          <w:trHeight w:val="216"/>
        </w:trPr>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176,400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8.21</w:t>
            </w:r>
          </w:p>
        </w:tc>
      </w:tr>
      <w:tr>
        <w:trPr>
          <w:trHeight w:val="216"/>
        </w:trPr>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252,800</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7.53</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7320" w:space="720"/>
            <w:col w:w="3360"/>
          </w:cols>
          <w:pgMar w:left="240" w:top="118" w:right="259" w:bottom="343" w:gutter="0" w:footer="0" w:header="0"/>
          <w:type w:val="continuous"/>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rFonts w:ascii="Arial" w:cs="Arial" w:eastAsia="Arial" w:hAnsi="Arial"/>
          <w:sz w:val="18"/>
          <w:szCs w:val="18"/>
          <w:b w:val="1"/>
          <w:bCs w:val="1"/>
          <w:color w:val="auto"/>
        </w:rPr>
      </w:pPr>
    </w:p>
    <w:p>
      <w:pPr>
        <w:ind w:left="660" w:right="1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We have defined contribution 401(k) plans for our employees who work in the U.S. All permanent employees of inTEST Corporation, Temptronic Corporation (“Temptronic”) and inTEST Silicon Valley Corporation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six months ended June 30, 2018 and 2017, we recorded $205 and $245 of expense for matching contributions, respectively.</w:t>
      </w:r>
    </w:p>
    <w:p>
      <w:pPr>
        <w:spacing w:after="0" w:line="172" w:lineRule="exact"/>
        <w:rPr>
          <w:rFonts w:ascii="Arial" w:cs="Arial" w:eastAsia="Arial" w:hAnsi="Arial"/>
          <w:sz w:val="18"/>
          <w:szCs w:val="18"/>
          <w:b w:val="1"/>
          <w:bCs w:val="1"/>
          <w:color w:val="auto"/>
        </w:rPr>
      </w:pPr>
    </w:p>
    <w:p>
      <w:pPr>
        <w:ind w:left="660" w:right="4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All permanent employees of Ambrell are immediately eligible to participate in the Ambrell Corporation Savings &amp; Profit Sharing Plan (the "Ambrell Plan") upon employment and are eligible for employer matching contributions after completing one year of service, as defined in the Ambrell Plan. The Ambrell Plan allows eligible employees to make voluntary contributions up to 100% of compensation, up to the federal government contribution limits. We will make a matching contribution of 25% of each employee's contributions up to a maximum of 2% of such employee's annual compensation. For the six months ended June 30, 2018 and 2017, we recorded $36 and $5 of expense for matching contributions, respectively.</w:t>
      </w:r>
    </w:p>
    <w:p>
      <w:pPr>
        <w:spacing w:after="0" w:line="200" w:lineRule="exact"/>
        <w:rPr>
          <w:rFonts w:ascii="Arial" w:cs="Arial" w:eastAsia="Arial" w:hAnsi="Arial"/>
          <w:sz w:val="18"/>
          <w:szCs w:val="18"/>
          <w:b w:val="1"/>
          <w:bCs w:val="1"/>
          <w:color w:val="auto"/>
        </w:rPr>
      </w:pPr>
    </w:p>
    <w:p>
      <w:pPr>
        <w:spacing w:after="0" w:line="232" w:lineRule="exact"/>
        <w:rPr>
          <w:rFonts w:ascii="Arial" w:cs="Arial" w:eastAsia="Arial" w:hAnsi="Arial"/>
          <w:sz w:val="18"/>
          <w:szCs w:val="18"/>
          <w:b w:val="1"/>
          <w:bCs w:val="1"/>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 have two reportable segments, which are also our reporting units, Thermal and EMS.</w:t>
      </w:r>
    </w:p>
    <w:p>
      <w:pPr>
        <w:spacing w:after="0" w:line="225" w:lineRule="exact"/>
        <w:rPr>
          <w:rFonts w:ascii="Arial" w:cs="Arial" w:eastAsia="Arial" w:hAnsi="Arial"/>
          <w:sz w:val="18"/>
          <w:szCs w:val="18"/>
          <w:b w:val="1"/>
          <w:bCs w:val="1"/>
          <w:color w:val="auto"/>
        </w:rPr>
      </w:pPr>
    </w:p>
    <w:p>
      <w:pPr>
        <w:ind w:left="660" w:right="4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Thermal includes the operations of Temptronic, Thermonics, Sigma, inTEST Thermal Solutions GmbH (Germany), inTEST Pte, Limited (Singapore) and Ambrell, which we acquired in May 2017, as discussed in Note 3. Sales of this segment consist primarily of temperature management systems which we design, manufacture and market under our Temptronic, Thermonics and Sigma product lines, and precision induction heating systems which are designed, manufactured and marketed by Ambrell. In addition, this segment provides post-warranty service and support.</w:t>
      </w:r>
    </w:p>
    <w:p>
      <w:pPr>
        <w:spacing w:after="0" w:line="188" w:lineRule="exact"/>
        <w:rPr>
          <w:rFonts w:ascii="Arial" w:cs="Arial" w:eastAsia="Arial" w:hAnsi="Arial"/>
          <w:sz w:val="18"/>
          <w:szCs w:val="18"/>
          <w:b w:val="1"/>
          <w:bCs w:val="1"/>
          <w:color w:val="auto"/>
        </w:rPr>
      </w:pPr>
    </w:p>
    <w:p>
      <w:pPr>
        <w:ind w:left="660" w:right="6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EMS includes the operations of our manufacturing facilities in Mt. Laurel, New Jersey and Fremont, California. Sales of this segment consist primarily of manipulator, docking hardware and tester interface products, which we design, manufacture and market.</w:t>
      </w:r>
    </w:p>
    <w:p>
      <w:pPr>
        <w:spacing w:after="0" w:line="146" w:lineRule="exact"/>
        <w:rPr>
          <w:rFonts w:ascii="Arial" w:cs="Arial" w:eastAsia="Arial" w:hAnsi="Arial"/>
          <w:sz w:val="18"/>
          <w:szCs w:val="18"/>
          <w:b w:val="1"/>
          <w:bCs w:val="1"/>
          <w:color w:val="auto"/>
        </w:rPr>
      </w:pPr>
    </w:p>
    <w:p>
      <w:pPr>
        <w:ind w:left="6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operate our business worldwide and sell our products both domestically and internationally. Both of our segments sell to semiconductor manufacturers, third-party test and assembly houses, ATE manufacturers and integrators. Thermal also sells into a variety of markets outside of the semiconductor market, including the automotive, consumer electronics, consumer product packaging, defense/aerospace, energy, fiber optics, industrial, telecommunications and other markets.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Thermal</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13,999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9,194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27,233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EMS</w:t>
            </w:r>
          </w:p>
        </w:tc>
        <w:tc>
          <w:tcPr>
            <w:tcW w:w="9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12,735</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tcBorders>
              <w:left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21,097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15,888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39,968</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w w:val="96"/>
              </w:rPr>
              <w:t>Earnings (loss) before income tax expense (benefit):</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Thermal</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2,592</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1,350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2,500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3,486</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Corporate</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(608)</w:t>
            </w:r>
          </w:p>
        </w:tc>
        <w:tc>
          <w:tcPr>
            <w:tcW w:w="3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4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1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436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i w:val="1"/>
                <w:iCs w:val="1"/>
                <w:color w:val="auto"/>
              </w:rPr>
              <w:t>Net earnings (loss):</w:t>
            </w:r>
          </w:p>
        </w:tc>
        <w:tc>
          <w:tcPr>
            <w:tcW w:w="9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EMS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2,950</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(515)</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4,014</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1,445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4,395</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- 17 -</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3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40" w:top="118" w:right="17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Thermal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52,156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50,408</w:t>
            </w:r>
          </w:p>
        </w:tc>
      </w:tr>
      <w:tr>
        <w:trPr>
          <w:trHeight w:val="216"/>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4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62,037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62,493</w:t>
            </w:r>
          </w:p>
        </w:tc>
      </w:tr>
      <w:tr>
        <w:trPr>
          <w:trHeight w:val="20"/>
        </w:trPr>
        <w:tc>
          <w:tcPr>
            <w:tcW w:w="7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U.S.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6,818</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4,580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13,361</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7,466</w:t>
            </w:r>
          </w:p>
        </w:tc>
      </w:tr>
      <w:tr>
        <w:trPr>
          <w:trHeight w:val="216"/>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14,279</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26,607</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3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21,097</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15,888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39,968</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30,068</w:t>
            </w:r>
          </w:p>
        </w:tc>
      </w:tr>
      <w:tr>
        <w:trPr>
          <w:trHeight w:val="20"/>
        </w:trPr>
        <w:tc>
          <w:tcPr>
            <w:tcW w:w="5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2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4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U.S.</w:t>
            </w:r>
          </w:p>
        </w:tc>
        <w:tc>
          <w:tcPr>
            <w:tcW w:w="522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2,571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991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4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22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2,941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1,541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120" w:type="dxa"/>
            <w:vAlign w:val="bottom"/>
            <w:vMerge w:val="restart"/>
          </w:tcPr>
          <w:p>
            <w:pPr>
              <w:jc w:val="right"/>
              <w:ind w:right="2150"/>
              <w:spacing w:after="0"/>
              <w:rPr>
                <w:sz w:val="20"/>
                <w:szCs w:val="20"/>
                <w:color w:val="auto"/>
              </w:rPr>
            </w:pPr>
            <w:r>
              <w:rPr>
                <w:rFonts w:ascii="Arial" w:cs="Arial" w:eastAsia="Arial" w:hAnsi="Arial"/>
                <w:sz w:val="18"/>
                <w:szCs w:val="18"/>
                <w:color w:val="auto"/>
              </w:rPr>
              <w:t>- 18 -</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40" w:top="118" w:right="17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29" w:lineRule="exact"/>
        <w:rPr>
          <w:sz w:val="20"/>
          <w:szCs w:val="20"/>
          <w:color w:val="auto"/>
        </w:rPr>
      </w:pPr>
    </w:p>
    <w:p>
      <w:pPr>
        <w:ind w:left="340" w:right="20"/>
        <w:spacing w:after="0" w:line="270" w:lineRule="auto"/>
        <w:rPr>
          <w:sz w:val="20"/>
          <w:szCs w:val="20"/>
          <w:color w:val="auto"/>
        </w:rPr>
      </w:pPr>
      <w:r>
        <w:rPr>
          <w:rFonts w:ascii="Arial" w:cs="Arial" w:eastAsia="Arial" w:hAnsi="Arial"/>
          <w:sz w:val="17"/>
          <w:szCs w:val="17"/>
          <w:color w:val="auto"/>
        </w:rPr>
        <w:t>In addition to historical information, this report and management’s discussion and analysis (“MD&amp;A”)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“plans” or "anticipates" or similar terminology. See Part I, Item 1 - "Business - Cautionary Statement Regarding Forward-Looking Statements" in our 2017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 We undertake no obligation to update the information in this report and MD&amp;A to reflect events or circumstances after the date hereof or to reflect the occurrence of anticipated or unanticipated events.</w:t>
      </w:r>
    </w:p>
    <w:p>
      <w:pPr>
        <w:spacing w:after="0" w:line="182" w:lineRule="exact"/>
        <w:rPr>
          <w:sz w:val="20"/>
          <w:szCs w:val="20"/>
          <w:color w:val="auto"/>
        </w:rPr>
      </w:pPr>
    </w:p>
    <w:p>
      <w:pPr>
        <w:ind w:left="340" w:right="80"/>
        <w:spacing w:after="0" w:line="279" w:lineRule="auto"/>
        <w:rPr>
          <w:sz w:val="20"/>
          <w:szCs w:val="20"/>
          <w:color w:val="auto"/>
        </w:rPr>
      </w:pPr>
      <w:r>
        <w:rPr>
          <w:rFonts w:ascii="Arial" w:cs="Arial" w:eastAsia="Arial" w:hAnsi="Arial"/>
          <w:sz w:val="17"/>
          <w:szCs w:val="17"/>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2017 Form 10-K. Material changes to such risk factors may be reported in subsequent Quarterly Reports on Form 10-Q in Part II, Item 1A. There have been no such changes from the risk factors set forth in our 2017 Form 10-K.</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340" w:right="80"/>
        <w:spacing w:after="0" w:line="288"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As further discussed below, on May 24, 2017, we acquired Ambrell, which sells its products almost exclusively to customers in the industrial market, which is a non-semiconductor market. We expect that the acquisition of Ambrell will significantly reduce our dependence on customers in the semiconductor market and increase our orders and net revenues from markets outside the semiconductor market. We also expect that our future orders and net revenues will be approximately equally split between the semiconductor and non-semiconductor markets. Demand for ATE is driven by semiconductor manufacturers that are opening new, or expanding existing, semiconductor fabrication facilities or upgrading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which contribute to our net revenues as our customers adopt these new products.</w:t>
      </w:r>
    </w:p>
    <w:p>
      <w:pPr>
        <w:spacing w:after="0" w:line="169"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In the past, the semiconductor market has been highly cyclical with recurring periods of oversupply, which often have a severe impact on the semiconductor market's demand for ATE, including the products we manufacture. This cyclicality can cause wide fluctuations in both our orders and net revenues and, depending on our ability to react quickly to these shifts in demand, can significantly impact our results of operations. Semiconductor and ATE market cycles are difficult to predict and in recent years have become more volatile and, in certain cases, shorter in duration. Because the market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market,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82" w:lineRule="exact"/>
        <w:rPr>
          <w:sz w:val="20"/>
          <w:szCs w:val="20"/>
          <w:color w:val="auto"/>
        </w:rPr>
      </w:pPr>
    </w:p>
    <w:p>
      <w:pPr>
        <w:ind w:left="340" w:right="120"/>
        <w:spacing w:after="0" w:line="312" w:lineRule="auto"/>
        <w:rPr>
          <w:sz w:val="20"/>
          <w:szCs w:val="20"/>
          <w:color w:val="auto"/>
        </w:rPr>
      </w:pPr>
      <w:r>
        <w:rPr>
          <w:rFonts w:ascii="Arial" w:cs="Arial" w:eastAsia="Arial" w:hAnsi="Arial"/>
          <w:sz w:val="16"/>
          <w:szCs w:val="16"/>
          <w:color w:val="auto"/>
        </w:rPr>
        <w:t>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w:t>
      </w:r>
    </w:p>
    <w:p>
      <w:pPr>
        <w:spacing w:after="0" w:line="147" w:lineRule="exact"/>
        <w:rPr>
          <w:sz w:val="20"/>
          <w:szCs w:val="20"/>
          <w:color w:val="auto"/>
        </w:rPr>
      </w:pPr>
    </w:p>
    <w:p>
      <w:pPr>
        <w:ind w:left="340" w:right="160"/>
        <w:spacing w:after="0" w:line="259" w:lineRule="auto"/>
        <w:rPr>
          <w:sz w:val="20"/>
          <w:szCs w:val="20"/>
          <w:color w:val="auto"/>
        </w:rPr>
      </w:pPr>
      <w:r>
        <w:rPr>
          <w:rFonts w:ascii="Arial" w:cs="Arial" w:eastAsia="Arial" w:hAnsi="Arial"/>
          <w:sz w:val="18"/>
          <w:szCs w:val="18"/>
          <w:color w:val="auto"/>
        </w:rPr>
        <w:t>Third-party market share statistics are not available for the products we manufacture and sell into the ATE market; therefore, comparisons of period over period changes in our market share are not easily determined. As a result, it is difficult to ascertain if ATE market volatility in any period is the result of macro-economic or customer-specific factors impacting ATE market demand, or if we have gained or lost market share to a competitor during the period.</w:t>
      </w:r>
    </w:p>
    <w:p>
      <w:pPr>
        <w:spacing w:after="0" w:line="1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118" w:right="51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right="20"/>
        <w:spacing w:after="0" w:line="287" w:lineRule="auto"/>
        <w:rPr>
          <w:sz w:val="20"/>
          <w:szCs w:val="20"/>
          <w:color w:val="auto"/>
        </w:rPr>
      </w:pPr>
      <w:r>
        <w:rPr>
          <w:rFonts w:ascii="Arial" w:cs="Arial" w:eastAsia="Arial" w:hAnsi="Arial"/>
          <w:sz w:val="16"/>
          <w:szCs w:val="16"/>
          <w:color w:val="auto"/>
        </w:rPr>
        <w:t>As part of our ongoing strategy to reduce the impact of semiconductor and ATE market volatility on our business operations, we continue to diversify our served markets to address the thermal test requirements of several other markets outside the semiconductor market. These include the automotive, consumer electronics, consumer product packaging, defense/aerospace, energy, fiber optics, industrial, telecommunications and other markets. We believe that these markets usually are less cyclical than the semiconductor and ATE markets. While market share statistics exist for some of the markets we serve outside the semiconductor market, due to the nature of our highly specialized product offerings in these non-semiconductor markets, we do not expect broad market penetration in many of these markets and, therefore, do not anticipate developing meaningful market shares in these non-semiconductor markets. In addition, our orders and net revenues in any given period in these markets do not necessarily reflect the overall trends in these non-semiconductor markets due to our limited market shares. Consequently, we are continuing to evaluate buying patterns and opportunities for growth in these non-semiconductor markets that may affect our performance. The level of our orders and net revenues from these non-semiconductor markets has varied in the past, and we expect will vary significantly in the future, as we work to build our presence in these markets and establish new markets for our products.</w:t>
      </w:r>
    </w:p>
    <w:p>
      <w:pPr>
        <w:spacing w:after="0" w:line="173" w:lineRule="exact"/>
        <w:rPr>
          <w:sz w:val="20"/>
          <w:szCs w:val="20"/>
          <w:color w:val="auto"/>
        </w:rPr>
      </w:pPr>
    </w:p>
    <w:p>
      <w:pPr>
        <w:ind w:left="340"/>
        <w:spacing w:after="0" w:line="286"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factors within the ATE market, including, for example, changing product requirements, longer time periods between new product offerings by OEMs and changes in customer buying patterns. In particular, demand for the products sold by EMS,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OEMs specifying other suppliers as primary vendors, with less frequent opportunities to compete for such designations, (iii) the in-house manufacturing activities of OEMs building certain products we have historically sold to them, including manipulators, docking hardware and tester interfaces, which has had the impact of significantly reducing the size of the available market for those certain products, (iv) the role of third-party test and assembly houses in the ATE market and their requirement of products with a greater range of use at the lowest cost, (v) customer supply chain management groups demanding lower prices and spreading purchases across multiple vendors, and (vi) certain competitors aggressively reducing their products' sales prices (causing us to either reduce our products' sales prices to be successful in obtaining the sale or causing loss of the sale).</w:t>
      </w:r>
    </w:p>
    <w:p>
      <w:pPr>
        <w:spacing w:after="0" w:line="175" w:lineRule="exact"/>
        <w:rPr>
          <w:sz w:val="20"/>
          <w:szCs w:val="20"/>
          <w:color w:val="auto"/>
        </w:rPr>
      </w:pPr>
    </w:p>
    <w:p>
      <w:pPr>
        <w:ind w:left="340" w:right="100"/>
        <w:spacing w:after="0" w:line="293" w:lineRule="auto"/>
        <w:rPr>
          <w:sz w:val="20"/>
          <w:szCs w:val="20"/>
          <w:color w:val="auto"/>
        </w:rPr>
      </w:pPr>
      <w:r>
        <w:rPr>
          <w:rFonts w:ascii="Arial" w:cs="Arial" w:eastAsia="Arial" w:hAnsi="Arial"/>
          <w:sz w:val="16"/>
          <w:szCs w:val="16"/>
          <w:color w:val="auto"/>
        </w:rPr>
        <w:t>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that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Acquisition</w:t>
      </w:r>
    </w:p>
    <w:p>
      <w:pPr>
        <w:spacing w:after="0" w:line="225" w:lineRule="exact"/>
        <w:rPr>
          <w:sz w:val="20"/>
          <w:szCs w:val="20"/>
          <w:color w:val="auto"/>
        </w:rPr>
      </w:pPr>
    </w:p>
    <w:p>
      <w:pPr>
        <w:ind w:left="340" w:right="20"/>
        <w:spacing w:after="0" w:line="268" w:lineRule="auto"/>
        <w:rPr>
          <w:sz w:val="20"/>
          <w:szCs w:val="20"/>
          <w:color w:val="auto"/>
        </w:rPr>
      </w:pPr>
      <w:r>
        <w:rPr>
          <w:rFonts w:ascii="Arial" w:cs="Arial" w:eastAsia="Arial" w:hAnsi="Arial"/>
          <w:sz w:val="17"/>
          <w:szCs w:val="17"/>
          <w:color w:val="auto"/>
        </w:rPr>
        <w:t>On May 24, 2017, we completed the acquisition of Ambrell by acquiring all of its outstanding capital stock. Ambrell is a manufacturer of precision induction heating systems used to conduct fast, efficient, repeatable non-contact heating of metals or other electrically conductive materials, in order to transform raw materials into finished parts. The Ambrell acquisition complements our current thermal technologies and broadens our diverse customer base, allowing expansion within many non-semiconductor related markets, such as consumer product packaging, fiber-optics, automotive and other markets. This acquisition has been accounted for as a business combination using purchase accounting. The purchase price for Ambrell was $22 million in cash paid at closing, subject to a customary post-closing working capital adjustment, and additional contingent consideration of up to $18 million in the form of earnouts paid based upon a multiple of adjusted EBITDA for 2017 and 2018. The first earnout paid after calendar year 2017 was completed was an amount equal to 8x Ambrell's adjusted EBITDA for 2017 minus the $22 million paid at closing; this amount was $5.8 million and was paid in April 2018. The second earnout, if any, to be paid after calendar year 2018 is completed, will be an amount equal to 8x Ambrell's adjusted EBITDA for 2018 minus the sum of the $22 million paid at closing and $5.8 million earnout paid with respect to 2017. The 2017 and 2018 earnouts, in the aggregate, are capped at $18 million. As of June 30, 2018, we had accrued $6.3 million in earnout payable based on Ambrell’s current projected adjusted EBITDA for 2018. For further discussion of the acquisition, see Notes 3 and 4 to our consolidated financial statements.</w:t>
      </w:r>
    </w:p>
    <w:p>
      <w:pPr>
        <w:spacing w:after="0" w:line="18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118" w:right="51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for the periods indicated, a breakdown of the orders received by operating segment and market (in thousands).</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Three</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3"/>
              </w:rPr>
              <w:t>Three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Months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Months Ended</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3"/>
          </w:tcPr>
          <w:p>
            <w:pPr>
              <w:ind w:left="520"/>
              <w:spacing w:after="0"/>
              <w:rPr>
                <w:sz w:val="20"/>
                <w:szCs w:val="20"/>
                <w:color w:val="auto"/>
              </w:rPr>
            </w:pPr>
            <w:r>
              <w:rPr>
                <w:rFonts w:ascii="Arial" w:cs="Arial" w:eastAsia="Arial" w:hAnsi="Arial"/>
                <w:sz w:val="18"/>
                <w:szCs w:val="18"/>
                <w:b w:val="1"/>
                <w:bCs w:val="1"/>
                <w:color w:val="auto"/>
              </w:rPr>
              <w:t>Change</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March 31,</w:t>
            </w:r>
          </w:p>
        </w:tc>
        <w:tc>
          <w:tcPr>
            <w:tcW w:w="260" w:type="dxa"/>
            <w:vAlign w:val="bottom"/>
          </w:tcPr>
          <w:p>
            <w:pPr>
              <w:spacing w:after="0"/>
              <w:rPr>
                <w:sz w:val="20"/>
                <w:szCs w:val="20"/>
                <w:color w:val="auto"/>
              </w:rPr>
            </w:pPr>
          </w:p>
        </w:tc>
        <w:tc>
          <w:tcPr>
            <w:tcW w:w="1200" w:type="dxa"/>
            <w:vAlign w:val="bottom"/>
            <w:gridSpan w:val="3"/>
          </w:tcPr>
          <w:p>
            <w:pPr>
              <w:ind w:left="520"/>
              <w:spacing w:after="0"/>
              <w:rPr>
                <w:sz w:val="20"/>
                <w:szCs w:val="20"/>
                <w:color w:val="auto"/>
              </w:rPr>
            </w:pPr>
            <w:r>
              <w:rPr>
                <w:rFonts w:ascii="Arial" w:cs="Arial" w:eastAsia="Arial" w:hAnsi="Arial"/>
                <w:sz w:val="18"/>
                <w:szCs w:val="18"/>
                <w:b w:val="1"/>
                <w:bCs w:val="1"/>
                <w:color w:val="auto"/>
                <w:w w:val="99"/>
              </w:rPr>
              <w:t>Change</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5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2017</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Thermal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13,278</w:t>
            </w:r>
          </w:p>
        </w:tc>
        <w:tc>
          <w:tcPr>
            <w:tcW w:w="2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8,775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4,503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14,501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(1,223)</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6,087</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5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5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19,266</w:t>
            </w:r>
          </w:p>
        </w:tc>
        <w:tc>
          <w:tcPr>
            <w:tcW w:w="2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14,592</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4,674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20,588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(1,322)</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2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Semiconductor market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11,981</w:t>
            </w:r>
          </w:p>
        </w:tc>
        <w:tc>
          <w:tcPr>
            <w:tcW w:w="2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8,689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3,292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12,531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(550)</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Non-semiconductor market</w:t>
            </w: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8,057</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5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5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19,266</w:t>
            </w:r>
          </w:p>
        </w:tc>
        <w:tc>
          <w:tcPr>
            <w:tcW w:w="2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14,592</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4,674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20,588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(1,322)</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4"/>
        </w:trPr>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88"/>
              </w:rPr>
              <w:t>Six</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Months Ended</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Change</w:t>
            </w:r>
          </w:p>
        </w:tc>
        <w:tc>
          <w:tcPr>
            <w:tcW w:w="6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2017</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i w:val="1"/>
                <w:iCs w:val="1"/>
                <w:color w:val="auto"/>
              </w:rPr>
              <w:t>$</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i w:val="1"/>
                <w:iCs w:val="1"/>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Thermal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27,779</w:t>
            </w:r>
          </w:p>
        </w:tc>
        <w:tc>
          <w:tcPr>
            <w:tcW w:w="2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16,035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11,744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(1,514)</w:t>
            </w:r>
          </w:p>
        </w:tc>
        <w:tc>
          <w:tcPr>
            <w:tcW w:w="3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
        </w:trPr>
        <w:tc>
          <w:tcPr>
            <w:tcW w:w="25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5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39,854</w:t>
            </w:r>
          </w:p>
        </w:tc>
        <w:tc>
          <w:tcPr>
            <w:tcW w:w="2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29,624</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10,230</w:t>
            </w:r>
          </w:p>
        </w:tc>
        <w:tc>
          <w:tcPr>
            <w:tcW w:w="3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Semiconductor market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24,512</w:t>
            </w:r>
          </w:p>
        </w:tc>
        <w:tc>
          <w:tcPr>
            <w:tcW w:w="2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20,248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4,264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Non-semiconductor market</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9,376</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r>
      <w:tr>
        <w:trPr>
          <w:trHeight w:val="210"/>
        </w:trPr>
        <w:tc>
          <w:tcPr>
            <w:tcW w:w="25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39,854</w:t>
            </w:r>
          </w:p>
        </w:tc>
        <w:tc>
          <w:tcPr>
            <w:tcW w:w="2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29,624</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10,230</w:t>
            </w:r>
          </w:p>
        </w:tc>
        <w:tc>
          <w:tcPr>
            <w:tcW w:w="3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-1131570</wp:posOffset>
            </wp:positionV>
            <wp:extent cx="228981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89810" cy="13716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-857250</wp:posOffset>
            </wp:positionV>
            <wp:extent cx="228981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9810" cy="14605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-565150</wp:posOffset>
            </wp:positionV>
            <wp:extent cx="228981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9810" cy="13716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-290830</wp:posOffset>
            </wp:positionV>
            <wp:extent cx="228981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89810" cy="146050"/>
                    </a:xfrm>
                    <a:prstGeom prst="rect">
                      <a:avLst/>
                    </a:prstGeom>
                    <a:noFill/>
                  </pic:spPr>
                </pic:pic>
              </a:graphicData>
            </a:graphic>
          </wp:anchor>
        </w:drawing>
      </w:r>
    </w:p>
    <w:p>
      <w:pPr>
        <w:spacing w:after="0" w:line="182" w:lineRule="exact"/>
        <w:rPr>
          <w:sz w:val="20"/>
          <w:szCs w:val="20"/>
          <w:color w:val="auto"/>
        </w:rPr>
      </w:pPr>
    </w:p>
    <w:p>
      <w:pPr>
        <w:ind w:left="340" w:right="100"/>
        <w:spacing w:after="0" w:line="255" w:lineRule="auto"/>
        <w:rPr>
          <w:sz w:val="20"/>
          <w:szCs w:val="20"/>
          <w:color w:val="auto"/>
        </w:rPr>
      </w:pPr>
      <w:r>
        <w:rPr>
          <w:rFonts w:ascii="Arial" w:cs="Arial" w:eastAsia="Arial" w:hAnsi="Arial"/>
          <w:sz w:val="18"/>
          <w:szCs w:val="18"/>
          <w:color w:val="auto"/>
        </w:rPr>
        <w:t>Total consolidated orders for the three months ended June 30, 2018 were $19.3 million compared to $14.6 million for the same period in 2017 and $20.6 million for the three months ended March 31, 2018. As previously discussed, we acquired Ambrell on May 24, 2017. During the three months ended June 30, 2018 and 2017, the orders of our Thermal segment included $5.7 million and $2.3 million of orders attributable to Ambrell, respectively. When adjusted to eliminate the impact of the orders attributable to Ambrell, our consolidated orders would have increased $1.3 million, or 11%, as compared to the same period in 2017. This increase primarily reflects increased demand experienced by our Thermal segment from customers in the semiconductor and industrial markets, which was partially offset by a reduction in orders from this segment’s customers in the telecommunications market.</w:t>
      </w:r>
    </w:p>
    <w:p>
      <w:pPr>
        <w:spacing w:after="0" w:line="189" w:lineRule="exact"/>
        <w:rPr>
          <w:sz w:val="20"/>
          <w:szCs w:val="20"/>
          <w:color w:val="auto"/>
        </w:rPr>
      </w:pPr>
    </w:p>
    <w:p>
      <w:pPr>
        <w:ind w:left="340" w:right="60"/>
        <w:spacing w:after="0" w:line="273" w:lineRule="auto"/>
        <w:rPr>
          <w:sz w:val="20"/>
          <w:szCs w:val="20"/>
          <w:color w:val="auto"/>
        </w:rPr>
      </w:pPr>
      <w:r>
        <w:rPr>
          <w:rFonts w:ascii="Arial" w:cs="Arial" w:eastAsia="Arial" w:hAnsi="Arial"/>
          <w:sz w:val="17"/>
          <w:szCs w:val="17"/>
          <w:color w:val="auto"/>
        </w:rPr>
        <w:t>Total consolidated orders for the six months ended June 30, 2018 were $39.9 million compared to $29.6 million for the same period in 2017. During the six months ended June 30, 2018 and 2017, the orders of our Thermal segment included $12.7 million and $2.3 million of orders attributable to Ambrell, respectively. When adjusted to eliminate the impact of the orders attributable to Ambrell, our consolidated orders would have been relatively flat compared to the same period in 2017. During the first half of 2018, our EMS segment experienced lower levels of demand from certain of its customers as compared to the same period in 2017. For our Thermal segment, a reduction in demand from the telecommunications market was offset by increases from customers in the semiconductor market.</w:t>
      </w:r>
    </w:p>
    <w:p>
      <w:pPr>
        <w:spacing w:after="0" w:line="178" w:lineRule="exact"/>
        <w:rPr>
          <w:sz w:val="20"/>
          <w:szCs w:val="20"/>
          <w:color w:val="auto"/>
        </w:rPr>
      </w:pPr>
    </w:p>
    <w:p>
      <w:pPr>
        <w:ind w:left="340" w:right="20"/>
        <w:spacing w:after="0" w:line="257" w:lineRule="auto"/>
        <w:rPr>
          <w:sz w:val="20"/>
          <w:szCs w:val="20"/>
          <w:color w:val="auto"/>
        </w:rPr>
      </w:pPr>
      <w:r>
        <w:rPr>
          <w:rFonts w:ascii="Arial" w:cs="Arial" w:eastAsia="Arial" w:hAnsi="Arial"/>
          <w:sz w:val="18"/>
          <w:szCs w:val="18"/>
          <w:color w:val="auto"/>
        </w:rPr>
        <w:t>When adjusted to eliminate the orders attributable to Ambrell, orders from customers in non-semiconductor markets for the three and six months ended June 30, 2018 were $3.3 million, or 24%, and $6.7 million, or 25%, of total consolidated orders, respectively. This compares to $3.7 million, or 30%, and $7.1 million, or 26%, of total consolidated orders for the same periods in 2017, respectively. The level of our orders in these non-semiconductor markets has varied in the past, and we expect it will vary significantly in the future as we build our presence in these markets and establish new markets for our products.</w:t>
      </w:r>
    </w:p>
    <w:p>
      <w:pPr>
        <w:spacing w:after="0" w:line="188" w:lineRule="exact"/>
        <w:rPr>
          <w:sz w:val="20"/>
          <w:szCs w:val="20"/>
          <w:color w:val="auto"/>
        </w:rPr>
      </w:pPr>
    </w:p>
    <w:p>
      <w:pPr>
        <w:ind w:left="340" w:right="20"/>
        <w:spacing w:after="0" w:line="272" w:lineRule="auto"/>
        <w:rPr>
          <w:sz w:val="20"/>
          <w:szCs w:val="20"/>
          <w:color w:val="auto"/>
        </w:rPr>
      </w:pPr>
      <w:r>
        <w:rPr>
          <w:rFonts w:ascii="Arial" w:cs="Arial" w:eastAsia="Arial" w:hAnsi="Arial"/>
          <w:sz w:val="17"/>
          <w:szCs w:val="17"/>
          <w:color w:val="auto"/>
        </w:rPr>
        <w:t>At June 30, 2018, our backlog of unfilled orders for all products was approximately $13.6 million compared with approximately $11.1 million at June 30, 2017 and $15.4 million at March 31, 2018. At June 30, 2018, our backlog included $5.5 million attributable to Ambrell. Our backlog includes customer orders which we have accepted, substantially all of which we expect to deliver in 2018.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for the periods indicated, a breakdown of the net revenues by operating segment and market (in thousands).</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Three</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3"/>
              </w:rPr>
              <w:t>Three</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Months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5"/>
          </w:tcPr>
          <w:p>
            <w:pPr>
              <w:ind w:left="300"/>
              <w:spacing w:after="0"/>
              <w:rPr>
                <w:sz w:val="20"/>
                <w:szCs w:val="20"/>
                <w:color w:val="auto"/>
              </w:rPr>
            </w:pPr>
            <w:r>
              <w:rPr>
                <w:rFonts w:ascii="Arial" w:cs="Arial" w:eastAsia="Arial" w:hAnsi="Arial"/>
                <w:sz w:val="18"/>
                <w:szCs w:val="18"/>
                <w:b w:val="1"/>
                <w:bCs w:val="1"/>
                <w:color w:val="auto"/>
              </w:rPr>
              <w:t>Months Ended</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4"/>
          </w:tcPr>
          <w:p>
            <w:pPr>
              <w:ind w:left="500"/>
              <w:spacing w:after="0"/>
              <w:rPr>
                <w:sz w:val="20"/>
                <w:szCs w:val="20"/>
                <w:color w:val="auto"/>
              </w:rPr>
            </w:pPr>
            <w:r>
              <w:rPr>
                <w:rFonts w:ascii="Arial" w:cs="Arial" w:eastAsia="Arial" w:hAnsi="Arial"/>
                <w:sz w:val="18"/>
                <w:szCs w:val="18"/>
                <w:b w:val="1"/>
                <w:bCs w:val="1"/>
                <w:color w:val="auto"/>
              </w:rPr>
              <w:t>Change</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March 31,</w:t>
            </w:r>
          </w:p>
        </w:tc>
        <w:tc>
          <w:tcPr>
            <w:tcW w:w="260" w:type="dxa"/>
            <w:vAlign w:val="bottom"/>
          </w:tcPr>
          <w:p>
            <w:pPr>
              <w:spacing w:after="0"/>
              <w:rPr>
                <w:sz w:val="20"/>
                <w:szCs w:val="20"/>
                <w:color w:val="auto"/>
              </w:rPr>
            </w:pPr>
          </w:p>
        </w:tc>
        <w:tc>
          <w:tcPr>
            <w:tcW w:w="1220" w:type="dxa"/>
            <w:vAlign w:val="bottom"/>
            <w:gridSpan w:val="3"/>
          </w:tcPr>
          <w:p>
            <w:pPr>
              <w:ind w:left="520"/>
              <w:spacing w:after="0"/>
              <w:rPr>
                <w:sz w:val="20"/>
                <w:szCs w:val="20"/>
                <w:color w:val="auto"/>
              </w:rPr>
            </w:pPr>
            <w:r>
              <w:rPr>
                <w:rFonts w:ascii="Arial" w:cs="Arial" w:eastAsia="Arial" w:hAnsi="Arial"/>
                <w:sz w:val="18"/>
                <w:szCs w:val="18"/>
                <w:b w:val="1"/>
                <w:bCs w:val="1"/>
                <w:color w:val="auto"/>
              </w:rPr>
              <w:t>Change</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2017</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Thermal</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13,999</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9,194</w:t>
            </w:r>
          </w:p>
        </w:tc>
        <w:tc>
          <w:tcPr>
            <w:tcW w:w="220" w:type="dxa"/>
            <w:vAlign w:val="bottom"/>
          </w:tcPr>
          <w:p>
            <w:pPr>
              <w:spacing w:after="0"/>
              <w:rPr>
                <w:sz w:val="18"/>
                <w:szCs w:val="18"/>
                <w:color w:val="auto"/>
              </w:rPr>
            </w:pPr>
          </w:p>
        </w:tc>
        <w:tc>
          <w:tcPr>
            <w:tcW w:w="240" w:type="dxa"/>
            <w:vAlign w:val="bottom"/>
          </w:tcPr>
          <w:p>
            <w:pPr>
              <w:jc w:val="right"/>
              <w:ind w:right="117"/>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4,805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13,234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765</w:t>
            </w:r>
          </w:p>
        </w:tc>
        <w:tc>
          <w:tcPr>
            <w:tcW w:w="3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5,637</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1,461</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0"/>
        </w:trPr>
        <w:tc>
          <w:tcPr>
            <w:tcW w:w="22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24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21,097</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15,888</w:t>
            </w:r>
          </w:p>
        </w:tc>
        <w:tc>
          <w:tcPr>
            <w:tcW w:w="220" w:type="dxa"/>
            <w:vAlign w:val="bottom"/>
          </w:tcPr>
          <w:p>
            <w:pPr>
              <w:spacing w:after="0"/>
              <w:rPr>
                <w:sz w:val="18"/>
                <w:szCs w:val="18"/>
                <w:color w:val="auto"/>
              </w:rPr>
            </w:pPr>
          </w:p>
        </w:tc>
        <w:tc>
          <w:tcPr>
            <w:tcW w:w="240" w:type="dxa"/>
            <w:vAlign w:val="bottom"/>
          </w:tcPr>
          <w:p>
            <w:pPr>
              <w:jc w:val="right"/>
              <w:ind w:right="117"/>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5,209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18,871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2,226</w:t>
            </w:r>
          </w:p>
        </w:tc>
        <w:tc>
          <w:tcPr>
            <w:tcW w:w="3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0"/>
        </w:trPr>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Semiconductor market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13,043</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10,155</w:t>
            </w:r>
          </w:p>
        </w:tc>
        <w:tc>
          <w:tcPr>
            <w:tcW w:w="220" w:type="dxa"/>
            <w:vAlign w:val="bottom"/>
          </w:tcPr>
          <w:p>
            <w:pPr>
              <w:spacing w:after="0"/>
              <w:rPr>
                <w:sz w:val="18"/>
                <w:szCs w:val="18"/>
                <w:color w:val="auto"/>
              </w:rPr>
            </w:pPr>
          </w:p>
        </w:tc>
        <w:tc>
          <w:tcPr>
            <w:tcW w:w="240" w:type="dxa"/>
            <w:vAlign w:val="bottom"/>
          </w:tcPr>
          <w:p>
            <w:pPr>
              <w:jc w:val="right"/>
              <w:ind w:right="117"/>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2,888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10,539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2,504</w:t>
            </w:r>
          </w:p>
        </w:tc>
        <w:tc>
          <w:tcPr>
            <w:tcW w:w="3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Non-semiconductor market</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2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24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21,097</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15,888</w:t>
            </w:r>
          </w:p>
        </w:tc>
        <w:tc>
          <w:tcPr>
            <w:tcW w:w="220" w:type="dxa"/>
            <w:vAlign w:val="bottom"/>
          </w:tcPr>
          <w:p>
            <w:pPr>
              <w:spacing w:after="0"/>
              <w:rPr>
                <w:sz w:val="18"/>
                <w:szCs w:val="18"/>
                <w:color w:val="auto"/>
              </w:rPr>
            </w:pPr>
          </w:p>
        </w:tc>
        <w:tc>
          <w:tcPr>
            <w:tcW w:w="240" w:type="dxa"/>
            <w:vAlign w:val="bottom"/>
          </w:tcPr>
          <w:p>
            <w:pPr>
              <w:jc w:val="right"/>
              <w:ind w:right="117"/>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5,209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18,871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2,226</w:t>
            </w:r>
          </w:p>
        </w:tc>
        <w:tc>
          <w:tcPr>
            <w:tcW w:w="3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0"/>
        </w:trPr>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10"/>
        </w:trPr>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1"/>
              </w:rPr>
              <w:t>Six</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5"/>
          </w:tcPr>
          <w:p>
            <w:pPr>
              <w:ind w:left="320"/>
              <w:spacing w:after="0"/>
              <w:rPr>
                <w:sz w:val="20"/>
                <w:szCs w:val="20"/>
                <w:color w:val="auto"/>
              </w:rPr>
            </w:pPr>
            <w:r>
              <w:rPr>
                <w:rFonts w:ascii="Arial" w:cs="Arial" w:eastAsia="Arial" w:hAnsi="Arial"/>
                <w:sz w:val="18"/>
                <w:szCs w:val="18"/>
                <w:b w:val="1"/>
                <w:bCs w:val="1"/>
                <w:color w:val="auto"/>
              </w:rPr>
              <w:t>Months Ended</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w w:val="99"/>
              </w:rPr>
              <w:t>Change</w:t>
            </w:r>
          </w:p>
        </w:tc>
        <w:tc>
          <w:tcPr>
            <w:tcW w:w="6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i w:val="1"/>
                <w:iCs w:val="1"/>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i w:val="1"/>
                <w:iCs w:val="1"/>
                <w:color w:val="auto"/>
              </w:rPr>
              <w:t>%</w:t>
            </w:r>
          </w:p>
        </w:tc>
        <w:tc>
          <w:tcPr>
            <w:tcW w:w="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Thermal</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ind w:left="280"/>
              <w:spacing w:after="0"/>
              <w:rPr>
                <w:sz w:val="20"/>
                <w:szCs w:val="20"/>
                <w:color w:val="auto"/>
              </w:rPr>
            </w:pPr>
            <w:r>
              <w:rPr>
                <w:rFonts w:ascii="Arial" w:cs="Arial" w:eastAsia="Arial" w:hAnsi="Arial"/>
                <w:sz w:val="18"/>
                <w:szCs w:val="18"/>
                <w:color w:val="auto"/>
                <w:w w:val="83"/>
              </w:rPr>
              <w:t>27,233</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16,970</w:t>
            </w:r>
          </w:p>
        </w:tc>
        <w:tc>
          <w:tcPr>
            <w:tcW w:w="240" w:type="dxa"/>
            <w:vAlign w:val="bottom"/>
          </w:tcPr>
          <w:p>
            <w:pPr>
              <w:jc w:val="right"/>
              <w:ind w:right="9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10,263</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83"/>
              </w:rPr>
              <w:t>12,735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13,098</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2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ind w:left="280"/>
              <w:spacing w:after="0"/>
              <w:rPr>
                <w:sz w:val="20"/>
                <w:szCs w:val="20"/>
                <w:color w:val="auto"/>
              </w:rPr>
            </w:pPr>
            <w:r>
              <w:rPr>
                <w:rFonts w:ascii="Arial" w:cs="Arial" w:eastAsia="Arial" w:hAnsi="Arial"/>
                <w:sz w:val="18"/>
                <w:szCs w:val="18"/>
                <w:color w:val="auto"/>
                <w:w w:val="83"/>
              </w:rPr>
              <w:t>39,968</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30,068</w:t>
            </w:r>
          </w:p>
        </w:tc>
        <w:tc>
          <w:tcPr>
            <w:tcW w:w="240" w:type="dxa"/>
            <w:vAlign w:val="bottom"/>
          </w:tcPr>
          <w:p>
            <w:pPr>
              <w:jc w:val="right"/>
              <w:ind w:right="9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9,900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2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Semiconductor market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ind w:left="280"/>
              <w:spacing w:after="0"/>
              <w:rPr>
                <w:sz w:val="20"/>
                <w:szCs w:val="20"/>
                <w:color w:val="auto"/>
              </w:rPr>
            </w:pPr>
            <w:r>
              <w:rPr>
                <w:rFonts w:ascii="Arial" w:cs="Arial" w:eastAsia="Arial" w:hAnsi="Arial"/>
                <w:sz w:val="18"/>
                <w:szCs w:val="18"/>
                <w:color w:val="auto"/>
                <w:w w:val="83"/>
              </w:rPr>
              <w:t>23,582</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20,594</w:t>
            </w:r>
          </w:p>
        </w:tc>
        <w:tc>
          <w:tcPr>
            <w:tcW w:w="240" w:type="dxa"/>
            <w:vAlign w:val="bottom"/>
          </w:tcPr>
          <w:p>
            <w:pPr>
              <w:jc w:val="right"/>
              <w:ind w:right="9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2,988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Non-semiconductor market</w:t>
            </w: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83"/>
              </w:rPr>
              <w:t>16,386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9,474</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6,912</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2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ind w:left="280"/>
              <w:spacing w:after="0"/>
              <w:rPr>
                <w:sz w:val="20"/>
                <w:szCs w:val="20"/>
                <w:color w:val="auto"/>
              </w:rPr>
            </w:pPr>
            <w:r>
              <w:rPr>
                <w:rFonts w:ascii="Arial" w:cs="Arial" w:eastAsia="Arial" w:hAnsi="Arial"/>
                <w:sz w:val="18"/>
                <w:szCs w:val="18"/>
                <w:color w:val="auto"/>
                <w:w w:val="83"/>
              </w:rPr>
              <w:t>39,968</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30,068</w:t>
            </w:r>
          </w:p>
        </w:tc>
        <w:tc>
          <w:tcPr>
            <w:tcW w:w="240" w:type="dxa"/>
            <w:vAlign w:val="bottom"/>
          </w:tcPr>
          <w:p>
            <w:pPr>
              <w:jc w:val="right"/>
              <w:ind w:right="9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9,900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-1131570</wp:posOffset>
            </wp:positionV>
            <wp:extent cx="22555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55520" cy="13716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-857250</wp:posOffset>
            </wp:positionV>
            <wp:extent cx="22555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55520" cy="14605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-565150</wp:posOffset>
            </wp:positionV>
            <wp:extent cx="22555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55520" cy="13716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-290830</wp:posOffset>
            </wp:positionV>
            <wp:extent cx="22555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55520" cy="146050"/>
                    </a:xfrm>
                    <a:prstGeom prst="rect">
                      <a:avLst/>
                    </a:prstGeom>
                    <a:noFill/>
                  </pic:spPr>
                </pic:pic>
              </a:graphicData>
            </a:graphic>
          </wp:anchor>
        </w:drawing>
      </w:r>
    </w:p>
    <w:p>
      <w:pPr>
        <w:spacing w:after="0" w:line="182" w:lineRule="exact"/>
        <w:rPr>
          <w:sz w:val="20"/>
          <w:szCs w:val="20"/>
          <w:color w:val="auto"/>
        </w:rPr>
      </w:pPr>
    </w:p>
    <w:p>
      <w:pPr>
        <w:ind w:left="340" w:right="40"/>
        <w:spacing w:after="0" w:line="272" w:lineRule="auto"/>
        <w:rPr>
          <w:sz w:val="20"/>
          <w:szCs w:val="20"/>
          <w:color w:val="auto"/>
        </w:rPr>
      </w:pPr>
      <w:r>
        <w:rPr>
          <w:rFonts w:ascii="Arial" w:cs="Arial" w:eastAsia="Arial" w:hAnsi="Arial"/>
          <w:sz w:val="17"/>
          <w:szCs w:val="17"/>
          <w:color w:val="auto"/>
        </w:rPr>
        <w:t>Total consolidated net revenues for the three months ended June 30, 2018 were $21.1 million compared to $15.9 million for the same period in 2017 and $18.9 million for the three months ended March 31, 2018. During the three months ended June 30, 2018 and 2017, the net revenues of our Thermal segment included $6.4 million and $2.0 million of net revenues attributable to Ambrell, respectively. When adjusted to eliminate the impact of the net revenues attributable to Ambrell, our consolidated net revenues would have increased $762,000, or 5%, as compared to the same period in 2017. This increase reflects higher levels of demand experienced by both of our segments from customers in the semiconductor market. In addition, our Thermal segment experienced an increase in demand from customers in the defense/aerospace market which was partially offset by a reduction in net revenues from customers in the telecommunications and automotive markets.</w:t>
      </w:r>
    </w:p>
    <w:p>
      <w:pPr>
        <w:spacing w:after="0" w:line="178" w:lineRule="exact"/>
        <w:rPr>
          <w:sz w:val="20"/>
          <w:szCs w:val="20"/>
          <w:color w:val="auto"/>
        </w:rPr>
      </w:pPr>
    </w:p>
    <w:p>
      <w:pPr>
        <w:ind w:left="340" w:right="240"/>
        <w:spacing w:after="0" w:line="255" w:lineRule="auto"/>
        <w:rPr>
          <w:sz w:val="20"/>
          <w:szCs w:val="20"/>
          <w:color w:val="auto"/>
        </w:rPr>
      </w:pPr>
      <w:r>
        <w:rPr>
          <w:rFonts w:ascii="Arial" w:cs="Arial" w:eastAsia="Arial" w:hAnsi="Arial"/>
          <w:sz w:val="18"/>
          <w:szCs w:val="18"/>
          <w:color w:val="auto"/>
        </w:rPr>
        <w:t>Total consolidated net revenues for the six months ended June 30, 2018 were $40.0 million compared to $30.1 million for the same period in 2017. During the six months ended June 30, 2018 and 2017, the net revenues of our Thermal segment included $12.7 million and $2.0 million of net revenues attributable to Ambrell. When adjusted to eliminate the impact of the net revenues attributable to Ambrell, our consolidated net revenues would have decreased $760,000, or 3%, as compared to the same period in 2017. This decrease represents the aforementioned reduction in net revenues from customers in the telecommunications and automotive markets for our Thermal segment, combined with lower levels of demand experienced by our EMS segment.</w:t>
      </w:r>
    </w:p>
    <w:p>
      <w:pPr>
        <w:spacing w:after="0" w:line="193" w:lineRule="exact"/>
        <w:rPr>
          <w:sz w:val="20"/>
          <w:szCs w:val="20"/>
          <w:color w:val="auto"/>
        </w:rPr>
      </w:pPr>
    </w:p>
    <w:p>
      <w:pPr>
        <w:ind w:left="340" w:right="60"/>
        <w:spacing w:after="0" w:line="257" w:lineRule="auto"/>
        <w:rPr>
          <w:sz w:val="20"/>
          <w:szCs w:val="20"/>
          <w:color w:val="auto"/>
        </w:rPr>
      </w:pPr>
      <w:r>
        <w:rPr>
          <w:rFonts w:ascii="Arial" w:cs="Arial" w:eastAsia="Arial" w:hAnsi="Arial"/>
          <w:sz w:val="18"/>
          <w:szCs w:val="18"/>
          <w:color w:val="auto"/>
        </w:rPr>
        <w:t>When adjusted to eliminate the net revenues attributable to Ambrell, net revenues from customers in non-semiconductor markets for the three and six months ended June 30, 2018 were $3.5 million, or 24%, and $6.6 million, or 24%, of total consolidated net revenues, respectively. This compares to $3.8 million, or 27%, and $7.5 million, or 27%, respectively, of total consolidated net revenues for the same periods in 2017. The level of our net revenues in these non- semiconductor markets has varied in the past, and we expect it will vary significantly in the future as we build our presence in these markets and establish new markets for our products.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340" w:right="60"/>
        <w:spacing w:after="0" w:line="279" w:lineRule="auto"/>
        <w:rPr>
          <w:sz w:val="20"/>
          <w:szCs w:val="20"/>
          <w:color w:val="auto"/>
        </w:rPr>
      </w:pPr>
      <w:r>
        <w:rPr>
          <w:rFonts w:ascii="Arial" w:cs="Arial" w:eastAsia="Arial" w:hAnsi="Arial"/>
          <w:sz w:val="17"/>
          <w:szCs w:val="17"/>
          <w:color w:val="auto"/>
        </w:rPr>
        <w:t>Both of our operating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right="20"/>
        <w:spacing w:after="0" w:line="253" w:lineRule="auto"/>
        <w:rPr>
          <w:sz w:val="20"/>
          <w:szCs w:val="20"/>
          <w:color w:val="auto"/>
        </w:rPr>
      </w:pPr>
      <w:r>
        <w:rPr>
          <w:rFonts w:ascii="Arial" w:cs="Arial" w:eastAsia="Arial" w:hAnsi="Arial"/>
          <w:sz w:val="18"/>
          <w:szCs w:val="18"/>
          <w:color w:val="auto"/>
        </w:rPr>
        <w:t>We sell most of our thermal test and semiconductor production test products to semiconductor manufacturers and third-party test and assembly houses (end user sales) and to ATE manufacturers (OEM sales), who ultimately resell our equipment with theirs to both semiconductor manufacturers and third-party test and assembly houses. Our Thermal segment also sells into a variety of other markets, including the automotive, consumer electronics, defense/aerospace, energy, industrial and telecommunications markets. As a result of the acquisition of Ambrell, we now also sell into the consumer products packaging, fiber optics and other markets within the broader industrial market. The mix of customers during any given period will affect our gross margin due to differing sales discounts and commissions. For the six months ended June 30, 2018 and 2017, our OEM sales as a percentage of net revenues were 14% and 9%, respectively. The significant increase in OEM sales was attributable to the acquisition of Ambrell. Excluding Ambrell’s sales, our OEM sales as a percentage of net revenues for the six months ended June 30, 2018 and 2017 were 4% and 9%, respectively.</w:t>
      </w:r>
    </w:p>
    <w:p>
      <w:pPr>
        <w:spacing w:after="0" w:line="197"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However, our current net operating margins on most OEM sales, with the exception of Ambrell, are only slightly less than margins on end user sales because of the payment of third party sales commissions on most end user sales. We have also continued to experience demands from certain of our OEM customers' supply chain managers to reduce our sales prices to them. If we cannot further reduce our manufacturing and operating costs, these pricing pressures will negatively affect our gross and operating margins.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left="340" w:right="20"/>
        <w:spacing w:after="0" w:line="286" w:lineRule="auto"/>
        <w:rPr>
          <w:sz w:val="20"/>
          <w:szCs w:val="20"/>
          <w:color w:val="auto"/>
        </w:rPr>
      </w:pPr>
      <w:r>
        <w:rPr>
          <w:rFonts w:ascii="Arial" w:cs="Arial" w:eastAsia="Arial" w:hAnsi="Arial"/>
          <w:sz w:val="17"/>
          <w:szCs w:val="17"/>
          <w:color w:val="auto"/>
        </w:rPr>
        <w:t>The results of operations for our two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each segment where significant to an understanding of that segment.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Three Months Ended June 30, 2018 Compared to Three Months Ended June 30, 2017</w:t>
      </w:r>
    </w:p>
    <w:p>
      <w:pPr>
        <w:spacing w:after="0" w:line="225" w:lineRule="exact"/>
        <w:rPr>
          <w:sz w:val="20"/>
          <w:szCs w:val="20"/>
          <w:color w:val="auto"/>
        </w:rPr>
      </w:pPr>
    </w:p>
    <w:p>
      <w:pPr>
        <w:ind w:left="340" w:right="120"/>
        <w:spacing w:after="0" w:line="279" w:lineRule="auto"/>
        <w:rPr>
          <w:sz w:val="20"/>
          <w:szCs w:val="20"/>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Net revenues were $21.1 million for the three months ended June 30, 2018 compared to $15.9 million for the same period in 2017,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$5.2 million, or 33%. Our net revenues for the three months ended June 30, 2018 included $6.4 million of net revenues attributable to Ambrell compared to $2.0 million for the same period in 2017. When adjusted to eliminate the impact of Ambrell, we believe the increase in our net revenues during the second quarter of 2018 primarily reflects the factors previously discussed in the Overview.</w:t>
      </w:r>
    </w:p>
    <w:p>
      <w:pPr>
        <w:spacing w:after="0" w:line="171" w:lineRule="exact"/>
        <w:rPr>
          <w:sz w:val="20"/>
          <w:szCs w:val="20"/>
          <w:color w:val="auto"/>
        </w:rPr>
      </w:pPr>
    </w:p>
    <w:p>
      <w:pPr>
        <w:ind w:left="340" w:right="60"/>
        <w:spacing w:after="0" w:line="273"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Our consolidated gross margin was 52% of net revenues for the three months ended June 30, 2018 compared to 53% of net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same period in 2017. The decrease in our gross margin as a percentage of net revenues primarily reflects an increase in both our component material costs and our fixed operating costs. The increase in component material costs reflects changes in product and customer mix. Our fixed operating costs increased $744,000, of which $660,000 represents the increase in fixed operating costs attributable to Ambrell as a result of having a full quarter of costs for Ambrell in 2018. The remaining increase in our fixed operating costs primarily reflects higher salary and benefits expense for our Thermal segment as a result of increased production activity.</w:t>
      </w:r>
    </w:p>
    <w:p>
      <w:pPr>
        <w:spacing w:after="0" w:line="178" w:lineRule="exact"/>
        <w:rPr>
          <w:sz w:val="20"/>
          <w:szCs w:val="20"/>
          <w:color w:val="auto"/>
        </w:rPr>
      </w:pPr>
    </w:p>
    <w:p>
      <w:pPr>
        <w:jc w:val="both"/>
        <w:ind w:left="340" w:right="20"/>
        <w:spacing w:after="0" w:line="302"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$2.5 million for the three months ended June 30, 2018 compared to $1.9 million for the same period in 2017,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$667,000, or 36%. Of the $667,000 increase in our selling expense, $638,000 represents the increase in expense attributable to Ambrell as a result of having a full quarter of costs for Ambrell in 2018. The remaining increase primarily reflects an increase in commission expense as a result of the higher level of net revenues in the three months ended June 30, 2018 as compared to the same period in 2017.</w:t>
      </w:r>
    </w:p>
    <w:p>
      <w:pPr>
        <w:spacing w:after="0" w:line="154"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$1.2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compared to $982,000 for the same period in 2017, an increase of $248,000, or 25%. Of the $248,000 increase in our engineering and product development expense, $230,000 represents the increase in expense attributable to Ambrell as a result of having a full quarter of costs for Ambrell in 2018. The remaining increase primarily reflects increased spending on legal fees related to our intellectual property during the three months ended June 30, 2018 as compared to the same period in 2017.</w:t>
      </w:r>
    </w:p>
    <w:p>
      <w:pPr>
        <w:spacing w:after="0" w:line="188" w:lineRule="exact"/>
        <w:rPr>
          <w:sz w:val="20"/>
          <w:szCs w:val="20"/>
          <w:color w:val="auto"/>
        </w:rPr>
      </w:pPr>
    </w:p>
    <w:p>
      <w:pPr>
        <w:ind w:left="340" w:right="80"/>
        <w:spacing w:after="0" w:line="255"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$3.3 million in each of the three months ended June 30,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 Our expense for the three months ended June 30, 2017 included $849,000 of transaction costs related to the acquisition of Ambrell. When adjusted to eliminate the impact of these costs, our general and administrative expense would have increased $898,000 for the three months ended June 30, 2018 as compared to the same period in 2017. Of the $898,000 increase in our general and administrative expense, $497,000 represents the increase in expense attributable to Ambrell as a result of having a full quarter of costs for Ambrell in 2018. The remaining increase primarily reflects an increase in fees paid to third party professionals who assist us in a variety of compliance related matters and higher levels of stock-based compensation expense.</w:t>
      </w:r>
    </w:p>
    <w:p>
      <w:pPr>
        <w:spacing w:after="0" w:line="189"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i w:val="1"/>
          <w:iCs w:val="1"/>
          <w:color w:val="auto"/>
        </w:rPr>
        <w:t xml:space="preserve">Contingent Consideration Liability Adjustment. </w:t>
      </w:r>
      <w:r>
        <w:rPr>
          <w:rFonts w:ascii="Arial" w:cs="Arial" w:eastAsia="Arial" w:hAnsi="Arial"/>
          <w:sz w:val="18"/>
          <w:szCs w:val="18"/>
          <w:color w:val="auto"/>
        </w:rPr>
        <w:t>During the three months ended June 30, 2018, we recorded a decrease in the fair value of our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for contingent consideration of $710,000. This liability is a result of our acquisition of Ambrell in May 2017 and is discussed further in Notes 3 and 4 to our consolidated financial statements. The decrease in the fair value is primarily a result of a decrease in the projected adjusted EBITDA of Ambrell for the second half of 2018.</w:t>
      </w:r>
    </w:p>
    <w:p>
      <w:pPr>
        <w:spacing w:after="0" w:line="1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118" w:right="51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spacing w:after="0" w:line="271"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For the three months ended June 30, 2018, we recorded income tax expense of $382,000 compared to $891,000 for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2017. Our effective tax rate was 9% for the three months ended June 30, 2018 compared to 38% for the same period in 2017. On a quarterly basis, we record income tax expense or benefit based on the expected annualized effective tax rate for the various taxing jurisdictions in which we operate our businesses. The significant decline in our effective tax rate primarily reflects recording a reversal of $476,000 of transition tax payable during the three months ended June 30, 2018. We had recorded this amount as a provisional amount during the fourth quarter of 2017 relating to the impact of the Tax Cuts and Jobs Act (“Tax Act”), as more fully discussed in Note 11 to our consolidated financial statements in our 2017 Form 10-K. We have determined that we do not owe this amount, and, accordingly, have reversed this accrual. In addition, the aforementioned decrease of $710,000 in our liability for contingent consideration is not taxable.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Six Months Ended June 30, 2018 Compared to Six Months Ended June 30, 2017</w:t>
      </w:r>
    </w:p>
    <w:p>
      <w:pPr>
        <w:spacing w:after="0" w:line="225" w:lineRule="exact"/>
        <w:rPr>
          <w:sz w:val="20"/>
          <w:szCs w:val="20"/>
          <w:color w:val="auto"/>
        </w:rPr>
      </w:pPr>
    </w:p>
    <w:p>
      <w:pPr>
        <w:ind w:left="340" w:right="60"/>
        <w:spacing w:after="0" w:line="279" w:lineRule="auto"/>
        <w:rPr>
          <w:sz w:val="20"/>
          <w:szCs w:val="20"/>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Net revenues were $40.0 million for the six months ended June 30, 2018 compared to $30.1 million for the same period in 2017,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$9.9 million, or 33%. Our net revenues for the six months ended June 30, 2018 included $12.7 million of net revenues attributable to Ambrell compared to $2.0 million for the same period in 2017. When adjusted to eliminate the impact of Ambrell, we believe the decrease in our net revenues during the six months ended June 30, 2018 primarily reflects the factors previously discussed in the Overview.</w:t>
      </w:r>
    </w:p>
    <w:p>
      <w:pPr>
        <w:spacing w:after="0" w:line="171" w:lineRule="exact"/>
        <w:rPr>
          <w:sz w:val="20"/>
          <w:szCs w:val="20"/>
          <w:color w:val="auto"/>
        </w:rPr>
      </w:pPr>
    </w:p>
    <w:p>
      <w:pPr>
        <w:ind w:left="340" w:right="60"/>
        <w:spacing w:after="0" w:line="273"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Our consolidated gross margin was 51% of net revenues for the six months ended June 30, 2018 compared to 54% of net revenues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period in 2017. The decrease in our gross margin as a percentage of net revenues primarily reflects an increase in our fixed operating costs. Our fixed operating costs increased $2.0 million, of which $1.8 million represents the increase in fixed operating costs attributable to Ambrell as a result of having a full six months of costs for Ambrell in 2018. The remaining increase in our fixed operating costs primarily reflects higher salary and benefits expense for our Thermal segment as a result of increased production activity and, to a lesser extent, a reduction in corporate insurance premiums and better utilization of our internal machine shop in our New Jersey operation.</w:t>
      </w:r>
    </w:p>
    <w:p>
      <w:pPr>
        <w:spacing w:after="0" w:line="178" w:lineRule="exact"/>
        <w:rPr>
          <w:sz w:val="20"/>
          <w:szCs w:val="20"/>
          <w:color w:val="auto"/>
        </w:rPr>
      </w:pPr>
    </w:p>
    <w:p>
      <w:pPr>
        <w:ind w:left="340" w:right="100"/>
        <w:spacing w:after="0" w:line="279" w:lineRule="auto"/>
        <w:rPr>
          <w:sz w:val="20"/>
          <w:szCs w:val="20"/>
          <w:color w:val="auto"/>
        </w:rPr>
      </w:pPr>
      <w:r>
        <w:rPr>
          <w:rFonts w:ascii="Arial" w:cs="Arial" w:eastAsia="Arial" w:hAnsi="Arial"/>
          <w:sz w:val="17"/>
          <w:szCs w:val="17"/>
          <w:i w:val="1"/>
          <w:iCs w:val="1"/>
          <w:color w:val="auto"/>
        </w:rPr>
        <w:t xml:space="preserve">Selling Expense. </w:t>
      </w:r>
      <w:r>
        <w:rPr>
          <w:rFonts w:ascii="Arial" w:cs="Arial" w:eastAsia="Arial" w:hAnsi="Arial"/>
          <w:sz w:val="17"/>
          <w:szCs w:val="17"/>
          <w:color w:val="auto"/>
        </w:rPr>
        <w:t>Selling expense was $5.0 million for the six months ended June 30, 2018 compared to $3.5 million for the same period in 2017,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$1.5 million, or 42%. There was a $1.7 million increase in expense attributable to Ambrell as a result of having a full six months of costs for Ambrell in 2018. This increase was partially offset by a decrease in commission expense as a result of the lower level of net revenues in the six months ended June 30, 2018 as compared to the same period in 2017 and reduced travel expenditures.</w:t>
      </w:r>
    </w:p>
    <w:p>
      <w:pPr>
        <w:spacing w:after="0" w:line="171"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$2.5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compared to $1.9 million for the same period in 2017, an increase of $609,000, or 32%. Of the $609,000 increase in our engineering and product development expense, $546,000 represents the increase in expense attributable to Ambrell as a result of having a full six months of costs for Ambrell in 2018. The remaining increase primarily reflects increased spending on legal fees related to our intellectual property during the six months ended June 30, 2018 as compared to the same period in 2017.</w:t>
      </w:r>
    </w:p>
    <w:p>
      <w:pPr>
        <w:spacing w:after="0" w:line="188" w:lineRule="exact"/>
        <w:rPr>
          <w:sz w:val="20"/>
          <w:szCs w:val="20"/>
          <w:color w:val="auto"/>
        </w:rPr>
      </w:pPr>
    </w:p>
    <w:p>
      <w:pPr>
        <w:ind w:left="340" w:right="40"/>
        <w:spacing w:after="0" w:line="272"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General and administrative expense was $6.3 million for the six months ended June 30, 2018 compared to $5.3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same period in 2017, an increase of $1.0 million, or 20%. Our expense for the six months ended June 30, 2017 included $849,000 of transaction costs related to the acquisition of Ambrell. When adjusted to eliminate the impact of these costs, our general and administrative expense would have increased $1.9 million for the six months ended June 30, 2018 as compared to the same period in 2017. Of the $1.9 million increase in our general and administrative expense, $1.3 million represents the increase in expense attributable to Ambrell as a result of having a full six months of costs for Ambrell in 2018. The remaining increase primarily reflects an increase in fees paid to third party professionals who assist us in a variety of compliance related matters and higher levels of stock-based compensation expense.</w:t>
      </w:r>
    </w:p>
    <w:p>
      <w:pPr>
        <w:spacing w:after="0" w:line="178" w:lineRule="exact"/>
        <w:rPr>
          <w:sz w:val="20"/>
          <w:szCs w:val="20"/>
          <w:color w:val="auto"/>
        </w:rPr>
      </w:pPr>
    </w:p>
    <w:p>
      <w:pPr>
        <w:ind w:left="340" w:right="100"/>
        <w:spacing w:after="0" w:line="259" w:lineRule="auto"/>
        <w:rPr>
          <w:sz w:val="20"/>
          <w:szCs w:val="20"/>
          <w:color w:val="auto"/>
        </w:rPr>
      </w:pPr>
      <w:r>
        <w:rPr>
          <w:rFonts w:ascii="Arial" w:cs="Arial" w:eastAsia="Arial" w:hAnsi="Arial"/>
          <w:sz w:val="18"/>
          <w:szCs w:val="18"/>
          <w:i w:val="1"/>
          <w:iCs w:val="1"/>
          <w:color w:val="auto"/>
        </w:rPr>
        <w:t xml:space="preserve">Contingent Consideration Liability Adjustment. </w:t>
      </w:r>
      <w:r>
        <w:rPr>
          <w:rFonts w:ascii="Arial" w:cs="Arial" w:eastAsia="Arial" w:hAnsi="Arial"/>
          <w:sz w:val="18"/>
          <w:szCs w:val="18"/>
          <w:color w:val="auto"/>
        </w:rPr>
        <w:t>During the six months ended June 30, 2018, we recorded an increase in the fair value of our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for contingent consideration of $1.0 million. This liability is a result of our acquisition of Ambrell in May 2017 and is discussed further in Notes 3 and 4 to our consolidated financial statements. The increase in the fair value is primarily a result of an increase in the projected adjusted EBITDA of Ambrell for the year ending December 31, 2018.</w:t>
      </w:r>
    </w:p>
    <w:p>
      <w:pPr>
        <w:spacing w:after="0" w:line="187" w:lineRule="exact"/>
        <w:rPr>
          <w:sz w:val="20"/>
          <w:szCs w:val="20"/>
          <w:color w:val="auto"/>
        </w:rPr>
      </w:pPr>
    </w:p>
    <w:p>
      <w:pPr>
        <w:ind w:left="340" w:right="40"/>
        <w:spacing w:after="0" w:line="272"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For the six months ended June 30, 2018, we recorded income tax expense of $983,000 compared to $2.0 million for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2017. Our effective tax rate was 18% for the six months ended June 30, 2018 compared to 36% for the same period in 2017. On a quarterly basis, we record income tax expense or benefit based on the expected annualized effective tax rate for the various taxing jurisdictions in which we operate our businesses. The decrease in our effective tax rate primarily reflects recording a reversal of $476,000 of transition tax payable during the six months ended June 30, 2018. We had recorded this amount as a provisional amount during the fourth quarter of 2017 relating to the impact of the Tax Act, as more fully discussed in Note 11 to our consolidated financial statements in our 2017 Form 10-K. We have determined that we do not owe this amount, and, accordingly, have reversed this accrual.</w:t>
      </w:r>
    </w:p>
    <w:p>
      <w:pPr>
        <w:spacing w:after="0" w:line="1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81" w:lineRule="exact"/>
        <w:rPr>
          <w:sz w:val="20"/>
          <w:szCs w:val="20"/>
          <w:color w:val="auto"/>
        </w:rPr>
      </w:pPr>
    </w:p>
    <w:p>
      <w:pPr>
        <w:ind w:left="340" w:right="180"/>
        <w:spacing w:after="0" w:line="264"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6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9"/>
              </w:rPr>
              <w:t>Liquidity</w:t>
            </w:r>
          </w:p>
        </w:tc>
        <w:tc>
          <w:tcPr>
            <w:tcW w:w="5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6420" w:type="dxa"/>
            <w:vAlign w:val="bottom"/>
            <w:gridSpan w:val="2"/>
          </w:tcPr>
          <w:p>
            <w:pPr>
              <w:spacing w:after="0"/>
              <w:rPr>
                <w:sz w:val="20"/>
                <w:szCs w:val="20"/>
                <w:color w:val="auto"/>
              </w:rPr>
            </w:pPr>
            <w:r>
              <w:rPr>
                <w:rFonts w:ascii="Arial" w:cs="Arial" w:eastAsia="Arial" w:hAnsi="Arial"/>
                <w:sz w:val="18"/>
                <w:szCs w:val="18"/>
                <w:color w:val="auto"/>
                <w:w w:val="97"/>
              </w:rPr>
              <w:t>Our cash and cash equivalents and working capital were as follows (in thousands):</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13,290</w:t>
            </w: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13,922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16,580</w:t>
            </w:r>
          </w:p>
        </w:tc>
      </w:tr>
    </w:tbl>
    <w:p>
      <w:pPr>
        <w:spacing w:after="0" w:line="187" w:lineRule="exact"/>
        <w:rPr>
          <w:sz w:val="20"/>
          <w:szCs w:val="20"/>
          <w:color w:val="auto"/>
        </w:rPr>
      </w:pPr>
    </w:p>
    <w:p>
      <w:pPr>
        <w:ind w:left="340" w:right="80"/>
        <w:spacing w:after="0" w:line="255" w:lineRule="auto"/>
        <w:rPr>
          <w:sz w:val="20"/>
          <w:szCs w:val="20"/>
          <w:color w:val="auto"/>
        </w:rPr>
      </w:pPr>
      <w:r>
        <w:rPr>
          <w:rFonts w:ascii="Arial" w:cs="Arial" w:eastAsia="Arial" w:hAnsi="Arial"/>
          <w:sz w:val="18"/>
          <w:szCs w:val="18"/>
          <w:color w:val="auto"/>
        </w:rPr>
        <w:t>As of June 30, 2018, $3.8 million of our cash and cash equivalents was held by our foreign subsidiaries. We currently expect our cash and cash equivalents and projected future cash flow to be sufficient to support our short term working capital requirements, the earnout payable and other corporate requirements. However, we may need additional financial resources, which could include debt or equity financings, to consummate a significant acquisition if the consideration in such a transaction would require us to utilize a substantial portion of, or an amount equal to or in excess of, our available cash. We do not currently have any credit facilities under which we can borrow to help fund our working capital or other requirements.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340"/>
        <w:spacing w:after="0" w:line="290"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provided by operations for the six months ended June 30, 2018 was $3.5 million. During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2018, we recorded net earnings of $4.4 million which included the impact of a $1.0 million increase in the fair value of the earnout payable which is a result of our acquisition of Ambrell in May 2017 as discussed further in Notes 3 and 4 to our consolidated financial statements. During the six months ended June 30, 2018, we also recorded non-cash charges of $840,000 for depreciation and amortization and $292,000 for amortization of deferred compensation expense related to stock-based awards. During the six months ended June 30, 2018, inventories and accounts payable increased $2.0 million and $707,000, respectively, reflecting increased business activity. Accounts receivable declined $606,000 during the first six months of 2018 primarily reflecting improved collection activity for certain of our operations. Accrued wages and benefits declined $488,000 during the first six months of 2018, primarily reflecting the payout of profit-related bonuses that had been accrued at December 31, 2017 on our results for the year.</w:t>
      </w:r>
    </w:p>
    <w:p>
      <w:pPr>
        <w:spacing w:after="0" w:line="166" w:lineRule="exact"/>
        <w:rPr>
          <w:sz w:val="20"/>
          <w:szCs w:val="20"/>
          <w:color w:val="auto"/>
        </w:rPr>
      </w:pPr>
    </w:p>
    <w:p>
      <w:pPr>
        <w:ind w:left="340" w:right="40"/>
        <w:spacing w:after="0" w:line="279"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During the six months ended June 30, 2018, purchases of property and equipment were $1.9 million, primarily reflecting</w:t>
      </w:r>
      <w:r>
        <w:rPr>
          <w:rFonts w:ascii="Arial" w:cs="Arial" w:eastAsia="Arial" w:hAnsi="Arial"/>
          <w:sz w:val="17"/>
          <w:szCs w:val="17"/>
          <w:i w:val="1"/>
          <w:iCs w:val="1"/>
          <w:color w:val="auto"/>
        </w:rPr>
        <w:t xml:space="preserve"> </w:t>
      </w:r>
      <w:r>
        <w:rPr>
          <w:rFonts w:ascii="Arial" w:cs="Arial" w:eastAsia="Arial" w:hAnsi="Arial"/>
          <w:sz w:val="17"/>
          <w:szCs w:val="17"/>
          <w:color w:val="auto"/>
        </w:rPr>
        <w:t>leasehold improvements for the new facility for Ambrell in Rochester, New York which we took occupancy of in May 2018. We have no other significant commitments for capital expenditures for the balance of 2018; however, depending upon changes in market demand or manufacturing and sales strategies, we may make such purchases or investments as we deem necessary and appropriate.</w:t>
      </w:r>
    </w:p>
    <w:p>
      <w:pPr>
        <w:spacing w:after="0" w:line="171" w:lineRule="exact"/>
        <w:rPr>
          <w:sz w:val="20"/>
          <w:szCs w:val="20"/>
          <w:color w:val="auto"/>
        </w:rPr>
      </w:pPr>
    </w:p>
    <w:p>
      <w:pPr>
        <w:ind w:left="340" w:right="80"/>
        <w:spacing w:after="0" w:line="273"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As discussed in further detail in Notes 3 and 4 to our consolidated financial statements, the purchase price for Ambrell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contingent consideration in the form of earnouts based on adjusted EBITDA targets for Ambrell in 2017 and 2018. In April 2018, we paid $5.8 million in connection with the earnout earned as a result of Ambrell’s achievement of adjusted EBITDA targets in 2017. Of the $5.8 million paid, $4.1 million has been classified as financing activities as it was the estimate of the fair value of the earnouts at the date of the acquisition and was, therefore, included in the purchase accounting. The remaining $1.7 million was classified as operating activity because it is based on changes to Ambrell’s adjusted EBITDA in 2017 due to events that occurred after the acquisition date.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29" w:lineRule="exact"/>
        <w:rPr>
          <w:sz w:val="20"/>
          <w:szCs w:val="20"/>
          <w:color w:val="auto"/>
        </w:rPr>
      </w:pPr>
    </w:p>
    <w:p>
      <w:pPr>
        <w:ind w:left="340" w:right="660"/>
        <w:spacing w:after="0" w:line="277" w:lineRule="auto"/>
        <w:rPr>
          <w:sz w:val="20"/>
          <w:szCs w:val="20"/>
          <w:color w:val="auto"/>
        </w:rPr>
      </w:pPr>
      <w:r>
        <w:rPr>
          <w:rFonts w:ascii="Arial" w:cs="Arial" w:eastAsia="Arial" w:hAnsi="Arial"/>
          <w:sz w:val="18"/>
          <w:szCs w:val="18"/>
          <w:color w:val="auto"/>
        </w:rPr>
        <w:t>See the Notes to our consolidated financial statements for information concerning the implementation and impact of new or recently adopted accounting standards.</w:t>
      </w:r>
    </w:p>
    <w:p>
      <w:pPr>
        <w:spacing w:after="0" w:line="17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118" w:right="51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ind w:left="340" w:right="60"/>
        <w:spacing w:after="0" w:line="270"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contingent consideration liabilities (and the related earnout payable)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June 30, 2018, there have been no significant changes to the accounting policies that we have deemed critical. These policies are more fully described in our 2017 Form 10-K.</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29" w:lineRule="exact"/>
        <w:rPr>
          <w:sz w:val="20"/>
          <w:szCs w:val="20"/>
          <w:color w:val="auto"/>
        </w:rPr>
      </w:pPr>
    </w:p>
    <w:p>
      <w:pPr>
        <w:ind w:left="340" w:right="180"/>
        <w:spacing w:after="0" w:line="264" w:lineRule="auto"/>
        <w:rPr>
          <w:sz w:val="20"/>
          <w:szCs w:val="20"/>
          <w:color w:val="auto"/>
        </w:rPr>
      </w:pPr>
      <w:r>
        <w:rPr>
          <w:rFonts w:ascii="Arial" w:cs="Arial" w:eastAsia="Arial" w:hAnsi="Arial"/>
          <w:sz w:val="18"/>
          <w:szCs w:val="18"/>
          <w:color w:val="auto"/>
        </w:rPr>
        <w:t>There were no off-balance sheet arrangements during the six months ended June 30, 2018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ind w:left="340" w:right="20"/>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our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5"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ind w:left="340" w:right="180"/>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8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118" w:right="51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340" w:right="360"/>
        <w:spacing w:after="0" w:line="277"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340" w:right="320"/>
        <w:spacing w:after="0" w:line="264"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2017 Form 10-K filed with the Securities and Exchange Commission on March 28, 2018.</w:t>
      </w:r>
    </w:p>
    <w:p>
      <w:pPr>
        <w:spacing w:after="0" w:line="3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4420" w:type="dxa"/>
            <w:vAlign w:val="bottom"/>
            <w:tcBorders>
              <w:bottom w:val="single" w:sz="8" w:color="0000EE"/>
            </w:tcBorders>
            <w:gridSpan w:val="3"/>
          </w:tcPr>
          <w:p>
            <w:pPr>
              <w:spacing w:after="0"/>
              <w:rPr>
                <w:rFonts w:ascii="Arial" w:cs="Arial" w:eastAsia="Arial" w:hAnsi="Arial"/>
                <w:sz w:val="18"/>
                <w:szCs w:val="18"/>
                <w:color w:val="0000EE"/>
                <w:w w:val="90"/>
              </w:rPr>
            </w:pPr>
            <w:hyperlink r:id="rId52">
              <w:r>
                <w:rPr>
                  <w:rFonts w:ascii="Arial" w:cs="Arial" w:eastAsia="Arial" w:hAnsi="Arial"/>
                  <w:sz w:val="18"/>
                  <w:szCs w:val="18"/>
                  <w:color w:val="0000EE"/>
                  <w:w w:val="90"/>
                </w:rPr>
                <w:t>Bylaws, as amended and restated effective April 23, 2018 (1)</w:t>
              </w:r>
            </w:hyperlink>
          </w:p>
        </w:tc>
        <w:tc>
          <w:tcPr>
            <w:tcW w:w="5980" w:type="dxa"/>
            <w:vAlign w:val="bottom"/>
            <w:gridSpan w:val="5"/>
          </w:tcPr>
          <w:p>
            <w:pPr>
              <w:spacing w:after="0"/>
              <w:rPr>
                <w:sz w:val="18"/>
                <w:szCs w:val="18"/>
                <w:color w:val="auto"/>
              </w:rPr>
            </w:pPr>
          </w:p>
        </w:tc>
      </w:t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4680" w:type="dxa"/>
            <w:vAlign w:val="bottom"/>
            <w:tcBorders>
              <w:bottom w:val="single" w:sz="8" w:color="0000EE"/>
            </w:tcBorders>
            <w:gridSpan w:val="4"/>
          </w:tcPr>
          <w:p>
            <w:pPr>
              <w:spacing w:after="0"/>
              <w:rPr>
                <w:rFonts w:ascii="Arial" w:cs="Arial" w:eastAsia="Arial" w:hAnsi="Arial"/>
                <w:sz w:val="18"/>
                <w:szCs w:val="18"/>
                <w:color w:val="0000EE"/>
                <w:w w:val="90"/>
              </w:rPr>
            </w:pPr>
            <w:hyperlink r:id="rId53">
              <w:r>
                <w:rPr>
                  <w:rFonts w:ascii="Arial" w:cs="Arial" w:eastAsia="Arial" w:hAnsi="Arial"/>
                  <w:sz w:val="18"/>
                  <w:szCs w:val="18"/>
                  <w:color w:val="0000EE"/>
                  <w:w w:val="90"/>
                </w:rPr>
                <w:t>Amended and Restated inTEST Corporation 2014 Stock Plan (2)</w:t>
              </w:r>
            </w:hyperlink>
          </w:p>
        </w:tc>
        <w:tc>
          <w:tcPr>
            <w:tcW w:w="5720" w:type="dxa"/>
            <w:vAlign w:val="bottom"/>
            <w:gridSpan w:val="4"/>
          </w:tcPr>
          <w:p>
            <w:pPr>
              <w:spacing w:after="0"/>
              <w:rPr>
                <w:sz w:val="19"/>
                <w:szCs w:val="19"/>
                <w:color w:val="auto"/>
              </w:rPr>
            </w:pPr>
          </w:p>
        </w:tc>
      </w:t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0400" w:type="dxa"/>
            <w:vAlign w:val="bottom"/>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Certification of Chief Executive Officer pursuant to Rule 13a-14(a).</w:t>
              </w:r>
            </w:hyperlink>
          </w:p>
        </w:tc>
      </w:t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48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Chief Financial Officer pursuant to Rule 13a-14(a).</w:t>
              </w:r>
            </w:hyperlink>
          </w:p>
        </w:tc>
        <w:tc>
          <w:tcPr>
            <w:tcW w:w="40" w:type="dxa"/>
            <w:vAlign w:val="bottom"/>
            <w:tcBorders>
              <w:top w:val="single" w:sz="8" w:color="0000EE"/>
            </w:tcBorders>
          </w:tcPr>
          <w:p>
            <w:pPr>
              <w:spacing w:after="0"/>
              <w:rPr>
                <w:sz w:val="19"/>
                <w:szCs w:val="19"/>
                <w:color w:val="auto"/>
              </w:rPr>
            </w:pPr>
          </w:p>
        </w:tc>
        <w:tc>
          <w:tcPr>
            <w:tcW w:w="5500" w:type="dxa"/>
            <w:vAlign w:val="bottom"/>
            <w:gridSpan w:val="2"/>
          </w:tcPr>
          <w:p>
            <w:pPr>
              <w:spacing w:after="0"/>
              <w:rPr>
                <w:sz w:val="19"/>
                <w:szCs w:val="19"/>
                <w:color w:val="auto"/>
              </w:rPr>
            </w:pPr>
          </w:p>
        </w:tc>
      </w:t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00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Certification of Chief Executive Officer furnished pursuant to 18 U.S.C. Section 1350, as adopted pursuant to Section 906 of the Sarbanes-</w:t>
              </w:r>
            </w:hyperlink>
          </w:p>
        </w:tc>
        <w:tc>
          <w:tcPr>
            <w:tcW w:w="380" w:type="dxa"/>
            <w:vAlign w:val="bottom"/>
          </w:tcPr>
          <w:p>
            <w:pPr>
              <w:spacing w:after="0"/>
              <w:rPr>
                <w:sz w:val="19"/>
                <w:szCs w:val="19"/>
                <w:color w:val="auto"/>
              </w:rPr>
            </w:pPr>
          </w:p>
        </w:tc>
      </w:tr>
      <w:tr>
        <w:trPr>
          <w:trHeight w:val="196"/>
        </w:trPr>
        <w:tc>
          <w:tcPr>
            <w:tcW w:w="80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Oxley Act of 2002.</w:t>
              </w:r>
            </w:hyperlink>
          </w:p>
        </w:tc>
        <w:tc>
          <w:tcPr>
            <w:tcW w:w="9000" w:type="dxa"/>
            <w:vAlign w:val="bottom"/>
            <w:gridSpan w:val="6"/>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4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Certification of Chief Financial Officer furnished pursuant to 18 U.S.C. Section 1350, as adopted pursuant to Section 906 of the Sarbanes-Oxley</w:t>
              </w:r>
            </w:hyperlink>
          </w:p>
        </w:tc>
      </w:tr>
      <w:tr>
        <w:trPr>
          <w:trHeight w:val="196"/>
        </w:trPr>
        <w:tc>
          <w:tcPr>
            <w:tcW w:w="800" w:type="dxa"/>
            <w:vAlign w:val="bottom"/>
          </w:tcPr>
          <w:p>
            <w:pPr>
              <w:spacing w:after="0"/>
              <w:rPr>
                <w:sz w:val="17"/>
                <w:szCs w:val="17"/>
                <w:color w:val="auto"/>
              </w:rPr>
            </w:pPr>
          </w:p>
        </w:tc>
        <w:tc>
          <w:tcPr>
            <w:tcW w:w="10400" w:type="dxa"/>
            <w:vAlign w:val="bottom"/>
            <w:gridSpan w:val="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Act of 2002.</w:t>
              </w:r>
            </w:hyperlink>
          </w:p>
        </w:tc>
      </w:tr>
      <w:tr>
        <w:trPr>
          <w:trHeight w:val="20"/>
        </w:trPr>
        <w:tc>
          <w:tcPr>
            <w:tcW w:w="8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500" w:type="dxa"/>
            <w:vAlign w:val="bottom"/>
            <w:gridSpan w:val="7"/>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400" w:type="dxa"/>
            <w:vAlign w:val="bottom"/>
            <w:gridSpan w:val="8"/>
          </w:tcPr>
          <w:p>
            <w:pPr>
              <w:spacing w:after="0"/>
              <w:rPr>
                <w:sz w:val="20"/>
                <w:szCs w:val="20"/>
                <w:color w:val="auto"/>
              </w:rPr>
            </w:pPr>
            <w:r>
              <w:rPr>
                <w:rFonts w:ascii="Arial" w:cs="Arial" w:eastAsia="Arial" w:hAnsi="Arial"/>
                <w:sz w:val="18"/>
                <w:szCs w:val="18"/>
                <w:color w:val="auto"/>
              </w:rPr>
              <w:t>XBRL Taxonomy Instance Document</w:t>
            </w:r>
          </w:p>
        </w:tc>
      </w:tr>
      <w:tr>
        <w:trPr>
          <w:trHeight w:val="243"/>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4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40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99" w:lineRule="exact"/>
        <w:rPr>
          <w:sz w:val="20"/>
          <w:szCs w:val="20"/>
          <w:color w:val="auto"/>
        </w:rPr>
      </w:pPr>
    </w:p>
    <w:p>
      <w:pPr>
        <w:ind w:left="980" w:hanging="810"/>
        <w:spacing w:after="0" w:line="25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dated April 23, 2018, File No. 001-36117, filed April 25, 2018, and incorporated herein by reference.</w:t>
      </w:r>
    </w:p>
    <w:p>
      <w:pPr>
        <w:spacing w:after="0" w:line="1" w:lineRule="exact"/>
        <w:rPr>
          <w:rFonts w:ascii="Arial" w:cs="Arial" w:eastAsia="Arial" w:hAnsi="Arial"/>
          <w:sz w:val="18"/>
          <w:szCs w:val="18"/>
          <w:color w:val="auto"/>
        </w:rPr>
      </w:pPr>
    </w:p>
    <w:p>
      <w:pPr>
        <w:ind w:left="980" w:right="220" w:hanging="810"/>
        <w:spacing w:after="0" w:line="261"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dated June 27, 2018, File No. 001-36117, filed July 2, 2018, and incorporated herein by reference.</w:t>
      </w:r>
    </w:p>
    <w:p>
      <w:pPr>
        <w:spacing w:after="0" w:line="211" w:lineRule="exact"/>
        <w:rPr>
          <w:sz w:val="20"/>
          <w:szCs w:val="20"/>
          <w:color w:val="auto"/>
        </w:rPr>
      </w:pPr>
    </w:p>
    <w:p>
      <w:pPr>
        <w:ind w:left="980" w:hanging="810"/>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824"/>
        </w:trPr>
        <w:tc>
          <w:tcPr>
            <w:tcW w:w="1660" w:type="dxa"/>
            <w:vAlign w:val="bottom"/>
            <w:gridSpan w:val="2"/>
          </w:tcPr>
          <w:p>
            <w:pPr>
              <w:spacing w:after="0"/>
              <w:rPr>
                <w:sz w:val="20"/>
                <w:szCs w:val="20"/>
                <w:color w:val="auto"/>
              </w:rPr>
            </w:pPr>
            <w:r>
              <w:rPr>
                <w:rFonts w:ascii="Arial" w:cs="Arial" w:eastAsia="Arial" w:hAnsi="Arial"/>
                <w:sz w:val="18"/>
                <w:szCs w:val="18"/>
                <w:color w:val="auto"/>
                <w:w w:val="91"/>
              </w:rPr>
              <w:t>Date: August 13, 2018</w:t>
            </w:r>
          </w:p>
        </w:tc>
        <w:tc>
          <w:tcPr>
            <w:tcW w:w="1680" w:type="dxa"/>
            <w:vAlign w:val="bottom"/>
          </w:tcPr>
          <w:p>
            <w:pPr>
              <w:spacing w:after="0"/>
              <w:rPr>
                <w:sz w:val="24"/>
                <w:szCs w:val="24"/>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/s/ James Pelrin</w:t>
            </w:r>
          </w:p>
        </w:tc>
      </w:tr>
      <w:tr>
        <w:trPr>
          <w:trHeight w:val="222"/>
        </w:trPr>
        <w:tc>
          <w:tcPr>
            <w:tcW w:w="46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8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Pelrin</w:t>
            </w:r>
          </w:p>
        </w:tc>
        <w:tc>
          <w:tcPr>
            <w:tcW w:w="2380" w:type="dxa"/>
            <w:vAlign w:val="bottom"/>
            <w:gridSpan w:val="2"/>
          </w:tcPr>
          <w:p>
            <w:pPr>
              <w:spacing w:after="0"/>
              <w:rPr>
                <w:sz w:val="19"/>
                <w:szCs w:val="19"/>
                <w:color w:val="auto"/>
              </w:rPr>
            </w:pPr>
          </w:p>
        </w:tc>
      </w:tr>
      <w:tr>
        <w:trPr>
          <w:trHeight w:val="230"/>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50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824"/>
        </w:trPr>
        <w:tc>
          <w:tcPr>
            <w:tcW w:w="1660" w:type="dxa"/>
            <w:vAlign w:val="bottom"/>
            <w:gridSpan w:val="2"/>
          </w:tcPr>
          <w:p>
            <w:pPr>
              <w:spacing w:after="0"/>
              <w:rPr>
                <w:sz w:val="20"/>
                <w:szCs w:val="20"/>
                <w:color w:val="auto"/>
              </w:rPr>
            </w:pPr>
            <w:r>
              <w:rPr>
                <w:rFonts w:ascii="Arial" w:cs="Arial" w:eastAsia="Arial" w:hAnsi="Arial"/>
                <w:sz w:val="18"/>
                <w:szCs w:val="18"/>
                <w:color w:val="auto"/>
                <w:w w:val="91"/>
              </w:rPr>
              <w:t>Date: August 13, 2018</w:t>
            </w:r>
          </w:p>
        </w:tc>
        <w:tc>
          <w:tcPr>
            <w:tcW w:w="1680" w:type="dxa"/>
            <w:vAlign w:val="bottom"/>
          </w:tcPr>
          <w:p>
            <w:pPr>
              <w:spacing w:after="0"/>
              <w:rPr>
                <w:sz w:val="24"/>
                <w:szCs w:val="24"/>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2"/>
        </w:trPr>
        <w:tc>
          <w:tcPr>
            <w:tcW w:w="46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80" w:type="dxa"/>
            <w:vAlign w:val="bottom"/>
          </w:tcPr>
          <w:p>
            <w:pPr>
              <w:spacing w:after="0"/>
              <w:rPr>
                <w:sz w:val="19"/>
                <w:szCs w:val="19"/>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Hugh T. Regan, Jr.</w:t>
            </w:r>
          </w:p>
        </w:tc>
        <w:tc>
          <w:tcPr>
            <w:tcW w:w="194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500" w:type="dxa"/>
            <w:vAlign w:val="bottom"/>
            <w:gridSpan w:val="3"/>
          </w:tcPr>
          <w:p>
            <w:pPr>
              <w:spacing w:after="0"/>
              <w:rPr>
                <w:sz w:val="20"/>
                <w:szCs w:val="20"/>
                <w:color w:val="auto"/>
              </w:rPr>
            </w:pPr>
            <w:r>
              <w:rPr>
                <w:rFonts w:ascii="Arial" w:cs="Arial" w:eastAsia="Arial" w:hAnsi="Arial"/>
                <w:sz w:val="18"/>
                <w:szCs w:val="18"/>
                <w:i w:val="1"/>
                <w:iCs w:val="1"/>
                <w:color w:val="auto"/>
                <w:w w:val="91"/>
              </w:rPr>
              <w:t>Secretary, Treasurer and Chief Financial Officer</w:t>
            </w:r>
          </w:p>
        </w:tc>
      </w:tr>
      <w:tr>
        <w:trPr>
          <w:trHeight w:val="432"/>
        </w:trPr>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180" w:type="dxa"/>
            <w:vAlign w:val="bottom"/>
            <w:gridSpan w:val="4"/>
          </w:tcPr>
          <w:p>
            <w:pPr>
              <w:jc w:val="right"/>
              <w:ind w:right="940"/>
              <w:spacing w:after="0"/>
              <w:rPr>
                <w:sz w:val="20"/>
                <w:szCs w:val="20"/>
                <w:color w:val="auto"/>
              </w:rPr>
            </w:pPr>
            <w:r>
              <w:rPr>
                <w:rFonts w:ascii="Arial" w:cs="Arial" w:eastAsia="Arial" w:hAnsi="Arial"/>
                <w:sz w:val="18"/>
                <w:szCs w:val="18"/>
                <w:color w:val="auto"/>
              </w:rPr>
              <w:t>- 28 -</w:t>
            </w:r>
          </w:p>
        </w:tc>
      </w:tr>
    </w:tbl>
    <w:p>
      <w:pPr>
        <w:sectPr>
          <w:pgSz w:w="11900" w:h="16838" w:orient="portrait"/>
          <w:cols w:equalWidth="0" w:num="1">
            <w:col w:w="11220"/>
          </w:cols>
          <w:pgMar w:left="240" w:top="118"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James Pelrin, certify that:</w:t>
      </w:r>
    </w:p>
    <w:p>
      <w:pPr>
        <w:spacing w:after="0" w:line="225" w:lineRule="exact"/>
        <w:rPr>
          <w:sz w:val="20"/>
          <w:szCs w:val="20"/>
          <w:color w:val="auto"/>
        </w:rPr>
      </w:pPr>
    </w:p>
    <w:p>
      <w:pPr>
        <w:ind w:left="780" w:hanging="32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5" w:lineRule="exact"/>
        <w:rPr>
          <w:rFonts w:ascii="Arial" w:cs="Arial" w:eastAsia="Arial" w:hAnsi="Arial"/>
          <w:sz w:val="18"/>
          <w:szCs w:val="18"/>
          <w:color w:val="auto"/>
        </w:rPr>
      </w:pPr>
    </w:p>
    <w:p>
      <w:pPr>
        <w:ind w:right="180" w:firstLine="458"/>
        <w:spacing w:after="0" w:line="342" w:lineRule="auto"/>
        <w:tabs>
          <w:tab w:leader="none" w:pos="765"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40" w:firstLine="458"/>
        <w:spacing w:after="0" w:line="277" w:lineRule="auto"/>
        <w:tabs>
          <w:tab w:leader="none" w:pos="7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58"/>
        <w:spacing w:after="0" w:line="264" w:lineRule="auto"/>
        <w:tabs>
          <w:tab w:leader="none" w:pos="76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220" w:firstLine="352"/>
        <w:spacing w:after="0" w:line="264" w:lineRule="auto"/>
        <w:tabs>
          <w:tab w:leader="none" w:pos="9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right="560" w:firstLine="352"/>
        <w:spacing w:after="0" w:line="264"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760" w:firstLine="352"/>
        <w:spacing w:after="0" w:line="342" w:lineRule="auto"/>
        <w:tabs>
          <w:tab w:leader="none" w:pos="99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52"/>
        <w:spacing w:after="0" w:line="264"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458"/>
        <w:spacing w:after="0" w:line="308" w:lineRule="auto"/>
        <w:tabs>
          <w:tab w:leader="none" w:pos="76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firstLine="352"/>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100" w:firstLine="352"/>
        <w:spacing w:after="0" w:line="277" w:lineRule="auto"/>
        <w:tabs>
          <w:tab w:leader="none" w:pos="9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13,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60"/>
        <w:spacing w:after="0"/>
        <w:rPr>
          <w:sz w:val="20"/>
          <w:szCs w:val="20"/>
          <w:color w:val="auto"/>
        </w:rPr>
      </w:pPr>
      <w:r>
        <w:rPr>
          <w:rFonts w:ascii="Arial" w:cs="Arial" w:eastAsia="Arial" w:hAnsi="Arial"/>
          <w:sz w:val="18"/>
          <w:szCs w:val="18"/>
          <w:u w:val="single" w:color="auto"/>
          <w:color w:val="auto"/>
        </w:rPr>
        <w:t>/s/ James Pelrin</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James Pelrin</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Hugh T. Regan, Jr., certify that:</w:t>
      </w:r>
    </w:p>
    <w:p>
      <w:pPr>
        <w:spacing w:after="0" w:line="225" w:lineRule="exact"/>
        <w:rPr>
          <w:sz w:val="20"/>
          <w:szCs w:val="20"/>
          <w:color w:val="auto"/>
        </w:rPr>
      </w:pPr>
    </w:p>
    <w:p>
      <w:pPr>
        <w:ind w:left="780" w:hanging="32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5" w:lineRule="exact"/>
        <w:rPr>
          <w:rFonts w:ascii="Arial" w:cs="Arial" w:eastAsia="Arial" w:hAnsi="Arial"/>
          <w:sz w:val="18"/>
          <w:szCs w:val="18"/>
          <w:color w:val="auto"/>
        </w:rPr>
      </w:pPr>
    </w:p>
    <w:p>
      <w:pPr>
        <w:ind w:right="180" w:firstLine="458"/>
        <w:spacing w:after="0" w:line="342" w:lineRule="auto"/>
        <w:tabs>
          <w:tab w:leader="none" w:pos="7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40" w:firstLine="458"/>
        <w:spacing w:after="0" w:line="277" w:lineRule="auto"/>
        <w:tabs>
          <w:tab w:leader="none" w:pos="7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58"/>
        <w:spacing w:after="0" w:line="264" w:lineRule="auto"/>
        <w:tabs>
          <w:tab w:leader="none" w:pos="7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220" w:firstLine="352"/>
        <w:spacing w:after="0" w:line="264" w:lineRule="auto"/>
        <w:tabs>
          <w:tab w:leader="none" w:pos="9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right="560" w:firstLine="352"/>
        <w:spacing w:after="0" w:line="264"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760" w:firstLine="352"/>
        <w:spacing w:after="0" w:line="342" w:lineRule="auto"/>
        <w:tabs>
          <w:tab w:leader="none" w:pos="9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52"/>
        <w:spacing w:after="0" w:line="264"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458"/>
        <w:spacing w:after="0" w:line="308" w:lineRule="auto"/>
        <w:tabs>
          <w:tab w:leader="none" w:pos="762"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firstLine="352"/>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100" w:firstLine="352"/>
        <w:spacing w:after="0" w:line="277" w:lineRule="auto"/>
        <w:tabs>
          <w:tab w:leader="none" w:pos="9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13,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60"/>
        <w:spacing w:after="0"/>
        <w:rPr>
          <w:sz w:val="20"/>
          <w:szCs w:val="20"/>
          <w:color w:val="auto"/>
        </w:rPr>
      </w:pPr>
      <w:r>
        <w:rPr>
          <w:rFonts w:ascii="Arial" w:cs="Arial" w:eastAsia="Arial" w:hAnsi="Arial"/>
          <w:sz w:val="18"/>
          <w:szCs w:val="18"/>
          <w:u w:val="single" w:color="auto"/>
          <w:color w:val="auto"/>
        </w:rPr>
        <w:t>/s/ Hugh T. Regan, Jr.</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In connection with the Quarterly Report of inTEST Corporation (the "Company") on Form 10-Q for the period ending June 30, 2018 as filed with the Securities and Exchange Commission on the date hereof (the "Report"), I, James Pelrin, President and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August 13,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James Pelrin</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James Pelrin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640"/>
        <w:spacing w:after="0" w:line="312" w:lineRule="auto"/>
        <w:rPr>
          <w:sz w:val="20"/>
          <w:szCs w:val="20"/>
          <w:color w:val="auto"/>
        </w:rPr>
      </w:pPr>
      <w:r>
        <w:rPr>
          <w:rFonts w:ascii="Arial" w:cs="Arial" w:eastAsia="Arial" w:hAnsi="Arial"/>
          <w:sz w:val="16"/>
          <w:szCs w:val="16"/>
          <w:color w:val="auto"/>
        </w:rPr>
        <w:t>In connection with the Quarterly Report of inTEST Corporation (the "Company") on Form 10-Q for the period ending June 30, 2018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147"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lvl w:ilvl="1">
      <w:lvlJc w:val="left"/>
      <w:lvlText w:val="-"/>
      <w:numFmt w:val="bullet"/>
      <w:start w:val="1"/>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4"/>
    </w:lvl>
    <w:lvl w:ilvl="1">
      <w:lvlJc w:val="left"/>
      <w:lvlText w:val="-"/>
      <w:numFmt w:val="bullet"/>
      <w:start w:val="1"/>
    </w:lvl>
  </w:abstractNum>
  <w:abstractNum w:abstractNumId="5">
    <w:nsid w:val="109CF92E"/>
    <w:multiLevelType w:val="hybridMultilevel"/>
    <w:lvl w:ilvl="0">
      <w:lvlJc w:val="left"/>
      <w:lvlText w:val="(%1)"/>
      <w:numFmt w:val="decimal"/>
      <w:start w:val="5"/>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6"/>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7"/>
    </w:lvl>
  </w:abstractNum>
  <w:abstractNum w:abstractNumId="12">
    <w:nsid w:val="25E45D32"/>
    <w:multiLevelType w:val="hybridMultilevel"/>
    <w:lvl w:ilvl="0">
      <w:lvlJc w:val="left"/>
      <w:lvlText w:val="(%1)"/>
      <w:numFmt w:val="decimal"/>
      <w:start w:val="9"/>
    </w:lvl>
  </w:abstractNum>
  <w:abstractNum w:abstractNumId="13">
    <w:nsid w:val="519B500D"/>
    <w:multiLevelType w:val="hybridMultilevel"/>
    <w:lvl w:ilvl="0">
      <w:lvlJc w:val="left"/>
      <w:lvlText w:val="(%1)"/>
      <w:numFmt w:val="decimal"/>
      <w:start w:val="10"/>
    </w:lvl>
  </w:abstractNum>
  <w:abstractNum w:abstractNumId="14">
    <w:nsid w:val="431BD7B7"/>
    <w:multiLevelType w:val="hybridMultilevel"/>
    <w:lvl w:ilvl="0">
      <w:lvlJc w:val="left"/>
      <w:lvlText w:val="(%1)"/>
      <w:numFmt w:val="decimal"/>
      <w:start w:val="1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2" Type="http://schemas.openxmlformats.org/officeDocument/2006/relationships/hyperlink" Target="http://www.sec.gov/Archives/edgar/data/1036262/000143774918007703/ex_111081.htm" TargetMode="External"/><Relationship Id="rId53" Type="http://schemas.openxmlformats.org/officeDocument/2006/relationships/hyperlink" Target="http://www.sec.gov/Archives/edgar/data/1036262/000143774918012797/ex_11719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2019-12-28T19:50:07Z</dcterms:created>
  <dcterms:modified xsi:type="dcterms:W3CDTF">2019-12-28T19:50:07Z</dcterms:modified>
</cp:coreProperties>
</file>