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000FF"/>
        </w:rPr>
        <w:t>FORM 10-K</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2015</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1-36117</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000FF"/>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5"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6"/>
              </w:rPr>
              <w:t>DELAWARE</w:t>
            </w:r>
          </w:p>
        </w:tc>
        <w:tc>
          <w:tcPr>
            <w:tcW w:w="3060" w:type="dxa"/>
            <w:vAlign w:val="bottom"/>
          </w:tcPr>
          <w:p>
            <w:pPr>
              <w:jc w:val="right"/>
              <w:ind w:right="602"/>
              <w:spacing w:after="0"/>
              <w:rPr>
                <w:sz w:val="20"/>
                <w:szCs w:val="20"/>
                <w:color w:val="auto"/>
              </w:rPr>
            </w:pPr>
            <w:r>
              <w:rPr>
                <w:rFonts w:ascii="Arial" w:cs="Arial" w:eastAsia="Arial" w:hAnsi="Arial"/>
                <w:sz w:val="18"/>
                <w:szCs w:val="18"/>
                <w:b w:val="1"/>
                <w:bCs w:val="1"/>
                <w:color w:val="auto"/>
              </w:rPr>
              <w:t>22-2370659</w:t>
            </w:r>
          </w:p>
        </w:tc>
      </w:tr>
      <w:tr>
        <w:trPr>
          <w:trHeight w:val="172"/>
        </w:trPr>
        <w:tc>
          <w:tcPr>
            <w:tcW w:w="4160" w:type="dxa"/>
            <w:vAlign w:val="bottom"/>
          </w:tcPr>
          <w:p>
            <w:pPr>
              <w:jc w:val="center"/>
              <w:ind w:right="76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060" w:type="dxa"/>
            <w:vAlign w:val="bottom"/>
          </w:tcPr>
          <w:p>
            <w:pPr>
              <w:jc w:val="center"/>
              <w:ind w:left="782"/>
              <w:spacing w:after="0"/>
              <w:rPr>
                <w:sz w:val="20"/>
                <w:szCs w:val="20"/>
                <w:color w:val="auto"/>
              </w:rPr>
            </w:pPr>
            <w:r>
              <w:rPr>
                <w:rFonts w:ascii="Arial" w:cs="Arial" w:eastAsia="Arial" w:hAnsi="Arial"/>
                <w:sz w:val="14"/>
                <w:szCs w:val="14"/>
                <w:color w:val="auto"/>
                <w:w w:val="90"/>
              </w:rPr>
              <w:t>(I.R.S. Employer Identification Number)</w:t>
            </w:r>
          </w:p>
        </w:tc>
      </w:tr>
      <w:tr>
        <w:trPr>
          <w:trHeight w:val="432"/>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5"/>
              </w:rPr>
              <w:t>804 EAST GATE DRIVE, SUITE 200</w:t>
            </w:r>
          </w:p>
        </w:tc>
        <w:tc>
          <w:tcPr>
            <w:tcW w:w="3060" w:type="dxa"/>
            <w:vAlign w:val="bottom"/>
          </w:tcPr>
          <w:p>
            <w:pPr>
              <w:jc w:val="right"/>
              <w:ind w:right="802"/>
              <w:spacing w:after="0"/>
              <w:rPr>
                <w:sz w:val="20"/>
                <w:szCs w:val="20"/>
                <w:color w:val="auto"/>
              </w:rPr>
            </w:pPr>
            <w:r>
              <w:rPr>
                <w:rFonts w:ascii="Arial" w:cs="Arial" w:eastAsia="Arial" w:hAnsi="Arial"/>
                <w:sz w:val="18"/>
                <w:szCs w:val="18"/>
                <w:b w:val="1"/>
                <w:bCs w:val="1"/>
                <w:color w:val="auto"/>
              </w:rPr>
              <w:t>08054</w:t>
            </w:r>
          </w:p>
        </w:tc>
      </w:tr>
      <w:tr>
        <w:trPr>
          <w:trHeight w:val="220"/>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7"/>
              </w:rPr>
              <w:t>MT. LAUREL, NEW JERSEY</w:t>
            </w:r>
          </w:p>
        </w:tc>
        <w:tc>
          <w:tcPr>
            <w:tcW w:w="3060" w:type="dxa"/>
            <w:vAlign w:val="bottom"/>
          </w:tcPr>
          <w:p>
            <w:pPr>
              <w:jc w:val="center"/>
              <w:ind w:left="782"/>
              <w:spacing w:after="0"/>
              <w:rPr>
                <w:sz w:val="20"/>
                <w:szCs w:val="20"/>
                <w:color w:val="auto"/>
              </w:rPr>
            </w:pPr>
            <w:r>
              <w:rPr>
                <w:rFonts w:ascii="Arial" w:cs="Arial" w:eastAsia="Arial" w:hAnsi="Arial"/>
                <w:sz w:val="14"/>
                <w:szCs w:val="14"/>
                <w:color w:val="auto"/>
                <w:w w:val="90"/>
              </w:rPr>
              <w:t>(Zip Code)</w:t>
            </w:r>
          </w:p>
        </w:tc>
      </w:tr>
      <w:tr>
        <w:trPr>
          <w:trHeight w:val="172"/>
        </w:trPr>
        <w:tc>
          <w:tcPr>
            <w:tcW w:w="4160" w:type="dxa"/>
            <w:vAlign w:val="bottom"/>
          </w:tcPr>
          <w:p>
            <w:pPr>
              <w:jc w:val="center"/>
              <w:ind w:right="760"/>
              <w:spacing w:after="0"/>
              <w:rPr>
                <w:sz w:val="20"/>
                <w:szCs w:val="20"/>
                <w:color w:val="auto"/>
              </w:rPr>
            </w:pPr>
            <w:r>
              <w:rPr>
                <w:rFonts w:ascii="Arial" w:cs="Arial" w:eastAsia="Arial" w:hAnsi="Arial"/>
                <w:sz w:val="14"/>
                <w:szCs w:val="14"/>
                <w:color w:val="auto"/>
                <w:w w:val="89"/>
              </w:rPr>
              <w:t>(Address of Principal Executive Offices)</w:t>
            </w:r>
          </w:p>
        </w:tc>
        <w:tc>
          <w:tcPr>
            <w:tcW w:w="3060" w:type="dxa"/>
            <w:vAlign w:val="bottom"/>
          </w:tcPr>
          <w:p>
            <w:pPr>
              <w:spacing w:after="0"/>
              <w:rPr>
                <w:sz w:val="14"/>
                <w:szCs w:val="14"/>
                <w:color w:val="auto"/>
              </w:rPr>
            </w:pP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80" w:type="dxa"/>
            <w:vAlign w:val="bottom"/>
          </w:tcPr>
          <w:p>
            <w:pPr>
              <w:ind w:left="50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spacing w:after="0"/>
              <w:rPr>
                <w:sz w:val="14"/>
                <w:szCs w:val="14"/>
                <w:color w:val="auto"/>
              </w:rPr>
            </w:pPr>
          </w:p>
        </w:tc>
        <w:tc>
          <w:tcPr>
            <w:tcW w:w="348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w:t>
            </w:r>
          </w:p>
        </w:tc>
        <w:tc>
          <w:tcPr>
            <w:tcW w:w="8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86"/>
              </w:rPr>
              <w:t>Common Stock, par value $0.01 per</w:t>
            </w:r>
          </w:p>
        </w:tc>
        <w:tc>
          <w:tcPr>
            <w:tcW w:w="12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NYSE MKT</w:t>
            </w: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2015 (the last business day of the registrant's most recently completed second fiscal quarter), was: $35,089,249.</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18, 2016, was 10,495,222</w:t>
      </w:r>
    </w:p>
    <w:p>
      <w:pPr>
        <w:spacing w:after="0" w:line="158"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2016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8280" w:type="dxa"/>
            <w:vAlign w:val="bottom"/>
          </w:tcPr>
          <w:p>
            <w:pPr>
              <w:ind w:left="3440"/>
              <w:spacing w:after="0"/>
              <w:rPr>
                <w:sz w:val="20"/>
                <w:szCs w:val="20"/>
                <w:color w:val="auto"/>
              </w:rPr>
            </w:pPr>
            <w:r>
              <w:rPr>
                <w:rFonts w:ascii="Arial" w:cs="Arial" w:eastAsia="Arial" w:hAnsi="Arial"/>
                <w:sz w:val="18"/>
                <w:szCs w:val="18"/>
                <w:b w:val="1"/>
                <w:bCs w:val="1"/>
                <w:color w:val="auto"/>
              </w:rPr>
              <w:t>PART I</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280" w:type="dxa"/>
            <w:vAlign w:val="bottom"/>
          </w:tcPr>
          <w:p>
            <w:pPr>
              <w:ind w:left="60"/>
              <w:spacing w:after="0"/>
              <w:rPr>
                <w:sz w:val="20"/>
                <w:szCs w:val="20"/>
                <w:color w:val="auto"/>
              </w:rPr>
            </w:pPr>
            <w:r>
              <w:rPr>
                <w:rFonts w:ascii="Arial" w:cs="Arial" w:eastAsia="Arial" w:hAnsi="Arial"/>
                <w:sz w:val="18"/>
                <w:szCs w:val="18"/>
                <w:color w:val="auto"/>
              </w:rPr>
              <w:t>Business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28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1B.</w:t>
            </w:r>
          </w:p>
        </w:tc>
        <w:tc>
          <w:tcPr>
            <w:tcW w:w="8280" w:type="dxa"/>
            <w:vAlign w:val="bottom"/>
          </w:tcPr>
          <w:p>
            <w:pPr>
              <w:ind w:left="60"/>
              <w:spacing w:after="0"/>
              <w:rPr>
                <w:sz w:val="20"/>
                <w:szCs w:val="20"/>
                <w:color w:val="auto"/>
              </w:rPr>
            </w:pPr>
            <w:r>
              <w:rPr>
                <w:rFonts w:ascii="Arial" w:cs="Arial" w:eastAsia="Arial" w:hAnsi="Arial"/>
                <w:sz w:val="18"/>
                <w:szCs w:val="18"/>
                <w:color w:val="auto"/>
              </w:rPr>
              <w:t>Unresolved Staff Comments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28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34" w:lineRule="exact"/>
        <w:rPr>
          <w:sz w:val="20"/>
          <w:szCs w:val="20"/>
          <w:color w:val="auto"/>
        </w:rPr>
      </w:pPr>
    </w:p>
    <w:tbl>
      <w:tblPr>
        <w:tblLayout w:type="fixed"/>
        <w:tblInd w:w="1000" w:type="dxa"/>
        <w:tblCellMar>
          <w:top w:w="0" w:type="dxa"/>
          <w:left w:w="0" w:type="dxa"/>
          <w:bottom w:w="0" w:type="dxa"/>
          <w:right w:w="0" w:type="dxa"/>
        </w:tblCellMar>
      </w:tblP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16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16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86"/>
        </w:trPr>
        <w:tc>
          <w:tcPr>
            <w:tcW w:w="700" w:type="dxa"/>
            <w:vAlign w:val="bottom"/>
          </w:tcPr>
          <w:p>
            <w:pPr>
              <w:spacing w:after="0"/>
              <w:rPr>
                <w:sz w:val="24"/>
                <w:szCs w:val="24"/>
                <w:color w:val="auto"/>
              </w:rPr>
            </w:pPr>
          </w:p>
        </w:tc>
        <w:tc>
          <w:tcPr>
            <w:tcW w:w="8160" w:type="dxa"/>
            <w:vAlign w:val="bottom"/>
          </w:tcPr>
          <w:p>
            <w:pPr>
              <w:ind w:left="3420"/>
              <w:spacing w:after="0"/>
              <w:rPr>
                <w:sz w:val="20"/>
                <w:szCs w:val="20"/>
                <w:color w:val="auto"/>
              </w:rPr>
            </w:pPr>
            <w:r>
              <w:rPr>
                <w:rFonts w:ascii="Arial" w:cs="Arial" w:eastAsia="Arial" w:hAnsi="Arial"/>
                <w:sz w:val="18"/>
                <w:szCs w:val="18"/>
                <w:b w:val="1"/>
                <w:bCs w:val="1"/>
                <w:color w:val="auto"/>
              </w:rPr>
              <w:t>PART II</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160" w:type="dxa"/>
            <w:vAlign w:val="bottom"/>
          </w:tcPr>
          <w:p>
            <w:pPr>
              <w:ind w:left="60"/>
              <w:spacing w:after="0"/>
              <w:rPr>
                <w:sz w:val="20"/>
                <w:szCs w:val="20"/>
                <w:color w:val="auto"/>
              </w:rPr>
            </w:pPr>
            <w:r>
              <w:rPr>
                <w:rFonts w:ascii="Arial" w:cs="Arial" w:eastAsia="Arial" w:hAnsi="Arial"/>
                <w:sz w:val="18"/>
                <w:szCs w:val="18"/>
                <w:color w:val="auto"/>
                <w:w w:val="90"/>
              </w:rPr>
              <w:t>Market for Registrant's Common Equity, Related Stockholder Matters and Issuer Purchases of Equity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160" w:type="dxa"/>
            <w:vAlign w:val="bottom"/>
          </w:tcPr>
          <w:p>
            <w:pPr>
              <w:ind w:left="60"/>
              <w:spacing w:after="0"/>
              <w:rPr>
                <w:sz w:val="20"/>
                <w:szCs w:val="20"/>
                <w:color w:val="auto"/>
              </w:rPr>
            </w:pPr>
            <w:r>
              <w:rPr>
                <w:rFonts w:ascii="Arial" w:cs="Arial" w:eastAsia="Arial" w:hAnsi="Arial"/>
                <w:sz w:val="18"/>
                <w:szCs w:val="18"/>
                <w:color w:val="auto"/>
              </w:rPr>
              <w:t>Selected Financial Data</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7.</w:t>
            </w:r>
          </w:p>
        </w:tc>
        <w:tc>
          <w:tcPr>
            <w:tcW w:w="816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7A.</w:t>
            </w:r>
          </w:p>
        </w:tc>
        <w:tc>
          <w:tcPr>
            <w:tcW w:w="816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8.</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w:t>
            </w:r>
          </w:p>
        </w:tc>
        <w:tc>
          <w:tcPr>
            <w:tcW w:w="8160" w:type="dxa"/>
            <w:vAlign w:val="bottom"/>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9A.</w:t>
            </w:r>
          </w:p>
        </w:tc>
        <w:tc>
          <w:tcPr>
            <w:tcW w:w="816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9B.</w:t>
            </w:r>
          </w:p>
        </w:tc>
        <w:tc>
          <w:tcPr>
            <w:tcW w:w="816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Arial" w:cs="Arial" w:eastAsia="Arial" w:hAnsi="Arial"/>
                <w:sz w:val="18"/>
                <w:szCs w:val="18"/>
                <w:b w:val="1"/>
                <w:bCs w:val="1"/>
                <w:color w:val="auto"/>
              </w:rPr>
              <w:t>PART III</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10.</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11.</w:t>
            </w:r>
          </w:p>
        </w:tc>
        <w:tc>
          <w:tcPr>
            <w:tcW w:w="816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12.</w:t>
            </w:r>
          </w:p>
        </w:tc>
        <w:tc>
          <w:tcPr>
            <w:tcW w:w="8160" w:type="dxa"/>
            <w:vAlign w:val="bottom"/>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13.</w:t>
            </w:r>
          </w:p>
        </w:tc>
        <w:tc>
          <w:tcPr>
            <w:tcW w:w="816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14.</w:t>
            </w:r>
          </w:p>
        </w:tc>
        <w:tc>
          <w:tcPr>
            <w:tcW w:w="8160" w:type="dxa"/>
            <w:vAlign w:val="bottom"/>
          </w:tcPr>
          <w:p>
            <w:pPr>
              <w:ind w:left="60"/>
              <w:spacing w:after="0"/>
              <w:rPr>
                <w:sz w:val="20"/>
                <w:szCs w:val="20"/>
                <w:color w:val="auto"/>
              </w:rPr>
            </w:pPr>
            <w:r>
              <w:rPr>
                <w:rFonts w:ascii="Arial" w:cs="Arial" w:eastAsia="Arial" w:hAnsi="Arial"/>
                <w:sz w:val="18"/>
                <w:szCs w:val="18"/>
                <w:color w:val="auto"/>
              </w:rPr>
              <w:t>Principal Accounting Fees and Services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15.</w:t>
            </w:r>
          </w:p>
        </w:tc>
        <w:tc>
          <w:tcPr>
            <w:tcW w:w="8160" w:type="dxa"/>
            <w:vAlign w:val="bottom"/>
          </w:tcPr>
          <w:p>
            <w:pPr>
              <w:ind w:left="60"/>
              <w:spacing w:after="0"/>
              <w:rPr>
                <w:sz w:val="20"/>
                <w:szCs w:val="20"/>
                <w:color w:val="auto"/>
              </w:rPr>
            </w:pPr>
            <w:r>
              <w:rPr>
                <w:rFonts w:ascii="Arial" w:cs="Arial" w:eastAsia="Arial" w:hAnsi="Arial"/>
                <w:sz w:val="18"/>
                <w:szCs w:val="18"/>
                <w:color w:val="auto"/>
              </w:rPr>
              <w:t>Exhibits, Financial Statement Schedules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Signatures</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Index to Exhibits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right="120"/>
        <w:spacing w:after="0" w:line="253" w:lineRule="auto"/>
        <w:rPr>
          <w:sz w:val="20"/>
          <w:szCs w:val="20"/>
          <w:color w:val="auto"/>
        </w:rPr>
      </w:pPr>
      <w:r>
        <w:rPr>
          <w:rFonts w:ascii="Arial" w:cs="Arial" w:eastAsia="Arial" w:hAnsi="Arial"/>
          <w:sz w:val="18"/>
          <w:szCs w:val="18"/>
          <w:color w:val="auto"/>
        </w:rPr>
        <w:t>the success of our strategy to diversify our business by entering markets outside the integrated circuit, or IC, and automatic test equipment, or ATE, markets, including the automotive, consumer electronics, defense/aerospace, energy, industrial and telecommunications markets; 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-370840</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-96520</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ability to borrow funds to finance major potential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260"/>
        <w:spacing w:after="0" w:line="250" w:lineRule="auto"/>
        <w:rPr>
          <w:sz w:val="20"/>
          <w:szCs w:val="20"/>
          <w:color w:val="auto"/>
        </w:rPr>
      </w:pPr>
      <w:r>
        <w:rPr>
          <w:rFonts w:ascii="Arial" w:cs="Arial" w:eastAsia="Arial" w:hAnsi="Arial"/>
          <w:sz w:val="18"/>
          <w:szCs w:val="18"/>
          <w:color w:val="auto"/>
        </w:rPr>
        <w:t>the success of our restructuring efforts (the goal of which is to return non-profitable operations to profitability); indications of a change in the market cycles in the IC and ATE markets or other markets we serve; the success of our 2015 stock repurchase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developments and trends in the IC and 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effects of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and retention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general economic conditions both domestically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73" w:orient="portrait"/>
          <w:cols w:equalWidth="0" w:num="1">
            <w:col w:w="11160"/>
          </w:cols>
          <w:pgMar w:left="240" w:top="50" w:right="499" w:bottom="0" w:gutter="0" w:footer="0" w:header="0"/>
        </w:sectPr>
      </w:pPr>
    </w:p>
    <w:bookmarkStart w:id="2" w:name="page3"/>
    <w:bookmarkEnd w:id="2"/>
    <w:p>
      <w:pPr>
        <w:ind w:left="1080"/>
        <w:spacing w:after="0"/>
        <w:rPr>
          <w:sz w:val="20"/>
          <w:szCs w:val="20"/>
          <w:color w:val="auto"/>
        </w:rPr>
      </w:pPr>
      <w:r>
        <w:rPr>
          <w:rFonts w:ascii="Arial" w:cs="Arial" w:eastAsia="Arial" w:hAnsi="Arial"/>
          <w:sz w:val="18"/>
          <w:szCs w:val="18"/>
          <w:color w:val="auto"/>
        </w:rPr>
        <w:t>the anticipated market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implementation of new SEC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60"/>
        <w:spacing w:after="0" w:line="261"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are an independent designer, manufacturer and marketer of thermal, mechanical and electrical products that are used by semiconductor manufacturers in conjunction with ATE, in the testing of ICs. In addition, we market our thermal products in markets outside the ATE market, such as the automotive, consumer electronics, defense/aerospace, energy, industrial and telecommunications markets. Our high performance products are designed to enable our customers to improve the efficiency of their test processes and, consequently, their profitability.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200" w:lineRule="exact"/>
        <w:rPr>
          <w:sz w:val="20"/>
          <w:szCs w:val="20"/>
          <w:color w:val="auto"/>
        </w:rPr>
      </w:pPr>
    </w:p>
    <w:p>
      <w:pPr>
        <w:spacing w:after="0" w:line="207"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Our largest customers include Analog Devices, Inc., Emerson Electric Co., Hakuto Co. Ltd., Infineon Technologies, Intel Corp., Intersil Corporation, NXP Semiconductors N.V., Raytheon Company, Teradyne, Inc. and Texas Instruments Incorporated.</w:t>
      </w:r>
    </w:p>
    <w:p>
      <w:pPr>
        <w:spacing w:after="0" w:line="167" w:lineRule="exact"/>
        <w:rPr>
          <w:sz w:val="20"/>
          <w:szCs w:val="20"/>
          <w:color w:val="auto"/>
        </w:rPr>
      </w:pPr>
    </w:p>
    <w:p>
      <w:pPr>
        <w:jc w:val="both"/>
        <w:ind w:left="540" w:right="120"/>
        <w:spacing w:after="0" w:line="306"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During 2015, we managed our business as three product segments, as more fully discussed under "Our Segments" below, which consisted of our Thermal Products, Mechanical Products and Electrical Products segments.</w:t>
      </w:r>
    </w:p>
    <w:p>
      <w:pPr>
        <w:spacing w:after="0" w:line="16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In January 2016, we announced the formation of the inTEST EMS Products Division which is a result of the combination of the operations of our Electrical and Mechanical Products segments. In 2016, these two product segments will be managed as one business unit. The decision by management to combine the operations of these two product segments reflects the significant similarities between these segments including customer base, markets served, and sales channels. However, we have concluded that these two product segments do not currently meet the aggregation criteria under Accounting Standards Codification Topic 280 (Segment Reporting) due to certain dissimilar economic characteristics. Accordingly, we will continue to show these two product segments as separate reportable segments in our footnote disclosures. Certain operational changes undertaken in the first quarter of 2016 in connection with the formation of this new business unit are discussed further in Item 7 "Management's Discussion and Analysis of Financial Condition and Results of Operations."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Our business is grounded in the ATE market, which provides automated test equipment to the semiconductor market; however, since 2009, we have begun to diversify our served markets to address the thermal test requirements of several other markets outside the ATE market. These include the automotive, consumer electronics, defense/aerospace, energy, industrial and telecommunications markets. We offer highly specialized engineering solutions in these markets outside the ATE market, the demand for which is limited and which we expect may vary significantly from period to period. During both 2015 and 2014, our net revenues in markets outside the ATE market were $10.7 million and $11.1 million, respectively, and represented 27% of our total net revenues in both years. In the last five years, our net revenues from sales in markets outside the ATE market have ranged from 18% to 30%.</w:t>
      </w:r>
    </w:p>
    <w:p>
      <w:pPr>
        <w:spacing w:after="0" w:line="159" w:lineRule="exact"/>
        <w:rPr>
          <w:sz w:val="20"/>
          <w:szCs w:val="20"/>
          <w:color w:val="auto"/>
        </w:rPr>
      </w:pPr>
    </w:p>
    <w:p>
      <w:pPr>
        <w:ind w:left="540" w:right="80"/>
        <w:spacing w:after="0" w:line="288" w:lineRule="auto"/>
        <w:rPr>
          <w:sz w:val="20"/>
          <w:szCs w:val="20"/>
          <w:color w:val="auto"/>
        </w:rPr>
      </w:pPr>
      <w:r>
        <w:rPr>
          <w:rFonts w:ascii="Arial" w:cs="Arial" w:eastAsia="Arial" w:hAnsi="Arial"/>
          <w:sz w:val="16"/>
          <w:szCs w:val="16"/>
          <w:color w:val="auto"/>
        </w:rPr>
        <w:t>The level of our net revenues in the various markets we serve outside the ATE market varies significantly from market to market. During 2015 and 2014, our net revenues into the telecommunications market represented 9% and 11%, respectively, of our total net revenues, while our net revenues into the defense/aerospace and industrial markets represented 8% and 4%, respectively, of our total net revenues in both years. The level of our net revenues in these non-ATE markets has varied significantly in the past and we expect will vary significantly in the future as we build our presence in these markets and establish new markets for our products. One of our goals is to further expand our sales in these markets outside the ATE market; however, due to the nature of our highly specialized product offerings in these non-ATE markets, we do not expect broad market penetration in many of these markets and therefore, do not anticipate developing meaningful market shares in these non-ATE markets. Consequently, we are continuing to evaluate buying patterns and opportunities for growth in these markets that may affect our performance. The following discussion of our markets, therefore, is limited to only the ATE and semiconductor markets, which currently represent the majority of our net revenues.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Semiconductor and ATE Markets</w:t>
      </w:r>
    </w:p>
    <w:p>
      <w:pPr>
        <w:spacing w:after="0" w:line="225"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131" w:right="259" w:bottom="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jc w:val="both"/>
        <w:ind w:left="540" w:right="300"/>
        <w:spacing w:after="0" w:line="306" w:lineRule="auto"/>
        <w:rPr>
          <w:sz w:val="20"/>
          <w:szCs w:val="20"/>
          <w:color w:val="auto"/>
        </w:rPr>
      </w:pPr>
      <w:r>
        <w:rPr>
          <w:rFonts w:ascii="Arial" w:cs="Arial" w:eastAsia="Arial" w:hAnsi="Arial"/>
          <w:sz w:val="16"/>
          <w:szCs w:val="16"/>
          <w:color w:val="auto"/>
        </w:rPr>
        <w:t>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6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7"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color w:val="auto"/>
        </w:rPr>
        <w:t>Testers range in price from approximately $100,000 to over $2.0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70"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9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6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 level testing. Creating a uniform thermal profile over much larger wafer areas represents a significant engineering and design challenge for ATE manufacturers.</w:t>
      </w:r>
    </w:p>
    <w:p>
      <w:pPr>
        <w:sectPr>
          <w:pgSz w:w="11900" w:h="16838" w:orient="portrait"/>
          <w:cols w:equalWidth="0" w:num="1">
            <w:col w:w="11340"/>
          </w:cols>
          <w:pgMar w:left="240" w:top="125" w:right="319" w:bottom="0" w:gutter="0" w:footer="0" w:header="0"/>
        </w:sectPr>
      </w:pPr>
    </w:p>
    <w:bookmarkStart w:id="4" w:name="page5"/>
    <w:bookmarkEnd w:id="4"/>
    <w:p>
      <w:pPr>
        <w:spacing w:after="0" w:line="19"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61"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540" w:right="40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market and other markets that we serve, which we believe provide the following advantages:</w:t>
      </w:r>
    </w:p>
    <w:p>
      <w:pPr>
        <w:spacing w:after="0" w:line="167" w:lineRule="exact"/>
        <w:rPr>
          <w:sz w:val="20"/>
          <w:szCs w:val="20"/>
          <w:color w:val="auto"/>
        </w:rPr>
      </w:pPr>
    </w:p>
    <w:p>
      <w:pPr>
        <w:ind w:left="540" w:right="160"/>
        <w:spacing w:after="0" w:line="310" w:lineRule="auto"/>
        <w:rPr>
          <w:sz w:val="20"/>
          <w:szCs w:val="20"/>
          <w:color w:val="auto"/>
        </w:rPr>
      </w:pPr>
      <w:r>
        <w:rPr>
          <w:rFonts w:ascii="Arial" w:cs="Arial" w:eastAsia="Arial" w:hAnsi="Arial"/>
          <w:sz w:val="15"/>
          <w:szCs w:val="15"/>
          <w:i w:val="1"/>
          <w:iCs w:val="1"/>
          <w:color w:val="auto"/>
        </w:rPr>
        <w:t>Temperature-Controlled Testing</w:t>
      </w:r>
      <w:r>
        <w:rPr>
          <w:rFonts w:ascii="Arial" w:cs="Arial" w:eastAsia="Arial" w:hAnsi="Arial"/>
          <w:sz w:val="15"/>
          <w:szCs w:val="15"/>
          <w:color w:val="auto"/>
        </w:rPr>
        <w:t>. Our Thermostream (R) products are used by manufacturers in a number of markets to stress test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Sigma's thermal platforms and temperature chambers can accommodate large thermal masses and are found in both laboratory and production environments. Thermonics' products provide a range of precision temperature forcing systems used throughout various markets to verify the performance of products at a range of temperatures.</w:t>
      </w:r>
    </w:p>
    <w:p>
      <w:pPr>
        <w:spacing w:after="0" w:line="162"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jc w:val="both"/>
        <w:ind w:left="540" w:right="140"/>
        <w:spacing w:after="0" w:line="306"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manipulator and</w:t>
      </w:r>
      <w:r>
        <w:rPr>
          <w:rFonts w:ascii="Arial" w:cs="Arial" w:eastAsia="Arial" w:hAnsi="Arial"/>
          <w:sz w:val="16"/>
          <w:szCs w:val="16"/>
          <w:i w:val="1"/>
          <w:iCs w:val="1"/>
          <w:color w:val="auto"/>
        </w:rPr>
        <w:t xml:space="preserve"> </w:t>
      </w:r>
      <w:r>
        <w:rPr>
          <w:rFonts w:ascii="Arial" w:cs="Arial" w:eastAsia="Arial" w:hAnsi="Arial"/>
          <w:sz w:val="16"/>
          <w:szCs w:val="16"/>
          <w:color w:val="auto"/>
        </w:rPr>
        <w:t>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6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we had domestic manufacturing facilities in Massachusetts, New Jersey and California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We remain committed to our goals of being recognized in our markets as the designer and manufacturer of the highest quality and most cost effective products and becoming the key supplier of all of our customers' product testing needs, other than probers, handlers and testers. Our strategies to achieve these goals include the following:</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Pursuing Synergistic Acquisitions</w:t>
      </w:r>
      <w:r>
        <w:rPr>
          <w:rFonts w:ascii="Arial" w:cs="Arial" w:eastAsia="Arial" w:hAnsi="Arial"/>
          <w:sz w:val="16"/>
          <w:szCs w:val="16"/>
          <w:color w:val="auto"/>
        </w:rPr>
        <w:t>. A key element of our growth strategy has been to acquire businesses, technologies or products that are complementary</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in 2008, and Thermonics in 2012, provided access to markets that are less sensitive to cyclicality than the ATE market. We seek to make acquisitions that will further expand our product lines as well as increase our exposure to markets outside of the ATE market.</w:t>
      </w:r>
    </w:p>
    <w:p>
      <w:pPr>
        <w:spacing w:after="0" w:line="170"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Products segment. During 2015 and 2014, approximately $10.7 million and $11.1 million, respectively, or 27%, of our total net revenues in both years were derived from markets outside semiconductor test. These revenues were all generated by our Thermal Products segment. We cannot determine at this time whether we will be successful in building our sales in these non-traditional markets or what the growth rate of our sales in these markets will be in future periods.</w:t>
      </w:r>
    </w:p>
    <w:p>
      <w:pPr>
        <w:spacing w:after="0" w:line="172"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94"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ectPr>
          <w:pgSz w:w="11900" w:h="16857" w:orient="portrait"/>
          <w:cols w:equalWidth="0" w:num="1">
            <w:col w:w="11420"/>
          </w:cols>
          <w:pgMar w:left="240" w:top="131" w:right="239" w:bottom="0" w:gutter="0" w:footer="0" w:header="0"/>
        </w:sectPr>
      </w:pPr>
    </w:p>
    <w:bookmarkStart w:id="5" w:name="page6"/>
    <w:bookmarkEnd w:id="5"/>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Germany and Singapore.</w:t>
      </w:r>
    </w:p>
    <w:p>
      <w:pPr>
        <w:spacing w:after="0" w:line="139"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jc w:val="center"/>
        <w:ind w:right="8960"/>
        <w:spacing w:after="0"/>
        <w:tabs>
          <w:tab w:leader="none" w:pos="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During 2015, we managed our business as three product segments, which were also our reporting units: Thermal Products, Mechanical Products and Electrical Products. Our Thermal Products segment consists of our subsidiaries in Mansfield, Massachusetts (Temptronic Corporation, which manufactures products under the Temptronic, Sigma and Thermonics brand names), Germany (inTEST Thermal Solutions GmbH), and Singapore (inTEST Pte Ltd.). Our Mechanical Products segment consists of our manufacturing operation in Mt. Laurel, New Jersey. Our Electrical Products segment consists of our subsidiary in Fremont, California (inTEST Silicon Valley Corporation). As previously discussed, in January 2016, we announced the formation of the inTEST EMS Products Division which is a result of the combination of the operations of our Electrical and Mechanical Products segments. In 2016, these two product segments will be managed as one business unit.</w:t>
      </w:r>
    </w:p>
    <w:p>
      <w:pPr>
        <w:spacing w:after="0" w:line="172"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thermal products are sold into the environmental test market encompassing a wide variety of markets including the ATE, automotive, consumer electronics, defense/aerospace, energy, industrial and telecommunications markets. Our thermal products enable a manufacturer to test semiconductor wafers and ICs, electronic components and assemblies, mechanical assemblies and electromechanical assemblies. Our thermal products provide the ability to characterize and stress test a variety of materials over extreme and variable temperature conditions that can occur in actual use.</w:t>
      </w:r>
    </w:p>
    <w:p>
      <w:pPr>
        <w:spacing w:after="0" w:line="167"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semiconductor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ThermoStream(R) products provide a source of heated and cooled air which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70"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167"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Traditionally, our customers used ThermoStream(R) products primarily in engineering, quality assurance and small-run manufacturing environments. However, increasingly, our customers use ThermoStream(R) products in longer-run production applications. Sigma has significantly broadened our product line by providing the ability to thermally test devices and assemblies requiring a far larger scale, both physically and thermally, than previously achievable. ThermoStream(R) and MobileTemp products range in price from approximately $15,000 to $50,000.</w:t>
      </w:r>
    </w:p>
    <w:p>
      <w:pPr>
        <w:spacing w:after="0" w:line="167"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67"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616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ectPr>
          <w:pgSz w:w="11900" w:h="16838" w:orient="portrait"/>
          <w:cols w:equalWidth="0" w:num="1">
            <w:col w:w="11420"/>
          </w:cols>
          <w:pgMar w:left="240" w:top="347" w:right="239" w:bottom="59" w:gutter="0" w:footer="0" w:header="0"/>
        </w:sectPr>
      </w:pP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ectPr>
          <w:pgSz w:w="11900" w:h="16838" w:orient="portrait"/>
          <w:cols w:equalWidth="0" w:num="1">
            <w:col w:w="11420"/>
          </w:cols>
          <w:pgMar w:left="240" w:top="347" w:right="239" w:bottom="59" w:gutter="0" w:footer="0" w:header="0"/>
          <w:type w:val="continuous"/>
        </w:sectPr>
      </w:pPr>
    </w:p>
    <w:bookmarkStart w:id="6" w:name="page7"/>
    <w:bookmarkEnd w:id="6"/>
    <w:p>
      <w:pPr>
        <w:spacing w:after="0" w:line="3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i w:val="1"/>
          <w:iCs w:val="1"/>
          <w:color w:val="auto"/>
        </w:rPr>
        <w:t>ThermoChuck(R) Products</w:t>
      </w:r>
      <w:r>
        <w:rPr>
          <w:rFonts w:ascii="Arial" w:cs="Arial" w:eastAsia="Arial" w:hAnsi="Arial"/>
          <w:sz w:val="18"/>
          <w:szCs w:val="18"/>
          <w:color w:val="auto"/>
        </w:rPr>
        <w:t>: Our ThermoChuck(R) precision vacuum platform assemblies, used primarily in the semiconductor market, quickly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+300 degrees Celsius. ThermoChucks(R) are incorporated into wafer prober equipment for laboratory analysis and for in-line production testing of semiconductor wafers. ThermoChuck(R) products range in price from approximately $16,000 to $120,000.</w:t>
      </w:r>
    </w:p>
    <w:p>
      <w:pPr>
        <w:spacing w:after="0" w:line="197" w:lineRule="exact"/>
        <w:rPr>
          <w:sz w:val="20"/>
          <w:szCs w:val="20"/>
          <w:color w:val="auto"/>
        </w:rPr>
      </w:pPr>
    </w:p>
    <w:p>
      <w:pPr>
        <w:jc w:val="both"/>
        <w:ind w:left="540" w:right="480"/>
        <w:spacing w:after="0" w:line="259" w:lineRule="auto"/>
        <w:rPr>
          <w:sz w:val="20"/>
          <w:szCs w:val="20"/>
          <w:color w:val="auto"/>
        </w:rPr>
      </w:pPr>
      <w:r>
        <w:rPr>
          <w:rFonts w:ascii="Arial" w:cs="Arial" w:eastAsia="Arial" w:hAnsi="Arial"/>
          <w:sz w:val="18"/>
          <w:szCs w:val="18"/>
          <w:i w:val="1"/>
          <w:iCs w:val="1"/>
          <w:color w:val="auto"/>
        </w:rPr>
        <w:t xml:space="preserve">Thermonics(R)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and semiconductor markets. Prices range from $20,000 to greater than $100,000.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in2(R), the Aero Series and the Cobal Series. These free-standing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9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1,600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72"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Our docking hardware products protect the delicate interface contacts and ensure proper repeatable and precise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72"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jc w:val="center"/>
        <w:ind w:right="8960"/>
        <w:spacing w:after="0"/>
        <w:tabs>
          <w:tab w:leader="none" w:pos="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tester interface products range in price from approximately $7,000 to $40,000.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Please see Note 15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market and sell our products primarily in markets where semiconductors are manufactured. North American and European semiconductor</w:t>
      </w:r>
    </w:p>
    <w:p>
      <w:pPr>
        <w:sectPr>
          <w:pgSz w:w="11900" w:h="16870" w:orient="portrait"/>
          <w:cols w:equalWidth="0" w:num="1">
            <w:col w:w="11420"/>
          </w:cols>
          <w:pgMar w:left="240" w:top="131" w:right="239" w:bottom="0" w:gutter="0" w:footer="0" w:header="0"/>
        </w:sectPr>
      </w:pPr>
    </w:p>
    <w:bookmarkStart w:id="7" w:name="page8"/>
    <w:bookmarkEnd w:id="7"/>
    <w:p>
      <w:pPr>
        <w:jc w:val="both"/>
        <w:ind w:left="540" w:right="160"/>
        <w:spacing w:after="0" w:line="306" w:lineRule="auto"/>
        <w:rPr>
          <w:sz w:val="20"/>
          <w:szCs w:val="20"/>
          <w:color w:val="auto"/>
        </w:rPr>
      </w:pPr>
      <w:r>
        <w:rPr>
          <w:rFonts w:ascii="Arial" w:cs="Arial" w:eastAsia="Arial" w:hAnsi="Arial"/>
          <w:sz w:val="16"/>
          <w:szCs w:val="16"/>
          <w:color w:val="auto"/>
        </w:rPr>
        <w:t>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61"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and Thermonics, under the umbrella name of inTEST Thermal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all of our thermal products.</w:t>
      </w:r>
    </w:p>
    <w:p>
      <w:pPr>
        <w:spacing w:after="0" w:line="174"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Mechanical and Electrical Products</w:t>
      </w:r>
      <w:r>
        <w:rPr>
          <w:rFonts w:ascii="Arial" w:cs="Arial" w:eastAsia="Arial" w:hAnsi="Arial"/>
          <w:sz w:val="18"/>
          <w:szCs w:val="18"/>
          <w:color w:val="auto"/>
        </w:rPr>
        <w:t>: In North America, we sell to semiconductor manufacturers principally through the use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sales representatives. North American sales representatives also coordinate product installation and support with our technical staff and participate in trade shows.</w:t>
      </w:r>
    </w:p>
    <w:p>
      <w:pPr>
        <w:spacing w:after="0" w:line="194"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67"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Malaysia, the Philippines, Singapore, South Korea, Taiwan and 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During the years ended December 31, 2015 and 2014, Hakuto Co. Ltd., one of our distributors, accounted for 12% and 11% of our consolidated net revenues, respectively. These revenues were generated by our Thermal Products segment. During the year ended December 31, 2014, Texas Instruments Incorporated accounted for 13% of our consolidated net revenues. While all three of our operating segments sold products to this customer, these revenues were primarily generated by our Mechanical Products and Electrical Products segments. Our ten largest customers accounted for approximately 43% and 48% of our consolidated net revenues in 2015 and 2014,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 2015 include:</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Semiconductor Manufacturers</w:t>
            </w:r>
          </w:p>
        </w:tc>
        <w:tc>
          <w:tcPr>
            <w:tcW w:w="2100" w:type="dxa"/>
            <w:vAlign w:val="bottom"/>
            <w:gridSpan w:val="3"/>
          </w:tcPr>
          <w:p>
            <w:pPr>
              <w:ind w:left="300"/>
              <w:spacing w:after="0"/>
              <w:rPr>
                <w:sz w:val="20"/>
                <w:szCs w:val="20"/>
                <w:color w:val="auto"/>
              </w:rPr>
            </w:pPr>
            <w:r>
              <w:rPr>
                <w:rFonts w:ascii="Arial" w:cs="Arial" w:eastAsia="Arial" w:hAnsi="Arial"/>
                <w:sz w:val="14"/>
                <w:szCs w:val="14"/>
                <w:b w:val="1"/>
                <w:bCs w:val="1"/>
                <w:i w:val="1"/>
                <w:iCs w:val="1"/>
                <w:color w:val="auto"/>
              </w:rPr>
              <w:t>ATE Manufacturers</w:t>
            </w:r>
          </w:p>
        </w:tc>
        <w:tc>
          <w:tcPr>
            <w:tcW w:w="2180" w:type="dxa"/>
            <w:vAlign w:val="bottom"/>
            <w:gridSpan w:val="3"/>
          </w:tcPr>
          <w:p>
            <w:pPr>
              <w:ind w:left="680"/>
              <w:spacing w:after="0"/>
              <w:rPr>
                <w:sz w:val="20"/>
                <w:szCs w:val="20"/>
                <w:color w:val="auto"/>
              </w:rPr>
            </w:pPr>
            <w:r>
              <w:rPr>
                <w:rFonts w:ascii="Arial" w:cs="Arial" w:eastAsia="Arial" w:hAnsi="Arial"/>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5"/>
        </w:trPr>
        <w:tc>
          <w:tcPr>
            <w:tcW w:w="1720" w:type="dxa"/>
            <w:vAlign w:val="bottom"/>
          </w:tcPr>
          <w:p>
            <w:pPr>
              <w:spacing w:after="0"/>
              <w:rPr>
                <w:sz w:val="20"/>
                <w:szCs w:val="20"/>
                <w:color w:val="auto"/>
              </w:rPr>
            </w:pPr>
            <w:r>
              <w:rPr>
                <w:rFonts w:ascii="Arial" w:cs="Arial" w:eastAsia="Arial" w:hAnsi="Arial"/>
                <w:sz w:val="18"/>
                <w:szCs w:val="18"/>
                <w:color w:val="auto"/>
              </w:rPr>
              <w:t>Analog Devices, Inc.</w:t>
            </w:r>
          </w:p>
        </w:tc>
        <w:tc>
          <w:tcPr>
            <w:tcW w:w="820" w:type="dxa"/>
            <w:vAlign w:val="bottom"/>
          </w:tcPr>
          <w:p>
            <w:pPr>
              <w:spacing w:after="0"/>
              <w:rPr>
                <w:sz w:val="20"/>
                <w:szCs w:val="20"/>
                <w:color w:val="auto"/>
              </w:rPr>
            </w:pPr>
          </w:p>
        </w:tc>
        <w:tc>
          <w:tcPr>
            <w:tcW w:w="2100" w:type="dxa"/>
            <w:vAlign w:val="bottom"/>
            <w:gridSpan w:val="3"/>
          </w:tcPr>
          <w:p>
            <w:pPr>
              <w:ind w:left="300"/>
              <w:spacing w:after="0"/>
              <w:rPr>
                <w:sz w:val="20"/>
                <w:szCs w:val="20"/>
                <w:color w:val="auto"/>
              </w:rPr>
            </w:pPr>
            <w:r>
              <w:rPr>
                <w:rFonts w:ascii="Arial" w:cs="Arial" w:eastAsia="Arial" w:hAnsi="Arial"/>
                <w:sz w:val="18"/>
                <w:szCs w:val="18"/>
                <w:color w:val="auto"/>
              </w:rPr>
              <w:t>Teradyne, Inc.</w:t>
            </w: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w w:val="87"/>
              </w:rPr>
              <w:t>Emerson Electric Co.</w:t>
            </w: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Infineon Technologies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rPr>
              <w:t>Hakuto Co. Ltd.</w:t>
            </w: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Intel Corp</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180" w:type="dxa"/>
            <w:vAlign w:val="bottom"/>
            <w:gridSpan w:val="3"/>
          </w:tcPr>
          <w:p>
            <w:pPr>
              <w:ind w:left="680"/>
              <w:spacing w:after="0"/>
              <w:rPr>
                <w:sz w:val="20"/>
                <w:szCs w:val="20"/>
                <w:color w:val="auto"/>
              </w:rPr>
            </w:pPr>
            <w:r>
              <w:rPr>
                <w:rFonts w:ascii="Arial" w:cs="Arial" w:eastAsia="Arial" w:hAnsi="Arial"/>
                <w:sz w:val="18"/>
                <w:szCs w:val="18"/>
                <w:color w:val="auto"/>
                <w:w w:val="93"/>
              </w:rPr>
              <w:t>Raytheon Company</w:t>
            </w: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Intersil Corporation</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NXP Semiconductors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w w:val="99"/>
              </w:rPr>
              <w:t>Texas Instruments Incorporated</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As of December 31, 2015, our principal manufacturing operations consisted of assembly and testing at our facilities in Massachusetts, New Jersey and California.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72"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ectPr>
          <w:pgSz w:w="11900" w:h="16838" w:orient="portrait"/>
          <w:cols w:equalWidth="0" w:num="1">
            <w:col w:w="11400"/>
          </w:cols>
          <w:pgMar w:left="240" w:top="131" w:right="259" w:bottom="0" w:gutter="0" w:footer="0" w:header="0"/>
        </w:sectPr>
      </w:pPr>
    </w:p>
    <w:bookmarkStart w:id="8" w:name="page9"/>
    <w:bookmarkEnd w:id="8"/>
    <w:p>
      <w:pPr>
        <w:jc w:val="both"/>
        <w:ind w:left="540" w:right="380"/>
        <w:spacing w:after="0" w:line="259" w:lineRule="auto"/>
        <w:rPr>
          <w:sz w:val="20"/>
          <w:szCs w:val="20"/>
          <w:color w:val="auto"/>
        </w:rPr>
      </w:pPr>
      <w:r>
        <w:rPr>
          <w:rFonts w:ascii="Arial" w:cs="Arial" w:eastAsia="Arial" w:hAnsi="Arial"/>
          <w:sz w:val="18"/>
          <w:szCs w:val="18"/>
          <w:color w:val="auto"/>
        </w:rPr>
        <w:t>Our Massachusetts facility has maintained certification with the ISO 9001:2008 standard since its inception. Our New Jersey and California facilities manufacture products only for the semiconductor industry where ISO certification is not required. However, these locations do employ the practices embodied in the ISO 9001:2008.</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2015, we employed a total of 26 engineers, who were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 We spent approximately $3.9 million in 2015 and $3.6 million in 2014 on engineering and product development, respectively.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0"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As of December 31, 2015, we held 48 active U.S. patents and had 9 pending U.S. patent applications covering various aspects of our technology. Our U.S. patents expire at various times beginning in 2016 and extending through 2034. During 2015, three U.S. patents were issued and we had two U.S. patents expire. We do not believe that the expiration of these patents or the upcoming expiration of certain of our patents in 2016 will have a material impact on our business. We also hold foreign patents and file foreign patent applications, in selected cases corresponding to our U.S. patents and patent applications, to the extent management deems appropriate.</w:t>
      </w:r>
    </w:p>
    <w:p>
      <w:pPr>
        <w:spacing w:after="0" w:line="170"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market,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We operate in an increasingly competitive environment within each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ectPr>
          <w:pgSz w:w="11900" w:h="16838" w:orient="portrait"/>
          <w:cols w:equalWidth="0" w:num="1">
            <w:col w:w="11400"/>
          </w:cols>
          <w:pgMar w:left="240" w:top="131" w:right="259" w:bottom="0" w:gutter="0" w:footer="0" w:header="0"/>
        </w:sectPr>
      </w:pPr>
    </w:p>
    <w:bookmarkStart w:id="9" w:name="page10"/>
    <w:bookmarkEnd w:id="9"/>
    <w:p>
      <w:pPr>
        <w:spacing w:after="0" w:line="67"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principal competitors for Thermostream products are FTS Systems, a part of SP Industries, and MPI Corporation. Our principal competitors for Thermochuck products include Cascade Microtech, Inc., ERS Electronik GmbH and Espec Corp. Our principal competitors for environmental chambers are Cincinnati Sub-Zero Products, Inc., Espec Corp. and Thermotron Industries. Our principal competitor for thermal platforms is Environmental Stress Systems Inc.</w:t>
      </w:r>
    </w:p>
    <w:p>
      <w:pPr>
        <w:spacing w:after="0" w:line="197"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principal competitors for tester interface products are Advantest Corporation, Esmo AG, Reid-Ashman Manufacturing and Teradyne, Inc.</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20"/>
        <w:spacing w:after="0" w:line="291" w:lineRule="auto"/>
        <w:rPr>
          <w:sz w:val="20"/>
          <w:szCs w:val="20"/>
          <w:color w:val="auto"/>
        </w:rPr>
      </w:pPr>
      <w:r>
        <w:rPr>
          <w:rFonts w:ascii="Arial" w:cs="Arial" w:eastAsia="Arial" w:hAnsi="Arial"/>
          <w:sz w:val="16"/>
          <w:szCs w:val="16"/>
          <w:color w:val="auto"/>
        </w:rPr>
        <w:t>At December 31, 2015, our backlog of unfilled orders for all products was approximately $2.4 million compared with approximately $3.8 million at December 31, 2014. Our backlog includes customer orders which we have accepted, substantially all of which we expect to deliver in 2016.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At December 31, 2015, we had 125 full time employees, including 56 in manufacturing operations, 49 in customer support/operations and 20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2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right="120"/>
        <w:spacing w:after="0" w:line="310" w:lineRule="auto"/>
        <w:rPr>
          <w:sz w:val="20"/>
          <w:szCs w:val="20"/>
          <w:color w:val="auto"/>
        </w:rPr>
      </w:pPr>
      <w:r>
        <w:rPr>
          <w:rFonts w:ascii="Arial" w:cs="Arial" w:eastAsia="Arial" w:hAnsi="Arial"/>
          <w:sz w:val="16"/>
          <w:szCs w:val="16"/>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57" w:lineRule="exact"/>
        <w:rPr>
          <w:sz w:val="20"/>
          <w:szCs w:val="20"/>
          <w:color w:val="auto"/>
        </w:rPr>
      </w:pPr>
    </w:p>
    <w:p>
      <w:pPr>
        <w:ind w:left="540"/>
        <w:spacing w:after="0" w:line="308" w:lineRule="auto"/>
        <w:rPr>
          <w:sz w:val="20"/>
          <w:szCs w:val="20"/>
          <w:color w:val="auto"/>
        </w:rPr>
      </w:pPr>
      <w:r>
        <w:rPr>
          <w:rFonts w:ascii="Arial" w:cs="Arial" w:eastAsia="Arial" w:hAnsi="Arial"/>
          <w:sz w:val="15"/>
          <w:szCs w:val="15"/>
          <w:color w:val="auto"/>
        </w:rPr>
        <w:t>Since 2009, we have sold our thermal products in markets outside of the ATE market, including the automotive, consumer electronics, defense/aerospace, energy, industrial and telecommunications markets. Our sales to these non-ATE markets were $10.7 million and $11.1 million in 2015 and 2014, respectively, and represented 27% of our consolidated net revenues in both years. We offer highly specialized engineering solutions in these markets outside the ATE market, the demand for which is limited and which we expect may vary significantly from period to period. Our goal is to increase our sales into these and other non-ATE markets;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nature of our highly specialized product offerings in these non-ATE markets, we do not expect broad market penetration in many of these markets. If we are unable to expand our sales in non-ATE markets, our net revenues and results of operations will remain substantially dependent upon the cycles of the semiconductor and ATE markets.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restructuring efforts, the goal of which is to return non-profitable operations to profitability, may not be successful.</w:t>
      </w:r>
    </w:p>
    <w:p>
      <w:pPr>
        <w:spacing w:after="0" w:line="191" w:lineRule="exact"/>
        <w:rPr>
          <w:sz w:val="20"/>
          <w:szCs w:val="20"/>
          <w:color w:val="auto"/>
        </w:rPr>
      </w:pPr>
    </w:p>
    <w:p>
      <w:pPr>
        <w:ind w:left="540" w:right="120"/>
        <w:spacing w:after="0" w:line="289"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in conjunction with the formation of the inTEST EMS Products Division, we implemented a workforce reduction which resulted in our recording a restructuring charge of $99,000 in the first quarter of 2016. The annualized savings from these actions are estimated to be approximately $690,000. Our review of the operations of this product segment is ongoing with the goal of identifying additional opportunities for cost reduction and revenue growth. We cannot be certain that our efforts to restructure this operation to achieve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 term working capital requirements.</w:t>
      </w:r>
    </w:p>
    <w:p>
      <w:pPr>
        <w:sectPr>
          <w:pgSz w:w="11900" w:h="16906" w:orient="portrait"/>
          <w:cols w:equalWidth="0" w:num="1">
            <w:col w:w="11420"/>
          </w:cols>
          <w:pgMar w:left="240" w:top="347" w:right="239" w:bottom="0" w:gutter="0" w:footer="0" w:header="0"/>
        </w:sectPr>
      </w:pPr>
    </w:p>
    <w:bookmarkStart w:id="10" w:name="page11"/>
    <w:bookmarkEnd w:id="10"/>
    <w:p>
      <w:pPr>
        <w:ind w:left="540" w:right="180"/>
        <w:spacing w:after="0" w:line="275" w:lineRule="auto"/>
        <w:rPr>
          <w:sz w:val="20"/>
          <w:szCs w:val="20"/>
          <w:color w:val="auto"/>
        </w:rPr>
      </w:pPr>
      <w:r>
        <w:rPr>
          <w:rFonts w:ascii="Arial" w:cs="Arial" w:eastAsia="Arial" w:hAnsi="Arial"/>
          <w:sz w:val="18"/>
          <w:szCs w:val="18"/>
          <w:b w:val="1"/>
          <w:bCs w:val="1"/>
          <w:color w:val="auto"/>
        </w:rPr>
        <w:t>Our sales are affected by the cyclicality and seasonality of the semiconductor and ATE markets, which causes our operating results to fluctuate significantly.</w:t>
      </w:r>
    </w:p>
    <w:p>
      <w:pPr>
        <w:spacing w:after="0" w:line="180"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168" w:lineRule="exact"/>
        <w:rPr>
          <w:sz w:val="20"/>
          <w:szCs w:val="20"/>
          <w:color w:val="auto"/>
        </w:rPr>
      </w:pPr>
    </w:p>
    <w:p>
      <w:pPr>
        <w:ind w:left="540" w:right="700"/>
        <w:spacing w:after="0" w:line="378" w:lineRule="auto"/>
        <w:rPr>
          <w:sz w:val="20"/>
          <w:szCs w:val="20"/>
          <w:color w:val="auto"/>
        </w:rPr>
      </w:pPr>
      <w:r>
        <w:rPr>
          <w:rFonts w:ascii="Arial" w:cs="Arial" w:eastAsia="Arial" w:hAnsi="Arial"/>
          <w:sz w:val="15"/>
          <w:szCs w:val="15"/>
          <w:b w:val="1"/>
          <w:bCs w:val="1"/>
          <w:color w:val="auto"/>
        </w:rPr>
        <w:t>We seek to acquire additional businesses. If we are unable to do so, our future rate of growth may be reduced or limited. We may incur significant expenses related to due diligence or other transaction related expenses for a proposed acquisition that may not be completed.</w:t>
      </w:r>
    </w:p>
    <w:p>
      <w:pPr>
        <w:spacing w:after="0" w:line="111"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increase our exposure to markets outside the ATE market. We may not be able to execute our acquisition strategy if:</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right="4420"/>
        <w:spacing w:after="0" w:line="306" w:lineRule="auto"/>
        <w:rPr>
          <w:sz w:val="20"/>
          <w:szCs w:val="20"/>
          <w:color w:val="auto"/>
        </w:rPr>
      </w:pPr>
      <w:r>
        <w:rPr>
          <w:rFonts w:ascii="Arial" w:cs="Arial" w:eastAsia="Arial" w:hAnsi="Arial"/>
          <w:sz w:val="16"/>
          <w:szCs w:val="16"/>
          <w:color w:val="auto"/>
        </w:rPr>
        <w:t>we are unable to identify suitable businesses, technologies or products to acquire; we do not have sufficient cash or access to required capital at the necessary time; or 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-401955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-264795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-127635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4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40"/>
        <w:spacing w:after="0" w:line="281" w:lineRule="auto"/>
        <w:rPr>
          <w:sz w:val="20"/>
          <w:szCs w:val="20"/>
          <w:color w:val="auto"/>
        </w:rPr>
      </w:pPr>
      <w:r>
        <w:rPr>
          <w:rFonts w:ascii="Arial" w:cs="Arial" w:eastAsia="Arial" w:hAnsi="Arial"/>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Some of our competitors are much smaller than we are, and therefore have much lower levels of overhead than we do, which enables them to sell their competing products at lower prices.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66" w:lineRule="exact"/>
        <w:rPr>
          <w:sz w:val="20"/>
          <w:szCs w:val="20"/>
          <w:color w:val="auto"/>
        </w:rPr>
      </w:pPr>
    </w:p>
    <w:p>
      <w:pPr>
        <w:ind w:left="540" w:right="46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34"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addition to the cyclicality and seasonality of the semiconductor and ATE markets,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customers requiring products with a greater range of use at the lowest cost, and (iv) customer supply chain management groups demanding lower prices and spreading purchases across multiple vendors.</w:t>
      </w:r>
    </w:p>
    <w:p>
      <w:pPr>
        <w:sectPr>
          <w:pgSz w:w="11900" w:h="16838" w:orient="portrait"/>
          <w:cols w:equalWidth="0" w:num="1">
            <w:col w:w="11400"/>
          </w:cols>
          <w:pgMar w:left="240" w:top="341" w:right="259" w:bottom="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11400"/>
          </w:cols>
          <w:pgMar w:left="240" w:top="341" w:right="259" w:bottom="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306" w:lineRule="auto"/>
        <w:rPr>
          <w:sz w:val="20"/>
          <w:szCs w:val="20"/>
          <w:color w:val="auto"/>
        </w:rPr>
      </w:pPr>
      <w:r>
        <w:rPr>
          <w:rFonts w:ascii="Arial" w:cs="Arial" w:eastAsia="Arial" w:hAnsi="Arial"/>
          <w:sz w:val="16"/>
          <w:szCs w:val="16"/>
          <w:color w:val="auto"/>
        </w:rPr>
        <w:t>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55"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Increased in-house manufacturing capabilities among certain ATE manufacturers may have resulted, and may continue to result, in reductions in our share of the manipulator, docking hardware and tester interface products markets, reduced revenues in our Mechanical and Electrical Products segments and net losses in our Mechanical Products segment.</w:t>
      </w:r>
    </w:p>
    <w:p>
      <w:pPr>
        <w:spacing w:after="0" w:line="192"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Over the last several years, certain ATE manufacturers have begun manufacturing and selling certain products made by both our Mechanical and Electrical Products segments, including manipulator, docking hardware and tester interface products. As a result of the loss of these product sales, we may have lost market share in our manipulator, docking hardware and tester interface products, and our Mechanical Products segment has incurred operating losses. To the extent that we cannot replace these lost sales, our market share may decline, which could have a material adverse impact on the financial results of our Mechanical and Electrical Products segments.</w:t>
      </w:r>
    </w:p>
    <w:p>
      <w:pPr>
        <w:spacing w:after="0" w:line="191"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During the years ended December 31, 2015 and 2014, Hakuto Co. Ltd., one of our distributors, accounted for 12% and 11% of our consolidated net revenues, respectively. These revenues were generated by our Thermal Products segment. During the year ended December 31, 2014, Texas Instruments Incorporated accounted for 13% of our consolidated net revenues. The reduction in net revenues from Texas Instruments Incorporated during 2015 as compared to 2014 reflects reduced capital spending by this customer during 2015. While all three of our operating segments sold products to this customer, these revenues were primarily generated by our Mechanical Products and Electrical Products segments. Our ten largest customers accounted for approximately 43% and 48% of our consolidated net revenues in 2015 and 2014,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Historically,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4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fluctuations in the level of product warranty charges;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and timing of integration of our acquisitions and plant consolidations and relocations;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obtain raw materials or fabricated parts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ectPr>
          <w:pgSz w:w="11900" w:h="16838" w:orient="portrait"/>
          <w:cols w:equalWidth="0" w:num="1">
            <w:col w:w="11400"/>
          </w:cols>
          <w:pgMar w:left="240" w:top="341" w:right="259" w:bottom="0" w:gutter="0" w:footer="0" w:header="0"/>
        </w:sectPr>
      </w:pPr>
    </w:p>
    <w:bookmarkStart w:id="12" w:name="page13"/>
    <w:bookmarkEnd w:id="12"/>
    <w:p>
      <w:pPr>
        <w:ind w:left="540" w:right="40"/>
        <w:spacing w:after="0" w:line="256"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91"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8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13% and 15% of consolidated net revenues in 2015 and 2014, respectively. Net revenues from foreign customers totaled $24.6 million, or 63% of consolidated net revenues in 2015 and $27.4 million, or 66% of consolidated net revenues in 2014.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81" w:lineRule="auto"/>
        <w:rPr>
          <w:sz w:val="20"/>
          <w:szCs w:val="20"/>
          <w:color w:val="auto"/>
        </w:rPr>
      </w:pPr>
      <w:r>
        <w:rPr>
          <w:rFonts w:ascii="Arial" w:cs="Arial" w:eastAsia="Arial" w:hAnsi="Arial"/>
          <w:sz w:val="16"/>
          <w:szCs w:val="16"/>
          <w:color w:val="auto"/>
        </w:rPr>
        <w:t>the imposition of financial and operational controls and regulatory restrictions by foreign governments; the need to comply with a wide variety of U.S. and foreign import and export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20"/>
        <w:spacing w:after="0" w:line="250" w:lineRule="auto"/>
        <w:rPr>
          <w:sz w:val="20"/>
          <w:szCs w:val="20"/>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As of December 31, 2015, $2.0 million of our cash and cash equivalents was held by our foreign subsidiaries. Our financial condition and results of operations could be adversely impacted if we are unable to maintain a sufficient level of cash flow in the U.S. to address our cash requirements or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breach of our operational or security systems could negatively affect our business and results of operations.</w:t>
      </w:r>
    </w:p>
    <w:p>
      <w:pPr>
        <w:spacing w:after="0" w:line="231"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damage our reputation, cause losses and significantly increase our costs.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31" w:lineRule="exact"/>
        <w:rPr>
          <w:sz w:val="20"/>
          <w:szCs w:val="20"/>
          <w:color w:val="auto"/>
        </w:rPr>
      </w:pPr>
    </w:p>
    <w:p>
      <w:pPr>
        <w:ind w:left="540" w:right="60"/>
        <w:spacing w:after="0" w:line="318" w:lineRule="auto"/>
        <w:rPr>
          <w:sz w:val="20"/>
          <w:szCs w:val="20"/>
          <w:color w:val="auto"/>
        </w:rPr>
      </w:pPr>
      <w:r>
        <w:rPr>
          <w:rFonts w:ascii="Arial" w:cs="Arial" w:eastAsia="Arial" w:hAnsi="Arial"/>
          <w:sz w:val="15"/>
          <w:szCs w:val="15"/>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As global economic conditions improve and employment opportunities increase, if we are unable to increase employee salaries and maintain employee benefits commensurate with competitive opportunities, we</w:t>
      </w:r>
    </w:p>
    <w:p>
      <w:pPr>
        <w:sectPr>
          <w:pgSz w:w="11900" w:h="16838" w:orient="portrait"/>
          <w:cols w:equalWidth="0" w:num="1">
            <w:col w:w="11420"/>
          </w:cols>
          <w:pgMar w:left="240" w:top="131" w:right="239" w:bottom="0" w:gutter="0" w:footer="0" w:header="0"/>
        </w:sectPr>
      </w:pPr>
    </w:p>
    <w:bookmarkStart w:id="13" w:name="page14"/>
    <w:bookmarkEnd w:id="13"/>
    <w:p>
      <w:pPr>
        <w:spacing w:after="0" w:line="62"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may not be able to retain our senior management and other key employees. Our business could suffer if we were to lose one of more of our senior officers or other key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pacing w:after="0" w:line="254"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2016 and 2034, and we have applications pending for additional patents. Some of our products utilize proprietary technology that is not covered by a patent or similar protection, and, in many cases, cannot be protected. We cannot be certain that: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right="1120"/>
        <w:spacing w:after="0" w:line="253"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-370840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-96520</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may not be able to fully execute our share repurchase program.</w:t>
      </w:r>
    </w:p>
    <w:p>
      <w:pPr>
        <w:spacing w:after="0" w:line="231" w:lineRule="exact"/>
        <w:rPr>
          <w:sz w:val="20"/>
          <w:szCs w:val="20"/>
          <w:color w:val="auto"/>
        </w:rPr>
      </w:pPr>
    </w:p>
    <w:p>
      <w:pPr>
        <w:ind w:left="540" w:right="160"/>
        <w:spacing w:after="0" w:line="288" w:lineRule="auto"/>
        <w:rPr>
          <w:sz w:val="20"/>
          <w:szCs w:val="20"/>
          <w:color w:val="auto"/>
        </w:rPr>
      </w:pPr>
      <w:r>
        <w:rPr>
          <w:rFonts w:ascii="Arial" w:cs="Arial" w:eastAsia="Arial" w:hAnsi="Arial"/>
          <w:sz w:val="16"/>
          <w:szCs w:val="16"/>
          <w:color w:val="auto"/>
        </w:rPr>
        <w:t>In October 2015, our Board of Directors authorized our management to repurchase up to $5 million of our common stock commencing in December 2015. We may not be able to purchase this amount of shares in the open market or in privately negotiated transactions in compliance with applicable securities regulations. Future share repurchases are subject to the discretion of our Board of Directors and will depend, among other things, upon our earnings, capital requirements and financial condition. While we have authorized a share repurchase program, we are not required to repurchase the full dollar amount of shares authorized for repurchase and we may reduce or eliminate our share repurchase program in the future. The reduction or elimination of our share repurchase program, particularly if we do not repurchase the full dollar amount of shares authorized under the program, could adversely affect the market price of our common stock. As of December 31, 2015 we had repurchased a total of 41,332 shares at a cost of $155,000, which includes $1,000 in fees paid to our broker. Through February 29, 2016, we had repurchased a total of 126,356 shares at a cost of $512,000 which included fees paid to our broker of $3,000.</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Regulations related to conflict minerals will cause us to experience increased costs.</w:t>
      </w:r>
    </w:p>
    <w:p>
      <w:pPr>
        <w:spacing w:after="0" w:line="231"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The Dodd-Frank Wall Street Reform and Consumer Protection Act imposes disclosure requirements regarding the use of "conflict" minerals mined from the Democratic Republic of Congo and adjoining countries in our products. This requirement could affect the pricing, sourcing and availability of minerals used in the manufacture of components we use in our products. In addition, there will be significant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a result, we may be unable to certify that our products are conflict mineral free.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At December 31, 2015, we leased five facilities worldwide. The following chart provides information regarding each of our principal facilities that we occupied at December 31, 2015:</w:t>
      </w:r>
    </w:p>
    <w:p>
      <w:pPr>
        <w:spacing w:after="0" w:line="185"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3"/>
              </w:rPr>
              <w:t>Approx.</w:t>
            </w:r>
          </w:p>
        </w:tc>
        <w:tc>
          <w:tcPr>
            <w:tcW w:w="80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0"/>
              </w:rPr>
              <w:t>Lease</w:t>
            </w:r>
          </w:p>
        </w:tc>
        <w:tc>
          <w:tcPr>
            <w:tcW w:w="30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4"/>
              </w:rPr>
              <w:t>Square</w:t>
            </w:r>
          </w:p>
        </w:tc>
        <w:tc>
          <w:tcPr>
            <w:tcW w:w="800" w:type="dxa"/>
            <w:vAlign w:val="bottom"/>
          </w:tcPr>
          <w:p>
            <w:pPr>
              <w:spacing w:after="0"/>
              <w:rPr>
                <w:sz w:val="12"/>
                <w:szCs w:val="12"/>
                <w:color w:val="auto"/>
              </w:rPr>
            </w:pPr>
          </w:p>
        </w:tc>
      </w:tr>
      <w:tr>
        <w:trPr>
          <w:trHeight w:val="146"/>
        </w:trPr>
        <w:tc>
          <w:tcPr>
            <w:tcW w:w="48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78"/>
              </w:rPr>
              <w:t>Location</w:t>
            </w:r>
          </w:p>
        </w:tc>
        <w:tc>
          <w:tcPr>
            <w:tcW w:w="92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112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0"/>
              </w:rPr>
              <w:t>Footage</w:t>
            </w:r>
          </w:p>
        </w:tc>
        <w:tc>
          <w:tcPr>
            <w:tcW w:w="80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0"/>
              </w:rPr>
              <w:t>Principal Uses</w:t>
            </w:r>
          </w:p>
        </w:tc>
      </w:tr>
      <w:tr>
        <w:trPr>
          <w:trHeight w:val="20"/>
        </w:trPr>
        <w:tc>
          <w:tcPr>
            <w:tcW w:w="4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900" w:orient="portrait"/>
          <w:cols w:equalWidth="0" w:num="1">
            <w:col w:w="11360"/>
          </w:cols>
          <w:pgMar w:left="240" w:top="131" w:right="299" w:bottom="0" w:gutter="0" w:footer="0" w:header="0"/>
        </w:sectPr>
      </w:pPr>
    </w:p>
    <w:bookmarkStart w:id="14" w:name="page15"/>
    <w:bookmarkEnd w:id="14"/>
    <w:p>
      <w:pPr>
        <w:spacing w:after="0" w:line="67" w:lineRule="exact"/>
        <w:rPr>
          <w:sz w:val="20"/>
          <w:szCs w:val="20"/>
          <w:color w:val="auto"/>
        </w:rPr>
      </w:pPr>
    </w:p>
    <w:tbl>
      <w:tblPr>
        <w:tblLayout w:type="fixed"/>
        <w:tblInd w:w="208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Mansfield, MA</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8/21</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52,700</w:t>
            </w:r>
          </w:p>
        </w:tc>
        <w:tc>
          <w:tcPr>
            <w:tcW w:w="2980" w:type="dxa"/>
            <w:vAlign w:val="bottom"/>
          </w:tcPr>
          <w:p>
            <w:pPr>
              <w:ind w:left="180"/>
              <w:spacing w:after="0"/>
              <w:rPr>
                <w:sz w:val="20"/>
                <w:szCs w:val="20"/>
                <w:color w:val="auto"/>
              </w:rPr>
            </w:pPr>
            <w:r>
              <w:rPr>
                <w:rFonts w:ascii="Arial" w:cs="Arial" w:eastAsia="Arial" w:hAnsi="Arial"/>
                <w:sz w:val="18"/>
                <w:szCs w:val="18"/>
                <w:color w:val="auto"/>
                <w:w w:val="89"/>
              </w:rPr>
              <w:t>Thermal Products segment operations.</w:t>
            </w:r>
          </w:p>
        </w:tc>
      </w:tr>
      <w:tr>
        <w:trPr>
          <w:trHeight w:val="237"/>
        </w:trPr>
        <w:tc>
          <w:tcPr>
            <w:tcW w:w="1660" w:type="dxa"/>
            <w:vAlign w:val="bottom"/>
          </w:tcPr>
          <w:p>
            <w:pPr>
              <w:spacing w:after="0"/>
              <w:rPr>
                <w:sz w:val="20"/>
                <w:szCs w:val="20"/>
                <w:color w:val="auto"/>
              </w:rPr>
            </w:pPr>
            <w:r>
              <w:rPr>
                <w:rFonts w:ascii="Arial" w:cs="Arial" w:eastAsia="Arial" w:hAnsi="Arial"/>
                <w:sz w:val="18"/>
                <w:szCs w:val="18"/>
                <w:color w:val="auto"/>
              </w:rPr>
              <w:t>Mt. Laurel, NJ</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4/21</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54,897</w:t>
            </w:r>
          </w:p>
        </w:tc>
        <w:tc>
          <w:tcPr>
            <w:tcW w:w="2980" w:type="dxa"/>
            <w:vAlign w:val="bottom"/>
          </w:tcPr>
          <w:p>
            <w:pPr>
              <w:ind w:left="180"/>
              <w:spacing w:after="0"/>
              <w:rPr>
                <w:sz w:val="20"/>
                <w:szCs w:val="20"/>
                <w:color w:val="auto"/>
              </w:rPr>
            </w:pPr>
            <w:r>
              <w:rPr>
                <w:rFonts w:ascii="Arial" w:cs="Arial" w:eastAsia="Arial" w:hAnsi="Arial"/>
                <w:sz w:val="18"/>
                <w:szCs w:val="18"/>
                <w:color w:val="auto"/>
                <w:w w:val="86"/>
              </w:rPr>
              <w:t>Corporate headquarters and Mechanical</w:t>
            </w:r>
          </w:p>
        </w:tc>
      </w:tr>
      <w:tr>
        <w:trPr>
          <w:trHeight w:val="222"/>
        </w:trPr>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8"/>
                <w:szCs w:val="18"/>
                <w:color w:val="auto"/>
              </w:rPr>
              <w:t>Products segment operations.</w:t>
            </w: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Fremont, CA</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9/17</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15,746</w:t>
            </w:r>
          </w:p>
        </w:tc>
        <w:tc>
          <w:tcPr>
            <w:tcW w:w="2980" w:type="dxa"/>
            <w:vAlign w:val="bottom"/>
          </w:tcPr>
          <w:p>
            <w:pPr>
              <w:ind w:left="180"/>
              <w:spacing w:after="0"/>
              <w:rPr>
                <w:sz w:val="20"/>
                <w:szCs w:val="20"/>
                <w:color w:val="auto"/>
              </w:rPr>
            </w:pPr>
            <w:r>
              <w:rPr>
                <w:rFonts w:ascii="Arial" w:cs="Arial" w:eastAsia="Arial" w:hAnsi="Arial"/>
                <w:sz w:val="18"/>
                <w:szCs w:val="18"/>
                <w:color w:val="auto"/>
                <w:w w:val="87"/>
              </w:rPr>
              <w:t>Electrical Products segment operations.</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39595"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Our common stock is traded on NYSE MKT under the symbol "INTT." The following table sets forth the high and low sale prices of our common stock, as reported on the NYSE MKT LLC for the periods indicated. Sale prices have been rounded to the nearest full cent.</w:t>
      </w:r>
    </w:p>
    <w:p>
      <w:pPr>
        <w:spacing w:after="0" w:line="182"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0"/>
              </w:rPr>
              <w:t>Sales Price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vMerge w:val="restart"/>
          </w:tcPr>
          <w:p>
            <w:pPr>
              <w:spacing w:after="0" w:line="196" w:lineRule="exact"/>
              <w:rPr>
                <w:sz w:val="20"/>
                <w:szCs w:val="20"/>
                <w:color w:val="auto"/>
              </w:rPr>
            </w:pPr>
            <w:r>
              <w:rPr>
                <w:rFonts w:ascii="Arial" w:cs="Arial" w:eastAsia="Arial" w:hAnsi="Arial"/>
                <w:sz w:val="18"/>
                <w:szCs w:val="18"/>
                <w:color w:val="auto"/>
                <w:w w:val="84"/>
              </w:rPr>
              <w:t>2015</w:t>
            </w:r>
          </w:p>
        </w:tc>
        <w:tc>
          <w:tcPr>
            <w:tcW w:w="2660" w:type="dxa"/>
            <w:vAlign w:val="bottom"/>
            <w:vMerge w:val="restart"/>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3"/>
              </w:rPr>
              <w:t>High</w:t>
            </w:r>
          </w:p>
        </w:tc>
        <w:tc>
          <w:tcPr>
            <w:tcW w:w="420" w:type="dxa"/>
            <w:vAlign w:val="bottom"/>
            <w:gridSpan w:val="2"/>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78"/>
              </w:rPr>
              <w:t>Low</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360" w:type="dxa"/>
            <w:vAlign w:val="bottom"/>
            <w:tcBorders>
              <w:bottom w:val="single" w:sz="8" w:color="auto"/>
            </w:tcBorders>
            <w:vMerge w:val="continue"/>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30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$3.73</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475"/>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2014</w:t>
            </w:r>
          </w:p>
        </w:tc>
        <w:tc>
          <w:tcPr>
            <w:tcW w:w="2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0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$3.69</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40" w:type="dxa"/>
            <w:vAlign w:val="bottom"/>
            <w:gridSpan w:val="4"/>
          </w:tcPr>
          <w:p>
            <w:pPr>
              <w:jc w:val="right"/>
              <w:ind w:right="340"/>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On March 18, 2016, the closing price for our common stock as reported on the NYSE MKT LLC was $3.89. As of March 18, 2016, we had 10,495,222 shares outstanding that were held by approximately 1,200 beneficial and record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color w:val="auto"/>
        </w:rPr>
        <w:t>(Continued)</w:t>
      </w:r>
    </w:p>
    <w:p>
      <w:pPr>
        <w:spacing w:after="0" w:line="139"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No dividends were paid on our common stock in the years ended December 31, 2015 or 2014. We do not currently plan to pay cash dividends in the foreseeable future. Our current policy is to retain any future earnings for reinvestment in the operation and expansion of our business, including possible acquisitions of other businesses, technologies or products. Payment of any future dividends will be at the discretion of our Board of Directors.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31"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The following table provides information with respect to purchases made by us or on our behalf of our common stock during the year ended December 31, 2015:</w:t>
      </w:r>
    </w:p>
    <w:p>
      <w:pPr>
        <w:spacing w:after="0" w:line="185"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5"/>
              </w:rPr>
              <w:t>Total Number of</w:t>
            </w:r>
          </w:p>
        </w:tc>
        <w:tc>
          <w:tcPr>
            <w:tcW w:w="52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i w:val="1"/>
                <w:iCs w:val="1"/>
                <w:color w:val="auto"/>
                <w:w w:val="86"/>
              </w:rPr>
              <w:t>Approximate Dollar</w:t>
            </w:r>
          </w:p>
        </w:tc>
      </w:tr>
      <w:tr>
        <w:trPr>
          <w:trHeight w:val="149"/>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Shares Purchased</w:t>
            </w:r>
          </w:p>
        </w:tc>
        <w:tc>
          <w:tcPr>
            <w:tcW w:w="5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gridSpan w:val="5"/>
          </w:tcPr>
          <w:p>
            <w:pPr>
              <w:jc w:val="center"/>
              <w:ind w:left="192"/>
              <w:spacing w:after="0" w:line="149" w:lineRule="exact"/>
              <w:rPr>
                <w:sz w:val="20"/>
                <w:szCs w:val="20"/>
                <w:color w:val="auto"/>
              </w:rPr>
            </w:pPr>
            <w:r>
              <w:rPr>
                <w:rFonts w:ascii="Arial" w:cs="Arial" w:eastAsia="Arial" w:hAnsi="Arial"/>
                <w:sz w:val="14"/>
                <w:szCs w:val="14"/>
                <w:b w:val="1"/>
                <w:bCs w:val="1"/>
                <w:i w:val="1"/>
                <w:iCs w:val="1"/>
                <w:color w:val="auto"/>
                <w:w w:val="86"/>
              </w:rPr>
              <w:t>Total Number</w:t>
            </w:r>
          </w:p>
        </w:tc>
        <w:tc>
          <w:tcPr>
            <w:tcW w:w="16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as Part of Publicly</w:t>
            </w:r>
          </w:p>
        </w:tc>
        <w:tc>
          <w:tcPr>
            <w:tcW w:w="52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5"/>
              </w:rPr>
              <w:t>That May Yet Be</w:t>
            </w:r>
          </w:p>
        </w:tc>
      </w:tr>
      <w:tr>
        <w:trPr>
          <w:trHeight w:val="149"/>
        </w:trPr>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1"/>
              </w:rPr>
              <w:t>of Shares</w:t>
            </w: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Announced Plans</w:t>
            </w:r>
          </w:p>
        </w:tc>
        <w:tc>
          <w:tcPr>
            <w:tcW w:w="5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38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Period</w:t>
            </w: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4"/>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1"/>
              </w:rPr>
              <w:t>Repurchased</w:t>
            </w:r>
          </w:p>
        </w:tc>
        <w:tc>
          <w:tcPr>
            <w:tcW w:w="118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5"/>
              </w:rPr>
              <w:t>Per Share</w:t>
            </w:r>
          </w:p>
        </w:tc>
        <w:tc>
          <w:tcPr>
            <w:tcW w:w="104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or Programs</w:t>
            </w:r>
          </w:p>
        </w:tc>
        <w:tc>
          <w:tcPr>
            <w:tcW w:w="1780" w:type="dxa"/>
            <w:vAlign w:val="bottom"/>
            <w:gridSpan w:val="4"/>
          </w:tcPr>
          <w:p>
            <w:pPr>
              <w:jc w:val="center"/>
              <w:ind w:left="439"/>
              <w:spacing w:after="0" w:line="146" w:lineRule="exact"/>
              <w:rPr>
                <w:sz w:val="20"/>
                <w:szCs w:val="20"/>
                <w:color w:val="auto"/>
              </w:rPr>
            </w:pPr>
            <w:r>
              <w:rPr>
                <w:rFonts w:ascii="Arial" w:cs="Arial" w:eastAsia="Arial" w:hAnsi="Arial"/>
                <w:sz w:val="14"/>
                <w:szCs w:val="14"/>
                <w:b w:val="1"/>
                <w:bCs w:val="1"/>
                <w:i w:val="1"/>
                <w:iCs w:val="1"/>
                <w:color w:val="auto"/>
                <w:w w:val="84"/>
              </w:rPr>
              <w:t>the Plans or Programs</w:t>
            </w:r>
          </w:p>
        </w:tc>
      </w:tr>
      <w:tr>
        <w:trPr>
          <w:trHeight w:val="20"/>
        </w:trPr>
        <w:tc>
          <w:tcPr>
            <w:tcW w:w="3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6"/>
        </w:trPr>
        <w:tc>
          <w:tcPr>
            <w:tcW w:w="1480" w:type="dxa"/>
            <w:vAlign w:val="bottom"/>
            <w:gridSpan w:val="2"/>
          </w:tcPr>
          <w:p>
            <w:pPr>
              <w:spacing w:after="0" w:line="196" w:lineRule="exact"/>
              <w:rPr>
                <w:sz w:val="20"/>
                <w:szCs w:val="20"/>
                <w:color w:val="auto"/>
              </w:rPr>
            </w:pPr>
            <w:r>
              <w:rPr>
                <w:rFonts w:ascii="Arial" w:cs="Arial" w:eastAsia="Arial" w:hAnsi="Arial"/>
                <w:sz w:val="18"/>
                <w:szCs w:val="18"/>
                <w:color w:val="auto"/>
              </w:rPr>
              <w:t>December 1-31</w:t>
            </w:r>
          </w:p>
        </w:tc>
        <w:tc>
          <w:tcPr>
            <w:tcW w:w="520" w:type="dxa"/>
            <w:vAlign w:val="bottom"/>
            <w:gridSpan w:val="2"/>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7"/>
              </w:rPr>
              <w:t>41,332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center"/>
              <w:ind w:left="82"/>
              <w:spacing w:after="0" w:line="196" w:lineRule="exact"/>
              <w:rPr>
                <w:sz w:val="20"/>
                <w:szCs w:val="20"/>
                <w:color w:val="auto"/>
              </w:rPr>
            </w:pPr>
            <w:r>
              <w:rPr>
                <w:rFonts w:ascii="Arial" w:cs="Arial" w:eastAsia="Arial" w:hAnsi="Arial"/>
                <w:sz w:val="18"/>
                <w:szCs w:val="18"/>
                <w:color w:val="auto"/>
                <w:w w:val="88"/>
              </w:rPr>
              <w:t>$3.72</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center"/>
              <w:ind w:right="280"/>
              <w:spacing w:after="0" w:line="196" w:lineRule="exact"/>
              <w:rPr>
                <w:sz w:val="20"/>
                <w:szCs w:val="20"/>
                <w:color w:val="auto"/>
              </w:rPr>
            </w:pPr>
            <w:r>
              <w:rPr>
                <w:rFonts w:ascii="Arial" w:cs="Arial" w:eastAsia="Arial" w:hAnsi="Arial"/>
                <w:sz w:val="18"/>
                <w:szCs w:val="18"/>
                <w:color w:val="auto"/>
                <w:w w:val="87"/>
              </w:rPr>
              <w:t>41,332</w:t>
            </w:r>
          </w:p>
        </w:tc>
        <w:tc>
          <w:tcPr>
            <w:tcW w:w="1540" w:type="dxa"/>
            <w:vAlign w:val="bottom"/>
            <w:gridSpan w:val="3"/>
          </w:tcPr>
          <w:p>
            <w:pPr>
              <w:jc w:val="center"/>
              <w:ind w:left="679"/>
              <w:spacing w:after="0" w:line="196"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4,846,000</w:t>
            </w:r>
          </w:p>
        </w:tc>
        <w:tc>
          <w:tcPr>
            <w:tcW w:w="240" w:type="dxa"/>
            <w:vAlign w:val="bottom"/>
          </w:tcPr>
          <w:p>
            <w:pPr>
              <w:spacing w:after="0"/>
              <w:rPr>
                <w:sz w:val="17"/>
                <w:szCs w:val="17"/>
                <w:color w:val="auto"/>
              </w:rPr>
            </w:pPr>
          </w:p>
        </w:tc>
      </w:tr>
      <w:tr>
        <w:trPr>
          <w:trHeight w:val="20"/>
        </w:trPr>
        <w:tc>
          <w:tcPr>
            <w:tcW w:w="14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1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41,332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center"/>
              <w:ind w:left="82"/>
              <w:spacing w:after="0"/>
              <w:rPr>
                <w:sz w:val="20"/>
                <w:szCs w:val="20"/>
                <w:color w:val="auto"/>
              </w:rPr>
            </w:pPr>
            <w:r>
              <w:rPr>
                <w:rFonts w:ascii="Arial" w:cs="Arial" w:eastAsia="Arial" w:hAnsi="Arial"/>
                <w:sz w:val="18"/>
                <w:szCs w:val="18"/>
                <w:color w:val="auto"/>
                <w:w w:val="88"/>
              </w:rPr>
              <w:t>$3.72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41,332</w:t>
            </w:r>
          </w:p>
        </w:tc>
        <w:tc>
          <w:tcPr>
            <w:tcW w:w="1540" w:type="dxa"/>
            <w:vAlign w:val="bottom"/>
            <w:gridSpan w:val="3"/>
          </w:tcPr>
          <w:p>
            <w:pPr>
              <w:jc w:val="center"/>
              <w:ind w:left="679"/>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4,846,000</w:t>
            </w:r>
          </w:p>
        </w:tc>
        <w:tc>
          <w:tcPr>
            <w:tcW w:w="24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Securities Exchange Act of 1934, or in privately negotiated transactions pursuant to a newly authorized stock repurchase plan. Repurchases to date have been made under a Rule 10b5-1 plan entered into with RW Baird &amp; Co, which permits shares to be repurchased when we might otherwise be precluded from doing so under insider trading laws. The timing and amount of any shares repurchased under the 2015 Repurchase Plan will be determined by our management, based on our evaluation of market conditions and other factors. The 2015 Repurchase Plan does not obligate us to purchase any particular amount of common stock and may be suspended or discontinued at any time without prior notice. The 2015 Repurchase Plan will be funded using our operating cash flow or available cash.</w:t>
      </w:r>
    </w:p>
    <w:p>
      <w:pPr>
        <w:sectPr>
          <w:pgSz w:w="11900" w:h="16906" w:orient="portrait"/>
          <w:cols w:equalWidth="0" w:num="1">
            <w:col w:w="11420"/>
          </w:cols>
          <w:pgMar w:left="240" w:top="158" w:right="239" w:bottom="0" w:gutter="0" w:footer="0" w:header="0"/>
        </w:sectPr>
      </w:pPr>
    </w:p>
    <w:bookmarkStart w:id="15" w:name="page16"/>
    <w:bookmarkEnd w:id="15"/>
    <w:p>
      <w:pPr>
        <w:spacing w:after="0" w:line="7"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As of December 31, 2015, we had repurchased 41,332 shares under this repurchase plan at a fair market value of $154,000. All of the repurchased shares were retired. Fees paid to our broker related to the repurchase of these shares totaled $1,000.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right="4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i w:val="1"/>
                <w:iCs w:val="1"/>
                <w:color w:val="auto"/>
                <w:w w:val="83"/>
              </w:rPr>
              <w:t>Years Ended December 31,</w:t>
            </w:r>
          </w:p>
        </w:tc>
        <w:tc>
          <w:tcPr>
            <w:tcW w:w="38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vMerge w:val="restart"/>
          </w:tcPr>
          <w:p>
            <w:pPr>
              <w:ind w:left="1520"/>
              <w:spacing w:after="0"/>
              <w:rPr>
                <w:sz w:val="20"/>
                <w:szCs w:val="20"/>
                <w:color w:val="auto"/>
              </w:rPr>
            </w:pPr>
            <w:r>
              <w:rPr>
                <w:rFonts w:ascii="Arial" w:cs="Arial" w:eastAsia="Arial" w:hAnsi="Arial"/>
                <w:sz w:val="18"/>
                <w:szCs w:val="18"/>
                <w:b w:val="1"/>
                <w:bCs w:val="1"/>
                <w:color w:val="auto"/>
                <w:w w:val="99"/>
              </w:rPr>
              <w:t>Condensed Consolidated Statement of Operations Data:</w:t>
            </w:r>
          </w:p>
        </w:tc>
        <w:tc>
          <w:tcPr>
            <w:tcW w:w="760" w:type="dxa"/>
            <w:vAlign w:val="bottom"/>
            <w:gridSpan w:val="3"/>
          </w:tcPr>
          <w:p>
            <w:pPr>
              <w:jc w:val="right"/>
              <w:ind w:right="152"/>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4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4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280" w:type="dxa"/>
            <w:vAlign w:val="bottom"/>
          </w:tcPr>
          <w:p>
            <w:pPr>
              <w:spacing w:after="0"/>
              <w:rPr>
                <w:sz w:val="13"/>
                <w:szCs w:val="13"/>
                <w:color w:val="auto"/>
              </w:rPr>
            </w:pPr>
          </w:p>
        </w:tc>
        <w:tc>
          <w:tcPr>
            <w:tcW w:w="62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17"/>
          </w:tcPr>
          <w:p>
            <w:pPr>
              <w:jc w:val="center"/>
              <w:ind w:right="460"/>
              <w:spacing w:after="0"/>
              <w:rPr>
                <w:sz w:val="20"/>
                <w:szCs w:val="20"/>
                <w:color w:val="auto"/>
              </w:rPr>
            </w:pPr>
            <w:r>
              <w:rPr>
                <w:rFonts w:ascii="Arial" w:cs="Arial" w:eastAsia="Arial" w:hAnsi="Arial"/>
                <w:sz w:val="18"/>
                <w:szCs w:val="18"/>
                <w:color w:val="auto"/>
                <w:w w:val="86"/>
              </w:rPr>
              <w:t>(in thousands, except per share data)</w:t>
            </w:r>
          </w:p>
        </w:tc>
        <w:tc>
          <w:tcPr>
            <w:tcW w:w="0" w:type="dxa"/>
            <w:vAlign w:val="bottom"/>
          </w:tcPr>
          <w:p>
            <w:pPr>
              <w:spacing w:after="0"/>
              <w:rPr>
                <w:sz w:val="1"/>
                <w:szCs w:val="1"/>
                <w:color w:val="auto"/>
              </w:rPr>
            </w:pPr>
          </w:p>
        </w:tc>
      </w:tr>
      <w:tr>
        <w:trPr>
          <w:trHeight w:val="538"/>
        </w:trPr>
        <w:tc>
          <w:tcPr>
            <w:tcW w:w="6340" w:type="dxa"/>
            <w:vAlign w:val="bottom"/>
          </w:tcPr>
          <w:p>
            <w:pPr>
              <w:ind w:left="1520"/>
              <w:spacing w:after="0"/>
              <w:rPr>
                <w:sz w:val="20"/>
                <w:szCs w:val="20"/>
                <w:color w:val="auto"/>
              </w:rPr>
            </w:pPr>
            <w:r>
              <w:rPr>
                <w:rFonts w:ascii="Arial" w:cs="Arial" w:eastAsia="Arial" w:hAnsi="Arial"/>
                <w:sz w:val="18"/>
                <w:szCs w:val="18"/>
                <w:color w:val="auto"/>
              </w:rPr>
              <w:t>Net revenues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$38,889</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2"/>
              </w:rPr>
              <w:t>$41,796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$39,426</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$43,376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$47,266</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Gross margin</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18,698</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20,462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19,015</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19,059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Operating income</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2,562</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4,916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3,962</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2,996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Net earnings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1,861</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3,439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3,077</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2,156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Net earnings per common share:</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1740"/>
              <w:spacing w:after="0"/>
              <w:rPr>
                <w:sz w:val="20"/>
                <w:szCs w:val="20"/>
                <w:color w:val="auto"/>
              </w:rPr>
            </w:pPr>
            <w:r>
              <w:rPr>
                <w:rFonts w:ascii="Arial" w:cs="Arial" w:eastAsia="Arial" w:hAnsi="Arial"/>
                <w:sz w:val="18"/>
                <w:szCs w:val="18"/>
                <w:color w:val="auto"/>
              </w:rPr>
              <w:t>Basic</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$0.33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$0.30</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$0.21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43"/>
        </w:trPr>
        <w:tc>
          <w:tcPr>
            <w:tcW w:w="6340" w:type="dxa"/>
            <w:vAlign w:val="bottom"/>
          </w:tcPr>
          <w:p>
            <w:pPr>
              <w:ind w:left="1740"/>
              <w:spacing w:after="0"/>
              <w:rPr>
                <w:sz w:val="20"/>
                <w:szCs w:val="20"/>
                <w:color w:val="auto"/>
              </w:rPr>
            </w:pPr>
            <w:r>
              <w:rPr>
                <w:rFonts w:ascii="Arial" w:cs="Arial" w:eastAsia="Arial" w:hAnsi="Arial"/>
                <w:sz w:val="18"/>
                <w:szCs w:val="18"/>
                <w:color w:val="auto"/>
              </w:rPr>
              <w:t>Diluted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$0.18</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$0.33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$0.30</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$0.21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Weighted average common shares outstanding :</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1740"/>
              <w:spacing w:after="0"/>
              <w:rPr>
                <w:sz w:val="20"/>
                <w:szCs w:val="20"/>
                <w:color w:val="auto"/>
              </w:rPr>
            </w:pPr>
            <w:r>
              <w:rPr>
                <w:rFonts w:ascii="Arial" w:cs="Arial" w:eastAsia="Arial" w:hAnsi="Arial"/>
                <w:sz w:val="18"/>
                <w:szCs w:val="18"/>
                <w:color w:val="auto"/>
              </w:rPr>
              <w:t>Basic</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10,473</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10,432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10,364</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10,273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43"/>
        </w:trPr>
        <w:tc>
          <w:tcPr>
            <w:tcW w:w="6340" w:type="dxa"/>
            <w:vAlign w:val="bottom"/>
          </w:tcPr>
          <w:p>
            <w:pPr>
              <w:ind w:left="1740"/>
              <w:spacing w:after="0"/>
              <w:rPr>
                <w:sz w:val="20"/>
                <w:szCs w:val="20"/>
                <w:color w:val="auto"/>
              </w:rPr>
            </w:pPr>
            <w:r>
              <w:rPr>
                <w:rFonts w:ascii="Arial" w:cs="Arial" w:eastAsia="Arial" w:hAnsi="Arial"/>
                <w:sz w:val="18"/>
                <w:szCs w:val="18"/>
                <w:color w:val="auto"/>
              </w:rPr>
              <w:t>Diluted</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10,494</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10,466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10,419</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10,347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10,286</w:t>
            </w:r>
          </w:p>
        </w:tc>
        <w:tc>
          <w:tcPr>
            <w:tcW w:w="0" w:type="dxa"/>
            <w:vAlign w:val="bottom"/>
          </w:tcPr>
          <w:p>
            <w:pPr>
              <w:spacing w:after="0"/>
              <w:rPr>
                <w:sz w:val="1"/>
                <w:szCs w:val="1"/>
                <w:color w:val="auto"/>
              </w:rPr>
            </w:pPr>
          </w:p>
        </w:tc>
      </w:tr>
      <w:tr>
        <w:trPr>
          <w:trHeight w:val="446"/>
        </w:trPr>
        <w:tc>
          <w:tcPr>
            <w:tcW w:w="6340" w:type="dxa"/>
            <w:vAlign w:val="bottom"/>
          </w:tcPr>
          <w:p>
            <w:pPr>
              <w:jc w:val="center"/>
              <w:ind w:left="4992"/>
              <w:spacing w:after="0"/>
              <w:rPr>
                <w:sz w:val="20"/>
                <w:szCs w:val="20"/>
                <w:color w:val="auto"/>
              </w:rPr>
            </w:pPr>
            <w:r>
              <w:rPr>
                <w:rFonts w:ascii="Arial" w:cs="Arial" w:eastAsia="Arial" w:hAnsi="Arial"/>
                <w:sz w:val="18"/>
                <w:szCs w:val="18"/>
                <w:color w:val="auto"/>
                <w:w w:val="90"/>
              </w:rPr>
              <w:t>- 21 -</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100" w:type="dxa"/>
            <w:vAlign w:val="bottom"/>
            <w:gridSpan w:val="4"/>
          </w:tcPr>
          <w:p>
            <w:pPr>
              <w:jc w:val="center"/>
              <w:ind w:left="4252"/>
              <w:spacing w:after="0"/>
              <w:rPr>
                <w:sz w:val="20"/>
                <w:szCs w:val="20"/>
                <w:color w:val="auto"/>
              </w:rPr>
            </w:pPr>
            <w:r>
              <w:rPr>
                <w:rFonts w:ascii="Arial" w:cs="Arial" w:eastAsia="Arial" w:hAnsi="Arial"/>
                <w:sz w:val="18"/>
                <w:szCs w:val="18"/>
                <w:b w:val="1"/>
                <w:bCs w:val="1"/>
                <w:color w:val="auto"/>
                <w:w w:val="96"/>
              </w:rPr>
              <w:t>inTEST CORPORATION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tcPr>
          <w:p>
            <w:pPr>
              <w:jc w:val="center"/>
              <w:ind w:left="4992"/>
              <w:spacing w:after="0"/>
              <w:rPr>
                <w:sz w:val="20"/>
                <w:szCs w:val="20"/>
                <w:color w:val="auto"/>
              </w:rPr>
            </w:pPr>
            <w:r>
              <w:rPr>
                <w:rFonts w:ascii="Arial" w:cs="Arial" w:eastAsia="Arial" w:hAnsi="Arial"/>
                <w:sz w:val="18"/>
                <w:szCs w:val="18"/>
                <w:b w:val="1"/>
                <w:bCs w:val="1"/>
                <w:color w:val="auto"/>
                <w:w w:val="96"/>
              </w:rPr>
              <w:t>FORM 10-K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40" w:type="dxa"/>
            <w:vAlign w:val="bottom"/>
            <w:gridSpan w:val="9"/>
          </w:tcPr>
          <w:p>
            <w:pPr>
              <w:jc w:val="center"/>
              <w:ind w:left="3592"/>
              <w:spacing w:after="0"/>
              <w:rPr>
                <w:sz w:val="20"/>
                <w:szCs w:val="20"/>
                <w:color w:val="auto"/>
              </w:rPr>
            </w:pPr>
            <w:r>
              <w:rPr>
                <w:rFonts w:ascii="Arial" w:cs="Arial" w:eastAsia="Arial" w:hAnsi="Arial"/>
                <w:sz w:val="18"/>
                <w:szCs w:val="18"/>
                <w:b w:val="1"/>
                <w:bCs w:val="1"/>
                <w:color w:val="auto"/>
                <w:w w:val="96"/>
              </w:rPr>
              <w:t>FOR THE YEAR ENDED DECEMBER 31, 2015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6340" w:type="dxa"/>
            <w:vAlign w:val="bottom"/>
          </w:tcPr>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(Continued)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i w:val="1"/>
                <w:iCs w:val="1"/>
                <w:color w:val="auto"/>
                <w:w w:val="84"/>
              </w:rPr>
              <w:t>As of December 31,</w:t>
            </w:r>
          </w:p>
        </w:tc>
        <w:tc>
          <w:tcPr>
            <w:tcW w:w="5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40" w:type="dxa"/>
            <w:vAlign w:val="bottom"/>
          </w:tcPr>
          <w:p>
            <w:pPr>
              <w:spacing w:after="0"/>
              <w:rPr>
                <w:sz w:val="21"/>
                <w:szCs w:val="21"/>
                <w:color w:val="auto"/>
              </w:rPr>
            </w:pPr>
          </w:p>
        </w:tc>
        <w:tc>
          <w:tcPr>
            <w:tcW w:w="760" w:type="dxa"/>
            <w:vAlign w:val="bottom"/>
            <w:gridSpan w:val="3"/>
          </w:tcPr>
          <w:p>
            <w:pPr>
              <w:jc w:val="right"/>
              <w:ind w:right="152"/>
              <w:spacing w:after="0"/>
              <w:rPr>
                <w:sz w:val="20"/>
                <w:szCs w:val="20"/>
                <w:color w:val="auto"/>
              </w:rPr>
            </w:pPr>
            <w:r>
              <w:rPr>
                <w:rFonts w:ascii="Arial" w:cs="Arial" w:eastAsia="Arial" w:hAnsi="Arial"/>
                <w:sz w:val="14"/>
                <w:szCs w:val="14"/>
                <w:b w:val="1"/>
                <w:bCs w:val="1"/>
                <w:i w:val="1"/>
                <w:iCs w:val="1"/>
                <w:color w:val="auto"/>
              </w:rPr>
              <w:t>2015</w:t>
            </w: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i w:val="1"/>
                <w:iCs w:val="1"/>
                <w:color w:val="auto"/>
              </w:rPr>
              <w:t>2013</w:t>
            </w:r>
          </w:p>
        </w:tc>
        <w:tc>
          <w:tcPr>
            <w:tcW w:w="4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280" w:type="dxa"/>
            <w:vAlign w:val="bottom"/>
          </w:tcPr>
          <w:p>
            <w:pPr>
              <w:spacing w:after="0"/>
              <w:rPr>
                <w:sz w:val="21"/>
                <w:szCs w:val="21"/>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rPr>
              <w:t>2011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1520"/>
              <w:spacing w:after="0"/>
              <w:rPr>
                <w:sz w:val="20"/>
                <w:szCs w:val="20"/>
                <w:color w:val="auto"/>
              </w:rPr>
            </w:pPr>
            <w:r>
              <w:rPr>
                <w:rFonts w:ascii="Arial" w:cs="Arial" w:eastAsia="Arial" w:hAnsi="Arial"/>
                <w:sz w:val="18"/>
                <w:szCs w:val="18"/>
                <w:b w:val="1"/>
                <w:bCs w:val="1"/>
                <w:color w:val="auto"/>
              </w:rPr>
              <w:t>Condensed Consolidated Balance Sheet Data:</w:t>
            </w: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6340" w:type="dxa"/>
            <w:vAlign w:val="bottom"/>
          </w:tcPr>
          <w:p>
            <w:pPr>
              <w:ind w:left="152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$25,710</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2"/>
              </w:rPr>
              <w:t>$23,126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$19,018</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w w:val="95"/>
              </w:rPr>
              <w:t>$15,576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$13,957</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Working capital</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30,764</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28,561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24,749</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21,000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19,759</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Total assets</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39,984</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38,738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35,481</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32,399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31,237</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Long-term debt, net of current portion</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tcPr>
          <w:p>
            <w:pPr>
              <w:ind w:left="1520"/>
              <w:spacing w:after="0"/>
              <w:rPr>
                <w:sz w:val="20"/>
                <w:szCs w:val="20"/>
                <w:color w:val="auto"/>
              </w:rPr>
            </w:pPr>
            <w:r>
              <w:rPr>
                <w:rFonts w:ascii="Arial" w:cs="Arial" w:eastAsia="Arial" w:hAnsi="Arial"/>
                <w:sz w:val="18"/>
                <w:szCs w:val="18"/>
                <w:color w:val="auto"/>
              </w:rPr>
              <w:t>Total stockholders' equity</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35,925</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34,368</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31,149</w:t>
            </w:r>
          </w:p>
        </w:tc>
        <w:tc>
          <w:tcPr>
            <w:tcW w:w="680" w:type="dxa"/>
            <w:vAlign w:val="bottom"/>
            <w:gridSpan w:val="5"/>
          </w:tcPr>
          <w:p>
            <w:pPr>
              <w:jc w:val="right"/>
              <w:ind w:right="40"/>
              <w:spacing w:after="0"/>
              <w:rPr>
                <w:sz w:val="20"/>
                <w:szCs w:val="20"/>
                <w:color w:val="auto"/>
              </w:rPr>
            </w:pPr>
            <w:r>
              <w:rPr>
                <w:rFonts w:ascii="Arial" w:cs="Arial" w:eastAsia="Arial" w:hAnsi="Arial"/>
                <w:sz w:val="18"/>
                <w:szCs w:val="18"/>
                <w:color w:val="auto"/>
              </w:rPr>
              <w:t>27,820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26,199</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right="1620" w:hanging="539"/>
        <w:spacing w:after="0" w:line="4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w:t>
      </w:r>
    </w:p>
    <w:p>
      <w:pPr>
        <w:sectPr>
          <w:pgSz w:w="11900" w:h="16845" w:orient="portrait"/>
          <w:cols w:equalWidth="0" w:num="1">
            <w:col w:w="11360"/>
          </w:cols>
          <w:pgMar w:left="240" w:top="347" w:right="299" w:bottom="0" w:gutter="0" w:footer="0" w:header="0"/>
        </w:sectPr>
      </w:pPr>
    </w:p>
    <w:bookmarkStart w:id="16" w:name="page17"/>
    <w:bookmarkEnd w:id="16"/>
    <w:p>
      <w:pPr>
        <w:spacing w:after="0" w:line="11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42"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8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in-house manufacturing activities of OEM manufacturers building certain products we have historically sold to them, including manipulators and docking hardware,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5"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both by product segment and market.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6"/>
          </w:tcPr>
          <w:p>
            <w:pPr>
              <w:jc w:val="center"/>
              <w:ind w:right="480"/>
              <w:spacing w:after="0"/>
              <w:rPr>
                <w:sz w:val="20"/>
                <w:szCs w:val="20"/>
                <w:color w:val="auto"/>
              </w:rPr>
            </w:pPr>
            <w:r>
              <w:rPr>
                <w:rFonts w:ascii="Arial" w:cs="Arial" w:eastAsia="Arial" w:hAnsi="Arial"/>
                <w:sz w:val="14"/>
                <w:szCs w:val="14"/>
                <w:b w:val="1"/>
                <w:bCs w:val="1"/>
                <w:i w:val="1"/>
                <w:iCs w:val="1"/>
                <w:color w:val="auto"/>
                <w:w w:val="82"/>
              </w:rPr>
              <w:t>Years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46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gridSpan w:val="3"/>
          </w:tcPr>
          <w:p>
            <w:pPr>
              <w:ind w:left="80"/>
              <w:spacing w:after="0" w:line="146" w:lineRule="exact"/>
              <w:rPr>
                <w:sz w:val="20"/>
                <w:szCs w:val="20"/>
                <w:color w:val="auto"/>
              </w:rPr>
            </w:pPr>
            <w:r>
              <w:rPr>
                <w:rFonts w:ascii="Arial" w:cs="Arial" w:eastAsia="Arial" w:hAnsi="Arial"/>
                <w:sz w:val="14"/>
                <w:szCs w:val="14"/>
                <w:b w:val="1"/>
                <w:bCs w:val="1"/>
                <w:i w:val="1"/>
                <w:iCs w:val="1"/>
                <w:color w:val="auto"/>
                <w:w w:val="93"/>
              </w:rPr>
              <w:t>Change</w:t>
            </w: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Orders:</w:t>
            </w:r>
          </w:p>
        </w:tc>
        <w:tc>
          <w:tcPr>
            <w:tcW w:w="156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300" w:type="dxa"/>
            <w:vAlign w:val="bottom"/>
          </w:tcPr>
          <w:p>
            <w:pPr>
              <w:spacing w:after="0"/>
              <w:rPr>
                <w:sz w:val="13"/>
                <w:szCs w:val="13"/>
                <w:color w:val="auto"/>
              </w:rPr>
            </w:pPr>
          </w:p>
        </w:tc>
        <w:tc>
          <w:tcPr>
            <w:tcW w:w="2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2014</w:t>
            </w:r>
          </w:p>
        </w:tc>
        <w:tc>
          <w:tcPr>
            <w:tcW w:w="32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i w:val="1"/>
                <w:iCs w:val="1"/>
                <w:color w:val="auto"/>
              </w:rPr>
              <w:t>$</w:t>
            </w:r>
          </w:p>
        </w:tc>
        <w:tc>
          <w:tcPr>
            <w:tcW w:w="280" w:type="dxa"/>
            <w:vAlign w:val="bottom"/>
            <w:vMerge w:val="restart"/>
          </w:tcPr>
          <w:p>
            <w:pPr>
              <w:spacing w:after="0"/>
              <w:rPr>
                <w:sz w:val="13"/>
                <w:szCs w:val="13"/>
                <w:color w:val="auto"/>
              </w:rPr>
            </w:pPr>
          </w:p>
        </w:tc>
        <w:tc>
          <w:tcPr>
            <w:tcW w:w="140" w:type="dxa"/>
            <w:vAlign w:val="bottom"/>
            <w:gridSpan w:val="2"/>
            <w:vMerge w:val="restart"/>
          </w:tcPr>
          <w:p>
            <w:pPr>
              <w:spacing w:after="0"/>
              <w:rPr>
                <w:sz w:val="13"/>
                <w:szCs w:val="13"/>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96"/>
              </w:rPr>
              <w:t>%</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9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3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Thermal Products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$23,296</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$23,866</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  (570)</w:t>
            </w: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Mechanical Products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7,065</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11,363</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(4,298)</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w w:val="93"/>
              </w:rPr>
              <w:t>(38)</w:t>
            </w: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0"/>
                <w:szCs w:val="20"/>
                <w:color w:val="auto"/>
              </w:rPr>
            </w:pPr>
            <w:r>
              <w:rPr>
                <w:rFonts w:ascii="Arial" w:cs="Arial" w:eastAsia="Arial" w:hAnsi="Arial"/>
                <w:sz w:val="18"/>
                <w:szCs w:val="18"/>
                <w:color w:val="auto"/>
              </w:rPr>
              <w:t>Electrical Products</w:t>
            </w:r>
          </w:p>
        </w:tc>
        <w:tc>
          <w:tcPr>
            <w:tcW w:w="2140" w:type="dxa"/>
            <w:vAlign w:val="bottom"/>
            <w:gridSpan w:val="4"/>
          </w:tcPr>
          <w:p>
            <w:pPr>
              <w:jc w:val="right"/>
              <w:ind w:right="100"/>
              <w:spacing w:after="0"/>
              <w:rPr>
                <w:sz w:val="20"/>
                <w:szCs w:val="20"/>
                <w:color w:val="auto"/>
              </w:rPr>
            </w:pPr>
            <w:r>
              <w:rPr>
                <w:rFonts w:ascii="Arial" w:cs="Arial" w:eastAsia="Arial" w:hAnsi="Arial"/>
                <w:sz w:val="18"/>
                <w:szCs w:val="18"/>
                <w:color w:val="auto"/>
              </w:rPr>
              <w:t>7,087</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7,212</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(125)</w:t>
            </w:r>
          </w:p>
        </w:tc>
        <w:tc>
          <w:tcPr>
            <w:tcW w:w="460" w:type="dxa"/>
            <w:vAlign w:val="bottom"/>
            <w:gridSpan w:val="4"/>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949" w:orient="portrait"/>
          <w:cols w:equalWidth="0" w:num="1">
            <w:col w:w="11400"/>
          </w:cols>
          <w:pgMar w:left="240" w:top="131" w:right="259" w:bottom="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4361815</wp:posOffset>
            </wp:positionH>
            <wp:positionV relativeFrom="page">
              <wp:posOffset>88900</wp:posOffset>
            </wp:positionV>
            <wp:extent cx="15449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44955" cy="8890"/>
                    </a:xfrm>
                    <a:prstGeom prst="rect">
                      <a:avLst/>
                    </a:prstGeom>
                    <a:noFill/>
                  </pic:spPr>
                </pic:pic>
              </a:graphicData>
            </a:graphic>
          </wp:anchor>
        </w:drawing>
      </w:r>
    </w:p>
    <w:tbl>
      <w:tblPr>
        <w:tblLayout w:type="fixed"/>
        <w:tblInd w:w="218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37,448</w:t>
            </w: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(4,993) (12)%</w:t>
            </w:r>
          </w:p>
        </w:tc>
      </w:tr>
      <w:tr>
        <w:trPr>
          <w:trHeight w:val="20"/>
        </w:trPr>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32"/>
        </w:trPr>
        <w:tc>
          <w:tcPr>
            <w:tcW w:w="4400" w:type="dxa"/>
            <w:vAlign w:val="bottom"/>
          </w:tcPr>
          <w:p>
            <w:pPr>
              <w:spacing w:after="0"/>
              <w:rPr>
                <w:sz w:val="20"/>
                <w:szCs w:val="20"/>
                <w:color w:val="auto"/>
              </w:rPr>
            </w:pPr>
            <w:r>
              <w:rPr>
                <w:rFonts w:ascii="Arial" w:cs="Arial" w:eastAsia="Arial" w:hAnsi="Arial"/>
                <w:sz w:val="18"/>
                <w:szCs w:val="18"/>
                <w:color w:val="auto"/>
              </w:rPr>
              <w:t>ATE market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$27,048</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$30,214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77"/>
              </w:rPr>
              <w:t>$(3,166)</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95"/>
              </w:rPr>
              <w:t>(10)%</w:t>
            </w:r>
          </w:p>
        </w:tc>
      </w:tr>
      <w:tr>
        <w:trPr>
          <w:trHeight w:val="205"/>
        </w:trPr>
        <w:tc>
          <w:tcPr>
            <w:tcW w:w="440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80" w:type="dxa"/>
            <w:vAlign w:val="bottom"/>
          </w:tcPr>
          <w:p>
            <w:pPr>
              <w:jc w:val="right"/>
              <w:spacing w:after="0" w:line="205" w:lineRule="exact"/>
              <w:rPr>
                <w:sz w:val="20"/>
                <w:szCs w:val="20"/>
                <w:color w:val="auto"/>
              </w:rPr>
            </w:pPr>
            <w:r>
              <w:rPr>
                <w:rFonts w:ascii="Arial" w:cs="Arial" w:eastAsia="Arial" w:hAnsi="Arial"/>
                <w:sz w:val="18"/>
                <w:szCs w:val="18"/>
                <w:color w:val="auto"/>
              </w:rPr>
              <w:t>10,400</w:t>
            </w:r>
          </w:p>
        </w:tc>
        <w:tc>
          <w:tcPr>
            <w:tcW w:w="200" w:type="dxa"/>
            <w:vAlign w:val="bottom"/>
          </w:tcPr>
          <w:p>
            <w:pPr>
              <w:spacing w:after="0"/>
              <w:rPr>
                <w:sz w:val="17"/>
                <w:szCs w:val="17"/>
                <w:color w:val="auto"/>
              </w:rPr>
            </w:pPr>
          </w:p>
        </w:tc>
        <w:tc>
          <w:tcPr>
            <w:tcW w:w="580" w:type="dxa"/>
            <w:vAlign w:val="bottom"/>
          </w:tcPr>
          <w:p>
            <w:pPr>
              <w:jc w:val="right"/>
              <w:spacing w:after="0" w:line="205" w:lineRule="exact"/>
              <w:rPr>
                <w:sz w:val="20"/>
                <w:szCs w:val="20"/>
                <w:color w:val="auto"/>
              </w:rPr>
            </w:pPr>
            <w:r>
              <w:rPr>
                <w:rFonts w:ascii="Arial" w:cs="Arial" w:eastAsia="Arial" w:hAnsi="Arial"/>
                <w:sz w:val="18"/>
                <w:szCs w:val="18"/>
                <w:color w:val="auto"/>
              </w:rPr>
              <w:t>12,227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6"/>
          </w:tcPr>
          <w:p>
            <w:pPr>
              <w:jc w:val="right"/>
              <w:ind w:right="140"/>
              <w:spacing w:after="0" w:line="205" w:lineRule="exact"/>
              <w:rPr>
                <w:sz w:val="20"/>
                <w:szCs w:val="20"/>
                <w:color w:val="auto"/>
              </w:rPr>
            </w:pPr>
            <w:r>
              <w:rPr>
                <w:rFonts w:ascii="Arial" w:cs="Arial" w:eastAsia="Arial" w:hAnsi="Arial"/>
                <w:sz w:val="18"/>
                <w:szCs w:val="18"/>
                <w:color w:val="auto"/>
                <w:w w:val="93"/>
              </w:rPr>
              <w:t>(1,827) (15)</w:t>
            </w:r>
          </w:p>
        </w:tc>
      </w:tr>
      <w:tr>
        <w:trPr>
          <w:trHeight w:val="20"/>
        </w:trPr>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4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37,448</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(4,993) (12)%</w:t>
            </w:r>
          </w:p>
        </w:tc>
      </w:tr>
      <w:tr>
        <w:trPr>
          <w:trHeight w:val="20"/>
        </w:trPr>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Total consolidated orders for the year ended December 31, 2015 were $37.4 million compared to $42.4 million for 2014. The decrease in orders primarily reflects reduced demand in the ATE market for our Mechanical Products segment, and, to a lesser extent, reduced demand from non-ATE markets for our Thermal Products segment.</w:t>
      </w:r>
    </w:p>
    <w:p>
      <w:pPr>
        <w:spacing w:after="0" w:line="194"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Orders from customers in the ATE market for the year ended December 31, 2015 declined 10% on a consolidated basis as compared to 2014. We believe the reduced level of demand within the ATE market indicates, in part, cyclical softness within this market which began to impact the level of our orders during the second quarter of 2015 and continued into the first quarter of 2016. Furthermore, we believe the larger percentage decline for our Mechanical Products segment reflects that certain of this segment's customers have been on reduced capital spending budgets for much of 2015 which has decreased the amount of new equipment purchases they have been making this year. In addition, one particular customer of this segment was building a new facility in Southeast Asia during 2014 and, as a result, had a higher level of demand for certain of our products during 2014.</w:t>
      </w:r>
    </w:p>
    <w:p>
      <w:pPr>
        <w:spacing w:after="0" w:line="174"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Orders from customers in various markets outside of the ATE market for the year ended December 31, 2015 declined 15% as compared to 2014, reflecting decreased demand from certain customers in the telecommunications market. This decrease was partially offset by an increase in orders from certain customers in the automotive market. As a percent of our total consolidated orders, orders from non-ATE markets were 28% in 2015 compared to 29% in 2014. The level of our orders in these non-ATE markets has varied in the past, and we expect it will vary significantly in the future as we build our presence in these markets and establish new markets for our products.</w:t>
      </w:r>
    </w:p>
    <w:p>
      <w:pPr>
        <w:spacing w:after="0" w:line="156"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2015, our backlog of unfilled orders for all products was approximately $2.4 million compared with approximately $3.8 million at December 31, 2014. Our backlog includes customer orders which we have accepted, substantially all of which we expect to deliver in 2016.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both by product segment and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ectPr>
          <w:pgSz w:w="11900" w:h="16838" w:orient="portrait"/>
          <w:cols w:equalWidth="0" w:num="1">
            <w:col w:w="11420"/>
          </w:cols>
          <w:pgMar w:left="240" w:top="351" w:right="2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120"/>
        <w:spacing w:after="0"/>
        <w:rPr>
          <w:sz w:val="20"/>
          <w:szCs w:val="20"/>
          <w:color w:val="auto"/>
        </w:rPr>
      </w:pPr>
      <w:r>
        <w:rPr>
          <w:rFonts w:ascii="Arial" w:cs="Arial" w:eastAsia="Arial" w:hAnsi="Arial"/>
          <w:sz w:val="15"/>
          <w:szCs w:val="15"/>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i w:val="1"/>
                <w:iCs w:val="1"/>
                <w:color w:val="auto"/>
                <w:w w:val="82"/>
              </w:rPr>
              <w:t>Years Ended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140" w:type="dxa"/>
            <w:vAlign w:val="bottom"/>
          </w:tcPr>
          <w:p>
            <w:pPr>
              <w:spacing w:after="0"/>
              <w:rPr>
                <w:sz w:val="12"/>
                <w:szCs w:val="12"/>
                <w:color w:val="auto"/>
              </w:rPr>
            </w:pPr>
          </w:p>
        </w:tc>
        <w:tc>
          <w:tcPr>
            <w:tcW w:w="920" w:type="dxa"/>
            <w:vAlign w:val="bottom"/>
            <w:gridSpan w:val="4"/>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4"/>
          </w:tcPr>
          <w:p>
            <w:pPr>
              <w:jc w:val="right"/>
              <w:ind w:right="192"/>
              <w:spacing w:after="0" w:line="146" w:lineRule="exact"/>
              <w:rPr>
                <w:sz w:val="20"/>
                <w:szCs w:val="20"/>
                <w:color w:val="auto"/>
              </w:rPr>
            </w:pPr>
            <w:r>
              <w:rPr>
                <w:rFonts w:ascii="Arial" w:cs="Arial" w:eastAsia="Arial" w:hAnsi="Arial"/>
                <w:sz w:val="14"/>
                <w:szCs w:val="14"/>
                <w:b w:val="1"/>
                <w:bCs w:val="1"/>
                <w:i w:val="1"/>
                <w:iCs w:val="1"/>
                <w:color w:val="auto"/>
                <w:w w:val="85"/>
              </w:rPr>
              <w:t>Change</w:t>
            </w: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76"/>
              </w:rPr>
              <w:t>2015</w:t>
            </w:r>
          </w:p>
        </w:tc>
        <w:tc>
          <w:tcPr>
            <w:tcW w:w="52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52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Borders>
              <w:bottom w:val="single" w:sz="8" w:color="auto"/>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i w:val="1"/>
                <w:iCs w:val="1"/>
                <w:color w:val="auto"/>
                <w:w w:val="96"/>
              </w:rPr>
              <w:t>%</w:t>
            </w:r>
          </w:p>
        </w:tc>
      </w:tr>
    </w:tbl>
    <w:p>
      <w:pPr>
        <w:spacing w:after="0" w:line="86" w:lineRule="exact"/>
        <w:rPr>
          <w:sz w:val="20"/>
          <w:szCs w:val="20"/>
          <w:color w:val="auto"/>
        </w:rPr>
      </w:pPr>
    </w:p>
    <w:p>
      <w:pPr>
        <w:sectPr>
          <w:pgSz w:w="11900" w:h="16838" w:orient="portrait"/>
          <w:cols w:equalWidth="0" w:num="2">
            <w:col w:w="5920" w:space="720"/>
            <w:col w:w="4780"/>
          </w:cols>
          <w:pgMar w:left="240" w:top="351" w:right="239" w:bottom="0" w:gutter="0" w:footer="0" w:header="0"/>
          <w:type w:val="continuous"/>
        </w:sectPr>
      </w:pPr>
    </w:p>
    <w:tbl>
      <w:tblPr>
        <w:tblLayout w:type="fixed"/>
        <w:tblInd w:w="2120" w:type="dxa"/>
        <w:tblCellMar>
          <w:top w:w="0" w:type="dxa"/>
          <w:left w:w="0" w:type="dxa"/>
          <w:bottom w:w="0" w:type="dxa"/>
          <w:right w:w="0" w:type="dxa"/>
        </w:tblCellMar>
      </w:tblP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$24,084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$23,446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638</w:t>
            </w:r>
          </w:p>
        </w:tc>
        <w:tc>
          <w:tcPr>
            <w:tcW w:w="50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tcPr>
          <w:p>
            <w:pPr>
              <w:jc w:val="right"/>
              <w:spacing w:after="0"/>
              <w:rPr>
                <w:sz w:val="20"/>
                <w:szCs w:val="20"/>
                <w:color w:val="auto"/>
              </w:rPr>
            </w:pPr>
            <w:r>
              <w:rPr>
                <w:rFonts w:ascii="Arial" w:cs="Arial" w:eastAsia="Arial" w:hAnsi="Arial"/>
                <w:sz w:val="18"/>
                <w:szCs w:val="18"/>
                <w:color w:val="auto"/>
              </w:rPr>
              <w:t>7,540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11,245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(3,705)</w:t>
            </w:r>
          </w:p>
        </w:tc>
        <w:tc>
          <w:tcPr>
            <w:tcW w:w="500" w:type="dxa"/>
            <w:vAlign w:val="bottom"/>
            <w:gridSpan w:val="5"/>
          </w:tcPr>
          <w:p>
            <w:pPr>
              <w:jc w:val="right"/>
              <w:ind w:right="140"/>
              <w:spacing w:after="0"/>
              <w:rPr>
                <w:sz w:val="20"/>
                <w:szCs w:val="20"/>
                <w:color w:val="auto"/>
              </w:rPr>
            </w:pPr>
            <w:r>
              <w:rPr>
                <w:rFonts w:ascii="Arial" w:cs="Arial" w:eastAsia="Arial" w:hAnsi="Arial"/>
                <w:sz w:val="18"/>
                <w:szCs w:val="18"/>
                <w:color w:val="auto"/>
              </w:rPr>
              <w:t>(33)</w:t>
            </w:r>
          </w:p>
        </w:tc>
      </w:tr>
      <w:tr>
        <w:trPr>
          <w:trHeight w:val="205"/>
        </w:trPr>
        <w:tc>
          <w:tcPr>
            <w:tcW w:w="44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7,265</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7,105</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right"/>
              <w:ind w:right="20"/>
              <w:spacing w:after="0" w:line="205" w:lineRule="exact"/>
              <w:rPr>
                <w:sz w:val="20"/>
                <w:szCs w:val="20"/>
                <w:color w:val="auto"/>
              </w:rPr>
            </w:pPr>
            <w:r>
              <w:rPr>
                <w:rFonts w:ascii="Arial" w:cs="Arial" w:eastAsia="Arial" w:hAnsi="Arial"/>
                <w:sz w:val="18"/>
                <w:szCs w:val="18"/>
                <w:color w:val="auto"/>
              </w:rPr>
              <w:t>160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r>
      <w:tr>
        <w:trPr>
          <w:trHeight w:val="223"/>
        </w:trPr>
        <w:tc>
          <w:tcPr>
            <w:tcW w:w="4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38,889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41,796</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(2,907)</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532"/>
        </w:trPr>
        <w:tc>
          <w:tcPr>
            <w:tcW w:w="4460" w:type="dxa"/>
            <w:vAlign w:val="bottom"/>
          </w:tcPr>
          <w:p>
            <w:pPr>
              <w:spacing w:after="0"/>
              <w:rPr>
                <w:sz w:val="20"/>
                <w:szCs w:val="20"/>
                <w:color w:val="auto"/>
              </w:rPr>
            </w:pPr>
            <w:r>
              <w:rPr>
                <w:rFonts w:ascii="Arial" w:cs="Arial" w:eastAsia="Arial" w:hAnsi="Arial"/>
                <w:sz w:val="18"/>
                <w:szCs w:val="18"/>
                <w:color w:val="auto"/>
              </w:rPr>
              <w:t>ATE market</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$28,238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$30,737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(2,499)</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05"/>
        </w:trPr>
        <w:tc>
          <w:tcPr>
            <w:tcW w:w="44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w w:val="90"/>
              </w:rPr>
              <w:t>10,651</w:t>
            </w:r>
          </w:p>
        </w:tc>
        <w:tc>
          <w:tcPr>
            <w:tcW w:w="28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w w:val="90"/>
              </w:rPr>
              <w:t>11,059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(408)</w:t>
            </w:r>
          </w:p>
        </w:tc>
        <w:tc>
          <w:tcPr>
            <w:tcW w:w="500" w:type="dxa"/>
            <w:vAlign w:val="bottom"/>
            <w:gridSpan w:val="5"/>
          </w:tcPr>
          <w:p>
            <w:pPr>
              <w:jc w:val="right"/>
              <w:ind w:right="140"/>
              <w:spacing w:after="0" w:line="205" w:lineRule="exact"/>
              <w:rPr>
                <w:sz w:val="20"/>
                <w:szCs w:val="20"/>
                <w:color w:val="auto"/>
              </w:rPr>
            </w:pPr>
            <w:r>
              <w:rPr>
                <w:rFonts w:ascii="Arial" w:cs="Arial" w:eastAsia="Arial" w:hAnsi="Arial"/>
                <w:sz w:val="18"/>
                <w:szCs w:val="18"/>
                <w:color w:val="auto"/>
              </w:rPr>
              <w:t>(4)</w:t>
            </w: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4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38,889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41,796</w:t>
            </w:r>
          </w:p>
        </w:tc>
        <w:tc>
          <w:tcPr>
            <w:tcW w:w="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(2,907)</w:t>
            </w:r>
          </w:p>
        </w:tc>
        <w:tc>
          <w:tcPr>
            <w:tcW w:w="50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Total consolidated net revenues for the year ended December 31, 2015 were $38.9 million compared to $41.8 million for 2014. The decrease in consolidated net revenues primarily reflects the aforementioned reduced levels of demand from the ATE market and, in particular, from certain customers of our Mechanical Products segment, as previously discussed. While third-party market share statistics for the products we manufacture and sell into the ATE market are not available, and, therefore comparison of period over period change in our market share is not easily determined, we believe the reductions in demand experienced by our Mechanical Products segment may also indicate a potential loss of market share.</w:t>
      </w:r>
    </w:p>
    <w:p>
      <w:pPr>
        <w:spacing w:after="0" w:line="170"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Net revenues from customers in various markets outside of the ATE market for the year ended December 31, 2015 declined by 4% as compared to 2014, primarily reflecting reduced demand from certain customers in the telecommunications market. This decrease was partially offset by an increase in net revenues from certain customers in the automotive market. As a percent of our total consolidated net revenues, net revenues from customers in non-ATE markets were relatively unchanged at 27% in both 2015 and 2014.</w:t>
      </w:r>
    </w:p>
    <w:p>
      <w:pPr>
        <w:sectPr>
          <w:pgSz w:w="11900" w:h="16838" w:orient="portrait"/>
          <w:cols w:equalWidth="0" w:num="1">
            <w:col w:w="11420"/>
          </w:cols>
          <w:pgMar w:left="240" w:top="351" w:right="239" w:bottom="0" w:gutter="0" w:footer="0" w:header="0"/>
          <w:type w:val="continuous"/>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u w:val="single" w:color="auto"/>
          <w:color w:val="auto"/>
        </w:rPr>
        <w:t>Product/Customer Mix</w:t>
      </w:r>
    </w:p>
    <w:p>
      <w:pPr>
        <w:sectPr>
          <w:pgSz w:w="11900" w:h="16838" w:orient="portrait"/>
          <w:cols w:equalWidth="0" w:num="1">
            <w:col w:w="11420"/>
          </w:cols>
          <w:pgMar w:left="240" w:top="351" w:right="239" w:bottom="0" w:gutter="0" w:footer="0" w:header="0"/>
          <w:type w:val="continuous"/>
        </w:sectPr>
      </w:pPr>
    </w:p>
    <w:bookmarkStart w:id="18" w:name="page19"/>
    <w:bookmarkEnd w:id="18"/>
    <w:p>
      <w:pPr>
        <w:ind w:left="540" w:right="12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years ended December 31, 2015 and 2014, our OEM sales as a percentage of net revenues were 6% and 9%, respectively.</w:t>
      </w:r>
    </w:p>
    <w:p>
      <w:pPr>
        <w:spacing w:after="0" w:line="12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2015 Compared to Year Ended December 31, 2014</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$38.9 million for the year ended December 31, 2015 compared to $41.8 million for the same period in 2014,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$2.9 million or 7%. For the year ended December 31, 2015, the net revenues of our Thermal and Electrical Products segments increased $638,000 or 3% and $160,000 or 2%, respectively, while the net revenues of our Mechanical Products segment decreased by $3.7 million or 33%. We believe the decrease in our consolidated net revenues during 2015 primarily reflects the factors previously discussed in the Overview.</w:t>
      </w:r>
    </w:p>
    <w:p>
      <w:pPr>
        <w:spacing w:after="0" w:line="167"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48% for the year ended December 31, 2015 compared to 49% for the same period in 2014. The reduction in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was primarily the result of our fixed operating costs not being as fully absorbed due to the lower net revenue levels in 2015 as compared to 2014. In absolute dollar terms, these costs decreased $81,000 from 2014 to 2015 but as a percentage of net revenues, these costs increased from 14% in 2014 to 15% in 2015. The reduction in our fixed operating costs in absolute dollar terms primarily reflects a reduction in salary and benefits expense in our Thermal and Mechanical Products segments as a result of a reduction in personnel.</w:t>
      </w:r>
    </w:p>
    <w:p>
      <w:pPr>
        <w:spacing w:after="0" w:line="170" w:lineRule="exact"/>
        <w:rPr>
          <w:sz w:val="20"/>
          <w:szCs w:val="20"/>
          <w:color w:val="auto"/>
        </w:rPr>
      </w:pPr>
    </w:p>
    <w:p>
      <w:pPr>
        <w:ind w:left="540" w:right="520"/>
        <w:spacing w:after="0" w:line="370" w:lineRule="auto"/>
        <w:rPr>
          <w:sz w:val="20"/>
          <w:szCs w:val="20"/>
          <w:color w:val="auto"/>
        </w:rPr>
      </w:pPr>
      <w:r>
        <w:rPr>
          <w:rFonts w:ascii="Arial" w:cs="Arial" w:eastAsia="Arial" w:hAnsi="Arial"/>
          <w:sz w:val="15"/>
          <w:szCs w:val="15"/>
          <w:i w:val="1"/>
          <w:iCs w:val="1"/>
          <w:color w:val="auto"/>
        </w:rPr>
        <w:t xml:space="preserve">Selling Expense. </w:t>
      </w:r>
      <w:r>
        <w:rPr>
          <w:rFonts w:ascii="Arial" w:cs="Arial" w:eastAsia="Arial" w:hAnsi="Arial"/>
          <w:sz w:val="15"/>
          <w:szCs w:val="15"/>
          <w:color w:val="auto"/>
        </w:rPr>
        <w:t>Selling expense was $5.8 million for the year ended December 31, 2015 compared to $5.7 million for the same period in 2014,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$62,000 or 1%. The increase in selling expense primarily reflects higher levels of commissions as a result of changes in customer mix.</w:t>
      </w:r>
    </w:p>
    <w:p>
      <w:pPr>
        <w:spacing w:after="0" w:line="116"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$3.9 million for the year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$3.6 million for the same period in 2014, an increase of $355,000 or 10%. The increase in engineering and product development expense primarily reflects higher salary and benefits expense for all of our products segments. The increase in salary and benefits expense was a result of both additional headcount and annual salary adjustments for existing staff.</w:t>
      </w:r>
    </w:p>
    <w:p>
      <w:pPr>
        <w:spacing w:after="0" w:line="197" w:lineRule="exact"/>
        <w:rPr>
          <w:sz w:val="20"/>
          <w:szCs w:val="20"/>
          <w:color w:val="auto"/>
        </w:rPr>
      </w:pPr>
    </w:p>
    <w:p>
      <w:pPr>
        <w:ind w:left="540" w:right="40"/>
        <w:spacing w:after="0" w:line="318" w:lineRule="auto"/>
        <w:rPr>
          <w:sz w:val="20"/>
          <w:szCs w:val="20"/>
          <w:color w:val="auto"/>
        </w:rPr>
      </w:pPr>
      <w:r>
        <w:rPr>
          <w:rFonts w:ascii="Arial" w:cs="Arial" w:eastAsia="Arial" w:hAnsi="Arial"/>
          <w:sz w:val="15"/>
          <w:szCs w:val="15"/>
          <w:i w:val="1"/>
          <w:iCs w:val="1"/>
          <w:color w:val="auto"/>
        </w:rPr>
        <w:t xml:space="preserve">General and Administrative Expense. </w:t>
      </w:r>
      <w:r>
        <w:rPr>
          <w:rFonts w:ascii="Arial" w:cs="Arial" w:eastAsia="Arial" w:hAnsi="Arial"/>
          <w:sz w:val="15"/>
          <w:szCs w:val="15"/>
          <w:color w:val="auto"/>
        </w:rPr>
        <w:t>General and administrative expense was $6.4 million for the year ended December 31, 2015 compared to $6.2</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same period in 2014, an increase of $173,000 or 3%. The increase primarily reflects increased spending related to our strategic initiatives, including $329,000 for due diligence and transaction related costs associated with a potential acquisition that we decided not to pursue. To a lesser extent, there was also an increase in salary and benefits expense reflecting both annual salary adjustments and performance-based incentive compensation for existing staff. These increases were partially offset by a decrease in board fees paid to our directors due to a reduction in the size of the board.</w:t>
      </w:r>
    </w:p>
    <w:p>
      <w:pPr>
        <w:spacing w:after="0" w:line="154"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the year ended December 31, 2015, we recorded income tax expense of $722,000 compared to $1.5 million for the same period</w:t>
      </w:r>
      <w:r>
        <w:rPr>
          <w:rFonts w:ascii="Arial" w:cs="Arial" w:eastAsia="Arial" w:hAnsi="Arial"/>
          <w:sz w:val="15"/>
          <w:szCs w:val="15"/>
          <w:i w:val="1"/>
          <w:iCs w:val="1"/>
          <w:color w:val="auto"/>
        </w:rPr>
        <w:t xml:space="preserve"> </w:t>
      </w:r>
      <w:r>
        <w:rPr>
          <w:rFonts w:ascii="Arial" w:cs="Arial" w:eastAsia="Arial" w:hAnsi="Arial"/>
          <w:sz w:val="15"/>
          <w:szCs w:val="15"/>
          <w:color w:val="auto"/>
        </w:rPr>
        <w:t>in 2014. Our effective tax rate was 28% for 2015 compared to 30% for 2014. On a quarterly basis, we record income tax expense or benefit based on the expected annualized effective tax rate for the various taxing jurisdictions in which we operate our businesses. The decrease in our effective tax rate in 2015 as compared to 2014 primarily reflects an increase in the level of tax credits available to offset current tax expense in 2015 as compared to 2014.</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131" w:right="259" w:bottom="13" w:gutter="0" w:footer="0" w:header="0"/>
        </w:sectPr>
      </w:pPr>
    </w:p>
    <w:bookmarkStart w:id="19" w:name="page20"/>
    <w:bookmarkEnd w:id="19"/>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8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6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December 31,</w:t>
            </w:r>
          </w:p>
        </w:tc>
      </w:tr>
      <w:tr>
        <w:trPr>
          <w:trHeight w:val="20"/>
        </w:trPr>
        <w:tc>
          <w:tcPr>
            <w:tcW w:w="3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9"/>
              </w:rPr>
              <w:t>2015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9"/>
              </w:rPr>
              <w:t>2014</w:t>
            </w:r>
          </w:p>
        </w:tc>
        <w:tc>
          <w:tcPr>
            <w:tcW w:w="140" w:type="dxa"/>
            <w:vAlign w:val="bottom"/>
          </w:tcPr>
          <w:p>
            <w:pPr>
              <w:spacing w:after="0"/>
              <w:rPr>
                <w:sz w:val="18"/>
                <w:szCs w:val="18"/>
                <w:color w:val="auto"/>
              </w:rPr>
            </w:pPr>
          </w:p>
        </w:tc>
      </w:tr>
      <w:tr>
        <w:trPr>
          <w:trHeight w:val="235"/>
        </w:trPr>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80" w:type="dxa"/>
            <w:vAlign w:val="bottom"/>
            <w:gridSpan w:val="4"/>
          </w:tcPr>
          <w:p>
            <w:pPr>
              <w:jc w:val="center"/>
              <w:ind w:left="1332"/>
              <w:spacing w:after="0"/>
              <w:rPr>
                <w:sz w:val="20"/>
                <w:szCs w:val="20"/>
                <w:color w:val="auto"/>
              </w:rPr>
            </w:pPr>
            <w:r>
              <w:rPr>
                <w:rFonts w:ascii="Arial" w:cs="Arial" w:eastAsia="Arial" w:hAnsi="Arial"/>
                <w:sz w:val="18"/>
                <w:szCs w:val="18"/>
                <w:color w:val="auto"/>
                <w:w w:val="89"/>
              </w:rPr>
              <w:t>$25,710</w:t>
            </w:r>
          </w:p>
        </w:tc>
        <w:tc>
          <w:tcPr>
            <w:tcW w:w="700" w:type="dxa"/>
            <w:vAlign w:val="bottom"/>
            <w:gridSpan w:val="4"/>
          </w:tcPr>
          <w:p>
            <w:pPr>
              <w:jc w:val="center"/>
              <w:ind w:left="32"/>
              <w:spacing w:after="0"/>
              <w:rPr>
                <w:sz w:val="20"/>
                <w:szCs w:val="20"/>
                <w:color w:val="auto"/>
              </w:rPr>
            </w:pPr>
            <w:r>
              <w:rPr>
                <w:rFonts w:ascii="Arial" w:cs="Arial" w:eastAsia="Arial" w:hAnsi="Arial"/>
                <w:sz w:val="18"/>
                <w:szCs w:val="18"/>
                <w:color w:val="auto"/>
                <w:w w:val="89"/>
              </w:rPr>
              <w:t>$23,126</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Working capital</w:t>
            </w:r>
          </w:p>
        </w:tc>
        <w:tc>
          <w:tcPr>
            <w:tcW w:w="2280" w:type="dxa"/>
            <w:vAlign w:val="bottom"/>
            <w:gridSpan w:val="4"/>
          </w:tcPr>
          <w:p>
            <w:pPr>
              <w:jc w:val="center"/>
              <w:ind w:left="1332"/>
              <w:spacing w:after="0"/>
              <w:rPr>
                <w:sz w:val="20"/>
                <w:szCs w:val="20"/>
                <w:color w:val="auto"/>
              </w:rPr>
            </w:pPr>
            <w:r>
              <w:rPr>
                <w:rFonts w:ascii="Arial" w:cs="Arial" w:eastAsia="Arial" w:hAnsi="Arial"/>
                <w:sz w:val="18"/>
                <w:szCs w:val="18"/>
                <w:color w:val="auto"/>
                <w:w w:val="89"/>
              </w:rPr>
              <w:t>$30,764</w:t>
            </w:r>
          </w:p>
        </w:tc>
        <w:tc>
          <w:tcPr>
            <w:tcW w:w="700" w:type="dxa"/>
            <w:vAlign w:val="bottom"/>
            <w:gridSpan w:val="4"/>
          </w:tcPr>
          <w:p>
            <w:pPr>
              <w:jc w:val="center"/>
              <w:ind w:left="32"/>
              <w:spacing w:after="0"/>
              <w:rPr>
                <w:sz w:val="20"/>
                <w:szCs w:val="20"/>
                <w:color w:val="auto"/>
              </w:rPr>
            </w:pPr>
            <w:r>
              <w:rPr>
                <w:rFonts w:ascii="Arial" w:cs="Arial" w:eastAsia="Arial" w:hAnsi="Arial"/>
                <w:sz w:val="18"/>
                <w:szCs w:val="18"/>
                <w:color w:val="auto"/>
                <w:w w:val="89"/>
              </w:rPr>
              <w:t>$28,561</w:t>
            </w:r>
          </w:p>
        </w:tc>
      </w:tr>
    </w:tbl>
    <w:p>
      <w:pPr>
        <w:spacing w:after="0" w:line="223"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As of December 31, 2015, $2.0 million of our cash and cash equivalents was held by our foreign subsidiaries. If these funds are needed for our operations in the U.S., we may be required to accrue and pay foreign taxes if we repatriate certain of these funds. During 2015, we repatriated $2.2 million from our foreign subsidiaries.</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 and the anticipated purchase of shares under the 2015 Repurchase Plan (which is discussed more fully in Note 13 to our consolidated financial statements.)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0"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In addition, in recent years, our Mechanical Products segment has experienced significant operating losses. We have undertaken actions at various times over the last few years to address these losses. On January 4, 2016, in conjunction with the formation of the inTEST EMS Products Division, we implemented a workforce reduction which resulted in our recording a restructuring charge of $99,000 in the first quarter of 2016. The annualized savings from these actions are estimated to be approximately $690,000. Our review of the operations of this product segment is ongoing with the goal of identifying additional opportunities for cost reduction and revenue growth. We cannot be certain that our efforts to restructure this operation to achieve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 term working capital requirements.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year ended December 31, 2015 was $3.5 million. During 2015, we recorded net earnings of</w:t>
      </w:r>
      <w:r>
        <w:rPr>
          <w:rFonts w:ascii="Arial" w:cs="Arial" w:eastAsia="Arial" w:hAnsi="Arial"/>
          <w:sz w:val="16"/>
          <w:szCs w:val="16"/>
          <w:i w:val="1"/>
          <w:iCs w:val="1"/>
          <w:color w:val="auto"/>
        </w:rPr>
        <w:t xml:space="preserve"> </w:t>
      </w:r>
      <w:r>
        <w:rPr>
          <w:rFonts w:ascii="Arial" w:cs="Arial" w:eastAsia="Arial" w:hAnsi="Arial"/>
          <w:sz w:val="16"/>
          <w:szCs w:val="16"/>
          <w:color w:val="auto"/>
        </w:rPr>
        <w:t>$1.9 million, which included non-cash charges of $754,000 for depreciation and amortization, $342,000 for excess and obsolete inventory charges and $168,000 of deferred income tax expense. During 2015, accounts receivable and accounts payable decreased $570,000 and $324,000, respectively, compared to the levels at the end of 2014, primarily reflecting the reduced level of business activity in 2015.</w:t>
      </w:r>
    </w:p>
    <w:p>
      <w:pPr>
        <w:spacing w:after="0" w:line="167" w:lineRule="exact"/>
        <w:rPr>
          <w:sz w:val="20"/>
          <w:szCs w:val="20"/>
          <w:color w:val="auto"/>
        </w:rPr>
      </w:pPr>
    </w:p>
    <w:p>
      <w:pPr>
        <w:ind w:left="540" w:right="340"/>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2015, purchases of property and equipment were $599,000 which primarily represent additions to leased systems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Products segment and computer hardware and software purchases related to a system upgrade for our domestic operations. We have no significant commitments for capital expenditures for 2016, however, depending upon changes in market demand, we may make such purchases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During 2015, we utilized $155,000 to repurchase 41,332 shares of our common stock under the 2015 Repurchase Plan.</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w:t>
      </w:r>
    </w:p>
    <w:p>
      <w:pPr>
        <w:sectPr>
          <w:pgSz w:w="11900" w:h="16892" w:orient="portrait"/>
          <w:cols w:equalWidth="0" w:num="1">
            <w:col w:w="11400"/>
          </w:cols>
          <w:pgMar w:left="240" w:top="125" w:right="259" w:bottom="0" w:gutter="0" w:footer="0" w:header="0"/>
        </w:sectPr>
      </w:pPr>
    </w:p>
    <w:bookmarkStart w:id="20" w:name="page21"/>
    <w:bookmarkEnd w:id="20"/>
    <w:p>
      <w:pPr>
        <w:ind w:left="540" w:right="80"/>
        <w:spacing w:after="0" w:line="268" w:lineRule="auto"/>
        <w:rPr>
          <w:sz w:val="20"/>
          <w:szCs w:val="20"/>
          <w:color w:val="auto"/>
        </w:rPr>
      </w:pPr>
      <w:r>
        <w:rPr>
          <w:rFonts w:ascii="Arial" w:cs="Arial" w:eastAsia="Arial" w:hAnsi="Arial"/>
          <w:sz w:val="18"/>
          <w:szCs w:val="18"/>
          <w:color w:val="auto"/>
        </w:rPr>
        <w:t>consolidated financial statements and because of the possibility that future events affecting them may differ markedly from what had been assumed when the financial statements were prepared.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2015 and 2014, we recorded inventory obsolescence charges for excess and obsolete inventory of $342,000 and $344,000,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40"/>
        <w:spacing w:after="0" w:line="306" w:lineRule="auto"/>
        <w:rPr>
          <w:sz w:val="20"/>
          <w:szCs w:val="20"/>
          <w:color w:val="auto"/>
        </w:rPr>
      </w:pPr>
      <w:r>
        <w:rPr>
          <w:rFonts w:ascii="Arial" w:cs="Arial" w:eastAsia="Arial" w:hAnsi="Arial"/>
          <w:sz w:val="16"/>
          <w:szCs w:val="16"/>
          <w:color w:val="auto"/>
        </w:rPr>
        <w:t>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As of December 31, 2015 and 2014, goodwill was $1.7 million. We did not record any impairment charges related to our goodwill during 2015 or 2014.</w:t>
      </w:r>
    </w:p>
    <w:p>
      <w:pPr>
        <w:spacing w:after="0" w:line="16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As of December 31, 2015 and 2014, our indefinite-lived intangible asset was a trademark carried at $510,000. We did not record any impairment charges related to our indefinite-lived intangible asset during 2015 or 2014.</w:t>
      </w:r>
    </w:p>
    <w:p>
      <w:pPr>
        <w:spacing w:after="0" w:line="172" w:lineRule="exact"/>
        <w:rPr>
          <w:sz w:val="20"/>
          <w:szCs w:val="20"/>
          <w:color w:val="auto"/>
        </w:rPr>
      </w:pPr>
    </w:p>
    <w:p>
      <w:pPr>
        <w:ind w:left="540" w:right="100"/>
        <w:spacing w:after="0" w:line="314" w:lineRule="auto"/>
        <w:rPr>
          <w:sz w:val="20"/>
          <w:szCs w:val="20"/>
          <w:color w:val="auto"/>
        </w:rPr>
      </w:pPr>
      <w:r>
        <w:rPr>
          <w:rFonts w:ascii="Arial" w:cs="Arial" w:eastAsia="Arial" w:hAnsi="Arial"/>
          <w:sz w:val="15"/>
          <w:szCs w:val="15"/>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2015 and 2014, finite-lived intangibles and long-lived assets were $1.7 million and $2.2 million, respectively. We did not record any impairment charges related to our long-lived assets during 2015 or 2014.</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2015 and 2014, we had a net deferred tax asset of $1.2 million and $1.4 million, respectively, and a deferred tax valuation allowance of $15,000 and $100,000, respectively.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ectPr>
          <w:pgSz w:w="11900" w:h="16838" w:orient="portrait"/>
          <w:cols w:equalWidth="0" w:num="1">
            <w:col w:w="11400"/>
          </w:cols>
          <w:pgMar w:left="240" w:top="131" w:right="259" w:bottom="0" w:gutter="0" w:footer="0" w:header="0"/>
        </w:sectPr>
      </w:pPr>
    </w:p>
    <w:bookmarkStart w:id="21" w:name="page22"/>
    <w:bookmarkEnd w:id="21"/>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3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9" w:lineRule="exact"/>
        <w:rPr>
          <w:sz w:val="20"/>
          <w:szCs w:val="20"/>
          <w:color w:val="auto"/>
        </w:rPr>
      </w:pPr>
    </w:p>
    <w:p>
      <w:pPr>
        <w:ind w:left="1080" w:hanging="167"/>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8" w:lineRule="exact"/>
        <w:rPr>
          <w:rFonts w:ascii="Arial" w:cs="Arial" w:eastAsia="Arial" w:hAnsi="Arial"/>
          <w:sz w:val="16"/>
          <w:szCs w:val="16"/>
          <w:color w:val="auto"/>
        </w:rPr>
      </w:pPr>
    </w:p>
    <w:p>
      <w:pPr>
        <w:ind w:left="1080" w:right="20" w:hanging="167"/>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080" w:hanging="167"/>
        <w:spacing w:after="0" w:line="26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30 -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ectPr>
          <w:pgSz w:w="11900" w:h="16838" w:orient="portrait"/>
          <w:cols w:equalWidth="0" w:num="1">
            <w:col w:w="11420"/>
          </w:cols>
          <w:pgMar w:left="240" w:top="347" w:right="239" w:bottom="15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CONTROLS AND PROCEDURES </w:t>
      </w:r>
      <w:r>
        <w:rPr>
          <w:rFonts w:ascii="Arial" w:cs="Arial" w:eastAsia="Arial" w:hAnsi="Arial"/>
          <w:sz w:val="16"/>
          <w:szCs w:val="16"/>
          <w:color w:val="auto"/>
        </w:rPr>
        <w:t>(Continued)</w:t>
      </w:r>
    </w:p>
    <w:p>
      <w:pPr>
        <w:sectPr>
          <w:pgSz w:w="11900" w:h="16838" w:orient="portrait"/>
          <w:cols w:equalWidth="0" w:num="1">
            <w:col w:w="11420"/>
          </w:cols>
          <w:pgMar w:left="240" w:top="347" w:right="239" w:bottom="150" w:gutter="0" w:footer="0" w:header="0"/>
          <w:type w:val="continuous"/>
        </w:sectPr>
      </w:pPr>
    </w:p>
    <w:bookmarkStart w:id="22" w:name="page23"/>
    <w:bookmarkEnd w:id="22"/>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2015.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2015, our internal control over financial reporting is effective at a reasonable assurance level.</w:t>
      </w:r>
    </w:p>
    <w:p>
      <w:pPr>
        <w:spacing w:after="0" w:line="197"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color w:val="auto"/>
        </w:rPr>
        <w:t>This annual report does not include an attestation report of our independent registered public accounting firm regarding internal control over financial reporting, as such an attestation is not required pursuant to rules of the Securities and Exchange Commission applicable to smaller reporting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384175</wp:posOffset>
            </wp:positionV>
            <wp:extent cx="219964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2016 Annual Meeting of Stockholders to be filed with the SEC on or before April 29, 2016, or, if our proxy statement is not filed on or before April 29, 2016, will be filed by that date by an amendment to this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2016 Annual Meeting of Stockholders to be filed with the SEC on or before April 29, 2016, or, if our proxy statement is not filed on or before April 29, 2016,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2016 Annual Meeting of Stockholders to be filed with the SEC on or before April 29, 2016, or, if our proxy statement is not filed on or before April 29, 2016, will be filed by that date by an amendment to this Form 10-K.</w:t>
      </w:r>
    </w:p>
    <w:p>
      <w:pPr>
        <w:spacing w:after="0" w:line="16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38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80" w:type="dxa"/>
            <w:vAlign w:val="bottom"/>
            <w:gridSpan w:val="5"/>
          </w:tcPr>
          <w:p>
            <w:pPr>
              <w:jc w:val="center"/>
              <w:ind w:left="7"/>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2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remaining available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1"/>
              </w:rPr>
              <w:t>exercise of</w:t>
            </w:r>
          </w:p>
        </w:tc>
        <w:tc>
          <w:tcPr>
            <w:tcW w:w="12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3"/>
              </w:rPr>
              <w:t>exercise price of</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for future issuance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80" w:type="dxa"/>
            <w:vAlign w:val="bottom"/>
            <w:gridSpan w:val="5"/>
          </w:tcPr>
          <w:p>
            <w:pPr>
              <w:jc w:val="center"/>
              <w:ind w:left="27"/>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0"/>
              </w:rPr>
              <w:t>outstanding options,</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 equity</w:t>
            </w:r>
          </w:p>
        </w:tc>
      </w:tr>
      <w:tr>
        <w:trPr>
          <w:trHeight w:val="146"/>
        </w:trPr>
        <w:tc>
          <w:tcPr>
            <w:tcW w:w="80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Plan Category</w:t>
            </w:r>
          </w:p>
        </w:tc>
        <w:tc>
          <w:tcPr>
            <w:tcW w:w="3640" w:type="dxa"/>
            <w:vAlign w:val="bottom"/>
          </w:tcPr>
          <w:p>
            <w:pPr>
              <w:spacing w:after="0"/>
              <w:rPr>
                <w:sz w:val="12"/>
                <w:szCs w:val="12"/>
                <w:color w:val="auto"/>
              </w:rPr>
            </w:pPr>
          </w:p>
        </w:tc>
        <w:tc>
          <w:tcPr>
            <w:tcW w:w="1480" w:type="dxa"/>
            <w:vAlign w:val="bottom"/>
            <w:gridSpan w:val="5"/>
          </w:tcPr>
          <w:p>
            <w:pPr>
              <w:jc w:val="center"/>
              <w:ind w:left="27"/>
              <w:spacing w:after="0" w:line="146" w:lineRule="exact"/>
              <w:rPr>
                <w:sz w:val="20"/>
                <w:szCs w:val="20"/>
                <w:color w:val="auto"/>
              </w:rPr>
            </w:pPr>
            <w:r>
              <w:rPr>
                <w:rFonts w:ascii="Arial" w:cs="Arial" w:eastAsia="Arial" w:hAnsi="Arial"/>
                <w:sz w:val="14"/>
                <w:szCs w:val="14"/>
                <w:b w:val="1"/>
                <w:bCs w:val="1"/>
                <w:i w:val="1"/>
                <w:iCs w:val="1"/>
                <w:color w:val="auto"/>
                <w:w w:val="84"/>
              </w:rPr>
              <w:t>warrants and rights</w:t>
            </w:r>
          </w:p>
        </w:tc>
        <w:tc>
          <w:tcPr>
            <w:tcW w:w="1480" w:type="dxa"/>
            <w:vAlign w:val="bottom"/>
            <w:gridSpan w:val="5"/>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4"/>
              </w:rPr>
              <w:t>warrants and rights</w:t>
            </w:r>
          </w:p>
        </w:tc>
        <w:tc>
          <w:tcPr>
            <w:tcW w:w="12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2"/>
              </w:rPr>
              <w:t>compensation plans(1)</w:t>
            </w:r>
          </w:p>
        </w:tc>
      </w:tr>
      <w:tr>
        <w:trPr>
          <w:trHeight w:val="20"/>
        </w:trPr>
        <w:tc>
          <w:tcPr>
            <w:tcW w:w="8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35"/>
        </w:trPr>
        <w:tc>
          <w:tcPr>
            <w:tcW w:w="4440" w:type="dxa"/>
            <w:vAlign w:val="bottom"/>
            <w:gridSpan w:val="2"/>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562,500</w:t>
            </w:r>
          </w:p>
        </w:tc>
      </w:tr>
      <w:tr>
        <w:trPr>
          <w:trHeight w:val="205"/>
        </w:trPr>
        <w:tc>
          <w:tcPr>
            <w:tcW w:w="4440" w:type="dxa"/>
            <w:vAlign w:val="bottom"/>
            <w:gridSpan w:val="2"/>
          </w:tcPr>
          <w:p>
            <w:pPr>
              <w:spacing w:after="0" w:line="205" w:lineRule="exact"/>
              <w:rPr>
                <w:sz w:val="20"/>
                <w:szCs w:val="20"/>
                <w:color w:val="auto"/>
              </w:rPr>
            </w:pPr>
            <w:r>
              <w:rPr>
                <w:rFonts w:ascii="Arial" w:cs="Arial" w:eastAsia="Arial" w:hAnsi="Arial"/>
                <w:sz w:val="18"/>
                <w:szCs w:val="18"/>
                <w:color w:val="auto"/>
                <w:w w:val="92"/>
              </w:rPr>
              <w:t>Equity compensation plans not approved by security holders</w:t>
            </w:r>
          </w:p>
        </w:tc>
        <w:tc>
          <w:tcPr>
            <w:tcW w:w="620" w:type="dxa"/>
            <w:vAlign w:val="bottom"/>
            <w:gridSpan w:val="2"/>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740" w:type="dxa"/>
            <w:vAlign w:val="bottom"/>
            <w:gridSpan w:val="2"/>
          </w:tcPr>
          <w:p>
            <w:pPr>
              <w:jc w:val="right"/>
              <w:ind w:right="380"/>
              <w:spacing w:after="0" w:line="205"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60" w:type="dxa"/>
            <w:vAlign w:val="bottom"/>
            <w:gridSpan w:val="3"/>
          </w:tcPr>
          <w:p>
            <w:pPr>
              <w:jc w:val="right"/>
              <w:ind w:right="260"/>
              <w:spacing w:after="0" w:line="205" w:lineRule="exact"/>
              <w:rPr>
                <w:sz w:val="20"/>
                <w:szCs w:val="20"/>
                <w:color w:val="auto"/>
              </w:rPr>
            </w:pPr>
            <w:r>
              <w:rPr>
                <w:rFonts w:ascii="Arial" w:cs="Arial" w:eastAsia="Arial" w:hAnsi="Arial"/>
                <w:sz w:val="18"/>
                <w:szCs w:val="18"/>
                <w:color w:val="auto"/>
              </w:rPr>
              <w:t>-</w:t>
            </w:r>
          </w:p>
        </w:tc>
      </w:tr>
      <w:tr>
        <w:trPr>
          <w:trHeight w:val="20"/>
        </w:trPr>
        <w:tc>
          <w:tcPr>
            <w:tcW w:w="4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562,500</w:t>
            </w: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700" w:right="1500" w:hanging="368"/>
        <w:spacing w:after="0" w:line="268"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2014 Stock Plan (500,000 shares) and the 2007 Stock Plan (62,500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2016 Annual Meeting of Stockholders to be filed with the SEC on or before April 29, 2016, or, if our proxy statement is not filed on or before April 29, 2016, will be filed by that date by an amendment to this Form 10-K.</w:t>
      </w:r>
    </w:p>
    <w:p>
      <w:pPr>
        <w:sectPr>
          <w:pgSz w:w="11900" w:h="16838" w:orient="portrait"/>
          <w:cols w:equalWidth="0" w:num="1">
            <w:col w:w="11420"/>
          </w:cols>
          <w:pgMar w:left="240" w:top="131" w:right="239" w:bottom="55"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ectPr>
          <w:pgSz w:w="11900" w:h="16838" w:orient="portrait"/>
          <w:cols w:equalWidth="0" w:num="1">
            <w:col w:w="11420"/>
          </w:cols>
          <w:pgMar w:left="240" w:top="131" w:right="239" w:bottom="55" w:gutter="0" w:footer="0" w:header="0"/>
          <w:type w:val="continuous"/>
        </w:sectPr>
      </w:pPr>
    </w:p>
    <w:bookmarkStart w:id="23" w:name="page24"/>
    <w:bookmarkEnd w:id="23"/>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2016 Annual Meeting of Stockholders to be filed with the SEC on or before April 29, 2016, or, if our proxy statement is not filed on or before April 29, 2016,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83959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1" w:lineRule="exact"/>
        <w:rPr>
          <w:sz w:val="20"/>
          <w:szCs w:val="20"/>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100" w:firstLine="8"/>
        <w:spacing w:after="0" w:line="254" w:lineRule="auto"/>
        <w:tabs>
          <w:tab w:leader="none" w:pos="1465"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178"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29, 2016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29, 2016</w:t>
            </w:r>
          </w:p>
        </w:tc>
      </w:tr>
      <w:tr>
        <w:trPr>
          <w:trHeight w:val="228"/>
        </w:trPr>
        <w:tc>
          <w:tcPr>
            <w:tcW w:w="5760" w:type="dxa"/>
            <w:vAlign w:val="bottom"/>
            <w:gridSpan w:val="7"/>
          </w:tcPr>
          <w:p>
            <w:pPr>
              <w:spacing w:after="0"/>
              <w:rPr>
                <w:sz w:val="20"/>
                <w:szCs w:val="20"/>
                <w:color w:val="auto"/>
              </w:rPr>
            </w:pPr>
            <w:r>
              <w:rPr>
                <w:rFonts w:ascii="Arial" w:cs="Arial" w:eastAsia="Arial" w:hAnsi="Arial"/>
                <w:sz w:val="18"/>
                <w:szCs w:val="18"/>
                <w:color w:val="auto"/>
              </w:rPr>
              <w:t>Robert E. Matthiessen, President,</w:t>
            </w:r>
          </w:p>
        </w:tc>
        <w:tc>
          <w:tcPr>
            <w:tcW w:w="1120" w:type="dxa"/>
            <w:vAlign w:val="bottom"/>
          </w:tcPr>
          <w:p>
            <w:pPr>
              <w:spacing w:after="0"/>
              <w:rPr>
                <w:sz w:val="19"/>
                <w:szCs w:val="19"/>
                <w:color w:val="auto"/>
              </w:rPr>
            </w:pPr>
          </w:p>
        </w:tc>
      </w:tr>
      <w:tr>
        <w:trPr>
          <w:trHeight w:val="216"/>
        </w:trPr>
        <w:tc>
          <w:tcPr>
            <w:tcW w:w="5760" w:type="dxa"/>
            <w:vAlign w:val="bottom"/>
            <w:gridSpan w:val="7"/>
          </w:tcPr>
          <w:p>
            <w:pPr>
              <w:spacing w:after="0"/>
              <w:rPr>
                <w:sz w:val="20"/>
                <w:szCs w:val="20"/>
                <w:color w:val="auto"/>
              </w:rPr>
            </w:pPr>
            <w:r>
              <w:rPr>
                <w:rFonts w:ascii="Arial" w:cs="Arial" w:eastAsia="Arial" w:hAnsi="Arial"/>
                <w:sz w:val="18"/>
                <w:szCs w:val="18"/>
                <w:color w:val="auto"/>
              </w:rPr>
              <w:t>Chief Executive Officer and Director</w:t>
            </w:r>
          </w:p>
        </w:tc>
        <w:tc>
          <w:tcPr>
            <w:tcW w:w="1120" w:type="dxa"/>
            <w:vAlign w:val="bottom"/>
          </w:tcPr>
          <w:p>
            <w:pPr>
              <w:spacing w:after="0"/>
              <w:rPr>
                <w:sz w:val="18"/>
                <w:szCs w:val="18"/>
                <w:color w:val="auto"/>
              </w:rPr>
            </w:pPr>
          </w:p>
        </w:tc>
      </w:tr>
      <w:tr>
        <w:trPr>
          <w:trHeight w:val="222"/>
        </w:trPr>
        <w:tc>
          <w:tcPr>
            <w:tcW w:w="5760" w:type="dxa"/>
            <w:vAlign w:val="bottom"/>
            <w:gridSpan w:val="7"/>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19"/>
                <w:szCs w:val="19"/>
                <w:color w:val="auto"/>
              </w:rPr>
            </w:pPr>
          </w:p>
        </w:tc>
      </w:tr>
      <w:tr>
        <w:trPr>
          <w:trHeight w:val="596"/>
        </w:trPr>
        <w:tc>
          <w:tcPr>
            <w:tcW w:w="5760" w:type="dxa"/>
            <w:vAlign w:val="bottom"/>
            <w:gridSpan w:val="7"/>
          </w:tcPr>
          <w:p>
            <w:pPr>
              <w:spacing w:after="0"/>
              <w:rPr>
                <w:sz w:val="20"/>
                <w:szCs w:val="20"/>
                <w:color w:val="auto"/>
              </w:rPr>
            </w:pPr>
            <w:r>
              <w:rPr>
                <w:rFonts w:ascii="Arial" w:cs="Arial" w:eastAsia="Arial" w:hAnsi="Arial"/>
                <w:sz w:val="18"/>
                <w:szCs w:val="18"/>
                <w:color w:val="auto"/>
              </w:rPr>
              <w:t>/s/ Hugh T. Regan, Jr.</w:t>
            </w:r>
          </w:p>
        </w:tc>
        <w:tc>
          <w:tcPr>
            <w:tcW w:w="1120" w:type="dxa"/>
            <w:vAlign w:val="bottom"/>
          </w:tcPr>
          <w:p>
            <w:pPr>
              <w:spacing w:after="0"/>
              <w:rPr>
                <w:sz w:val="20"/>
                <w:szCs w:val="20"/>
                <w:color w:val="auto"/>
              </w:rPr>
            </w:pPr>
            <w:r>
              <w:rPr>
                <w:rFonts w:ascii="Arial" w:cs="Arial" w:eastAsia="Arial" w:hAnsi="Arial"/>
                <w:sz w:val="18"/>
                <w:szCs w:val="18"/>
                <w:color w:val="auto"/>
                <w:w w:val="87"/>
              </w:rPr>
              <w:t>March 29, 2016</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8"/>
        </w:trPr>
        <w:tc>
          <w:tcPr>
            <w:tcW w:w="5760" w:type="dxa"/>
            <w:vAlign w:val="bottom"/>
            <w:gridSpan w:val="7"/>
          </w:tcPr>
          <w:p>
            <w:pPr>
              <w:spacing w:after="0"/>
              <w:rPr>
                <w:sz w:val="20"/>
                <w:szCs w:val="20"/>
                <w:color w:val="auto"/>
              </w:rPr>
            </w:pPr>
            <w:r>
              <w:rPr>
                <w:rFonts w:ascii="Arial" w:cs="Arial" w:eastAsia="Arial" w:hAnsi="Arial"/>
                <w:sz w:val="18"/>
                <w:szCs w:val="18"/>
                <w:color w:val="auto"/>
              </w:rPr>
              <w:t>Hugh T. Regan, Jr., Treasurer, Chief</w:t>
            </w:r>
          </w:p>
        </w:tc>
        <w:tc>
          <w:tcPr>
            <w:tcW w:w="1120" w:type="dxa"/>
            <w:vAlign w:val="bottom"/>
          </w:tcPr>
          <w:p>
            <w:pPr>
              <w:spacing w:after="0"/>
              <w:rPr>
                <w:sz w:val="19"/>
                <w:szCs w:val="19"/>
                <w:color w:val="auto"/>
              </w:rPr>
            </w:pPr>
          </w:p>
        </w:tc>
      </w:tr>
      <w:tr>
        <w:trPr>
          <w:trHeight w:val="216"/>
        </w:trPr>
        <w:tc>
          <w:tcPr>
            <w:tcW w:w="5760" w:type="dxa"/>
            <w:vAlign w:val="bottom"/>
            <w:gridSpan w:val="7"/>
          </w:tcPr>
          <w:p>
            <w:pPr>
              <w:spacing w:after="0"/>
              <w:rPr>
                <w:sz w:val="20"/>
                <w:szCs w:val="20"/>
                <w:color w:val="auto"/>
              </w:rPr>
            </w:pPr>
            <w:r>
              <w:rPr>
                <w:rFonts w:ascii="Arial" w:cs="Arial" w:eastAsia="Arial" w:hAnsi="Arial"/>
                <w:sz w:val="18"/>
                <w:szCs w:val="18"/>
                <w:color w:val="auto"/>
              </w:rPr>
              <w:t>Financial Officer and Secretary</w:t>
            </w:r>
          </w:p>
        </w:tc>
        <w:tc>
          <w:tcPr>
            <w:tcW w:w="1120" w:type="dxa"/>
            <w:vAlign w:val="bottom"/>
          </w:tcPr>
          <w:p>
            <w:pPr>
              <w:spacing w:after="0"/>
              <w:rPr>
                <w:sz w:val="18"/>
                <w:szCs w:val="18"/>
                <w:color w:val="auto"/>
              </w:rPr>
            </w:pPr>
          </w:p>
        </w:tc>
      </w:tr>
      <w:tr>
        <w:trPr>
          <w:trHeight w:val="222"/>
        </w:trPr>
        <w:tc>
          <w:tcPr>
            <w:tcW w:w="5760" w:type="dxa"/>
            <w:vAlign w:val="bottom"/>
            <w:gridSpan w:val="7"/>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19"/>
                <w:szCs w:val="19"/>
                <w:color w:val="auto"/>
              </w:rPr>
            </w:pPr>
          </w:p>
        </w:tc>
      </w:tr>
      <w:tr>
        <w:trPr>
          <w:trHeight w:val="596"/>
        </w:trPr>
        <w:tc>
          <w:tcPr>
            <w:tcW w:w="5760" w:type="dxa"/>
            <w:vAlign w:val="bottom"/>
            <w:gridSpan w:val="7"/>
          </w:tcPr>
          <w:p>
            <w:pPr>
              <w:spacing w:after="0"/>
              <w:rPr>
                <w:sz w:val="20"/>
                <w:szCs w:val="20"/>
                <w:color w:val="auto"/>
              </w:rPr>
            </w:pPr>
            <w:r>
              <w:rPr>
                <w:rFonts w:ascii="Arial" w:cs="Arial" w:eastAsia="Arial" w:hAnsi="Arial"/>
                <w:sz w:val="18"/>
                <w:szCs w:val="18"/>
                <w:color w:val="auto"/>
              </w:rPr>
              <w:t>/s/ Alyn R. Holt</w:t>
            </w:r>
          </w:p>
        </w:tc>
        <w:tc>
          <w:tcPr>
            <w:tcW w:w="1120" w:type="dxa"/>
            <w:vAlign w:val="bottom"/>
          </w:tcPr>
          <w:p>
            <w:pPr>
              <w:spacing w:after="0"/>
              <w:rPr>
                <w:sz w:val="20"/>
                <w:szCs w:val="20"/>
                <w:color w:val="auto"/>
              </w:rPr>
            </w:pPr>
            <w:r>
              <w:rPr>
                <w:rFonts w:ascii="Arial" w:cs="Arial" w:eastAsia="Arial" w:hAnsi="Arial"/>
                <w:sz w:val="18"/>
                <w:szCs w:val="18"/>
                <w:color w:val="auto"/>
                <w:w w:val="87"/>
              </w:rPr>
              <w:t>March 29, 2016</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7"/>
          </w:tcPr>
          <w:p>
            <w:pPr>
              <w:spacing w:after="0"/>
              <w:rPr>
                <w:sz w:val="20"/>
                <w:szCs w:val="20"/>
                <w:color w:val="auto"/>
              </w:rPr>
            </w:pPr>
            <w:r>
              <w:rPr>
                <w:rFonts w:ascii="Arial" w:cs="Arial" w:eastAsia="Arial" w:hAnsi="Arial"/>
                <w:sz w:val="18"/>
                <w:szCs w:val="18"/>
                <w:color w:val="auto"/>
              </w:rPr>
              <w:t>Alyn R. Holt, Executive Chairman</w:t>
            </w:r>
          </w:p>
        </w:tc>
        <w:tc>
          <w:tcPr>
            <w:tcW w:w="1120" w:type="dxa"/>
            <w:vAlign w:val="bottom"/>
          </w:tcPr>
          <w:p>
            <w:pPr>
              <w:spacing w:after="0"/>
              <w:rPr>
                <w:sz w:val="20"/>
                <w:szCs w:val="20"/>
                <w:color w:val="auto"/>
              </w:rPr>
            </w:pPr>
          </w:p>
        </w:tc>
      </w:tr>
      <w:tr>
        <w:trPr>
          <w:trHeight w:val="596"/>
        </w:trPr>
        <w:tc>
          <w:tcPr>
            <w:tcW w:w="5760" w:type="dxa"/>
            <w:vAlign w:val="bottom"/>
            <w:gridSpan w:val="7"/>
          </w:tcPr>
          <w:p>
            <w:pPr>
              <w:spacing w:after="0"/>
              <w:rPr>
                <w:sz w:val="20"/>
                <w:szCs w:val="20"/>
                <w:color w:val="auto"/>
              </w:rPr>
            </w:pPr>
            <w:r>
              <w:rPr>
                <w:rFonts w:ascii="Arial" w:cs="Arial" w:eastAsia="Arial" w:hAnsi="Arial"/>
                <w:sz w:val="18"/>
                <w:szCs w:val="18"/>
                <w:color w:val="auto"/>
              </w:rPr>
              <w:t>/s/ Steven J. Abrams</w:t>
            </w:r>
          </w:p>
        </w:tc>
        <w:tc>
          <w:tcPr>
            <w:tcW w:w="1120" w:type="dxa"/>
            <w:vAlign w:val="bottom"/>
          </w:tcPr>
          <w:p>
            <w:pPr>
              <w:spacing w:after="0"/>
              <w:rPr>
                <w:sz w:val="20"/>
                <w:szCs w:val="20"/>
                <w:color w:val="auto"/>
              </w:rPr>
            </w:pPr>
            <w:r>
              <w:rPr>
                <w:rFonts w:ascii="Arial" w:cs="Arial" w:eastAsia="Arial" w:hAnsi="Arial"/>
                <w:sz w:val="18"/>
                <w:szCs w:val="18"/>
                <w:color w:val="auto"/>
                <w:w w:val="87"/>
              </w:rPr>
              <w:t>March 29, 2016</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7"/>
          </w:tcPr>
          <w:p>
            <w:pPr>
              <w:spacing w:after="0"/>
              <w:rPr>
                <w:sz w:val="20"/>
                <w:szCs w:val="20"/>
                <w:color w:val="auto"/>
              </w:rPr>
            </w:pPr>
            <w:r>
              <w:rPr>
                <w:rFonts w:ascii="Arial" w:cs="Arial" w:eastAsia="Arial" w:hAnsi="Arial"/>
                <w:sz w:val="18"/>
                <w:szCs w:val="18"/>
                <w:color w:val="auto"/>
              </w:rPr>
              <w:t>Steven J. Abrams, Esq., Director</w:t>
            </w:r>
          </w:p>
        </w:tc>
        <w:tc>
          <w:tcPr>
            <w:tcW w:w="1120" w:type="dxa"/>
            <w:vAlign w:val="bottom"/>
          </w:tcPr>
          <w:p>
            <w:pPr>
              <w:spacing w:after="0"/>
              <w:rPr>
                <w:sz w:val="20"/>
                <w:szCs w:val="20"/>
                <w:color w:val="auto"/>
              </w:rPr>
            </w:pPr>
          </w:p>
        </w:tc>
      </w:tr>
      <w:tr>
        <w:trPr>
          <w:trHeight w:val="691"/>
        </w:trPr>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/s/ Joseph W. Dews IV</w:t>
            </w:r>
          </w:p>
        </w:tc>
        <w:tc>
          <w:tcPr>
            <w:tcW w:w="4160" w:type="dxa"/>
            <w:vAlign w:val="bottom"/>
            <w:gridSpan w:val="2"/>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29, 2016</w:t>
            </w:r>
          </w:p>
        </w:tc>
      </w:tr>
      <w:tr>
        <w:trPr>
          <w:trHeight w:val="235"/>
        </w:trPr>
        <w:tc>
          <w:tcPr>
            <w:tcW w:w="5760" w:type="dxa"/>
            <w:vAlign w:val="bottom"/>
            <w:gridSpan w:val="7"/>
          </w:tcPr>
          <w:p>
            <w:pPr>
              <w:spacing w:after="0"/>
              <w:rPr>
                <w:sz w:val="20"/>
                <w:szCs w:val="20"/>
                <w:color w:val="auto"/>
              </w:rPr>
            </w:pPr>
            <w:r>
              <w:rPr>
                <w:rFonts w:ascii="Arial" w:cs="Arial" w:eastAsia="Arial" w:hAnsi="Arial"/>
                <w:sz w:val="18"/>
                <w:szCs w:val="18"/>
                <w:color w:val="auto"/>
              </w:rPr>
              <w:t>Joseph W. Dews IV, Director</w:t>
            </w:r>
          </w:p>
        </w:tc>
        <w:tc>
          <w:tcPr>
            <w:tcW w:w="1120" w:type="dxa"/>
            <w:vAlign w:val="bottom"/>
          </w:tcPr>
          <w:p>
            <w:pPr>
              <w:spacing w:after="0"/>
              <w:rPr>
                <w:sz w:val="20"/>
                <w:szCs w:val="20"/>
                <w:color w:val="auto"/>
              </w:rPr>
            </w:pPr>
          </w:p>
        </w:tc>
      </w:tr>
      <w:tr>
        <w:trPr>
          <w:trHeight w:val="596"/>
        </w:trPr>
        <w:tc>
          <w:tcPr>
            <w:tcW w:w="5760" w:type="dxa"/>
            <w:vAlign w:val="bottom"/>
            <w:gridSpan w:val="7"/>
          </w:tcPr>
          <w:p>
            <w:pPr>
              <w:spacing w:after="0"/>
              <w:rPr>
                <w:sz w:val="20"/>
                <w:szCs w:val="20"/>
                <w:color w:val="auto"/>
              </w:rPr>
            </w:pPr>
            <w:r>
              <w:rPr>
                <w:rFonts w:ascii="Arial" w:cs="Arial" w:eastAsia="Arial" w:hAnsi="Arial"/>
                <w:sz w:val="18"/>
                <w:szCs w:val="18"/>
                <w:color w:val="auto"/>
              </w:rPr>
              <w:t>/s/ William Kraut</w:t>
            </w:r>
          </w:p>
        </w:tc>
        <w:tc>
          <w:tcPr>
            <w:tcW w:w="1120" w:type="dxa"/>
            <w:vAlign w:val="bottom"/>
          </w:tcPr>
          <w:p>
            <w:pPr>
              <w:spacing w:after="0"/>
              <w:rPr>
                <w:sz w:val="20"/>
                <w:szCs w:val="20"/>
                <w:color w:val="auto"/>
              </w:rPr>
            </w:pPr>
            <w:r>
              <w:rPr>
                <w:rFonts w:ascii="Arial" w:cs="Arial" w:eastAsia="Arial" w:hAnsi="Arial"/>
                <w:sz w:val="18"/>
                <w:szCs w:val="18"/>
                <w:color w:val="auto"/>
                <w:w w:val="87"/>
              </w:rPr>
              <w:t>March 29, 2016</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7"/>
          </w:tcPr>
          <w:p>
            <w:pPr>
              <w:spacing w:after="0"/>
              <w:rPr>
                <w:sz w:val="20"/>
                <w:szCs w:val="20"/>
                <w:color w:val="auto"/>
              </w:rPr>
            </w:pPr>
            <w:r>
              <w:rPr>
                <w:rFonts w:ascii="Arial" w:cs="Arial" w:eastAsia="Arial" w:hAnsi="Arial"/>
                <w:sz w:val="18"/>
                <w:szCs w:val="18"/>
                <w:color w:val="auto"/>
              </w:rPr>
              <w:t>William Kraut, Director</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131" w:right="239" w:bottom="92"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Exhibit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20" w:type="dxa"/>
            <w:vAlign w:val="bottom"/>
          </w:tcPr>
          <w:p>
            <w:pPr>
              <w:spacing w:after="0"/>
              <w:rPr>
                <w:sz w:val="14"/>
                <w:szCs w:val="14"/>
                <w:color w:val="auto"/>
              </w:rPr>
            </w:pPr>
          </w:p>
        </w:tc>
      </w:tr>
      <w:tr>
        <w:trPr>
          <w:trHeight w:val="146"/>
        </w:trPr>
        <w:tc>
          <w:tcPr>
            <w:tcW w:w="4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Number</w:t>
            </w: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i w:val="1"/>
                <w:iCs w:val="1"/>
                <w:color w:val="auto"/>
                <w:w w:val="84"/>
              </w:rPr>
              <w:t>Description of Exhibit</w:t>
            </w:r>
          </w:p>
        </w:tc>
        <w:tc>
          <w:tcPr>
            <w:tcW w:w="7620" w:type="dxa"/>
            <w:vAlign w:val="bottom"/>
          </w:tcPr>
          <w:p>
            <w:pPr>
              <w:spacing w:after="0"/>
              <w:rPr>
                <w:sz w:val="12"/>
                <w:szCs w:val="12"/>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Certificate of Incorporation. (1)</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Bylaws as amended on June 23, 2014. (2)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Lease Agreement between Exeter 804 East Gate, LLC and the Company dated May 10, 2010.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8"/>
              </w:rPr>
              <w:t>Lease Agreement between AMB-SGP Seattle/Boston, LLC and Temptronic Corporation (a subsidiary of the Company), dated</w:t>
            </w:r>
          </w:p>
        </w:tc>
      </w:tr>
      <w:tr>
        <w:trPr>
          <w:trHeight w:val="222"/>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October 25, 2010.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9"/>
              </w:rPr>
              <w:t>Lease Agreements between Columbia California Warm Springs Industrial, LLC and inTEST Silicon Valley Corporation dated</w:t>
            </w:r>
          </w:p>
        </w:tc>
      </w:tr>
      <w:tr>
        <w:trPr>
          <w:trHeight w:val="222"/>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January 9, 2012.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9"/>
              </w:rPr>
              <w:t>Guaranty Agreements between Columbia California Warm Springs Industrial, LLC and inTEST Corporation dated January 9,</w:t>
            </w:r>
          </w:p>
        </w:tc>
      </w:tr>
      <w:tr>
        <w:trPr>
          <w:trHeight w:val="222"/>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2012. (5)</w:t>
            </w:r>
          </w:p>
        </w:tc>
        <w:tc>
          <w:tcPr>
            <w:tcW w:w="762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inTEST Corporation 2014 Stock Plan (6)(*)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inTEST Corporation 2007 Stock Plan.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Form of Restricted Stock Grant.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Form of Non-Qualified Stock Option Grant.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Form of Incentive Stock Option Grant.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Change of Control Agreement dated August 27, 2007 between the Company and Robert E. Matthiessen.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Change of Control Agreement dated August 27, 2007 between the Company and Hugh T. Regan, Jr.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Change of Control Agreement dated May 5, 2008 between the Company and James Pelrin. (10)(*)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9"/>
              </w:rPr>
              <w:t>Amendment to Change of Control Agreement dated December 31, 2008 between the Company and Robert E. Matthiessen.</w:t>
            </w:r>
          </w:p>
        </w:tc>
      </w:tr>
      <w:tr>
        <w:trPr>
          <w:trHeight w:val="222"/>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762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7"/>
              </w:rPr>
              <w:t>Amendment to Change of Control Agreement dated December 31, 2008 between the Company and Hugh T. Regan, Jr.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1"/>
              </w:rPr>
              <w:t>Amendment to Change of Control Agreement dated December 31, 2008 between the Company and James Pelrin.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Compensatory Arrangements of Executive Officers and Directors. (*)(12)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Code of Ethics. (13)</w:t>
            </w:r>
          </w:p>
        </w:tc>
      </w:tr>
    </w:tbl>
    <w:p>
      <w:pPr>
        <w:spacing w:after="0" w:line="102" w:lineRule="exact"/>
        <w:rPr>
          <w:sz w:val="20"/>
          <w:szCs w:val="20"/>
          <w:color w:val="auto"/>
        </w:rPr>
      </w:pPr>
    </w:p>
    <w:p>
      <w:pPr>
        <w:ind w:left="700" w:hanging="69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117" w:lineRule="exact"/>
        <w:rPr>
          <w:rFonts w:ascii="Arial" w:cs="Arial" w:eastAsia="Arial" w:hAnsi="Arial"/>
          <w:sz w:val="18"/>
          <w:szCs w:val="18"/>
          <w:color w:val="auto"/>
        </w:rPr>
      </w:pPr>
    </w:p>
    <w:p>
      <w:pPr>
        <w:ind w:left="700" w:hanging="69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RSM US LLP.</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4720" w:hanging="96"/>
        <w:spacing w:after="0"/>
        <w:tabs>
          <w:tab w:leader="none" w:pos="4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560"/>
          </w:cols>
          <w:pgMar w:left="1140" w:top="914" w:right="1199" w:bottom="0" w:gutter="0" w:footer="0" w:header="0"/>
        </w:sectPr>
      </w:pPr>
    </w:p>
    <w:bookmarkStart w:id="25" w:name="page26"/>
    <w:bookmarkEnd w:id="25"/>
    <w:p>
      <w:pPr>
        <w:ind w:left="694" w:right="340"/>
        <w:spacing w:after="0" w:line="268" w:lineRule="auto"/>
        <w:rPr>
          <w:sz w:val="20"/>
          <w:szCs w:val="20"/>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8" w:lineRule="exact"/>
        <w:rPr>
          <w:sz w:val="20"/>
          <w:szCs w:val="20"/>
          <w:color w:val="auto"/>
        </w:rPr>
      </w:pPr>
    </w:p>
    <w:p>
      <w:pPr>
        <w:ind w:left="694" w:right="3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June 23, 2014, File No. 001-36117, filed June 25, 2014, and incorporated herein by reference.</w:t>
      </w:r>
    </w:p>
    <w:p>
      <w:pPr>
        <w:spacing w:after="0" w:line="77" w:lineRule="exact"/>
        <w:rPr>
          <w:rFonts w:ascii="Arial" w:cs="Arial" w:eastAsia="Arial" w:hAnsi="Arial"/>
          <w:sz w:val="18"/>
          <w:szCs w:val="18"/>
          <w:color w:val="auto"/>
        </w:rPr>
      </w:pPr>
    </w:p>
    <w:p>
      <w:pPr>
        <w:ind w:left="694" w:right="3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7" w:lineRule="exact"/>
        <w:rPr>
          <w:rFonts w:ascii="Arial" w:cs="Arial" w:eastAsia="Arial" w:hAnsi="Arial"/>
          <w:sz w:val="18"/>
          <w:szCs w:val="18"/>
          <w:color w:val="auto"/>
        </w:rPr>
      </w:pPr>
    </w:p>
    <w:p>
      <w:pPr>
        <w:ind w:left="694" w:right="8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7" w:lineRule="exact"/>
        <w:rPr>
          <w:rFonts w:ascii="Arial" w:cs="Arial" w:eastAsia="Arial" w:hAnsi="Arial"/>
          <w:sz w:val="18"/>
          <w:szCs w:val="18"/>
          <w:color w:val="auto"/>
        </w:rPr>
      </w:pPr>
    </w:p>
    <w:p>
      <w:pPr>
        <w:ind w:left="694" w:right="2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spacing w:after="0" w:line="77" w:lineRule="exact"/>
        <w:rPr>
          <w:rFonts w:ascii="Arial" w:cs="Arial" w:eastAsia="Arial" w:hAnsi="Arial"/>
          <w:sz w:val="18"/>
          <w:szCs w:val="18"/>
          <w:color w:val="auto"/>
        </w:rPr>
      </w:pPr>
    </w:p>
    <w:p>
      <w:pPr>
        <w:ind w:left="694" w:hanging="694"/>
        <w:spacing w:after="0"/>
        <w:tabs>
          <w:tab w:leader="none" w:pos="694"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30, 2014, and incorporated herein by reference.</w:t>
      </w:r>
    </w:p>
    <w:p>
      <w:pPr>
        <w:spacing w:after="0" w:line="140" w:lineRule="exact"/>
        <w:rPr>
          <w:rFonts w:ascii="Arial" w:cs="Arial" w:eastAsia="Arial" w:hAnsi="Arial"/>
          <w:sz w:val="16"/>
          <w:szCs w:val="16"/>
          <w:color w:val="auto"/>
        </w:rPr>
      </w:pPr>
    </w:p>
    <w:p>
      <w:pPr>
        <w:ind w:left="694" w:hanging="694"/>
        <w:spacing w:after="0"/>
        <w:tabs>
          <w:tab w:leader="none" w:pos="694"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694" w:right="16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2004, File No. 000-22529, filed March 31, 2005, and incorporated herein by reference.</w:t>
      </w:r>
    </w:p>
    <w:p>
      <w:pPr>
        <w:spacing w:after="0" w:line="77" w:lineRule="exact"/>
        <w:rPr>
          <w:rFonts w:ascii="Arial" w:cs="Arial" w:eastAsia="Arial" w:hAnsi="Arial"/>
          <w:sz w:val="18"/>
          <w:szCs w:val="18"/>
          <w:color w:val="auto"/>
        </w:rPr>
      </w:pPr>
    </w:p>
    <w:p>
      <w:pPr>
        <w:ind w:left="694" w:right="16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694" w:right="6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were previously filed on the Company's Current Report on Form 8-K dated January 22, 2016, File No. 001-36117, filed January 28, 2016, and incorporated herein by reference.</w:t>
      </w:r>
    </w:p>
    <w:p>
      <w:pPr>
        <w:spacing w:after="0" w:line="77" w:lineRule="exact"/>
        <w:rPr>
          <w:rFonts w:ascii="Arial" w:cs="Arial" w:eastAsia="Arial" w:hAnsi="Arial"/>
          <w:sz w:val="18"/>
          <w:szCs w:val="18"/>
          <w:color w:val="auto"/>
        </w:rPr>
      </w:pPr>
    </w:p>
    <w:p>
      <w:pPr>
        <w:ind w:left="694" w:right="16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2003, File No. 000-22529, filed March 30, 2004, and incorporated herein by reference.</w:t>
      </w:r>
    </w:p>
    <w:p>
      <w:pPr>
        <w:spacing w:after="0" w:line="78" w:lineRule="exact"/>
        <w:rPr>
          <w:sz w:val="20"/>
          <w:szCs w:val="20"/>
          <w:color w:val="auto"/>
        </w:rPr>
      </w:pPr>
    </w:p>
    <w:p>
      <w:pPr>
        <w:ind w:left="694" w:right="420" w:hanging="694"/>
        <w:spacing w:after="0" w:line="268" w:lineRule="auto"/>
        <w:tabs>
          <w:tab w:leader="none" w:pos="69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14" w:type="dxa"/>
        <w:tblCellMar>
          <w:top w:w="0" w:type="dxa"/>
          <w:left w:w="0" w:type="dxa"/>
          <w:bottom w:w="0" w:type="dxa"/>
          <w:right w:w="0" w:type="dxa"/>
        </w:tblCellMar>
      </w:tblPr>
      <w:tr>
        <w:trPr>
          <w:trHeight w:val="207"/>
        </w:trPr>
        <w:tc>
          <w:tcPr>
            <w:tcW w:w="70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451"/>
        </w:trPr>
        <w:tc>
          <w:tcPr>
            <w:tcW w:w="70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tcPr>
          <w:p>
            <w:pPr>
              <w:spacing w:after="0"/>
              <w:rPr>
                <w:sz w:val="20"/>
                <w:szCs w:val="20"/>
                <w:color w:val="auto"/>
              </w:rPr>
            </w:pPr>
            <w:r>
              <w:rPr>
                <w:rFonts w:ascii="Arial" w:cs="Arial" w:eastAsia="Arial" w:hAnsi="Arial"/>
                <w:sz w:val="18"/>
                <w:szCs w:val="18"/>
                <w:color w:val="auto"/>
                <w:w w:val="91"/>
              </w:rPr>
              <w:t>F - 1</w:t>
            </w:r>
          </w:p>
        </w:tc>
      </w:tr>
      <w:tr>
        <w:trPr>
          <w:trHeight w:val="837"/>
        </w:trPr>
        <w:tc>
          <w:tcPr>
            <w:tcW w:w="70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360" w:type="dxa"/>
            <w:vAlign w:val="bottom"/>
          </w:tcPr>
          <w:p>
            <w:pPr>
              <w:spacing w:after="0"/>
              <w:rPr>
                <w:sz w:val="24"/>
                <w:szCs w:val="24"/>
                <w:color w:val="auto"/>
              </w:rPr>
            </w:pPr>
          </w:p>
        </w:tc>
      </w:tr>
      <w:tr>
        <w:trPr>
          <w:trHeight w:val="432"/>
        </w:trPr>
        <w:tc>
          <w:tcPr>
            <w:tcW w:w="704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2015 and 2014</w:t>
            </w:r>
          </w:p>
        </w:tc>
        <w:tc>
          <w:tcPr>
            <w:tcW w:w="360" w:type="dxa"/>
            <w:vAlign w:val="bottom"/>
          </w:tcPr>
          <w:p>
            <w:pPr>
              <w:spacing w:after="0"/>
              <w:rPr>
                <w:sz w:val="20"/>
                <w:szCs w:val="20"/>
                <w:color w:val="auto"/>
              </w:rPr>
            </w:pPr>
            <w:r>
              <w:rPr>
                <w:rFonts w:ascii="Arial" w:cs="Arial" w:eastAsia="Arial" w:hAnsi="Arial"/>
                <w:sz w:val="18"/>
                <w:szCs w:val="18"/>
                <w:color w:val="auto"/>
                <w:w w:val="91"/>
              </w:rPr>
              <w:t>F - 2</w:t>
            </w:r>
          </w:p>
        </w:tc>
      </w:tr>
      <w:tr>
        <w:trPr>
          <w:trHeight w:val="399"/>
        </w:trPr>
        <w:tc>
          <w:tcPr>
            <w:tcW w:w="70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360" w:type="dxa"/>
            <w:vAlign w:val="bottom"/>
          </w:tcPr>
          <w:p>
            <w:pPr>
              <w:spacing w:after="0"/>
              <w:rPr>
                <w:sz w:val="24"/>
                <w:szCs w:val="24"/>
                <w:color w:val="auto"/>
              </w:rPr>
            </w:pPr>
          </w:p>
        </w:tc>
      </w:tr>
      <w:tr>
        <w:trPr>
          <w:trHeight w:val="222"/>
        </w:trPr>
        <w:tc>
          <w:tcPr>
            <w:tcW w:w="7040" w:type="dxa"/>
            <w:vAlign w:val="bottom"/>
          </w:tcPr>
          <w:p>
            <w:pPr>
              <w:ind w:left="320"/>
              <w:spacing w:after="0"/>
              <w:rPr>
                <w:sz w:val="20"/>
                <w:szCs w:val="20"/>
                <w:color w:val="auto"/>
              </w:rPr>
            </w:pPr>
            <w:r>
              <w:rPr>
                <w:rFonts w:ascii="Arial" w:cs="Arial" w:eastAsia="Arial" w:hAnsi="Arial"/>
                <w:sz w:val="18"/>
                <w:szCs w:val="18"/>
                <w:color w:val="auto"/>
              </w:rPr>
              <w:t>December 31, 2015 and 2014</w:t>
            </w:r>
          </w:p>
        </w:tc>
        <w:tc>
          <w:tcPr>
            <w:tcW w:w="360" w:type="dxa"/>
            <w:vAlign w:val="bottom"/>
          </w:tcPr>
          <w:p>
            <w:pPr>
              <w:spacing w:after="0"/>
              <w:rPr>
                <w:sz w:val="20"/>
                <w:szCs w:val="20"/>
                <w:color w:val="auto"/>
              </w:rPr>
            </w:pPr>
            <w:r>
              <w:rPr>
                <w:rFonts w:ascii="Arial" w:cs="Arial" w:eastAsia="Arial" w:hAnsi="Arial"/>
                <w:sz w:val="18"/>
                <w:szCs w:val="18"/>
                <w:color w:val="auto"/>
                <w:w w:val="91"/>
              </w:rPr>
              <w:t>F - 3</w:t>
            </w:r>
          </w:p>
        </w:tc>
      </w:tr>
      <w:tr>
        <w:trPr>
          <w:trHeight w:val="399"/>
        </w:trPr>
        <w:tc>
          <w:tcPr>
            <w:tcW w:w="704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for the years</w:t>
            </w:r>
          </w:p>
        </w:tc>
        <w:tc>
          <w:tcPr>
            <w:tcW w:w="360" w:type="dxa"/>
            <w:vAlign w:val="bottom"/>
          </w:tcPr>
          <w:p>
            <w:pPr>
              <w:spacing w:after="0"/>
              <w:rPr>
                <w:sz w:val="24"/>
                <w:szCs w:val="24"/>
                <w:color w:val="auto"/>
              </w:rPr>
            </w:pPr>
          </w:p>
        </w:tc>
      </w:tr>
      <w:tr>
        <w:trPr>
          <w:trHeight w:val="222"/>
        </w:trPr>
        <w:tc>
          <w:tcPr>
            <w:tcW w:w="7040" w:type="dxa"/>
            <w:vAlign w:val="bottom"/>
          </w:tcPr>
          <w:p>
            <w:pPr>
              <w:ind w:left="320"/>
              <w:spacing w:after="0"/>
              <w:rPr>
                <w:sz w:val="20"/>
                <w:szCs w:val="20"/>
                <w:color w:val="auto"/>
              </w:rPr>
            </w:pPr>
            <w:r>
              <w:rPr>
                <w:rFonts w:ascii="Arial" w:cs="Arial" w:eastAsia="Arial" w:hAnsi="Arial"/>
                <w:sz w:val="18"/>
                <w:szCs w:val="18"/>
                <w:color w:val="auto"/>
              </w:rPr>
              <w:t>ended December 31, 2015 and 2014</w:t>
            </w:r>
          </w:p>
        </w:tc>
        <w:tc>
          <w:tcPr>
            <w:tcW w:w="360" w:type="dxa"/>
            <w:vAlign w:val="bottom"/>
          </w:tcPr>
          <w:p>
            <w:pPr>
              <w:spacing w:after="0"/>
              <w:rPr>
                <w:sz w:val="20"/>
                <w:szCs w:val="20"/>
                <w:color w:val="auto"/>
              </w:rPr>
            </w:pPr>
            <w:r>
              <w:rPr>
                <w:rFonts w:ascii="Arial" w:cs="Arial" w:eastAsia="Arial" w:hAnsi="Arial"/>
                <w:sz w:val="18"/>
                <w:szCs w:val="18"/>
                <w:color w:val="auto"/>
                <w:w w:val="91"/>
              </w:rPr>
              <w:t>F - 3</w:t>
            </w:r>
          </w:p>
        </w:tc>
      </w:tr>
    </w:tbl>
    <w:p>
      <w:pPr>
        <w:sectPr>
          <w:pgSz w:w="11900" w:h="16838" w:orient="portrait"/>
          <w:cols w:equalWidth="0" w:num="1">
            <w:col w:w="9594"/>
          </w:cols>
          <w:pgMar w:left="1146" w:top="131" w:right="1159" w:bottom="0" w:gutter="0" w:footer="0" w:header="0"/>
        </w:sectPr>
      </w:pPr>
    </w:p>
    <w:bookmarkStart w:id="26" w:name="page27"/>
    <w:bookmarkEnd w:id="26"/>
    <w:p>
      <w:pPr>
        <w:spacing w:after="0" w:line="1" w:lineRule="exact"/>
        <w:rPr>
          <w:sz w:val="20"/>
          <w:szCs w:val="20"/>
          <w:color w:val="auto"/>
        </w:rPr>
      </w:pPr>
    </w:p>
    <w:tbl>
      <w:tblPr>
        <w:tblLayout w:type="fixed"/>
        <w:tblInd w:w="1920" w:type="dxa"/>
        <w:tblCellMar>
          <w:top w:w="0" w:type="dxa"/>
          <w:left w:w="0" w:type="dxa"/>
          <w:bottom w:w="0" w:type="dxa"/>
          <w:right w:w="0" w:type="dxa"/>
        </w:tblCellMar>
      </w:tblPr>
      <w:tr>
        <w:trPr>
          <w:trHeight w:val="218"/>
        </w:trPr>
        <w:tc>
          <w:tcPr>
            <w:tcW w:w="576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1660" w:type="dxa"/>
            <w:vAlign w:val="bottom"/>
          </w:tcPr>
          <w:p>
            <w:pPr>
              <w:spacing w:after="0"/>
              <w:rPr>
                <w:sz w:val="18"/>
                <w:szCs w:val="18"/>
                <w:color w:val="auto"/>
              </w:rPr>
            </w:pPr>
          </w:p>
        </w:tc>
      </w:tr>
      <w:tr>
        <w:trPr>
          <w:trHeight w:val="222"/>
        </w:trPr>
        <w:tc>
          <w:tcPr>
            <w:tcW w:w="5760" w:type="dxa"/>
            <w:vAlign w:val="bottom"/>
          </w:tcPr>
          <w:p>
            <w:pPr>
              <w:ind w:left="320"/>
              <w:spacing w:after="0"/>
              <w:rPr>
                <w:sz w:val="20"/>
                <w:szCs w:val="20"/>
                <w:color w:val="auto"/>
              </w:rPr>
            </w:pPr>
            <w:r>
              <w:rPr>
                <w:rFonts w:ascii="Arial" w:cs="Arial" w:eastAsia="Arial" w:hAnsi="Arial"/>
                <w:sz w:val="18"/>
                <w:szCs w:val="18"/>
                <w:color w:val="auto"/>
              </w:rPr>
              <w:t>ended December 31, 2015 and 2014</w:t>
            </w:r>
          </w:p>
        </w:tc>
        <w:tc>
          <w:tcPr>
            <w:tcW w:w="1660" w:type="dxa"/>
            <w:vAlign w:val="bottom"/>
          </w:tcPr>
          <w:p>
            <w:pPr>
              <w:jc w:val="center"/>
              <w:ind w:left="1152"/>
              <w:spacing w:after="0"/>
              <w:rPr>
                <w:sz w:val="20"/>
                <w:szCs w:val="20"/>
                <w:color w:val="auto"/>
              </w:rPr>
            </w:pPr>
            <w:r>
              <w:rPr>
                <w:rFonts w:ascii="Arial" w:cs="Arial" w:eastAsia="Arial" w:hAnsi="Arial"/>
                <w:sz w:val="18"/>
                <w:szCs w:val="18"/>
                <w:color w:val="auto"/>
                <w:w w:val="91"/>
              </w:rPr>
              <w:t>F - 4</w:t>
            </w:r>
          </w:p>
        </w:tc>
      </w:tr>
      <w:tr>
        <w:trPr>
          <w:trHeight w:val="453"/>
        </w:trPr>
        <w:tc>
          <w:tcPr>
            <w:tcW w:w="576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1660" w:type="dxa"/>
            <w:vAlign w:val="bottom"/>
          </w:tcPr>
          <w:p>
            <w:pPr>
              <w:spacing w:after="0"/>
              <w:rPr>
                <w:sz w:val="24"/>
                <w:szCs w:val="24"/>
                <w:color w:val="auto"/>
              </w:rPr>
            </w:pPr>
          </w:p>
        </w:tc>
      </w:tr>
      <w:tr>
        <w:trPr>
          <w:trHeight w:val="222"/>
        </w:trPr>
        <w:tc>
          <w:tcPr>
            <w:tcW w:w="5760" w:type="dxa"/>
            <w:vAlign w:val="bottom"/>
          </w:tcPr>
          <w:p>
            <w:pPr>
              <w:ind w:left="320"/>
              <w:spacing w:after="0"/>
              <w:rPr>
                <w:sz w:val="20"/>
                <w:szCs w:val="20"/>
                <w:color w:val="auto"/>
              </w:rPr>
            </w:pPr>
            <w:r>
              <w:rPr>
                <w:rFonts w:ascii="Arial" w:cs="Arial" w:eastAsia="Arial" w:hAnsi="Arial"/>
                <w:sz w:val="18"/>
                <w:szCs w:val="18"/>
                <w:color w:val="auto"/>
              </w:rPr>
              <w:t>December 31, 2015 and 2014</w:t>
            </w:r>
          </w:p>
        </w:tc>
        <w:tc>
          <w:tcPr>
            <w:tcW w:w="1660" w:type="dxa"/>
            <w:vAlign w:val="bottom"/>
          </w:tcPr>
          <w:p>
            <w:pPr>
              <w:jc w:val="center"/>
              <w:ind w:left="1152"/>
              <w:spacing w:after="0"/>
              <w:rPr>
                <w:sz w:val="20"/>
                <w:szCs w:val="20"/>
                <w:color w:val="auto"/>
              </w:rPr>
            </w:pPr>
            <w:r>
              <w:rPr>
                <w:rFonts w:ascii="Arial" w:cs="Arial" w:eastAsia="Arial" w:hAnsi="Arial"/>
                <w:sz w:val="18"/>
                <w:szCs w:val="18"/>
                <w:color w:val="auto"/>
                <w:w w:val="91"/>
              </w:rPr>
              <w:t>F - 5</w:t>
            </w:r>
          </w:p>
        </w:tc>
      </w:tr>
      <w:tr>
        <w:trPr>
          <w:trHeight w:val="405"/>
        </w:trPr>
        <w:tc>
          <w:tcPr>
            <w:tcW w:w="576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660" w:type="dxa"/>
            <w:vAlign w:val="bottom"/>
          </w:tcPr>
          <w:p>
            <w:pPr>
              <w:jc w:val="center"/>
              <w:ind w:left="1152"/>
              <w:spacing w:after="0"/>
              <w:rPr>
                <w:sz w:val="20"/>
                <w:szCs w:val="20"/>
                <w:color w:val="auto"/>
              </w:rPr>
            </w:pPr>
            <w:r>
              <w:rPr>
                <w:rFonts w:ascii="Arial" w:cs="Arial" w:eastAsia="Arial" w:hAnsi="Arial"/>
                <w:sz w:val="18"/>
                <w:szCs w:val="18"/>
                <w:color w:val="auto"/>
                <w:w w:val="91"/>
              </w:rPr>
              <w:t>F - 6</w:t>
            </w:r>
          </w:p>
        </w:tc>
      </w:tr>
      <w:tr>
        <w:trPr>
          <w:trHeight w:val="405"/>
        </w:trPr>
        <w:tc>
          <w:tcPr>
            <w:tcW w:w="576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1660" w:type="dxa"/>
            <w:vAlign w:val="bottom"/>
          </w:tcPr>
          <w:p>
            <w:pPr>
              <w:spacing w:after="0"/>
              <w:rPr>
                <w:sz w:val="24"/>
                <w:szCs w:val="24"/>
                <w:color w:val="auto"/>
              </w:rPr>
            </w:pPr>
          </w:p>
        </w:tc>
      </w:tr>
      <w:tr>
        <w:trPr>
          <w:trHeight w:val="432"/>
        </w:trPr>
        <w:tc>
          <w:tcPr>
            <w:tcW w:w="576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660" w:type="dxa"/>
            <w:vAlign w:val="bottom"/>
          </w:tcPr>
          <w:p>
            <w:pPr>
              <w:jc w:val="center"/>
              <w:ind w:left="1152"/>
              <w:spacing w:after="0"/>
              <w:rPr>
                <w:sz w:val="20"/>
                <w:szCs w:val="20"/>
                <w:color w:val="auto"/>
              </w:rPr>
            </w:pPr>
            <w:r>
              <w:rPr>
                <w:rFonts w:ascii="Arial" w:cs="Arial" w:eastAsia="Arial" w:hAnsi="Arial"/>
                <w:sz w:val="18"/>
                <w:szCs w:val="18"/>
                <w:color w:val="auto"/>
                <w:w w:val="89"/>
              </w:rPr>
              <w:t>F - 23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2015 and 2014,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2015 and 2014,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ectPr>
          <w:pgSz w:w="11900" w:h="16838" w:orient="portrait"/>
          <w:cols w:equalWidth="0" w:num="1">
            <w:col w:w="11360"/>
          </w:cols>
          <w:pgMar w:left="240" w:top="7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Blue Bell, Pennsylvania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29, 2016</w:t>
      </w:r>
    </w:p>
    <w:p>
      <w:pPr>
        <w:sectPr>
          <w:pgSz w:w="11900" w:h="16838" w:orient="portrait"/>
          <w:cols w:equalWidth="0" w:num="1">
            <w:col w:w="11360"/>
          </w:cols>
          <w:pgMar w:left="240" w:top="75" w:right="299" w:bottom="0" w:gutter="0" w:footer="0" w:header="0"/>
          <w:type w:val="continuous"/>
        </w:sectPr>
      </w:pPr>
    </w:p>
    <w:bookmarkStart w:id="27" w:name="page28"/>
    <w:bookmarkEnd w:id="27"/>
    <w:p>
      <w:pPr>
        <w:spacing w:after="0" w:line="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960" w:type="dxa"/>
            <w:vAlign w:val="bottom"/>
          </w:tcPr>
          <w:p>
            <w:pPr>
              <w:spacing w:after="0"/>
              <w:rPr>
                <w:sz w:val="17"/>
                <w:szCs w:val="17"/>
                <w:color w:val="auto"/>
              </w:rPr>
            </w:pPr>
          </w:p>
        </w:tc>
        <w:tc>
          <w:tcPr>
            <w:tcW w:w="2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2015</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2014</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22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$25,710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$23,126</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$146 and $146, respectively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4,395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5,034</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3,769</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639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473</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34,823</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32,931</w:t>
            </w:r>
          </w:p>
        </w:tc>
      </w:tr>
      <w:tr>
        <w:trPr>
          <w:trHeight w:val="221"/>
        </w:trPr>
        <w:tc>
          <w:tcPr>
            <w:tcW w:w="696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4,322</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593</w:t>
            </w: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4,980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4,915</w:t>
            </w:r>
          </w:p>
        </w:tc>
        <w:tc>
          <w:tcPr>
            <w:tcW w:w="120" w:type="dxa"/>
            <w:vAlign w:val="bottom"/>
          </w:tcPr>
          <w:p>
            <w:pPr>
              <w:spacing w:after="0"/>
              <w:rPr>
                <w:sz w:val="19"/>
                <w:szCs w:val="19"/>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(3,868)</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(3,647)</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1,112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1,268</w:t>
            </w:r>
          </w:p>
        </w:tc>
      </w:tr>
      <w:tr>
        <w:trPr>
          <w:trHeight w:val="424"/>
        </w:trPr>
        <w:tc>
          <w:tcPr>
            <w:tcW w:w="69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686</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884</w:t>
            </w:r>
          </w:p>
        </w:tc>
        <w:tc>
          <w:tcPr>
            <w:tcW w:w="12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20" w:type="dxa"/>
            <w:vAlign w:val="bottom"/>
          </w:tcPr>
          <w:p>
            <w:pPr>
              <w:spacing w:after="0"/>
              <w:rPr>
                <w:sz w:val="17"/>
                <w:szCs w:val="17"/>
                <w:color w:val="auto"/>
              </w:rPr>
            </w:pPr>
          </w:p>
        </w:tc>
      </w:tr>
      <w:tr>
        <w:trPr>
          <w:trHeight w:val="164"/>
        </w:trPr>
        <w:tc>
          <w:tcPr>
            <w:tcW w:w="696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206</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120" w:type="dxa"/>
            <w:vAlign w:val="bottom"/>
          </w:tcPr>
          <w:p>
            <w:pPr>
              <w:spacing w:after="0"/>
              <w:rPr>
                <w:sz w:val="19"/>
                <w:szCs w:val="19"/>
                <w:color w:val="auto"/>
              </w:rPr>
            </w:pP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$ 1,234</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367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275</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4,059</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4,370</w:t>
            </w:r>
          </w:p>
        </w:tc>
      </w:tr>
      <w:tr>
        <w:trPr>
          <w:trHeight w:val="424"/>
        </w:trPr>
        <w:tc>
          <w:tcPr>
            <w:tcW w:w="6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10,549,423 and 10,595,755 shares issued, respectively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26,286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26,321</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9,013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7,152</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993</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8"/>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35,925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34,368</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120" w:type="dxa"/>
            <w:vAlign w:val="bottom"/>
          </w:tcPr>
          <w:p>
            <w:pPr>
              <w:spacing w:after="0"/>
              <w:rPr>
                <w:sz w:val="24"/>
                <w:szCs w:val="24"/>
                <w:color w:val="auto"/>
              </w:rPr>
            </w:pP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ectPr>
          <w:pgSz w:w="11900" w:h="16909" w:orient="portrait"/>
          <w:cols w:equalWidth="0" w:num="1">
            <w:col w:w="10219"/>
          </w:cols>
          <w:pgMar w:left="240" w:top="91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Ended December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tabs>
          <w:tab w:leader="none" w:pos="1980" w:val="left"/>
        </w:tabs>
        <w:rPr>
          <w:sz w:val="20"/>
          <w:szCs w:val="20"/>
          <w:color w:val="auto"/>
        </w:rPr>
      </w:pPr>
      <w:r>
        <w:rPr>
          <w:rFonts w:ascii="Courier New" w:cs="Courier New" w:eastAsia="Courier New" w:hAnsi="Courier New"/>
          <w:sz w:val="18"/>
          <w:szCs w:val="18"/>
          <w:color w:val="auto"/>
        </w:rPr>
        <w:t>2015</w:t>
      </w:r>
      <w:r>
        <w:rPr>
          <w:sz w:val="20"/>
          <w:szCs w:val="20"/>
          <w:color w:val="auto"/>
        </w:rPr>
        <w:tab/>
      </w:r>
      <w:r>
        <w:rPr>
          <w:rFonts w:ascii="Courier New" w:cs="Courier New" w:eastAsia="Courier New" w:hAnsi="Courier New"/>
          <w:sz w:val="18"/>
          <w:szCs w:val="18"/>
          <w:color w:val="auto"/>
        </w:rPr>
        <w:t>2014</w:t>
      </w:r>
    </w:p>
    <w:p>
      <w:pPr>
        <w:spacing w:after="0" w:line="4"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760" w:val="left"/>
        </w:tabs>
        <w:rPr>
          <w:sz w:val="20"/>
          <w:szCs w:val="20"/>
          <w:color w:val="auto"/>
        </w:rPr>
      </w:pPr>
      <w:r>
        <w:rPr>
          <w:rFonts w:ascii="Courier New" w:cs="Courier New" w:eastAsia="Courier New" w:hAnsi="Courier New"/>
          <w:sz w:val="18"/>
          <w:szCs w:val="18"/>
          <w:color w:val="auto"/>
        </w:rPr>
        <w:t>$38,889</w:t>
      </w:r>
      <w:r>
        <w:rPr>
          <w:sz w:val="20"/>
          <w:szCs w:val="20"/>
          <w:color w:val="auto"/>
        </w:rPr>
        <w:tab/>
      </w:r>
      <w:r>
        <w:rPr>
          <w:rFonts w:ascii="Courier New" w:cs="Courier New" w:eastAsia="Courier New" w:hAnsi="Courier New"/>
          <w:sz w:val="16"/>
          <w:szCs w:val="16"/>
          <w:color w:val="auto"/>
        </w:rPr>
        <w:t>$41,796</w:t>
      </w:r>
    </w:p>
    <w:p>
      <w:pPr>
        <w:sectPr>
          <w:pgSz w:w="11900" w:h="16909" w:orient="portrait"/>
          <w:cols w:equalWidth="0" w:num="2">
            <w:col w:w="5400" w:space="720"/>
            <w:col w:w="4099"/>
          </w:cols>
          <w:pgMar w:left="240" w:top="914" w:right="1440" w:bottom="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4"/>
        </w:trPr>
        <w:tc>
          <w:tcPr>
            <w:tcW w:w="5040" w:type="dxa"/>
            <w:vAlign w:val="bottom"/>
          </w:tcPr>
          <w:p>
            <w:pPr>
              <w:spacing w:after="0"/>
              <w:rPr>
                <w:sz w:val="20"/>
                <w:szCs w:val="20"/>
                <w:color w:val="auto"/>
              </w:rPr>
            </w:pPr>
            <w:r>
              <w:rPr>
                <w:rFonts w:ascii="Courier New" w:cs="Courier New" w:eastAsia="Courier New" w:hAnsi="Courier New"/>
                <w:sz w:val="18"/>
                <w:szCs w:val="18"/>
                <w:color w:val="auto"/>
              </w:rPr>
              <w:t>Cost of revenues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20,191</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Courier New" w:cs="Courier New" w:eastAsia="Courier New" w:hAnsi="Courier New"/>
                <w:sz w:val="18"/>
                <w:szCs w:val="18"/>
                <w:color w:val="auto"/>
              </w:rPr>
              <w:t>21,334</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4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18,698</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20,462</w:t>
            </w:r>
          </w:p>
        </w:tc>
      </w:tr>
      <w:tr>
        <w:trPr>
          <w:trHeight w:val="4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5,797</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5,735</w:t>
            </w:r>
          </w:p>
        </w:tc>
        <w:tc>
          <w:tcPr>
            <w:tcW w:w="120" w:type="dxa"/>
            <w:vAlign w:val="bottom"/>
          </w:tcPr>
          <w:p>
            <w:pPr>
              <w:spacing w:after="0"/>
              <w:rPr>
                <w:sz w:val="17"/>
                <w:szCs w:val="17"/>
                <w:color w:val="auto"/>
              </w:rPr>
            </w:pPr>
          </w:p>
        </w:tc>
      </w:tr>
      <w:tr>
        <w:trPr>
          <w:trHeight w:val="203"/>
        </w:trPr>
        <w:tc>
          <w:tcPr>
            <w:tcW w:w="5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3,935</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3,580</w:t>
            </w:r>
          </w:p>
        </w:tc>
        <w:tc>
          <w:tcPr>
            <w:tcW w:w="120" w:type="dxa"/>
            <w:vAlign w:val="bottom"/>
          </w:tcPr>
          <w:p>
            <w:pPr>
              <w:spacing w:after="0"/>
              <w:rPr>
                <w:sz w:val="17"/>
                <w:szCs w:val="17"/>
                <w:color w:val="auto"/>
              </w:rPr>
            </w:pPr>
          </w:p>
        </w:tc>
      </w:tr>
      <w:tr>
        <w:trPr>
          <w:trHeight w:val="164"/>
        </w:trPr>
        <w:tc>
          <w:tcPr>
            <w:tcW w:w="504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General and administrative expense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6,404</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6,231</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4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16,136</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15,546</w:t>
            </w:r>
          </w:p>
        </w:tc>
      </w:tr>
      <w:tr>
        <w:trPr>
          <w:trHeight w:val="4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2,562</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4,916</w:t>
            </w:r>
          </w:p>
        </w:tc>
        <w:tc>
          <w:tcPr>
            <w:tcW w:w="120" w:type="dxa"/>
            <w:vAlign w:val="bottom"/>
          </w:tcPr>
          <w:p>
            <w:pPr>
              <w:spacing w:after="0"/>
              <w:rPr>
                <w:sz w:val="24"/>
                <w:szCs w:val="24"/>
                <w:color w:val="auto"/>
              </w:rPr>
            </w:pPr>
          </w:p>
        </w:tc>
      </w:tr>
      <w:tr>
        <w:trPr>
          <w:trHeight w:val="164"/>
        </w:trPr>
        <w:tc>
          <w:tcPr>
            <w:tcW w:w="504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income (expense)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21</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(7)</w:t>
            </w:r>
          </w:p>
        </w:tc>
      </w:tr>
      <w:tr>
        <w:trPr>
          <w:trHeight w:val="4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2,583</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4,909</w:t>
            </w:r>
          </w:p>
        </w:tc>
        <w:tc>
          <w:tcPr>
            <w:tcW w:w="120" w:type="dxa"/>
            <w:vAlign w:val="bottom"/>
          </w:tcPr>
          <w:p>
            <w:pPr>
              <w:spacing w:after="0"/>
              <w:rPr>
                <w:sz w:val="24"/>
                <w:szCs w:val="24"/>
                <w:color w:val="auto"/>
              </w:rPr>
            </w:pPr>
          </w:p>
        </w:tc>
      </w:tr>
      <w:tr>
        <w:trPr>
          <w:trHeight w:val="164"/>
        </w:trPr>
        <w:tc>
          <w:tcPr>
            <w:tcW w:w="5040" w:type="dxa"/>
            <w:vAlign w:val="bottom"/>
          </w:tcPr>
          <w:p>
            <w:pPr>
              <w:spacing w:after="0" w:line="164" w:lineRule="exact"/>
              <w:rPr>
                <w:sz w:val="20"/>
                <w:szCs w:val="20"/>
                <w:color w:val="auto"/>
              </w:rPr>
            </w:pPr>
            <w:r>
              <w:rPr>
                <w:rFonts w:ascii="Courier New" w:cs="Courier New" w:eastAsia="Courier New" w:hAnsi="Courier New"/>
                <w:sz w:val="18"/>
                <w:szCs w:val="18"/>
                <w:color w:val="auto"/>
              </w:rPr>
              <w:t>Income tax expense</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722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1,470</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4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11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1,861</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$ 3,439</w:t>
            </w:r>
          </w:p>
        </w:tc>
        <w:tc>
          <w:tcPr>
            <w:tcW w:w="120" w:type="dxa"/>
            <w:vAlign w:val="bottom"/>
          </w:tcPr>
          <w:p>
            <w:pPr>
              <w:spacing w:after="0"/>
              <w:rPr>
                <w:sz w:val="24"/>
                <w:szCs w:val="24"/>
                <w:color w:val="auto"/>
              </w:rPr>
            </w:pPr>
          </w:p>
        </w:tc>
      </w:tr>
      <w:tr>
        <w:trPr>
          <w:trHeight w:val="203"/>
        </w:trPr>
        <w:tc>
          <w:tcPr>
            <w:tcW w:w="5040" w:type="dxa"/>
            <w:vAlign w:val="bottom"/>
          </w:tcPr>
          <w:p>
            <w:pPr>
              <w:spacing w:after="0"/>
              <w:rPr>
                <w:sz w:val="17"/>
                <w:szCs w:val="17"/>
                <w:color w:val="auto"/>
              </w:rPr>
            </w:pP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common share: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$0.18</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$0.33</w:t>
            </w:r>
          </w:p>
        </w:tc>
        <w:tc>
          <w:tcPr>
            <w:tcW w:w="120" w:type="dxa"/>
            <w:vAlign w:val="bottom"/>
          </w:tcPr>
          <w:p>
            <w:pPr>
              <w:spacing w:after="0"/>
              <w:rPr>
                <w:sz w:val="17"/>
                <w:szCs w:val="17"/>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$0.18</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$0.33</w:t>
            </w:r>
          </w:p>
        </w:tc>
        <w:tc>
          <w:tcPr>
            <w:tcW w:w="120" w:type="dxa"/>
            <w:vAlign w:val="bottom"/>
          </w:tcPr>
          <w:p>
            <w:pPr>
              <w:spacing w:after="0"/>
              <w:rPr>
                <w:sz w:val="17"/>
                <w:szCs w:val="17"/>
                <w:color w:val="auto"/>
              </w:rPr>
            </w:pPr>
          </w:p>
        </w:tc>
      </w:tr>
      <w:tr>
        <w:trPr>
          <w:trHeight w:val="203"/>
        </w:trPr>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2280" w:type="dxa"/>
            <w:vAlign w:val="bottom"/>
            <w:gridSpan w:val="4"/>
          </w:tcPr>
          <w:p>
            <w:pPr>
              <w:jc w:val="right"/>
              <w:ind w:right="360"/>
              <w:spacing w:after="0" w:line="203" w:lineRule="exact"/>
              <w:rPr>
                <w:sz w:val="20"/>
                <w:szCs w:val="20"/>
                <w:color w:val="auto"/>
              </w:rPr>
            </w:pPr>
            <w:r>
              <w:rPr>
                <w:rFonts w:ascii="Courier New" w:cs="Courier New" w:eastAsia="Courier New" w:hAnsi="Courier New"/>
                <w:sz w:val="18"/>
                <w:szCs w:val="18"/>
                <w:color w:val="auto"/>
              </w:rPr>
              <w:t>10,473,210</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10,431,743</w:t>
            </w: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2280" w:type="dxa"/>
            <w:vAlign w:val="bottom"/>
            <w:gridSpan w:val="4"/>
          </w:tcPr>
          <w:p>
            <w:pPr>
              <w:jc w:val="right"/>
              <w:ind w:right="360"/>
              <w:spacing w:after="0" w:line="203" w:lineRule="exact"/>
              <w:rPr>
                <w:sz w:val="20"/>
                <w:szCs w:val="20"/>
                <w:color w:val="auto"/>
              </w:rPr>
            </w:pPr>
            <w:r>
              <w:rPr>
                <w:rFonts w:ascii="Courier New" w:cs="Courier New" w:eastAsia="Courier New" w:hAnsi="Courier New"/>
                <w:sz w:val="18"/>
                <w:szCs w:val="18"/>
                <w:color w:val="auto"/>
              </w:rPr>
              <w:t>10,493,830</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10,466,064</w:t>
            </w:r>
          </w:p>
        </w:tc>
      </w:tr>
      <w:tr>
        <w:trPr>
          <w:trHeight w:val="608"/>
        </w:trPr>
        <w:tc>
          <w:tcPr>
            <w:tcW w:w="8760" w:type="dxa"/>
            <w:vAlign w:val="bottom"/>
            <w:gridSpan w:val="8"/>
          </w:tcPr>
          <w:p>
            <w:pPr>
              <w:jc w:val="center"/>
              <w:ind w:left="259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771"/>
        </w:trPr>
        <w:tc>
          <w:tcPr>
            <w:tcW w:w="7320" w:type="dxa"/>
            <w:vAlign w:val="bottom"/>
            <w:gridSpan w:val="5"/>
          </w:tcPr>
          <w:p>
            <w:pPr>
              <w:jc w:val="center"/>
              <w:ind w:left="4032"/>
              <w:spacing w:after="0"/>
              <w:rPr>
                <w:sz w:val="20"/>
                <w:szCs w:val="20"/>
                <w:color w:val="auto"/>
              </w:rPr>
            </w:pPr>
            <w:r>
              <w:rPr>
                <w:rFonts w:ascii="Arial" w:cs="Arial" w:eastAsia="Arial" w:hAnsi="Arial"/>
                <w:sz w:val="18"/>
                <w:szCs w:val="18"/>
                <w:b w:val="1"/>
                <w:bCs w:val="1"/>
                <w:color w:val="auto"/>
                <w:w w:val="96"/>
              </w:rPr>
              <w:t>inTEST CORPORATION</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760" w:type="dxa"/>
            <w:vAlign w:val="bottom"/>
            <w:gridSpan w:val="8"/>
          </w:tcPr>
          <w:p>
            <w:pPr>
              <w:jc w:val="center"/>
              <w:ind w:left="257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22"/>
        </w:trPr>
        <w:tc>
          <w:tcPr>
            <w:tcW w:w="50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040" w:type="dxa"/>
            <w:vAlign w:val="bottom"/>
          </w:tcPr>
          <w:p>
            <w:pPr>
              <w:spacing w:after="0"/>
              <w:rPr>
                <w:sz w:val="24"/>
                <w:szCs w:val="24"/>
                <w:color w:val="auto"/>
              </w:rPr>
            </w:pPr>
          </w:p>
        </w:tc>
        <w:tc>
          <w:tcPr>
            <w:tcW w:w="3720" w:type="dxa"/>
            <w:vAlign w:val="bottom"/>
            <w:gridSpan w:val="7"/>
          </w:tcPr>
          <w:p>
            <w:pPr>
              <w:jc w:val="right"/>
              <w:ind w:right="1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040" w:type="dxa"/>
            <w:vAlign w:val="bottom"/>
          </w:tcPr>
          <w:p>
            <w:pPr>
              <w:spacing w:after="0"/>
              <w:rPr>
                <w:sz w:val="17"/>
                <w:szCs w:val="17"/>
                <w:color w:val="auto"/>
              </w:rPr>
            </w:pPr>
          </w:p>
        </w:tc>
        <w:tc>
          <w:tcPr>
            <w:tcW w:w="36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2014</w:t>
            </w:r>
          </w:p>
        </w:tc>
        <w:tc>
          <w:tcPr>
            <w:tcW w:w="12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1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1,861</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$ 3,439</w:t>
            </w:r>
          </w:p>
        </w:tc>
        <w:tc>
          <w:tcPr>
            <w:tcW w:w="120" w:type="dxa"/>
            <w:vAlign w:val="bottom"/>
          </w:tcPr>
          <w:p>
            <w:pPr>
              <w:spacing w:after="0"/>
              <w:rPr>
                <w:sz w:val="17"/>
                <w:szCs w:val="17"/>
                <w:color w:val="auto"/>
              </w:rPr>
            </w:pPr>
          </w:p>
        </w:tc>
      </w:tr>
      <w:tr>
        <w:trPr>
          <w:trHeight w:val="367"/>
        </w:trPr>
        <w:tc>
          <w:tcPr>
            <w:tcW w:w="5040" w:type="dxa"/>
            <w:vAlign w:val="bottom"/>
          </w:tcPr>
          <w:p>
            <w:pPr>
              <w:spacing w:after="0"/>
              <w:rPr>
                <w:sz w:val="20"/>
                <w:szCs w:val="20"/>
                <w:color w:val="auto"/>
              </w:rPr>
            </w:pPr>
            <w:r>
              <w:rPr>
                <w:rFonts w:ascii="Courier New" w:cs="Courier New" w:eastAsia="Courier New" w:hAnsi="Courier New"/>
                <w:sz w:val="18"/>
                <w:szCs w:val="18"/>
                <w:color w:val="auto"/>
              </w:rPr>
              <w:t>Foreign currency translation adjustments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Courier New" w:cs="Courier New" w:eastAsia="Courier New" w:hAnsi="Courier New"/>
                <w:sz w:val="18"/>
                <w:szCs w:val="18"/>
                <w:color w:val="auto"/>
              </w:rPr>
              <w:t>(268)</w:t>
            </w:r>
          </w:p>
        </w:tc>
        <w:tc>
          <w:tcPr>
            <w:tcW w:w="1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(354)</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4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1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1,593</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$ 3,085</w:t>
            </w:r>
          </w:p>
        </w:tc>
        <w:tc>
          <w:tcPr>
            <w:tcW w:w="120" w:type="dxa"/>
            <w:vAlign w:val="bottom"/>
          </w:tcPr>
          <w:p>
            <w:pPr>
              <w:spacing w:after="0"/>
              <w:rPr>
                <w:sz w:val="24"/>
                <w:szCs w:val="24"/>
                <w:color w:val="auto"/>
              </w:rPr>
            </w:pPr>
          </w:p>
        </w:tc>
      </w:tr>
      <w:tr>
        <w:trPr>
          <w:trHeight w:val="203"/>
        </w:trPr>
        <w:tc>
          <w:tcPr>
            <w:tcW w:w="5040" w:type="dxa"/>
            <w:vAlign w:val="bottom"/>
          </w:tcPr>
          <w:p>
            <w:pPr>
              <w:spacing w:after="0"/>
              <w:rPr>
                <w:sz w:val="17"/>
                <w:szCs w:val="17"/>
                <w:color w:val="auto"/>
              </w:rPr>
            </w:pP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- 3</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13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Common Stock</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Additional</w:t>
            </w:r>
          </w:p>
        </w:tc>
        <w:tc>
          <w:tcPr>
            <w:tcW w:w="92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w w:val="99"/>
              </w:rPr>
              <w:t>Other</w:t>
            </w:r>
          </w:p>
        </w:tc>
        <w:tc>
          <w:tcPr>
            <w:tcW w:w="800" w:type="dxa"/>
            <w:vAlign w:val="bottom"/>
          </w:tcPr>
          <w:p>
            <w:pPr>
              <w:spacing w:after="0"/>
              <w:rPr>
                <w:sz w:val="11"/>
                <w:szCs w:val="11"/>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200" w:type="dxa"/>
            <w:vAlign w:val="bottom"/>
          </w:tcPr>
          <w:p>
            <w:pPr>
              <w:spacing w:after="0"/>
              <w:rPr>
                <w:sz w:val="11"/>
                <w:szCs w:val="11"/>
                <w:color w:val="auto"/>
              </w:rPr>
            </w:pP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Paid-In</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Retained</w:t>
            </w: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Treasury Stockholders'</w:t>
            </w:r>
          </w:p>
        </w:tc>
      </w:tr>
      <w:tr>
        <w:trPr>
          <w:trHeight w:val="135"/>
        </w:trPr>
        <w:tc>
          <w:tcPr>
            <w:tcW w:w="2200" w:type="dxa"/>
            <w:vAlign w:val="bottom"/>
          </w:tcPr>
          <w:p>
            <w:pPr>
              <w:spacing w:after="0"/>
              <w:rPr>
                <w:sz w:val="11"/>
                <w:szCs w:val="11"/>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w w:val="92"/>
              </w:rPr>
              <w:t>Amount</w:t>
            </w:r>
          </w:p>
        </w:tc>
        <w:tc>
          <w:tcPr>
            <w:tcW w:w="8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Capital</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10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ind w:left="160"/>
              <w:spacing w:after="0"/>
              <w:rPr>
                <w:sz w:val="20"/>
                <w:szCs w:val="20"/>
                <w:color w:val="auto"/>
              </w:rPr>
            </w:pPr>
            <w:r>
              <w:rPr>
                <w:rFonts w:ascii="Courier New" w:cs="Courier New" w:eastAsia="Courier New" w:hAnsi="Courier New"/>
                <w:sz w:val="12"/>
                <w:szCs w:val="12"/>
                <w:color w:val="auto"/>
              </w:rPr>
              <w:t>Equity</w:t>
            </w:r>
          </w:p>
        </w:tc>
      </w:tr>
      <w:tr>
        <w:trPr>
          <w:trHeight w:val="135"/>
        </w:trPr>
        <w:tc>
          <w:tcPr>
            <w:tcW w:w="2200" w:type="dxa"/>
            <w:vAlign w:val="bottom"/>
          </w:tcPr>
          <w:p>
            <w:pPr>
              <w:spacing w:after="0"/>
              <w:rPr>
                <w:sz w:val="11"/>
                <w:szCs w:val="11"/>
                <w:color w:val="auto"/>
              </w:rPr>
            </w:pPr>
          </w:p>
        </w:tc>
        <w:tc>
          <w:tcPr>
            <w:tcW w:w="314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 ------ ---------- ------------</w:t>
            </w:r>
          </w:p>
        </w:tc>
        <w:tc>
          <w:tcPr>
            <w:tcW w:w="108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January 1, 2014</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10,590,755</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$ 106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$26,187</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3,713</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$1,347</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$31,149</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3,439</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3,439</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(354)</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(354)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10,000</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7"/>
        </w:trPr>
        <w:tc>
          <w:tcPr>
            <w:tcW w:w="2200" w:type="dxa"/>
            <w:vAlign w:val="bottom"/>
          </w:tcPr>
          <w:p>
            <w:pPr>
              <w:spacing w:after="0"/>
              <w:rPr>
                <w:sz w:val="11"/>
                <w:szCs w:val="11"/>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70"/>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2014</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10,595,755</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106</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26,321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7,152</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993</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34,368</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1,861</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1,861</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(268)</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(268)</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119</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119</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Repurchase and retirement of</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(41,332)</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8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(155)</w:t>
            </w:r>
          </w:p>
        </w:tc>
      </w:tr>
      <w:tr>
        <w:trPr>
          <w:trHeight w:val="137"/>
        </w:trPr>
        <w:tc>
          <w:tcPr>
            <w:tcW w:w="2200" w:type="dxa"/>
            <w:vAlign w:val="bottom"/>
          </w:tcPr>
          <w:p>
            <w:pPr>
              <w:spacing w:after="0"/>
              <w:rPr>
                <w:sz w:val="11"/>
                <w:szCs w:val="11"/>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19"/>
          </w:cols>
          <w:pgMar w:left="240" w:top="98" w:right="1440" w:bottom="0" w:gutter="0" w:footer="0" w:header="0"/>
        </w:sectPr>
      </w:pPr>
    </w:p>
    <w:bookmarkStart w:id="29" w:name="page30"/>
    <w:bookmarkEnd w:id="2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Balance, December 31, 2015</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Courier New" w:cs="Courier New" w:eastAsia="Courier New" w:hAnsi="Courier New"/>
          <w:sz w:val="12"/>
          <w:szCs w:val="12"/>
          <w:color w:val="auto"/>
        </w:rPr>
        <w:t>10,549,423 ==========</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Courier New" w:cs="Courier New" w:eastAsia="Courier New" w:hAnsi="Courier New"/>
          <w:sz w:val="12"/>
          <w:szCs w:val="12"/>
          <w:color w:val="auto"/>
        </w:rPr>
        <w:t>$ 105 $26,286 ===== =======</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ourier New" w:cs="Courier New" w:eastAsia="Courier New" w:hAnsi="Courier New"/>
          <w:sz w:val="12"/>
          <w:szCs w:val="12"/>
          <w:color w:val="auto"/>
        </w:rPr>
        <w:t>$</w:t>
        <w:tab/>
        <w:t>9,013</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ourier New" w:cs="Courier New" w:eastAsia="Courier New" w:hAnsi="Courier New"/>
          <w:sz w:val="12"/>
          <w:szCs w:val="12"/>
          <w:color w:val="auto"/>
        </w:rPr>
        <w:t>$</w:t>
        <w:tab/>
        <w:t>725</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tabs>
          <w:tab w:leader="none" w:pos="20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(204)</w:t>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$35,925</w:t>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7">
            <w:col w:w="1900" w:space="360"/>
            <w:col w:w="740" w:space="140"/>
            <w:col w:w="1100" w:space="280"/>
            <w:col w:w="600" w:space="500"/>
            <w:col w:w="440" w:space="440"/>
            <w:col w:w="580" w:space="360"/>
            <w:col w:w="2779"/>
          </w:cols>
          <w:pgMar w:left="240" w:top="132" w:right="1440" w:bottom="1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00" w:type="dxa"/>
            <w:vAlign w:val="bottom"/>
          </w:tcPr>
          <w:p>
            <w:pPr>
              <w:spacing w:after="0"/>
              <w:rPr>
                <w:sz w:val="11"/>
                <w:szCs w:val="11"/>
                <w:color w:val="auto"/>
              </w:rPr>
            </w:pPr>
          </w:p>
        </w:tc>
        <w:tc>
          <w:tcPr>
            <w:tcW w:w="1920" w:type="dxa"/>
            <w:vAlign w:val="bottom"/>
            <w:gridSpan w:val="4"/>
          </w:tcPr>
          <w:p>
            <w:pPr>
              <w:ind w:left="100"/>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2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2015</w:t>
            </w:r>
          </w:p>
        </w:tc>
        <w:tc>
          <w:tcPr>
            <w:tcW w:w="400" w:type="dxa"/>
            <w:vAlign w:val="bottom"/>
          </w:tcPr>
          <w:p>
            <w:pPr>
              <w:spacing w:after="0"/>
              <w:rPr>
                <w:sz w:val="11"/>
                <w:szCs w:val="11"/>
                <w:color w:val="auto"/>
              </w:rPr>
            </w:pPr>
          </w:p>
        </w:tc>
        <w:tc>
          <w:tcPr>
            <w:tcW w:w="5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2014</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$ 1,861</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$ 3,439</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754</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879</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342</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344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33</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119</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Loss on sale of property and equipment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15</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214</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161</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168</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318</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570</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610</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(113)</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(893)</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(174)</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(113)</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(15)</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(324)</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172</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(36)</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42</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38</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(25)</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25</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(31)</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98</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(104)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3,498</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5,129</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(599)</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(831)</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(599)</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(823)</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Repurchases of common stock</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(155)</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(155)</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(160)</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(198)</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2,584</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4,108</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7"/>
              </w:rPr>
              <w:t>23,126</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7"/>
              </w:rPr>
              <w:t>19,018</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$25,710</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$23,126</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792</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$ 1,213</w:t>
            </w:r>
          </w:p>
        </w:tc>
        <w:tc>
          <w:tcPr>
            <w:tcW w:w="0" w:type="dxa"/>
            <w:vAlign w:val="bottom"/>
          </w:tcPr>
          <w:p>
            <w:pPr>
              <w:spacing w:after="0"/>
              <w:rPr>
                <w:sz w:val="1"/>
                <w:szCs w:val="1"/>
                <w:color w:val="auto"/>
              </w:rPr>
            </w:pPr>
          </w:p>
        </w:tc>
      </w:tr>
      <w:tr>
        <w:trPr>
          <w:trHeight w:val="403"/>
        </w:trPr>
        <w:tc>
          <w:tcPr>
            <w:tcW w:w="53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Issuance of unvested shares of restricted stock</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41</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 of restricted stock</w:t>
            </w:r>
          </w:p>
        </w:tc>
        <w:tc>
          <w:tcPr>
            <w:tcW w:w="180" w:type="dxa"/>
            <w:vAlign w:val="bottom"/>
          </w:tcPr>
          <w:p>
            <w:pPr>
              <w:ind w:left="100"/>
              <w:spacing w:after="0"/>
              <w:rPr>
                <w:sz w:val="20"/>
                <w:szCs w:val="20"/>
                <w:color w:val="auto"/>
              </w:rPr>
            </w:pPr>
            <w:r>
              <w:rPr>
                <w:rFonts w:ascii="Courier New" w:cs="Courier New" w:eastAsia="Courier New" w:hAnsi="Courier New"/>
                <w:sz w:val="12"/>
                <w:szCs w:val="12"/>
                <w:color w:val="auto"/>
                <w:w w:val="82"/>
              </w:rPr>
              <w:t>$</w:t>
            </w: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(20)</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0219"/>
          </w:cols>
          <w:pgMar w:left="240" w:top="132" w:right="1440" w:bottom="134" w:gutter="0" w:footer="0" w:header="0"/>
          <w:type w:val="continuous"/>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we sell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In January 2016, we implemented a restructuring plan, as discussed further in Note 17, the goal of which is to return our Mechanical Products segment to profitability. These efforts could cause us to incur substantial costs and may not be successful.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8" w:lineRule="exact"/>
        <w:rPr>
          <w:sz w:val="20"/>
          <w:szCs w:val="20"/>
          <w:color w:val="auto"/>
        </w:rPr>
      </w:pPr>
    </w:p>
    <w:p>
      <w:pPr>
        <w:ind w:left="540" w:right="6460" w:hanging="532"/>
        <w:spacing w:after="0" w:line="541" w:lineRule="auto"/>
        <w:tabs>
          <w:tab w:leader="none" w:pos="33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jc w:val="both"/>
        <w:ind w:left="540" w:right="220"/>
        <w:spacing w:after="0" w:line="314"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market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There was no bad debt expense recorded in either of the years ended December 31, 2015 or 2014. Cash flows from accounts receivable are recorded in operating cash flows.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40" w:right="540"/>
        <w:spacing w:after="0" w:line="268" w:lineRule="auto"/>
        <w:rPr>
          <w:sz w:val="20"/>
          <w:szCs w:val="20"/>
          <w:color w:val="auto"/>
        </w:rPr>
      </w:pPr>
      <w:r>
        <w:rPr>
          <w:rFonts w:ascii="Arial" w:cs="Arial" w:eastAsia="Arial" w:hAnsi="Arial"/>
          <w:sz w:val="18"/>
          <w:szCs w:val="18"/>
          <w:color w:val="auto"/>
        </w:rPr>
        <w:t>Our financial instruments, principally accounts receivable and accounts payable, are carried at cost which approximates fair value, due to the short maturities of the accounts.</w:t>
      </w:r>
    </w:p>
    <w:p>
      <w:pPr>
        <w:sectPr>
          <w:pgSz w:w="11900" w:h="16838" w:orient="portrait"/>
          <w:cols w:equalWidth="0" w:num="1">
            <w:col w:w="11380"/>
          </w:cols>
          <w:pgMar w:left="240" w:top="125" w:right="279" w:bottom="0" w:gutter="0" w:footer="0" w:header="0"/>
        </w:sectPr>
      </w:pPr>
    </w:p>
    <w:bookmarkStart w:id="31" w:name="page32"/>
    <w:bookmarkEnd w:id="31"/>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$342 and $344 for the years ended December 31, 2015 and 2014,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$465 and $524 for the years ended December 31, 2015 and 2014,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201"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plans in Note 12.</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have made an assessment of our operations and determined that there were no material subsequent events requiring adjustment to, or disclosure in, our</w:t>
      </w:r>
    </w:p>
    <w:p>
      <w:pPr>
        <w:sectPr>
          <w:pgSz w:w="11900" w:h="16838" w:orient="portrait"/>
          <w:cols w:equalWidth="0" w:num="1">
            <w:col w:w="11400"/>
          </w:cols>
          <w:pgMar w:left="240" w:top="131" w:right="259" w:bottom="0" w:gutter="0" w:footer="0" w:header="0"/>
        </w:sectPr>
      </w:pPr>
    </w:p>
    <w:bookmarkStart w:id="32" w:name="page33"/>
    <w:bookmarkEnd w:id="32"/>
    <w:p>
      <w:pPr>
        <w:ind w:left="540"/>
        <w:spacing w:after="0"/>
        <w:rPr>
          <w:sz w:val="20"/>
          <w:szCs w:val="20"/>
          <w:color w:val="auto"/>
        </w:rPr>
      </w:pPr>
      <w:r>
        <w:rPr>
          <w:rFonts w:ascii="Arial" w:cs="Arial" w:eastAsia="Arial" w:hAnsi="Arial"/>
          <w:sz w:val="18"/>
          <w:szCs w:val="18"/>
          <w:color w:val="auto"/>
        </w:rPr>
        <w:t>consolidated financial statements for the year ended December 31, 2015 other than the events discussed in Note 17.</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In addition, 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For our foreign subsidiary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2015 and 2014, foreign currency transaction losses were $33 and $44,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20"/>
          </w:cols>
          <w:pgMar w:left="240" w:top="131" w:right="23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SUMMARY OF SIGNIFICANT ACCOUNTING POLICIES </w:t>
      </w:r>
      <w:r>
        <w:rPr>
          <w:rFonts w:ascii="Arial" w:cs="Arial" w:eastAsia="Arial" w:hAnsi="Arial"/>
          <w:sz w:val="16"/>
          <w:szCs w:val="16"/>
          <w:color w:val="auto"/>
        </w:rPr>
        <w:t>(Continued)</w:t>
      </w:r>
    </w:p>
    <w:p>
      <w:pPr>
        <w:sectPr>
          <w:pgSz w:w="11900" w:h="16838" w:orient="portrait"/>
          <w:cols w:equalWidth="0" w:num="1">
            <w:col w:w="11420"/>
          </w:cols>
          <w:pgMar w:left="240" w:top="131" w:right="239" w:bottom="0" w:gutter="0" w:footer="0" w:header="0"/>
          <w:type w:val="continuous"/>
        </w:sectPr>
      </w:pPr>
    </w:p>
    <w:bookmarkStart w:id="33" w:name="page34"/>
    <w:bookmarkEnd w:id="33"/>
    <w:tbl>
      <w:tblPr>
        <w:tblLayout w:type="fixed"/>
        <w:tblInd w:w="164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i w:val="1"/>
                <w:iCs w:val="1"/>
                <w:color w:val="auto"/>
                <w:w w:val="82"/>
              </w:rPr>
              <w:t>Years Ended December 31,</w:t>
            </w:r>
          </w:p>
        </w:tc>
        <w:tc>
          <w:tcPr>
            <w:tcW w:w="220" w:type="dxa"/>
            <w:vAlign w:val="bottom"/>
          </w:tcPr>
          <w:p>
            <w:pPr>
              <w:spacing w:after="0"/>
              <w:rPr>
                <w:sz w:val="14"/>
                <w:szCs w:val="14"/>
                <w:color w:val="auto"/>
              </w:rPr>
            </w:pPr>
          </w:p>
        </w:tc>
      </w:tr>
      <w:tr>
        <w:trPr>
          <w:trHeight w:val="223"/>
        </w:trPr>
        <w:tc>
          <w:tcPr>
            <w:tcW w:w="64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2015</w:t>
            </w:r>
          </w:p>
        </w:tc>
        <w:tc>
          <w:tcPr>
            <w:tcW w:w="3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78"/>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4"/>
              </w:rPr>
              <w:t>10,473,210</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10,431,743</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5"/>
        </w:trPr>
        <w:tc>
          <w:tcPr>
            <w:tcW w:w="640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 and employee stock options</w:t>
            </w:r>
          </w:p>
        </w:tc>
        <w:tc>
          <w:tcPr>
            <w:tcW w:w="7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20,620</w:t>
            </w:r>
          </w:p>
        </w:tc>
        <w:tc>
          <w:tcPr>
            <w:tcW w:w="180" w:type="dxa"/>
            <w:vAlign w:val="bottom"/>
          </w:tcPr>
          <w:p>
            <w:pPr>
              <w:spacing w:after="0"/>
              <w:rPr>
                <w:sz w:val="17"/>
                <w:szCs w:val="17"/>
                <w:color w:val="auto"/>
              </w:rPr>
            </w:pPr>
          </w:p>
        </w:tc>
        <w:tc>
          <w:tcPr>
            <w:tcW w:w="8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34,321</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84"/>
              </w:rPr>
              <w:t>10,493,830</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10,466,064</w:t>
            </w:r>
          </w:p>
        </w:tc>
      </w:tr>
      <w:tr>
        <w:trPr>
          <w:trHeight w:val="255"/>
        </w:trPr>
        <w:tc>
          <w:tcPr>
            <w:tcW w:w="640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w:t>
            </w: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r>
      <w:tr>
        <w:trPr>
          <w:trHeight w:val="222"/>
        </w:trPr>
        <w:tc>
          <w:tcPr>
            <w:tcW w:w="6400" w:type="dxa"/>
            <w:vAlign w:val="bottom"/>
          </w:tcPr>
          <w:p>
            <w:pPr>
              <w:ind w:left="80"/>
              <w:spacing w:after="0"/>
              <w:rPr>
                <w:sz w:val="20"/>
                <w:szCs w:val="20"/>
                <w:color w:val="auto"/>
              </w:rPr>
            </w:pPr>
            <w:r>
              <w:rPr>
                <w:rFonts w:ascii="Arial" w:cs="Arial" w:eastAsia="Arial" w:hAnsi="Arial"/>
                <w:sz w:val="18"/>
                <w:szCs w:val="18"/>
                <w:color w:val="auto"/>
              </w:rPr>
              <w:t>calculation</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4,753</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40"/>
        <w:spacing w:after="0" w:line="288" w:lineRule="auto"/>
        <w:rPr>
          <w:sz w:val="20"/>
          <w:szCs w:val="20"/>
          <w:color w:val="auto"/>
        </w:rPr>
      </w:pPr>
      <w:r>
        <w:rPr>
          <w:rFonts w:ascii="Arial" w:cs="Arial" w:eastAsia="Arial" w:hAnsi="Arial"/>
          <w:sz w:val="16"/>
          <w:szCs w:val="16"/>
          <w:color w:val="auto"/>
        </w:rPr>
        <w:t>In February 2016, the Financial Accounting Standards Board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74" w:lineRule="exact"/>
        <w:rPr>
          <w:sz w:val="20"/>
          <w:szCs w:val="20"/>
          <w:color w:val="auto"/>
        </w:rPr>
      </w:pPr>
    </w:p>
    <w:p>
      <w:pPr>
        <w:ind w:left="540" w:right="20"/>
        <w:spacing w:after="0" w:line="309" w:lineRule="auto"/>
        <w:rPr>
          <w:sz w:val="20"/>
          <w:szCs w:val="20"/>
          <w:color w:val="auto"/>
        </w:rPr>
      </w:pPr>
      <w:r>
        <w:rPr>
          <w:rFonts w:ascii="Arial" w:cs="Arial" w:eastAsia="Arial" w:hAnsi="Arial"/>
          <w:sz w:val="15"/>
          <w:szCs w:val="15"/>
          <w:color w:val="auto"/>
        </w:rPr>
        <w:t>In January 2016, the FASB issued amendments to the current guidance on the recognition and measurement of financial assets and financial liabilities which is presented in ASC Topic 825 (Financial Instruments). The intent of the updated guidance is to enhance the reporting model for financial instruments to provide users of financial statements with improved decision-making information. The updated guidance includes amendments to address aspects of recognition, measurement, presentation and disclosure. Changes included in the amendments are the requirement to measure equity investments at fair value, except those accounted for under the equity method of accounting or those that result in the consolidation of an investee, with changes in fair value recognized in net income; the requirement for a qualitative assessment to identify impairment of equity investments without readily determinable fair values; and the requirement for separate presentation of financial assets and financial liabilities by measurement category and form of financial asset on the balance sheet or in the accompanying notes to the financial statements. The amendments are effective for us as of January 1, 2018. Early application is permitted. We do not expect the implementation of these amendments to have a material impact on our consolidated financial statements.</w:t>
      </w:r>
    </w:p>
    <w:p>
      <w:pPr>
        <w:spacing w:after="0" w:line="16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In November 2015, the FASB issued amendments to update the current guidance on the balance sheet classification of deferred taxes which is presented in ASC Topic 740 (Income Taxes). The purpose of the amendments is to simplify the presentation of deferred tax assets. This guidance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amendments are effective for us as of January 1, 2017. Early application is permitted. We currently plan to elect early application of this guidance effective January 1, 2016. We do not expect the implementation of these amendments to have a material impact on our consolidated financial statements.</w:t>
      </w:r>
    </w:p>
    <w:p>
      <w:pPr>
        <w:spacing w:after="0" w:line="17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September 2015, the FASB issued amendments to update the current guidance on accounting for measurement period adjustments in a business combination which is presented in ASC Topic 805 (Business Combinations). This guidance requires an entity to recognize adjustments to provisional amounts that are identified during the measurement period in the reporting period in which the adjustment amounts are determined; record, in the same period's financial statements, the effect on earnings of changes in depreciation, amortization, or other income effects, if any, as a result of the change to the provisional amounts, calculated as if the accounting had been completed at the acquisition date; and present separately on the face of the income statement or disclose in the notes the portion of the amount recorded in current-period earnings by line item that would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440"/>
        <w:spacing w:after="0" w:line="306" w:lineRule="auto"/>
        <w:rPr>
          <w:sz w:val="20"/>
          <w:szCs w:val="20"/>
          <w:color w:val="auto"/>
        </w:rPr>
      </w:pPr>
      <w:r>
        <w:rPr>
          <w:rFonts w:ascii="Arial" w:cs="Arial" w:eastAsia="Arial" w:hAnsi="Arial"/>
          <w:sz w:val="16"/>
          <w:szCs w:val="16"/>
          <w:color w:val="auto"/>
        </w:rPr>
        <w:t>have been recorded in previous reporting periods if the adjustment to the provisional amounts had been recognized as of the acquisition date. The amendments are effective for us as of January 1, 2016, with early application permitted for financial statements that have not been issued. We do not expect the implementation of these amendments to have a material impact on our consolidated financial statements.</w:t>
      </w:r>
    </w:p>
    <w:p>
      <w:pPr>
        <w:spacing w:after="0" w:line="161"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ectPr>
          <w:pgSz w:w="11900" w:h="16838" w:orient="portrait"/>
          <w:cols w:equalWidth="0" w:num="1">
            <w:col w:w="11420"/>
          </w:cols>
          <w:pgMar w:left="240" w:top="127" w:right="239" w:bottom="0" w:gutter="0" w:footer="0" w:header="0"/>
        </w:sectPr>
      </w:pPr>
    </w:p>
    <w:bookmarkStart w:id="34" w:name="page35"/>
    <w:bookmarkEnd w:id="34"/>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INTANGIBLE AND LONG-LIVED ASSETS</w:t>
      </w:r>
    </w:p>
    <w:p>
      <w:pPr>
        <w:spacing w:after="0" w:line="191" w:lineRule="exact"/>
        <w:rPr>
          <w:sz w:val="20"/>
          <w:szCs w:val="20"/>
          <w:color w:val="auto"/>
        </w:rPr>
      </w:pPr>
    </w:p>
    <w:p>
      <w:pPr>
        <w:ind w:left="540" w:right="88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were no changes in the amount of the carrying value of goodwill for the year ended December 31,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December 31, 2015 and 2014:</w:t>
      </w:r>
    </w:p>
    <w:p>
      <w:pPr>
        <w:spacing w:after="0" w:line="221"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i w:val="1"/>
                <w:iCs w:val="1"/>
                <w:color w:val="auto"/>
                <w:w w:val="88"/>
              </w:rPr>
              <w:t>December 31, 2015</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8"/>
        </w:trPr>
        <w:tc>
          <w:tcPr>
            <w:tcW w:w="3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5"/>
          </w:tcPr>
          <w:p>
            <w:pPr>
              <w:jc w:val="center"/>
              <w:ind w:right="13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500" w:type="dxa"/>
            <w:vAlign w:val="bottom"/>
          </w:tcPr>
          <w:p>
            <w:pPr>
              <w:spacing w:after="0"/>
              <w:rPr>
                <w:sz w:val="12"/>
                <w:szCs w:val="12"/>
                <w:color w:val="auto"/>
              </w:rPr>
            </w:pPr>
          </w:p>
        </w:tc>
        <w:tc>
          <w:tcPr>
            <w:tcW w:w="1800" w:type="dxa"/>
            <w:vAlign w:val="bottom"/>
            <w:gridSpan w:val="6"/>
          </w:tcPr>
          <w:p>
            <w:pPr>
              <w:jc w:val="center"/>
              <w:ind w:left="876"/>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c>
          <w:tcPr>
            <w:tcW w:w="1000" w:type="dxa"/>
            <w:vAlign w:val="bottom"/>
            <w:gridSpan w:val="7"/>
          </w:tcPr>
          <w:p>
            <w:pPr>
              <w:ind w:left="120"/>
              <w:spacing w:after="0" w:line="149" w:lineRule="exact"/>
              <w:rPr>
                <w:sz w:val="20"/>
                <w:szCs w:val="20"/>
                <w:color w:val="auto"/>
              </w:rPr>
            </w:pPr>
            <w:r>
              <w:rPr>
                <w:rFonts w:ascii="Arial" w:cs="Arial" w:eastAsia="Arial" w:hAnsi="Arial"/>
                <w:sz w:val="14"/>
                <w:szCs w:val="14"/>
                <w:b w:val="1"/>
                <w:bCs w:val="1"/>
                <w:i w:val="1"/>
                <w:iCs w:val="1"/>
                <w:color w:val="auto"/>
                <w:w w:val="97"/>
              </w:rPr>
              <w:t>Accumulated</w:t>
            </w:r>
          </w:p>
        </w:tc>
        <w:tc>
          <w:tcPr>
            <w:tcW w:w="660" w:type="dxa"/>
            <w:vAlign w:val="bottom"/>
            <w:gridSpan w:val="6"/>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gridSpan w:val="5"/>
          </w:tcPr>
          <w:p>
            <w:pPr>
              <w:jc w:val="center"/>
              <w:ind w:right="13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80" w:type="dxa"/>
            <w:vAlign w:val="bottom"/>
            <w:gridSpan w:val="6"/>
          </w:tcPr>
          <w:p>
            <w:pPr>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100" w:type="dxa"/>
            <w:vAlign w:val="bottom"/>
          </w:tcPr>
          <w:p>
            <w:pPr>
              <w:spacing w:after="0"/>
              <w:rPr>
                <w:sz w:val="12"/>
                <w:szCs w:val="12"/>
                <w:color w:val="auto"/>
              </w:rPr>
            </w:pPr>
          </w:p>
        </w:tc>
        <w:tc>
          <w:tcPr>
            <w:tcW w:w="56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80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$1,166</w:t>
            </w:r>
          </w:p>
        </w:tc>
        <w:tc>
          <w:tcPr>
            <w:tcW w:w="140" w:type="dxa"/>
            <w:vAlign w:val="bottom"/>
          </w:tcPr>
          <w:p>
            <w:pPr>
              <w:spacing w:after="0"/>
              <w:rPr>
                <w:sz w:val="21"/>
                <w:szCs w:val="21"/>
                <w:color w:val="auto"/>
              </w:rPr>
            </w:pP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80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50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80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05"/>
        </w:trPr>
        <w:tc>
          <w:tcPr>
            <w:tcW w:w="350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360" w:type="dxa"/>
            <w:vAlign w:val="bottom"/>
            <w:gridSpan w:val="3"/>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140</w:t>
            </w:r>
          </w:p>
        </w:tc>
        <w:tc>
          <w:tcPr>
            <w:tcW w:w="400" w:type="dxa"/>
            <w:vAlign w:val="bottom"/>
            <w:gridSpan w:val="4"/>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80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1,886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594</w:t>
            </w:r>
          </w:p>
        </w:tc>
      </w:tr>
      <w:tr>
        <w:trPr>
          <w:trHeight w:val="262"/>
        </w:trPr>
        <w:tc>
          <w:tcPr>
            <w:tcW w:w="35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r>
      <w:tr>
        <w:trPr>
          <w:trHeight w:val="205"/>
        </w:trPr>
        <w:tc>
          <w:tcPr>
            <w:tcW w:w="350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360" w:type="dxa"/>
            <w:vAlign w:val="bottom"/>
            <w:gridSpan w:val="3"/>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c>
          <w:tcPr>
            <w:tcW w:w="380" w:type="dxa"/>
            <w:vAlign w:val="bottom"/>
            <w:gridSpan w:val="3"/>
          </w:tcPr>
          <w:p>
            <w:pPr>
              <w:spacing w:after="0"/>
              <w:rPr>
                <w:sz w:val="17"/>
                <w:szCs w:val="17"/>
                <w:color w:val="auto"/>
              </w:rPr>
            </w:pPr>
          </w:p>
        </w:tc>
        <w:tc>
          <w:tcPr>
            <w:tcW w:w="4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300" w:type="dxa"/>
            <w:vAlign w:val="bottom"/>
            <w:gridSpan w:val="2"/>
          </w:tcPr>
          <w:p>
            <w:pPr>
              <w:spacing w:after="0"/>
              <w:rPr>
                <w:sz w:val="19"/>
                <w:szCs w:val="19"/>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2,990</w:t>
            </w:r>
          </w:p>
        </w:tc>
        <w:tc>
          <w:tcPr>
            <w:tcW w:w="34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1,104</w:t>
            </w:r>
          </w:p>
        </w:tc>
      </w:tr>
    </w:tbl>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INTANGIBLE AND LONG-LIVED ASSETS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i w:val="1"/>
                <w:iCs w:val="1"/>
                <w:color w:val="auto"/>
                <w:w w:val="88"/>
              </w:rPr>
              <w:t>December 31, 2014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3"/>
          </w:tcPr>
          <w:p>
            <w:pPr>
              <w:jc w:val="center"/>
              <w:ind w:right="1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480" w:type="dxa"/>
            <w:vAlign w:val="bottom"/>
          </w:tcPr>
          <w:p>
            <w:pPr>
              <w:spacing w:after="0"/>
              <w:rPr>
                <w:sz w:val="12"/>
                <w:szCs w:val="12"/>
                <w:color w:val="auto"/>
              </w:rPr>
            </w:pPr>
          </w:p>
        </w:tc>
        <w:tc>
          <w:tcPr>
            <w:tcW w:w="1820" w:type="dxa"/>
            <w:vAlign w:val="bottom"/>
            <w:gridSpan w:val="4"/>
          </w:tcPr>
          <w:p>
            <w:pPr>
              <w:jc w:val="center"/>
              <w:ind w:left="859"/>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c>
          <w:tcPr>
            <w:tcW w:w="940" w:type="dxa"/>
            <w:vAlign w:val="bottom"/>
            <w:gridSpan w:val="5"/>
          </w:tcPr>
          <w:p>
            <w:pPr>
              <w:ind w:left="120"/>
              <w:spacing w:after="0" w:line="149" w:lineRule="exact"/>
              <w:rPr>
                <w:sz w:val="20"/>
                <w:szCs w:val="20"/>
                <w:color w:val="auto"/>
              </w:rPr>
            </w:pPr>
            <w:r>
              <w:rPr>
                <w:rFonts w:ascii="Arial" w:cs="Arial" w:eastAsia="Arial" w:hAnsi="Arial"/>
                <w:sz w:val="14"/>
                <w:szCs w:val="14"/>
                <w:b w:val="1"/>
                <w:bCs w:val="1"/>
                <w:i w:val="1"/>
                <w:iCs w:val="1"/>
                <w:color w:val="auto"/>
                <w:w w:val="90"/>
              </w:rPr>
              <w:t>Accumulated</w:t>
            </w:r>
          </w:p>
        </w:tc>
        <w:tc>
          <w:tcPr>
            <w:tcW w:w="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480" w:type="dxa"/>
            <w:vAlign w:val="bottom"/>
          </w:tcPr>
          <w:p>
            <w:pPr>
              <w:spacing w:after="0"/>
              <w:rPr>
                <w:sz w:val="12"/>
                <w:szCs w:val="12"/>
                <w:color w:val="auto"/>
              </w:rPr>
            </w:pPr>
          </w:p>
        </w:tc>
        <w:tc>
          <w:tcPr>
            <w:tcW w:w="1820" w:type="dxa"/>
            <w:vAlign w:val="bottom"/>
            <w:gridSpan w:val="4"/>
          </w:tcPr>
          <w:p>
            <w:pPr>
              <w:jc w:val="center"/>
              <w:ind w:left="859"/>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940" w:type="dxa"/>
            <w:vAlign w:val="bottom"/>
            <w:gridSpan w:val="5"/>
          </w:tcPr>
          <w:p>
            <w:pPr>
              <w:ind w:left="120"/>
              <w:spacing w:after="0" w:line="146" w:lineRule="exact"/>
              <w:rPr>
                <w:sz w:val="20"/>
                <w:szCs w:val="20"/>
                <w:color w:val="auto"/>
              </w:rPr>
            </w:pPr>
            <w:r>
              <w:rPr>
                <w:rFonts w:ascii="Arial" w:cs="Arial" w:eastAsia="Arial" w:hAnsi="Arial"/>
                <w:sz w:val="14"/>
                <w:szCs w:val="14"/>
                <w:b w:val="1"/>
                <w:bCs w:val="1"/>
                <w:i w:val="1"/>
                <w:iCs w:val="1"/>
                <w:color w:val="auto"/>
                <w:w w:val="93"/>
              </w:rPr>
              <w:t>Amortization</w:t>
            </w:r>
          </w:p>
        </w:tc>
        <w:tc>
          <w:tcPr>
            <w:tcW w:w="120" w:type="dxa"/>
            <w:vAlign w:val="bottom"/>
          </w:tcPr>
          <w:p>
            <w:pPr>
              <w:spacing w:after="0"/>
              <w:rPr>
                <w:sz w:val="12"/>
                <w:szCs w:val="12"/>
                <w:color w:val="auto"/>
              </w:rPr>
            </w:pPr>
          </w:p>
        </w:tc>
        <w:tc>
          <w:tcPr>
            <w:tcW w:w="520" w:type="dxa"/>
            <w:vAlign w:val="bottom"/>
            <w:gridSpan w:val="3"/>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$1,480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979</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3480" w:type="dxa"/>
            <w:vAlign w:val="bottom"/>
          </w:tcPr>
          <w:p>
            <w:pPr>
              <w:ind w:left="120"/>
              <w:spacing w:after="0"/>
              <w:rPr>
                <w:sz w:val="20"/>
                <w:szCs w:val="20"/>
                <w:color w:val="auto"/>
              </w:rPr>
            </w:pPr>
            <w:r>
              <w:rPr>
                <w:rFonts w:ascii="Arial" w:cs="Arial" w:eastAsia="Arial" w:hAnsi="Arial"/>
                <w:sz w:val="18"/>
                <w:szCs w:val="18"/>
                <w:color w:val="auto"/>
              </w:rPr>
              <w:t>Software</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05"/>
        </w:trPr>
        <w:tc>
          <w:tcPr>
            <w:tcW w:w="348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420" w:type="dxa"/>
            <w:vAlign w:val="bottom"/>
            <w:gridSpan w:val="2"/>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37</w:t>
            </w:r>
          </w:p>
        </w:tc>
      </w:tr>
      <w:tr>
        <w:trPr>
          <w:trHeight w:val="20"/>
        </w:trPr>
        <w:tc>
          <w:tcPr>
            <w:tcW w:w="3480" w:type="dxa"/>
            <w:vAlign w:val="bottom"/>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420" w:type="dxa"/>
            <w:vAlign w:val="bottom"/>
            <w:gridSpan w:val="2"/>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2,480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1,597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883</w:t>
            </w:r>
          </w:p>
        </w:tc>
      </w:tr>
      <w:tr>
        <w:trPr>
          <w:trHeight w:val="262"/>
        </w:trPr>
        <w:tc>
          <w:tcPr>
            <w:tcW w:w="348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r>
      <w:tr>
        <w:trPr>
          <w:trHeight w:val="205"/>
        </w:trPr>
        <w:tc>
          <w:tcPr>
            <w:tcW w:w="348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420" w:type="dxa"/>
            <w:vAlign w:val="bottom"/>
            <w:gridSpan w:val="2"/>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0"/>
        </w:trPr>
        <w:tc>
          <w:tcPr>
            <w:tcW w:w="3480" w:type="dxa"/>
            <w:vAlign w:val="bottom"/>
          </w:tcPr>
          <w:p>
            <w:pPr>
              <w:spacing w:after="0" w:line="20" w:lineRule="exact"/>
              <w:rPr>
                <w:sz w:val="1"/>
                <w:szCs w:val="1"/>
                <w:color w:val="auto"/>
              </w:rPr>
            </w:pPr>
          </w:p>
        </w:tc>
        <w:tc>
          <w:tcPr>
            <w:tcW w:w="1420" w:type="dxa"/>
            <w:vAlign w:val="bottom"/>
            <w:tcBorders>
              <w:righ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8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1,597</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1,393</w:t>
            </w:r>
          </w:p>
        </w:tc>
      </w:tr>
      <w:tr>
        <w:trPr>
          <w:trHeight w:val="20"/>
        </w:trPr>
        <w:tc>
          <w:tcPr>
            <w:tcW w:w="3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finite-lived assets have any residual value. The following table provides further information about the estimated useful lives of our finite-lived intangible assets as of December 31, 2015:</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9"/>
        </w:trPr>
        <w:tc>
          <w:tcPr>
            <w:tcW w:w="5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c>
          <w:tcPr>
            <w:tcW w:w="1000" w:type="dxa"/>
            <w:vAlign w:val="bottom"/>
            <w:gridSpan w:val="3"/>
          </w:tcPr>
          <w:p>
            <w:pPr>
              <w:jc w:val="center"/>
              <w:ind w:left="137"/>
              <w:spacing w:after="0" w:line="149" w:lineRule="exact"/>
              <w:rPr>
                <w:sz w:val="20"/>
                <w:szCs w:val="20"/>
                <w:color w:val="auto"/>
              </w:rPr>
            </w:pPr>
            <w:r>
              <w:rPr>
                <w:rFonts w:ascii="Arial" w:cs="Arial" w:eastAsia="Arial" w:hAnsi="Arial"/>
                <w:sz w:val="14"/>
                <w:szCs w:val="14"/>
                <w:b w:val="1"/>
                <w:bCs w:val="1"/>
                <w:i w:val="1"/>
                <w:iCs w:val="1"/>
                <w:color w:val="auto"/>
                <w:w w:val="88"/>
              </w:rPr>
              <w:t>Useful Life at</w:t>
            </w:r>
          </w:p>
        </w:tc>
      </w:tr>
      <w:tr>
        <w:trPr>
          <w:trHeight w:val="146"/>
        </w:trPr>
        <w:tc>
          <w:tcPr>
            <w:tcW w:w="59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4"/>
                <w:szCs w:val="14"/>
                <w:b w:val="1"/>
                <w:bCs w:val="1"/>
                <w:i w:val="1"/>
                <w:iCs w:val="1"/>
                <w:color w:val="auto"/>
                <w:w w:val="83"/>
              </w:rPr>
              <w:t>Useful Life</w:t>
            </w:r>
          </w:p>
        </w:tc>
        <w:tc>
          <w:tcPr>
            <w:tcW w:w="1000" w:type="dxa"/>
            <w:vAlign w:val="bottom"/>
            <w:gridSpan w:val="3"/>
          </w:tcPr>
          <w:p>
            <w:pPr>
              <w:jc w:val="center"/>
              <w:ind w:left="137"/>
              <w:spacing w:after="0" w:line="146" w:lineRule="exact"/>
              <w:rPr>
                <w:sz w:val="20"/>
                <w:szCs w:val="20"/>
                <w:color w:val="auto"/>
              </w:rPr>
            </w:pPr>
            <w:r>
              <w:rPr>
                <w:rFonts w:ascii="Arial" w:cs="Arial" w:eastAsia="Arial" w:hAnsi="Arial"/>
                <w:sz w:val="14"/>
                <w:szCs w:val="14"/>
                <w:b w:val="1"/>
                <w:bCs w:val="1"/>
                <w:i w:val="1"/>
                <w:iCs w:val="1"/>
                <w:color w:val="auto"/>
                <w:w w:val="84"/>
              </w:rPr>
              <w:t>Dec. 31, 2015</w:t>
            </w:r>
          </w:p>
        </w:tc>
      </w:tr>
      <w:tr>
        <w:trPr>
          <w:trHeight w:val="20"/>
        </w:trPr>
        <w:tc>
          <w:tcPr>
            <w:tcW w:w="5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5960" w:type="dxa"/>
            <w:vAlign w:val="bottom"/>
          </w:tcPr>
          <w:p>
            <w:pPr>
              <w:spacing w:after="0"/>
              <w:rPr>
                <w:sz w:val="15"/>
                <w:szCs w:val="15"/>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color w:val="auto"/>
              </w:rPr>
              <w:t>- - - - (in months) - - - -</w:t>
            </w:r>
          </w:p>
        </w:tc>
      </w:tr>
      <w:tr>
        <w:trPr>
          <w:trHeight w:val="228"/>
        </w:trPr>
        <w:tc>
          <w:tcPr>
            <w:tcW w:w="59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Software</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Thermonics: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r>
      <w:tr>
        <w:trPr>
          <w:trHeight w:val="243"/>
        </w:trPr>
        <w:tc>
          <w:tcPr>
            <w:tcW w:w="59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980" w:type="dxa"/>
            <w:vAlign w:val="bottom"/>
            <w:gridSpan w:val="2"/>
          </w:tcPr>
          <w:p>
            <w:pPr>
              <w:jc w:val="right"/>
              <w:ind w:right="72"/>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21"/>
                <w:szCs w:val="21"/>
                <w:color w:val="auto"/>
              </w:rPr>
            </w:pP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year ended December 31, 2015:</w:t>
      </w:r>
    </w:p>
    <w:p>
      <w:pPr>
        <w:spacing w:after="0" w:line="262" w:lineRule="exact"/>
        <w:rPr>
          <w:sz w:val="20"/>
          <w:szCs w:val="20"/>
          <w:color w:val="auto"/>
        </w:rPr>
      </w:pPr>
    </w:p>
    <w:tbl>
      <w:tblPr>
        <w:tblLayout w:type="fixed"/>
        <w:tblInd w:w="2700" w:type="dxa"/>
        <w:tblCellMar>
          <w:top w:w="0" w:type="dxa"/>
          <w:left w:w="0" w:type="dxa"/>
          <w:bottom w:w="0" w:type="dxa"/>
          <w:right w:w="0" w:type="dxa"/>
        </w:tblCellMar>
      </w:tblP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Balance - January 1, 2015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19"/>
                <w:szCs w:val="19"/>
                <w:color w:val="auto"/>
              </w:rPr>
            </w:pPr>
          </w:p>
        </w:tc>
      </w:tr>
      <w:tr>
        <w:trPr>
          <w:trHeight w:val="205"/>
        </w:trPr>
        <w:tc>
          <w:tcPr>
            <w:tcW w:w="5520" w:type="dxa"/>
            <w:vAlign w:val="bottom"/>
          </w:tcPr>
          <w:p>
            <w:pPr>
              <w:spacing w:after="0" w:line="205" w:lineRule="exact"/>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0"/>
              </w:rPr>
              <w:t>(289)</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Balance - December 31, 2015</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60" w:type="dxa"/>
            <w:vAlign w:val="bottom"/>
          </w:tcPr>
          <w:p>
            <w:pPr>
              <w:spacing w:after="0"/>
              <w:rPr>
                <w:sz w:val="19"/>
                <w:szCs w:val="19"/>
                <w:color w:val="auto"/>
              </w:rPr>
            </w:pPr>
          </w:p>
        </w:tc>
      </w:tr>
    </w:tbl>
    <w:p>
      <w:pPr>
        <w:sectPr>
          <w:pgSz w:w="11900" w:h="16884" w:orient="portrait"/>
          <w:cols w:equalWidth="0" w:num="1">
            <w:col w:w="11420"/>
          </w:cols>
          <w:pgMar w:left="240" w:top="341" w:right="239" w:bottom="0" w:gutter="0" w:footer="0" w:header="0"/>
        </w:sectPr>
      </w:pPr>
    </w:p>
    <w:bookmarkStart w:id="35" w:name="page36"/>
    <w:bookmarkEnd w:id="35"/>
    <w:p>
      <w:pPr>
        <w:spacing w:after="0" w:line="4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years ended December 31, 2015 and 2014 was $289 and $355,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860" w:type="dxa"/>
        <w:tblCellMar>
          <w:top w:w="0" w:type="dxa"/>
          <w:left w:w="0" w:type="dxa"/>
          <w:bottom w:w="0" w:type="dxa"/>
          <w:right w:w="0" w:type="dxa"/>
        </w:tblCellMar>
      </w:tblPr>
      <w:tr>
        <w:trPr>
          <w:trHeight w:val="222"/>
        </w:trPr>
        <w:tc>
          <w:tcPr>
            <w:tcW w:w="2860" w:type="dxa"/>
            <w:vAlign w:val="bottom"/>
          </w:tcPr>
          <w:p>
            <w:pPr>
              <w:jc w:val="right"/>
              <w:ind w:right="2432"/>
              <w:spacing w:after="0"/>
              <w:rPr>
                <w:sz w:val="20"/>
                <w:szCs w:val="20"/>
                <w:color w:val="auto"/>
              </w:rPr>
            </w:pPr>
            <w:r>
              <w:rPr>
                <w:rFonts w:ascii="Arial" w:cs="Arial" w:eastAsia="Arial" w:hAnsi="Arial"/>
                <w:sz w:val="18"/>
                <w:szCs w:val="18"/>
                <w:color w:val="auto"/>
                <w:w w:val="79"/>
              </w:rPr>
              <w:t>2016</w:t>
            </w:r>
          </w:p>
        </w:tc>
        <w:tc>
          <w:tcPr>
            <w:tcW w:w="28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2860" w:type="dxa"/>
            <w:vAlign w:val="bottom"/>
          </w:tcPr>
          <w:p>
            <w:pPr>
              <w:jc w:val="right"/>
              <w:ind w:right="2432"/>
              <w:spacing w:after="0"/>
              <w:rPr>
                <w:sz w:val="20"/>
                <w:szCs w:val="20"/>
                <w:color w:val="auto"/>
              </w:rPr>
            </w:pPr>
            <w:r>
              <w:rPr>
                <w:rFonts w:ascii="Arial" w:cs="Arial" w:eastAsia="Arial" w:hAnsi="Arial"/>
                <w:sz w:val="18"/>
                <w:szCs w:val="18"/>
                <w:color w:val="auto"/>
                <w:w w:val="79"/>
              </w:rPr>
              <w:t>2017</w:t>
            </w:r>
          </w:p>
        </w:tc>
        <w:tc>
          <w:tcPr>
            <w:tcW w:w="28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2860" w:type="dxa"/>
            <w:vAlign w:val="bottom"/>
          </w:tcPr>
          <w:p>
            <w:pPr>
              <w:jc w:val="right"/>
              <w:ind w:right="2432"/>
              <w:spacing w:after="0"/>
              <w:rPr>
                <w:sz w:val="20"/>
                <w:szCs w:val="20"/>
                <w:color w:val="auto"/>
              </w:rPr>
            </w:pPr>
            <w:r>
              <w:rPr>
                <w:rFonts w:ascii="Arial" w:cs="Arial" w:eastAsia="Arial" w:hAnsi="Arial"/>
                <w:sz w:val="18"/>
                <w:szCs w:val="18"/>
                <w:color w:val="auto"/>
                <w:w w:val="79"/>
              </w:rPr>
              <w:t>2018</w:t>
            </w:r>
          </w:p>
        </w:tc>
        <w:tc>
          <w:tcPr>
            <w:tcW w:w="28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9"/>
        </w:trPr>
        <w:tc>
          <w:tcPr>
            <w:tcW w:w="2860" w:type="dxa"/>
            <w:vAlign w:val="bottom"/>
          </w:tcPr>
          <w:p>
            <w:pPr>
              <w:jc w:val="right"/>
              <w:ind w:right="2432"/>
              <w:spacing w:after="0"/>
              <w:rPr>
                <w:sz w:val="20"/>
                <w:szCs w:val="20"/>
                <w:color w:val="auto"/>
              </w:rPr>
            </w:pPr>
            <w:r>
              <w:rPr>
                <w:rFonts w:ascii="Arial" w:cs="Arial" w:eastAsia="Arial" w:hAnsi="Arial"/>
                <w:sz w:val="18"/>
                <w:szCs w:val="18"/>
                <w:color w:val="auto"/>
                <w:w w:val="79"/>
              </w:rPr>
              <w:t>2019</w:t>
            </w:r>
          </w:p>
        </w:tc>
        <w:tc>
          <w:tcPr>
            <w:tcW w:w="28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9"/>
        </w:trPr>
        <w:tc>
          <w:tcPr>
            <w:tcW w:w="2860" w:type="dxa"/>
            <w:vAlign w:val="bottom"/>
          </w:tcPr>
          <w:p>
            <w:pPr>
              <w:jc w:val="right"/>
              <w:ind w:right="2432"/>
              <w:spacing w:after="0"/>
              <w:rPr>
                <w:sz w:val="20"/>
                <w:szCs w:val="20"/>
                <w:color w:val="auto"/>
              </w:rPr>
            </w:pPr>
            <w:r>
              <w:rPr>
                <w:rFonts w:ascii="Arial" w:cs="Arial" w:eastAsia="Arial" w:hAnsi="Arial"/>
                <w:sz w:val="18"/>
                <w:szCs w:val="18"/>
                <w:color w:val="auto"/>
                <w:w w:val="79"/>
              </w:rPr>
              <w:t>2020</w:t>
            </w:r>
          </w:p>
        </w:tc>
        <w:tc>
          <w:tcPr>
            <w:tcW w:w="28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AND LONG-LIVED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40" w:right="60"/>
        <w:spacing w:after="0" w:line="308" w:lineRule="auto"/>
        <w:rPr>
          <w:sz w:val="20"/>
          <w:szCs w:val="20"/>
          <w:color w:val="auto"/>
        </w:rPr>
      </w:pPr>
      <w:r>
        <w:rPr>
          <w:rFonts w:ascii="Arial" w:cs="Arial" w:eastAsia="Arial" w:hAnsi="Arial"/>
          <w:sz w:val="15"/>
          <w:szCs w:val="15"/>
          <w:color w:val="auto"/>
        </w:rPr>
        <w:t>During December 2015 and 2014, we assessed our goodwill and indefinite life intangible asset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rates used in 2015 and 2014 for the discounted cash flows were 20% and 17%,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23" w:lineRule="exact"/>
        <w:rPr>
          <w:sz w:val="20"/>
          <w:szCs w:val="20"/>
          <w:color w:val="auto"/>
        </w:rPr>
      </w:pPr>
    </w:p>
    <w:p>
      <w:pPr>
        <w:jc w:val="both"/>
        <w:ind w:left="540" w:right="60"/>
        <w:spacing w:after="0" w:line="306" w:lineRule="auto"/>
        <w:rPr>
          <w:sz w:val="20"/>
          <w:szCs w:val="20"/>
          <w:color w:val="auto"/>
        </w:rPr>
      </w:pPr>
      <w:r>
        <w:rPr>
          <w:rFonts w:ascii="Arial" w:cs="Arial" w:eastAsia="Arial" w:hAnsi="Arial"/>
          <w:sz w:val="16"/>
          <w:szCs w:val="16"/>
          <w:color w:val="auto"/>
        </w:rPr>
        <w:t>During the goodwill impairment assessment in both 2015 and 2014, we performed a Step I test to identify potential impairment, in which the fair value of the Thermal Products reporting unit was compared with its book value. This assessment indicated no impairment existed as the fair value of this reporting unit was determined to exceed its carrying value by 84% or $12,019 at December 31, 2015 and by 68% or $15,971 at December 31, 2014.</w:t>
      </w:r>
    </w:p>
    <w:p>
      <w:pPr>
        <w:spacing w:after="0" w:line="16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2015 and 2014, we compared the fair value of our intangible asset with its carrying amount. This assessment indicated no impairment existed as the fair value of the intangible assets exceeded their carrying values in both 2015 and 2014.</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As previously noted, our long-lived assets consist of our finite-lived intangible assets and property and equipment. During both December 2015 and 2014, due to continued operating losses experienced in our Mechanical Products segment, we assessed the long-lived assets of this segment for impairment. Our assessments indicated that the property and equipment that is allocated to this segment was not impaired. During 2015 and 2014, we did not review our Thermal and Electrical Products segment's long lived assets for impairment as there were no events or changes in business circumstances that would indicate an impairment might exist.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MAJOR CUSTOMERS</w:t>
      </w:r>
    </w:p>
    <w:p>
      <w:pPr>
        <w:spacing w:after="0" w:line="19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During the years ended December 31, 2015 and 2014, Hakuto Co. Ltd., one of our distributors, accounted for 12% and 11% of our consolidated net revenues, respectively. These revenues were generated by our Thermal Products segment. During the year ended December 31, 2014, Texas Instruments Incorporated accounted for 13% of our consolidated net revenues. While all three of our operating segments sold products to this customer, these revenues were primarily generated by our Mechanical Products and Electrical Products segments. During the years ended December 31, 2015 and 2014, no other customer accounted for 10% or more of our consolidated net revenues.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pacing w:after="0" w:line="221" w:lineRule="exact"/>
        <w:rPr>
          <w:sz w:val="20"/>
          <w:szCs w:val="20"/>
          <w:color w:val="auto"/>
        </w:rPr>
      </w:pPr>
    </w:p>
    <w:tbl>
      <w:tblPr>
        <w:tblLayout w:type="fixed"/>
        <w:tblInd w:w="256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780" w:type="dxa"/>
            <w:vAlign w:val="bottom"/>
            <w:gridSpan w:val="3"/>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2014</w:t>
            </w:r>
          </w:p>
        </w:tc>
        <w:tc>
          <w:tcPr>
            <w:tcW w:w="100" w:type="dxa"/>
            <w:vAlign w:val="bottom"/>
          </w:tcPr>
          <w:p>
            <w:pPr>
              <w:spacing w:after="0"/>
              <w:rPr>
                <w:sz w:val="14"/>
                <w:szCs w:val="14"/>
                <w:color w:val="auto"/>
              </w:rPr>
            </w:pPr>
          </w:p>
        </w:tc>
      </w:tr>
      <w:tr>
        <w:trPr>
          <w:trHeight w:val="235"/>
        </w:trPr>
        <w:tc>
          <w:tcPr>
            <w:tcW w:w="2520" w:type="dxa"/>
            <w:vAlign w:val="bottom"/>
          </w:tcPr>
          <w:p>
            <w:pPr>
              <w:spacing w:after="0"/>
              <w:rPr>
                <w:sz w:val="20"/>
                <w:szCs w:val="20"/>
                <w:color w:val="auto"/>
              </w:rPr>
            </w:pPr>
            <w:r>
              <w:rPr>
                <w:rFonts w:ascii="Arial" w:cs="Arial" w:eastAsia="Arial" w:hAnsi="Arial"/>
                <w:sz w:val="18"/>
                <w:szCs w:val="18"/>
                <w:color w:val="auto"/>
              </w:rPr>
              <w:t>Raw materials</w:t>
            </w:r>
          </w:p>
        </w:tc>
        <w:tc>
          <w:tcPr>
            <w:tcW w:w="3160" w:type="dxa"/>
            <w:vAlign w:val="bottom"/>
            <w:gridSpan w:val="5"/>
          </w:tcPr>
          <w:p>
            <w:pPr>
              <w:jc w:val="right"/>
              <w:spacing w:after="0"/>
              <w:rPr>
                <w:sz w:val="20"/>
                <w:szCs w:val="20"/>
                <w:color w:val="auto"/>
              </w:rPr>
            </w:pPr>
            <w:r>
              <w:rPr>
                <w:rFonts w:ascii="Arial" w:cs="Arial" w:eastAsia="Arial" w:hAnsi="Arial"/>
                <w:sz w:val="18"/>
                <w:szCs w:val="18"/>
                <w:color w:val="auto"/>
              </w:rPr>
              <w:t>$2,535</w:t>
            </w:r>
          </w:p>
        </w:tc>
        <w:tc>
          <w:tcPr>
            <w:tcW w:w="80" w:type="dxa"/>
            <w:vAlign w:val="bottom"/>
          </w:tcPr>
          <w:p>
            <w:pPr>
              <w:spacing w:after="0"/>
              <w:rPr>
                <w:sz w:val="20"/>
                <w:szCs w:val="20"/>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w w:val="98"/>
              </w:rPr>
              <w:t>$2,505</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Work in process</w:t>
            </w:r>
          </w:p>
        </w:tc>
        <w:tc>
          <w:tcPr>
            <w:tcW w:w="3160" w:type="dxa"/>
            <w:vAlign w:val="bottom"/>
            <w:gridSpan w:val="5"/>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252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3240" w:type="dxa"/>
            <w:vAlign w:val="bottom"/>
            <w:gridSpan w:val="6"/>
          </w:tcPr>
          <w:p>
            <w:pPr>
              <w:jc w:val="right"/>
              <w:ind w:right="80"/>
              <w:spacing w:after="0"/>
              <w:rPr>
                <w:sz w:val="20"/>
                <w:szCs w:val="20"/>
                <w:color w:val="auto"/>
              </w:rPr>
            </w:pPr>
            <w:r>
              <w:rPr>
                <w:rFonts w:ascii="Arial" w:cs="Arial" w:eastAsia="Arial" w:hAnsi="Arial"/>
                <w:sz w:val="18"/>
                <w:szCs w:val="18"/>
                <w:color w:val="auto"/>
              </w:rPr>
              <w:t>119</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129</w:t>
            </w:r>
          </w:p>
        </w:tc>
      </w:tr>
      <w:tr>
        <w:trPr>
          <w:trHeight w:val="205"/>
        </w:trPr>
        <w:tc>
          <w:tcPr>
            <w:tcW w:w="252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2720" w:type="dxa"/>
            <w:vAlign w:val="bottom"/>
            <w:gridSpan w:val="2"/>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571</w:t>
            </w:r>
          </w:p>
        </w:tc>
        <w:tc>
          <w:tcPr>
            <w:tcW w:w="8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729</w:t>
            </w:r>
          </w:p>
        </w:tc>
      </w:tr>
      <w:tr>
        <w:trPr>
          <w:trHeight w:val="223"/>
        </w:trPr>
        <w:tc>
          <w:tcPr>
            <w:tcW w:w="2520" w:type="dxa"/>
            <w:vAlign w:val="bottom"/>
          </w:tcPr>
          <w:p>
            <w:pPr>
              <w:spacing w:after="0"/>
              <w:rPr>
                <w:sz w:val="20"/>
                <w:szCs w:val="20"/>
                <w:color w:val="auto"/>
              </w:rPr>
            </w:pPr>
            <w:r>
              <w:rPr>
                <w:rFonts w:ascii="Arial" w:cs="Arial" w:eastAsia="Arial" w:hAnsi="Arial"/>
                <w:sz w:val="18"/>
                <w:szCs w:val="18"/>
                <w:color w:val="auto"/>
              </w:rPr>
              <w:t>Total inventories</w:t>
            </w:r>
          </w:p>
        </w:tc>
        <w:tc>
          <w:tcPr>
            <w:tcW w:w="31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3,520</w:t>
            </w:r>
          </w:p>
        </w:tc>
        <w:tc>
          <w:tcPr>
            <w:tcW w:w="8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3,769</w:t>
            </w:r>
          </w:p>
        </w:tc>
      </w:tr>
      <w:tr>
        <w:trPr>
          <w:trHeight w:val="464"/>
        </w:trPr>
        <w:tc>
          <w:tcPr>
            <w:tcW w:w="2520" w:type="dxa"/>
            <w:vAlign w:val="bottom"/>
          </w:tcPr>
          <w:p>
            <w:pPr>
              <w:spacing w:after="0"/>
              <w:rPr>
                <w:sz w:val="24"/>
                <w:szCs w:val="24"/>
                <w:color w:val="auto"/>
              </w:rPr>
            </w:pPr>
          </w:p>
        </w:tc>
        <w:tc>
          <w:tcPr>
            <w:tcW w:w="2680" w:type="dxa"/>
            <w:vAlign w:val="bottom"/>
          </w:tcPr>
          <w:p>
            <w:pPr>
              <w:ind w:left="420"/>
              <w:spacing w:after="0"/>
              <w:rPr>
                <w:sz w:val="20"/>
                <w:szCs w:val="20"/>
                <w:color w:val="auto"/>
              </w:rPr>
            </w:pPr>
            <w:r>
              <w:rPr>
                <w:rFonts w:ascii="Arial" w:cs="Arial" w:eastAsia="Arial" w:hAnsi="Arial"/>
                <w:sz w:val="18"/>
                <w:szCs w:val="18"/>
                <w:color w:val="auto"/>
              </w:rPr>
              <w:t>F - 13</w:t>
            </w:r>
          </w:p>
        </w:tc>
        <w:tc>
          <w:tcPr>
            <w:tcW w:w="480" w:type="dxa"/>
            <w:vAlign w:val="bottom"/>
            <w:tcBorders>
              <w:top w:val="single" w:sz="8" w:color="auto"/>
            </w:tcBorders>
            <w:gridSpan w:val="4"/>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87" w:orient="portrait"/>
          <w:cols w:equalWidth="0" w:num="1">
            <w:col w:w="11420"/>
          </w:cols>
          <w:pgMar w:left="240" w:top="361" w:right="23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CURRENT LIABILITIES</w:t>
      </w:r>
    </w:p>
    <w:p>
      <w:pPr>
        <w:sectPr>
          <w:pgSz w:w="11900" w:h="16887" w:orient="portrait"/>
          <w:cols w:equalWidth="0" w:num="1">
            <w:col w:w="11420"/>
          </w:cols>
          <w:pgMar w:left="240" w:top="361" w:right="239" w:bottom="0" w:gutter="0" w:footer="0" w:header="0"/>
          <w:type w:val="continuous"/>
        </w:sectPr>
      </w:pPr>
    </w:p>
    <w:bookmarkStart w:id="36" w:name="page37"/>
    <w:bookmarkEnd w:id="36"/>
    <w:p>
      <w:pPr>
        <w:ind w:left="540"/>
        <w:spacing w:after="0"/>
        <w:rPr>
          <w:sz w:val="20"/>
          <w:szCs w:val="20"/>
          <w:color w:val="auto"/>
        </w:rPr>
      </w:pPr>
      <w:r>
        <w:rPr>
          <w:rFonts w:ascii="Arial" w:cs="Arial" w:eastAsia="Arial" w:hAnsi="Arial"/>
          <w:sz w:val="18"/>
          <w:szCs w:val="18"/>
          <w:color w:val="auto"/>
        </w:rPr>
        <w:t>Other current liabilities at December 31 were comprised of the following:</w:t>
      </w:r>
    </w:p>
    <w:p>
      <w:pPr>
        <w:spacing w:after="0" w:line="262"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i w:val="1"/>
                <w:iCs w:val="1"/>
                <w:color w:val="auto"/>
                <w:w w:val="83"/>
              </w:rPr>
              <w:t>2014</w:t>
            </w:r>
          </w:p>
        </w:tc>
        <w:tc>
          <w:tcPr>
            <w:tcW w:w="80" w:type="dxa"/>
            <w:vAlign w:val="bottom"/>
          </w:tcPr>
          <w:p>
            <w:pPr>
              <w:spacing w:after="0"/>
              <w:rPr>
                <w:sz w:val="14"/>
                <w:szCs w:val="14"/>
                <w:color w:val="auto"/>
              </w:rPr>
            </w:pPr>
          </w:p>
        </w:tc>
      </w:tr>
      <w:tr>
        <w:trPr>
          <w:trHeight w:val="262"/>
        </w:trPr>
        <w:tc>
          <w:tcPr>
            <w:tcW w:w="5400" w:type="dxa"/>
            <w:vAlign w:val="bottom"/>
          </w:tcPr>
          <w:p>
            <w:pPr>
              <w:spacing w:after="0"/>
              <w:rPr>
                <w:sz w:val="20"/>
                <w:szCs w:val="20"/>
                <w:color w:val="auto"/>
              </w:rPr>
            </w:pPr>
            <w:r>
              <w:rPr>
                <w:rFonts w:ascii="Arial" w:cs="Arial" w:eastAsia="Arial" w:hAnsi="Arial"/>
                <w:sz w:val="18"/>
                <w:szCs w:val="18"/>
                <w:color w:val="auto"/>
              </w:rPr>
              <w:t>Deferred revenue and customer deposits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$173</w:t>
            </w:r>
          </w:p>
        </w:tc>
        <w:tc>
          <w:tcPr>
            <w:tcW w:w="440" w:type="dxa"/>
            <w:vAlign w:val="bottom"/>
            <w:gridSpan w:val="3"/>
          </w:tcPr>
          <w:p>
            <w:pPr>
              <w:ind w:left="360"/>
              <w:spacing w:after="0"/>
              <w:rPr>
                <w:sz w:val="20"/>
                <w:szCs w:val="20"/>
                <w:color w:val="auto"/>
              </w:rPr>
            </w:pPr>
            <w:r>
              <w:rPr>
                <w:rFonts w:ascii="Arial" w:cs="Arial" w:eastAsia="Arial" w:hAnsi="Arial"/>
                <w:sz w:val="15"/>
                <w:szCs w:val="15"/>
                <w:color w:val="auto"/>
                <w:w w:val="71"/>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Accrued warranty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118</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Domestic and foreign income taxes payable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5"/>
        </w:trPr>
        <w:tc>
          <w:tcPr>
            <w:tcW w:w="5400" w:type="dxa"/>
            <w:vAlign w:val="bottom"/>
          </w:tcPr>
          <w:p>
            <w:pPr>
              <w:spacing w:after="0" w:line="205" w:lineRule="exact"/>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74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65</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other current liabilities</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367</w:t>
            </w:r>
          </w:p>
        </w:tc>
        <w:tc>
          <w:tcPr>
            <w:tcW w:w="440" w:type="dxa"/>
            <w:vAlign w:val="bottom"/>
            <w:gridSpan w:val="3"/>
          </w:tcPr>
          <w:p>
            <w:pPr>
              <w:ind w:left="360"/>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79"/>
              </w:rPr>
              <w:t>275</w:t>
            </w:r>
          </w:p>
        </w:tc>
      </w:tr>
      <w:tr>
        <w:trPr>
          <w:trHeight w:val="20"/>
        </w:trPr>
        <w:tc>
          <w:tcPr>
            <w:tcW w:w="5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December 31, 2015 and 2014 consisted of the following:</w:t>
      </w:r>
    </w:p>
    <w:p>
      <w:pPr>
        <w:spacing w:after="0" w:line="19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7"/>
          </w:tcPr>
          <w:p>
            <w:pPr>
              <w:jc w:val="right"/>
              <w:ind w:right="260"/>
              <w:spacing w:after="0"/>
              <w:rPr>
                <w:sz w:val="20"/>
                <w:szCs w:val="20"/>
                <w:color w:val="auto"/>
              </w:rPr>
            </w:pPr>
            <w:r>
              <w:rPr>
                <w:rFonts w:ascii="Arial" w:cs="Arial" w:eastAsia="Arial" w:hAnsi="Arial"/>
                <w:sz w:val="14"/>
                <w:szCs w:val="14"/>
                <w:b w:val="1"/>
                <w:bCs w:val="1"/>
                <w:i w:val="1"/>
                <w:iCs w:val="1"/>
                <w:color w:val="auto"/>
                <w:w w:val="79"/>
              </w:rPr>
              <w:t>Letters of Credit</w:t>
            </w:r>
          </w:p>
        </w:tc>
      </w:tr>
      <w:tr>
        <w:trPr>
          <w:trHeight w:val="146"/>
        </w:trPr>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40" w:type="dxa"/>
            <w:vAlign w:val="bottom"/>
          </w:tcPr>
          <w:p>
            <w:pPr>
              <w:spacing w:after="0"/>
              <w:rPr>
                <w:sz w:val="12"/>
                <w:szCs w:val="12"/>
                <w:color w:val="auto"/>
              </w:rPr>
            </w:pPr>
          </w:p>
        </w:tc>
        <w:tc>
          <w:tcPr>
            <w:tcW w:w="92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8"/>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w w:val="81"/>
              </w:rPr>
              <w:t>Amount Outstanding</w:t>
            </w:r>
          </w:p>
        </w:tc>
      </w:tr>
      <w:tr>
        <w:trPr>
          <w:trHeight w:val="20"/>
        </w:trPr>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40" w:type="dxa"/>
            <w:vAlign w:val="bottom"/>
            <w:gridSpan w:val="3"/>
          </w:tcPr>
          <w:p>
            <w:pPr>
              <w:jc w:val="center"/>
              <w:ind w:left="439"/>
              <w:spacing w:after="0" w:line="158" w:lineRule="exact"/>
              <w:rPr>
                <w:sz w:val="20"/>
                <w:szCs w:val="20"/>
                <w:color w:val="auto"/>
              </w:rPr>
            </w:pPr>
            <w:r>
              <w:rPr>
                <w:rFonts w:ascii="Arial" w:cs="Arial" w:eastAsia="Arial" w:hAnsi="Arial"/>
                <w:sz w:val="14"/>
                <w:szCs w:val="14"/>
                <w:b w:val="1"/>
                <w:bCs w:val="1"/>
                <w:i w:val="1"/>
                <w:iCs w:val="1"/>
                <w:color w:val="auto"/>
                <w:w w:val="90"/>
              </w:rPr>
              <w:t>Original L/C</w:t>
            </w:r>
          </w:p>
        </w:tc>
        <w:tc>
          <w:tcPr>
            <w:tcW w:w="1120" w:type="dxa"/>
            <w:vAlign w:val="bottom"/>
            <w:gridSpan w:val="3"/>
          </w:tcPr>
          <w:p>
            <w:pPr>
              <w:jc w:val="center"/>
              <w:ind w:right="24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06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620" w:type="dxa"/>
            <w:vAlign w:val="bottom"/>
            <w:gridSpan w:val="5"/>
          </w:tcPr>
          <w:p>
            <w:pPr>
              <w:jc w:val="center"/>
              <w:spacing w:after="0" w:line="158" w:lineRule="exact"/>
              <w:rPr>
                <w:sz w:val="20"/>
                <w:szCs w:val="20"/>
                <w:color w:val="auto"/>
              </w:rPr>
            </w:pPr>
            <w:r>
              <w:rPr>
                <w:rFonts w:ascii="Arial" w:cs="Arial" w:eastAsia="Arial" w:hAnsi="Arial"/>
                <w:sz w:val="14"/>
                <w:szCs w:val="14"/>
                <w:b w:val="1"/>
                <w:bCs w:val="1"/>
                <w:i w:val="1"/>
                <w:iCs w:val="1"/>
                <w:color w:val="auto"/>
                <w:w w:val="85"/>
              </w:rPr>
              <w:t>Dec. 31</w:t>
            </w:r>
          </w:p>
        </w:tc>
        <w:tc>
          <w:tcPr>
            <w:tcW w:w="840" w:type="dxa"/>
            <w:vAlign w:val="bottom"/>
            <w:gridSpan w:val="5"/>
          </w:tcPr>
          <w:p>
            <w:pPr>
              <w:jc w:val="right"/>
              <w:ind w:right="40"/>
              <w:spacing w:after="0" w:line="158" w:lineRule="exact"/>
              <w:rPr>
                <w:sz w:val="20"/>
                <w:szCs w:val="20"/>
                <w:color w:val="auto"/>
              </w:rPr>
            </w:pPr>
            <w:r>
              <w:rPr>
                <w:rFonts w:ascii="Arial" w:cs="Arial" w:eastAsia="Arial" w:hAnsi="Arial"/>
                <w:sz w:val="14"/>
                <w:szCs w:val="14"/>
                <w:b w:val="1"/>
                <w:bCs w:val="1"/>
                <w:i w:val="1"/>
                <w:iCs w:val="1"/>
                <w:color w:val="auto"/>
              </w:rPr>
              <w:t>Dec. 31,</w:t>
            </w:r>
          </w:p>
        </w:tc>
      </w:tr>
      <w:tr>
        <w:trPr>
          <w:trHeight w:val="146"/>
        </w:trPr>
        <w:tc>
          <w:tcPr>
            <w:tcW w:w="4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i w:val="1"/>
                <w:iCs w:val="1"/>
                <w:color w:val="auto"/>
                <w:w w:val="86"/>
              </w:rPr>
              <w:t>Facility</w:t>
            </w:r>
          </w:p>
        </w:tc>
        <w:tc>
          <w:tcPr>
            <w:tcW w:w="1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2"/>
              </w:rPr>
              <w:t>Issue Date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92"/>
              </w:rPr>
              <w:t>Date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2014</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35"/>
        </w:trPr>
        <w:tc>
          <w:tcPr>
            <w:tcW w:w="190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1840" w:type="dxa"/>
            <w:vAlign w:val="bottom"/>
            <w:gridSpan w:val="3"/>
          </w:tcPr>
          <w:p>
            <w:pPr>
              <w:jc w:val="right"/>
              <w:ind w:right="140"/>
              <w:spacing w:after="0"/>
              <w:rPr>
                <w:sz w:val="20"/>
                <w:szCs w:val="20"/>
                <w:color w:val="auto"/>
              </w:rPr>
            </w:pPr>
            <w:r>
              <w:rPr>
                <w:rFonts w:ascii="Arial" w:cs="Arial" w:eastAsia="Arial" w:hAnsi="Arial"/>
                <w:sz w:val="18"/>
                <w:szCs w:val="18"/>
                <w:color w:val="auto"/>
              </w:rPr>
              <w:t>3/29/2010</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4/01/2016</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4/30/2021</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$250</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1900" w:type="dxa"/>
            <w:vAlign w:val="bottom"/>
            <w:gridSpan w:val="2"/>
          </w:tcPr>
          <w:p>
            <w:pPr>
              <w:spacing w:after="0" w:line="205" w:lineRule="exact"/>
              <w:rPr>
                <w:sz w:val="20"/>
                <w:szCs w:val="20"/>
                <w:color w:val="auto"/>
              </w:rPr>
            </w:pPr>
            <w:r>
              <w:rPr>
                <w:rFonts w:ascii="Arial" w:cs="Arial" w:eastAsia="Arial" w:hAnsi="Arial"/>
                <w:sz w:val="18"/>
                <w:szCs w:val="18"/>
                <w:color w:val="auto"/>
              </w:rPr>
              <w:t>Mansfield, MA</w:t>
            </w:r>
          </w:p>
        </w:tc>
        <w:tc>
          <w:tcPr>
            <w:tcW w:w="184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10/27/2010</w:t>
            </w:r>
          </w:p>
        </w:tc>
        <w:tc>
          <w:tcPr>
            <w:tcW w:w="1120" w:type="dxa"/>
            <w:vAlign w:val="bottom"/>
            <w:gridSpan w:val="3"/>
          </w:tcPr>
          <w:p>
            <w:pPr>
              <w:jc w:val="right"/>
              <w:ind w:right="120"/>
              <w:spacing w:after="0" w:line="205" w:lineRule="exact"/>
              <w:rPr>
                <w:sz w:val="20"/>
                <w:szCs w:val="20"/>
                <w:color w:val="auto"/>
              </w:rPr>
            </w:pPr>
            <w:r>
              <w:rPr>
                <w:rFonts w:ascii="Arial" w:cs="Arial" w:eastAsia="Arial" w:hAnsi="Arial"/>
                <w:sz w:val="18"/>
                <w:szCs w:val="18"/>
                <w:color w:val="auto"/>
              </w:rPr>
              <w:t>11/08/2016</w:t>
            </w:r>
          </w:p>
        </w:tc>
        <w:tc>
          <w:tcPr>
            <w:tcW w:w="1060" w:type="dxa"/>
            <w:vAlign w:val="bottom"/>
            <w:gridSpan w:val="3"/>
          </w:tcPr>
          <w:p>
            <w:pPr>
              <w:jc w:val="right"/>
              <w:ind w:right="140"/>
              <w:spacing w:after="0" w:line="205" w:lineRule="exact"/>
              <w:rPr>
                <w:sz w:val="20"/>
                <w:szCs w:val="20"/>
                <w:color w:val="auto"/>
              </w:rPr>
            </w:pPr>
            <w:r>
              <w:rPr>
                <w:rFonts w:ascii="Arial" w:cs="Arial" w:eastAsia="Arial" w:hAnsi="Arial"/>
                <w:sz w:val="18"/>
                <w:szCs w:val="18"/>
                <w:color w:val="auto"/>
              </w:rPr>
              <w:t>8/31/2021</w:t>
            </w:r>
          </w:p>
        </w:tc>
        <w:tc>
          <w:tcPr>
            <w:tcW w:w="320" w:type="dxa"/>
            <w:vAlign w:val="bottom"/>
            <w:gridSpan w:val="3"/>
          </w:tcPr>
          <w:p>
            <w:pPr>
              <w:spacing w:after="0"/>
              <w:rPr>
                <w:sz w:val="17"/>
                <w:szCs w:val="17"/>
                <w:color w:val="auto"/>
              </w:rPr>
            </w:pPr>
          </w:p>
        </w:tc>
        <w:tc>
          <w:tcPr>
            <w:tcW w:w="3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93"/>
              </w:rPr>
              <w:t>100</w:t>
            </w:r>
          </w:p>
        </w:tc>
        <w:tc>
          <w:tcPr>
            <w:tcW w:w="520" w:type="dxa"/>
            <w:vAlign w:val="bottom"/>
            <w:gridSpan w:val="2"/>
          </w:tcPr>
          <w:p>
            <w:pPr>
              <w:spacing w:after="0"/>
              <w:rPr>
                <w:sz w:val="17"/>
                <w:szCs w:val="17"/>
                <w:color w:val="auto"/>
              </w:rPr>
            </w:pPr>
          </w:p>
        </w:tc>
        <w:tc>
          <w:tcPr>
            <w:tcW w:w="32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9"/>
              </w:rPr>
              <w:t>100</w:t>
            </w:r>
          </w:p>
        </w:tc>
      </w:tr>
      <w:tr>
        <w:trPr>
          <w:trHeight w:val="223"/>
        </w:trPr>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c>
          <w:tcPr>
            <w:tcW w:w="8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20"/>
        </w:trPr>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EQUIPMENT LEASING</w:t>
      </w:r>
    </w:p>
    <w:p>
      <w:pPr>
        <w:spacing w:after="0" w:line="191"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The total cost of leased equipment at December 31, 2015 and 2014 was $338 and $692, respectively, and is included in Machinery and Equipment on our balance sheet. As of December 31, 2015 and 2014, accumulated depreciation for leased equipment was $124 and $167, respectively.</w:t>
      </w:r>
    </w:p>
    <w:p>
      <w:pPr>
        <w:spacing w:after="0" w:line="1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As of December 31, 2015, total minimum payments receivable under non-cancellable operating leases were $55. All of these payments will be received in 2016.</w:t>
      </w:r>
    </w:p>
    <w:p>
      <w:pPr>
        <w:spacing w:after="0" w:line="356" w:lineRule="exact"/>
        <w:rPr>
          <w:sz w:val="20"/>
          <w:szCs w:val="20"/>
          <w:color w:val="auto"/>
        </w:rPr>
      </w:pPr>
    </w:p>
    <w:p>
      <w:pPr>
        <w:ind w:left="540" w:right="7700" w:hanging="532"/>
        <w:spacing w:after="0" w:line="478" w:lineRule="auto"/>
        <w:tabs>
          <w:tab w:leader="none" w:pos="33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lease our offices, warehouse facilities and certain equipment under non-cancellable operating leases which expire at various dates through 2021. Total rental expense for the years ended December 31, 2015 and 2014 was $1,351 and $1,307,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- 14</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COMMITMENTS AND CONTINGENCIES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warehouse facilities require us to pay our portion of the common area maintenance, property taxes and insurance charges incurred by the landlord for the facilities which we occupy. These amounts are not included in the minimum rental commitments disclosed below as they are based on actual charges incurred in the periods to which they apply.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minimum rental commitments under the non-cancellable operating leases in effect at December 31, 2015 are as follows:</w:t>
      </w:r>
    </w:p>
    <w:p>
      <w:pPr>
        <w:spacing w:after="0" w:line="239" w:lineRule="exact"/>
        <w:rPr>
          <w:sz w:val="20"/>
          <w:szCs w:val="20"/>
          <w:color w:val="auto"/>
        </w:rPr>
      </w:pPr>
    </w:p>
    <w:tbl>
      <w:tblPr>
        <w:tblLayout w:type="fixed"/>
        <w:tblInd w:w="2860" w:type="dxa"/>
        <w:tblCellMar>
          <w:top w:w="0" w:type="dxa"/>
          <w:left w:w="0" w:type="dxa"/>
          <w:bottom w:w="0" w:type="dxa"/>
          <w:right w:w="0" w:type="dxa"/>
        </w:tblCellMar>
      </w:tblP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$1,149</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2018</w:t>
            </w:r>
          </w:p>
        </w:tc>
        <w:tc>
          <w:tcPr>
            <w:tcW w:w="4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05"/>
        </w:trPr>
        <w:tc>
          <w:tcPr>
            <w:tcW w:w="5240" w:type="dxa"/>
            <w:vAlign w:val="bottom"/>
          </w:tcPr>
          <w:p>
            <w:pPr>
              <w:spacing w:after="0" w:line="205" w:lineRule="exact"/>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5,772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91" w:lineRule="exact"/>
        <w:rPr>
          <w:sz w:val="20"/>
          <w:szCs w:val="20"/>
          <w:color w:val="auto"/>
        </w:rPr>
      </w:pPr>
    </w:p>
    <w:p>
      <w:pPr>
        <w:ind w:left="540" w:right="120"/>
        <w:spacing w:after="0" w:line="332" w:lineRule="auto"/>
        <w:rPr>
          <w:sz w:val="20"/>
          <w:szCs w:val="20"/>
          <w:color w:val="auto"/>
        </w:rPr>
      </w:pPr>
      <w:r>
        <w:rPr>
          <w:rFonts w:ascii="Arial" w:cs="Arial" w:eastAsia="Arial" w:hAnsi="Arial"/>
          <w:sz w:val="16"/>
          <w:szCs w:val="16"/>
          <w:color w:val="auto"/>
        </w:rPr>
        <w:t>We are subject to Federal and certain state income taxes. In addition, we are taxed in certain foreign countries. As of December 31, 2015 and 2014, there were no cumulative undistributed earnings of our foreign subsidiaries for which U.S. income taxes have not been provided.</w:t>
      </w:r>
    </w:p>
    <w:p>
      <w:pPr>
        <w:sectPr>
          <w:pgSz w:w="11900" w:h="16838" w:orient="portrait"/>
          <w:cols w:equalWidth="0" w:num="1">
            <w:col w:w="11400"/>
          </w:cols>
          <w:pgMar w:left="240" w:top="131" w:right="259" w:bottom="0" w:gutter="0" w:footer="0" w:header="0"/>
        </w:sectPr>
      </w:pPr>
    </w:p>
    <w:bookmarkStart w:id="37" w:name="page38"/>
    <w:bookmarkEnd w:id="37"/>
    <w:p>
      <w:pPr>
        <w:spacing w:after="0" w:line="9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before income taxes was as follows:</w:t>
      </w:r>
    </w:p>
    <w:p>
      <w:pPr>
        <w:spacing w:after="0" w:line="236" w:lineRule="exact"/>
        <w:rPr>
          <w:sz w:val="20"/>
          <w:szCs w:val="20"/>
          <w:color w:val="auto"/>
        </w:rPr>
      </w:pPr>
    </w:p>
    <w:p>
      <w:pPr>
        <w:ind w:left="7800"/>
        <w:spacing w:after="0"/>
        <w:rPr>
          <w:sz w:val="20"/>
          <w:szCs w:val="20"/>
          <w:color w:val="auto"/>
        </w:rPr>
      </w:pPr>
      <w:r>
        <w:rPr>
          <w:rFonts w:ascii="Arial" w:cs="Arial" w:eastAsia="Arial" w:hAnsi="Arial"/>
          <w:sz w:val="14"/>
          <w:szCs w:val="14"/>
          <w:b w:val="1"/>
          <w:bCs w:val="1"/>
          <w:i w:val="1"/>
          <w:iCs w:val="1"/>
          <w:color w:val="auto"/>
        </w:rPr>
        <w:t>Years Ended</w:t>
      </w:r>
    </w:p>
    <w:p>
      <w:pPr>
        <w:ind w:left="776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2580" w:type="dxa"/>
        <w:tblCellMar>
          <w:top w:w="0" w:type="dxa"/>
          <w:left w:w="0" w:type="dxa"/>
          <w:bottom w:w="0" w:type="dxa"/>
          <w:right w:w="0" w:type="dxa"/>
        </w:tblCellMar>
      </w:tblPr>
      <w:tr>
        <w:trPr>
          <w:trHeight w:val="148"/>
        </w:trPr>
        <w:tc>
          <w:tcPr>
            <w:tcW w:w="500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w w:val="96"/>
              </w:rPr>
              <w:t>2015</w:t>
            </w:r>
          </w:p>
        </w:tc>
        <w:tc>
          <w:tcPr>
            <w:tcW w:w="160" w:type="dxa"/>
            <w:vAlign w:val="bottom"/>
          </w:tcPr>
          <w:p>
            <w:pPr>
              <w:spacing w:after="0"/>
              <w:rPr>
                <w:sz w:val="12"/>
                <w:szCs w:val="12"/>
                <w:color w:val="auto"/>
              </w:rPr>
            </w:pPr>
          </w:p>
        </w:tc>
        <w:tc>
          <w:tcPr>
            <w:tcW w:w="74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i w:val="1"/>
                <w:iCs w:val="1"/>
                <w:color w:val="auto"/>
              </w:rPr>
              <w:t>2014</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5"/>
        </w:trPr>
        <w:tc>
          <w:tcPr>
            <w:tcW w:w="5000" w:type="dxa"/>
            <w:vAlign w:val="bottom"/>
          </w:tcPr>
          <w:p>
            <w:pPr>
              <w:spacing w:after="0"/>
              <w:rPr>
                <w:sz w:val="20"/>
                <w:szCs w:val="20"/>
                <w:color w:val="auto"/>
              </w:rPr>
            </w:pPr>
            <w:r>
              <w:rPr>
                <w:rFonts w:ascii="Arial" w:cs="Arial" w:eastAsia="Arial" w:hAnsi="Arial"/>
                <w:sz w:val="18"/>
                <w:szCs w:val="18"/>
                <w:color w:val="auto"/>
              </w:rPr>
              <w:t>Domestic</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$1,868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$4,061</w:t>
            </w:r>
          </w:p>
        </w:tc>
      </w:tr>
      <w:tr>
        <w:trPr>
          <w:trHeight w:val="205"/>
        </w:trPr>
        <w:tc>
          <w:tcPr>
            <w:tcW w:w="50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4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715</w:t>
            </w:r>
          </w:p>
        </w:tc>
        <w:tc>
          <w:tcPr>
            <w:tcW w:w="320" w:type="dxa"/>
            <w:vAlign w:val="bottom"/>
            <w:gridSpan w:val="2"/>
          </w:tcPr>
          <w:p>
            <w:pPr>
              <w:spacing w:after="0"/>
              <w:rPr>
                <w:sz w:val="17"/>
                <w:szCs w:val="17"/>
                <w:color w:val="auto"/>
              </w:rPr>
            </w:pPr>
          </w:p>
        </w:tc>
        <w:tc>
          <w:tcPr>
            <w:tcW w:w="4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848</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2,583</w:t>
            </w:r>
          </w:p>
        </w:tc>
        <w:tc>
          <w:tcPr>
            <w:tcW w:w="260" w:type="dxa"/>
            <w:vAlign w:val="bottom"/>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4,909</w:t>
            </w: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Income tax expense (benefit) was as follows:</w:t>
      </w:r>
    </w:p>
    <w:p>
      <w:pPr>
        <w:spacing w:after="0" w:line="236" w:lineRule="exact"/>
        <w:rPr>
          <w:sz w:val="20"/>
          <w:szCs w:val="20"/>
          <w:color w:val="auto"/>
        </w:rPr>
      </w:pPr>
    </w:p>
    <w:p>
      <w:pPr>
        <w:ind w:left="7800"/>
        <w:spacing w:after="0"/>
        <w:rPr>
          <w:sz w:val="20"/>
          <w:szCs w:val="20"/>
          <w:color w:val="auto"/>
        </w:rPr>
      </w:pPr>
      <w:r>
        <w:rPr>
          <w:rFonts w:ascii="Arial" w:cs="Arial" w:eastAsia="Arial" w:hAnsi="Arial"/>
          <w:sz w:val="14"/>
          <w:szCs w:val="14"/>
          <w:b w:val="1"/>
          <w:bCs w:val="1"/>
          <w:i w:val="1"/>
          <w:iCs w:val="1"/>
          <w:color w:val="auto"/>
        </w:rPr>
        <w:t>Years Ended</w:t>
      </w:r>
    </w:p>
    <w:p>
      <w:pPr>
        <w:ind w:left="776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2620" w:type="dxa"/>
        <w:tblCellMar>
          <w:top w:w="0" w:type="dxa"/>
          <w:left w:w="0" w:type="dxa"/>
          <w:bottom w:w="0" w:type="dxa"/>
          <w:right w:w="0" w:type="dxa"/>
        </w:tblCellMar>
      </w:tblPr>
      <w:tr>
        <w:trPr>
          <w:trHeight w:val="148"/>
        </w:trPr>
        <w:tc>
          <w:tcPr>
            <w:tcW w:w="5040" w:type="dxa"/>
            <w:vAlign w:val="bottom"/>
          </w:tcPr>
          <w:p>
            <w:pPr>
              <w:spacing w:after="0"/>
              <w:rPr>
                <w:sz w:val="12"/>
                <w:szCs w:val="12"/>
                <w:color w:val="auto"/>
              </w:rPr>
            </w:pP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w w:val="89"/>
              </w:rPr>
              <w:t>2014</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Current</w:t>
            </w: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523</w:t>
            </w:r>
          </w:p>
        </w:tc>
        <w:tc>
          <w:tcPr>
            <w:tcW w:w="24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1,073</w:t>
            </w:r>
          </w:p>
        </w:tc>
        <w:tc>
          <w:tcPr>
            <w:tcW w:w="40" w:type="dxa"/>
            <w:vAlign w:val="bottom"/>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r>
      <w:tr>
        <w:trPr>
          <w:trHeight w:val="205"/>
        </w:trPr>
        <w:tc>
          <w:tcPr>
            <w:tcW w:w="5040" w:type="dxa"/>
            <w:vAlign w:val="bottom"/>
          </w:tcPr>
          <w:p>
            <w:pPr>
              <w:ind w:left="180"/>
              <w:spacing w:after="0" w:line="205" w:lineRule="exact"/>
              <w:rPr>
                <w:sz w:val="20"/>
                <w:szCs w:val="20"/>
                <w:color w:val="auto"/>
              </w:rPr>
            </w:pPr>
            <w:r>
              <w:rPr>
                <w:rFonts w:ascii="Arial" w:cs="Arial" w:eastAsia="Arial" w:hAnsi="Arial"/>
                <w:sz w:val="18"/>
                <w:szCs w:val="18"/>
                <w:color w:val="auto"/>
              </w:rPr>
              <w:t>Foreign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180"/>
              <w:spacing w:after="0" w:line="205" w:lineRule="exact"/>
              <w:rPr>
                <w:sz w:val="20"/>
                <w:szCs w:val="20"/>
                <w:color w:val="auto"/>
              </w:rPr>
            </w:pPr>
            <w:r>
              <w:rPr>
                <w:rFonts w:ascii="Arial" w:cs="Arial" w:eastAsia="Arial" w:hAnsi="Arial"/>
                <w:sz w:val="18"/>
                <w:szCs w:val="18"/>
                <w:color w:val="auto"/>
                <w:w w:val="99"/>
              </w:rPr>
              <w:t>(14)</w:t>
            </w:r>
          </w:p>
        </w:tc>
        <w:tc>
          <w:tcPr>
            <w:tcW w:w="4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554</w:t>
            </w:r>
          </w:p>
        </w:tc>
        <w:tc>
          <w:tcPr>
            <w:tcW w:w="2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1,152</w:t>
            </w:r>
          </w:p>
        </w:tc>
        <w:tc>
          <w:tcPr>
            <w:tcW w:w="40" w:type="dxa"/>
            <w:vAlign w:val="bottom"/>
          </w:tcPr>
          <w:p>
            <w:pPr>
              <w:spacing w:after="0"/>
              <w:rPr>
                <w:sz w:val="19"/>
                <w:szCs w:val="19"/>
                <w:color w:val="auto"/>
              </w:rPr>
            </w:pPr>
          </w:p>
        </w:tc>
      </w:tr>
      <w:tr>
        <w:trPr>
          <w:trHeight w:val="262"/>
        </w:trPr>
        <w:tc>
          <w:tcPr>
            <w:tcW w:w="5040" w:type="dxa"/>
            <w:vAlign w:val="bottom"/>
          </w:tcPr>
          <w:p>
            <w:pPr>
              <w:spacing w:after="0"/>
              <w:rPr>
                <w:sz w:val="20"/>
                <w:szCs w:val="20"/>
                <w:color w:val="auto"/>
              </w:rPr>
            </w:pPr>
            <w:r>
              <w:rPr>
                <w:rFonts w:ascii="Arial" w:cs="Arial" w:eastAsia="Arial" w:hAnsi="Arial"/>
                <w:sz w:val="18"/>
                <w:szCs w:val="18"/>
                <w:color w:val="auto"/>
              </w:rPr>
              <w:t>Deferred</w:t>
            </w: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21"/>
                <w:szCs w:val="21"/>
                <w:color w:val="auto"/>
              </w:rPr>
            </w:pPr>
          </w:p>
        </w:tc>
      </w:tr>
      <w:tr>
        <w:trPr>
          <w:trHeight w:val="205"/>
        </w:trPr>
        <w:tc>
          <w:tcPr>
            <w:tcW w:w="5040" w:type="dxa"/>
            <w:vAlign w:val="bottom"/>
          </w:tcPr>
          <w:p>
            <w:pPr>
              <w:ind w:left="180"/>
              <w:spacing w:after="0" w:line="205" w:lineRule="exact"/>
              <w:rPr>
                <w:sz w:val="20"/>
                <w:szCs w:val="20"/>
                <w:color w:val="auto"/>
              </w:rPr>
            </w:pPr>
            <w:r>
              <w:rPr>
                <w:rFonts w:ascii="Arial" w:cs="Arial" w:eastAsia="Arial" w:hAnsi="Arial"/>
                <w:sz w:val="18"/>
                <w:szCs w:val="18"/>
                <w:color w:val="auto"/>
              </w:rPr>
              <w:t>Foreign</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86"/>
              </w:rPr>
              <w:t>165</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9"/>
              </w:rPr>
              <w:t>(339)</w:t>
            </w: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168</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722</w:t>
            </w:r>
          </w:p>
        </w:tc>
        <w:tc>
          <w:tcPr>
            <w:tcW w:w="2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1,470</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50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2015 and 2014:</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i w:val="1"/>
                <w:iCs w:val="1"/>
                <w:color w:val="auto"/>
                <w:w w:val="83"/>
              </w:rPr>
              <w:t>December 31,</w:t>
            </w:r>
          </w:p>
        </w:tc>
        <w:tc>
          <w:tcPr>
            <w:tcW w:w="2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4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vMerge w:val="restart"/>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0"/>
              </w:rPr>
              <w:t>2015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0"/>
              </w:rPr>
              <w:t>2014</w:t>
            </w: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56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4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4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operating loss ("NOL") (state and foreign)</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Tax credit carryforwards (foreign, research and AMT)</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10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640" w:type="dxa"/>
            <w:vAlign w:val="bottom"/>
          </w:tcPr>
          <w:p>
            <w:pPr>
              <w:ind w:left="180"/>
              <w:spacing w:after="0" w:line="205"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6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2"/>
                <w:szCs w:val="22"/>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1,564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1,852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line="205" w:lineRule="exact"/>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7"/>
                <w:szCs w:val="17"/>
                <w:color w:val="auto"/>
              </w:rPr>
            </w:pPr>
          </w:p>
        </w:tc>
        <w:tc>
          <w:tcPr>
            <w:tcW w:w="560" w:type="dxa"/>
            <w:vAlign w:val="bottom"/>
            <w:gridSpan w:val="6"/>
          </w:tcPr>
          <w:p>
            <w:pPr>
              <w:jc w:val="right"/>
              <w:ind w:right="120"/>
              <w:spacing w:after="0" w:line="205"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5"/>
          </w:tcPr>
          <w:p>
            <w:pPr>
              <w:jc w:val="right"/>
              <w:spacing w:after="0" w:line="205"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1,549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1,752</w:t>
            </w: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100" w:type="dxa"/>
            <w:vAlign w:val="bottom"/>
          </w:tcPr>
          <w:p>
            <w:pPr>
              <w:spacing w:after="0"/>
              <w:rPr>
                <w:sz w:val="21"/>
                <w:szCs w:val="21"/>
                <w:color w:val="auto"/>
              </w:rPr>
            </w:pPr>
          </w:p>
        </w:tc>
        <w:tc>
          <w:tcPr>
            <w:tcW w:w="560" w:type="dxa"/>
            <w:vAlign w:val="bottom"/>
            <w:gridSpan w:val="6"/>
          </w:tcPr>
          <w:p>
            <w:pPr>
              <w:jc w:val="right"/>
              <w:ind w:right="120"/>
              <w:spacing w:after="0"/>
              <w:rPr>
                <w:sz w:val="20"/>
                <w:szCs w:val="20"/>
                <w:color w:val="auto"/>
              </w:rPr>
            </w:pPr>
            <w:r>
              <w:rPr>
                <w:rFonts w:ascii="Arial" w:cs="Arial" w:eastAsia="Arial" w:hAnsi="Arial"/>
                <w:sz w:val="18"/>
                <w:szCs w:val="18"/>
                <w:color w:val="auto"/>
                <w:w w:val="99"/>
              </w:rPr>
              <w:t>(222)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99"/>
              </w:rPr>
              <w:t>(232)</w:t>
            </w:r>
          </w:p>
        </w:tc>
        <w:tc>
          <w:tcPr>
            <w:tcW w:w="0" w:type="dxa"/>
            <w:vAlign w:val="bottom"/>
          </w:tcPr>
          <w:p>
            <w:pPr>
              <w:spacing w:after="0"/>
              <w:rPr>
                <w:sz w:val="1"/>
                <w:szCs w:val="1"/>
                <w:color w:val="auto"/>
              </w:rPr>
            </w:pPr>
          </w:p>
        </w:tc>
      </w:tr>
      <w:tr>
        <w:trPr>
          <w:trHeight w:val="205"/>
        </w:trPr>
        <w:tc>
          <w:tcPr>
            <w:tcW w:w="5640" w:type="dxa"/>
            <w:vAlign w:val="bottom"/>
          </w:tcPr>
          <w:p>
            <w:pPr>
              <w:ind w:left="180"/>
              <w:spacing w:after="0" w:line="205" w:lineRule="exact"/>
              <w:rPr>
                <w:sz w:val="20"/>
                <w:szCs w:val="20"/>
                <w:color w:val="auto"/>
              </w:rPr>
            </w:pPr>
            <w:r>
              <w:rPr>
                <w:rFonts w:ascii="Arial" w:cs="Arial" w:eastAsia="Arial" w:hAnsi="Arial"/>
                <w:sz w:val="18"/>
                <w:szCs w:val="18"/>
                <w:color w:val="auto"/>
              </w:rPr>
              <w:t>Unremitted earnings of foreign subsidiaries</w:t>
            </w:r>
          </w:p>
        </w:tc>
        <w:tc>
          <w:tcPr>
            <w:tcW w:w="100" w:type="dxa"/>
            <w:vAlign w:val="bottom"/>
          </w:tcPr>
          <w:p>
            <w:pPr>
              <w:spacing w:after="0"/>
              <w:rPr>
                <w:sz w:val="17"/>
                <w:szCs w:val="17"/>
                <w:color w:val="auto"/>
              </w:rPr>
            </w:pPr>
          </w:p>
        </w:tc>
        <w:tc>
          <w:tcPr>
            <w:tcW w:w="560" w:type="dxa"/>
            <w:vAlign w:val="bottom"/>
            <w:gridSpan w:val="6"/>
          </w:tcPr>
          <w:p>
            <w:pPr>
              <w:jc w:val="right"/>
              <w:ind w:right="120"/>
              <w:spacing w:after="0" w:line="205" w:lineRule="exact"/>
              <w:rPr>
                <w:sz w:val="20"/>
                <w:szCs w:val="20"/>
                <w:color w:val="auto"/>
              </w:rPr>
            </w:pPr>
            <w:r>
              <w:rPr>
                <w:rFonts w:ascii="Arial" w:cs="Arial" w:eastAsia="Arial" w:hAnsi="Arial"/>
                <w:sz w:val="18"/>
                <w:szCs w:val="18"/>
                <w:color w:val="auto"/>
              </w:rPr>
              <w:t>(82)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5"/>
          </w:tcPr>
          <w:p>
            <w:pPr>
              <w:jc w:val="right"/>
              <w:spacing w:after="0" w:line="205"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9"/>
                <w:szCs w:val="19"/>
                <w:color w:val="auto"/>
              </w:rPr>
            </w:pPr>
          </w:p>
        </w:tc>
        <w:tc>
          <w:tcPr>
            <w:tcW w:w="560" w:type="dxa"/>
            <w:vAlign w:val="bottom"/>
            <w:gridSpan w:val="6"/>
          </w:tcPr>
          <w:p>
            <w:pPr>
              <w:jc w:val="right"/>
              <w:ind w:right="120"/>
              <w:spacing w:after="0"/>
              <w:rPr>
                <w:sz w:val="20"/>
                <w:szCs w:val="20"/>
                <w:color w:val="auto"/>
              </w:rPr>
            </w:pPr>
            <w:r>
              <w:rPr>
                <w:rFonts w:ascii="Arial" w:cs="Arial" w:eastAsia="Arial" w:hAnsi="Arial"/>
                <w:sz w:val="18"/>
                <w:szCs w:val="18"/>
                <w:color w:val="auto"/>
                <w:w w:val="99"/>
              </w:rPr>
              <w:t>(304)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99"/>
              </w:rPr>
              <w:t>(339)</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1,245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1,413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net change in the valuation allowance for the years ended December 31, 2015 and 2014 were decreases of $85 and $187,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2035.</w:t>
      </w:r>
    </w:p>
    <w:p>
      <w:pPr>
        <w:spacing w:after="0" w:line="174"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2015 and 2014 and a reconciliation from the expected statutory rate of 34% is as follows:</w:t>
      </w:r>
    </w:p>
    <w:p>
      <w:pPr>
        <w:spacing w:after="0" w:line="197" w:lineRule="exact"/>
        <w:rPr>
          <w:sz w:val="20"/>
          <w:szCs w:val="20"/>
          <w:color w:val="auto"/>
        </w:rPr>
      </w:pPr>
    </w:p>
    <w:p>
      <w:pPr>
        <w:ind w:left="8300"/>
        <w:spacing w:after="0"/>
        <w:rPr>
          <w:sz w:val="20"/>
          <w:szCs w:val="20"/>
          <w:color w:val="auto"/>
        </w:rPr>
      </w:pPr>
      <w:r>
        <w:rPr>
          <w:rFonts w:ascii="Arial" w:cs="Arial" w:eastAsia="Arial" w:hAnsi="Arial"/>
          <w:sz w:val="14"/>
          <w:szCs w:val="14"/>
          <w:b w:val="1"/>
          <w:bCs w:val="1"/>
          <w:i w:val="1"/>
          <w:iCs w:val="1"/>
          <w:color w:val="auto"/>
        </w:rPr>
        <w:t>Years Ended</w:t>
      </w:r>
    </w:p>
    <w:p>
      <w:pPr>
        <w:ind w:left="82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3" w:lineRule="exact"/>
        <w:rPr>
          <w:sz w:val="20"/>
          <w:szCs w:val="20"/>
          <w:color w:val="auto"/>
        </w:rPr>
      </w:pPr>
    </w:p>
    <w:p>
      <w:pPr>
        <w:ind w:left="8200"/>
        <w:spacing w:after="0"/>
        <w:tabs>
          <w:tab w:leader="none" w:pos="8760" w:val="left"/>
        </w:tabs>
        <w:rPr>
          <w:sz w:val="20"/>
          <w:szCs w:val="20"/>
          <w:color w:val="auto"/>
        </w:rPr>
      </w:pPr>
      <w:r>
        <w:rPr>
          <w:rFonts w:ascii="Arial" w:cs="Arial" w:eastAsia="Arial" w:hAnsi="Arial"/>
          <w:sz w:val="14"/>
          <w:szCs w:val="14"/>
          <w:b w:val="1"/>
          <w:bCs w:val="1"/>
          <w:i w:val="1"/>
          <w:iCs w:val="1"/>
          <w:u w:val="single" w:color="auto"/>
          <w:color w:val="auto"/>
        </w:rPr>
        <w:t>2015</w:t>
      </w:r>
      <w:r>
        <w:rPr>
          <w:sz w:val="20"/>
          <w:szCs w:val="20"/>
          <w:color w:val="auto"/>
        </w:rPr>
        <w:tab/>
      </w:r>
      <w:r>
        <w:rPr>
          <w:rFonts w:ascii="Arial" w:cs="Arial" w:eastAsia="Arial" w:hAnsi="Arial"/>
          <w:sz w:val="14"/>
          <w:szCs w:val="14"/>
          <w:b w:val="1"/>
          <w:bCs w:val="1"/>
          <w:i w:val="1"/>
          <w:iCs w:val="1"/>
          <w:u w:val="single" w:color="auto"/>
          <w:color w:val="auto"/>
        </w:rPr>
        <w:t>2014</w:t>
      </w:r>
    </w:p>
    <w:p>
      <w:pPr>
        <w:sectPr>
          <w:pgSz w:w="11900" w:h="16934" w:orient="portrait"/>
          <w:cols w:equalWidth="0" w:num="1">
            <w:col w:w="11420"/>
          </w:cols>
          <w:pgMar w:left="240" w:top="347" w:right="239" w:bottom="0" w:gutter="0" w:footer="0" w:header="0"/>
        </w:sectPr>
      </w:pPr>
    </w:p>
    <w:p>
      <w:pPr>
        <w:spacing w:after="0" w:line="17" w:lineRule="exact"/>
        <w:rPr>
          <w:sz w:val="20"/>
          <w:szCs w:val="20"/>
          <w:color w:val="auto"/>
        </w:rPr>
      </w:pPr>
    </w:p>
    <w:p>
      <w:pPr>
        <w:ind w:left="2200"/>
        <w:spacing w:after="0"/>
        <w:tabs>
          <w:tab w:leader="none" w:pos="8140" w:val="left"/>
          <w:tab w:leader="none" w:pos="8680" w:val="left"/>
        </w:tabs>
        <w:rPr>
          <w:sz w:val="20"/>
          <w:szCs w:val="20"/>
          <w:color w:val="auto"/>
        </w:rPr>
      </w:pPr>
      <w:r>
        <w:rPr>
          <w:rFonts w:ascii="Arial" w:cs="Arial" w:eastAsia="Arial" w:hAnsi="Arial"/>
          <w:sz w:val="18"/>
          <w:szCs w:val="18"/>
          <w:color w:val="auto"/>
        </w:rPr>
        <w:t>Expected income tax provision at U.S. statutory rate</w:t>
      </w:r>
      <w:r>
        <w:rPr>
          <w:sz w:val="20"/>
          <w:szCs w:val="20"/>
          <w:color w:val="auto"/>
        </w:rPr>
        <w:tab/>
      </w:r>
      <w:r>
        <w:rPr>
          <w:rFonts w:ascii="Arial" w:cs="Arial" w:eastAsia="Arial" w:hAnsi="Arial"/>
          <w:sz w:val="18"/>
          <w:szCs w:val="18"/>
          <w:color w:val="auto"/>
        </w:rPr>
        <w:t>$ 878</w:t>
      </w:r>
      <w:r>
        <w:rPr>
          <w:sz w:val="20"/>
          <w:szCs w:val="20"/>
          <w:color w:val="auto"/>
        </w:rPr>
        <w:tab/>
      </w:r>
      <w:r>
        <w:rPr>
          <w:rFonts w:ascii="Arial" w:cs="Arial" w:eastAsia="Arial" w:hAnsi="Arial"/>
          <w:sz w:val="15"/>
          <w:szCs w:val="15"/>
          <w:color w:val="auto"/>
        </w:rPr>
        <w:t>$1,669</w:t>
      </w:r>
    </w:p>
    <w:p>
      <w:pPr>
        <w:sectPr>
          <w:pgSz w:w="11900" w:h="16934" w:orient="portrait"/>
          <w:cols w:equalWidth="0" w:num="1">
            <w:col w:w="11420"/>
          </w:cols>
          <w:pgMar w:left="240" w:top="347" w:right="239" w:bottom="0" w:gutter="0" w:footer="0" w:header="0"/>
          <w:type w:val="continuous"/>
        </w:sectPr>
      </w:pPr>
    </w:p>
    <w:bookmarkStart w:id="38" w:name="page39"/>
    <w:bookmarkEnd w:id="38"/>
    <w:tbl>
      <w:tblPr>
        <w:tblLayout w:type="fixed"/>
        <w:tblInd w:w="2200" w:type="dxa"/>
        <w:tblCellMar>
          <w:top w:w="0" w:type="dxa"/>
          <w:left w:w="0" w:type="dxa"/>
          <w:bottom w:w="0" w:type="dxa"/>
          <w:right w:w="0" w:type="dxa"/>
        </w:tblCellMar>
      </w:tblP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Current year tax credits (foreign and research)</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(207)</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Changes in valuation allowance</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(85)</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Domestic production activities deduction</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(68)</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Foreign income tax rate differences</w:t>
            </w:r>
          </w:p>
        </w:tc>
        <w:tc>
          <w:tcPr>
            <w:tcW w:w="1640" w:type="dxa"/>
            <w:vAlign w:val="bottom"/>
            <w:gridSpan w:val="4"/>
          </w:tcPr>
          <w:p>
            <w:pPr>
              <w:jc w:val="right"/>
              <w:ind w:right="100"/>
              <w:spacing w:after="0"/>
              <w:rPr>
                <w:sz w:val="20"/>
                <w:szCs w:val="20"/>
                <w:color w:val="auto"/>
              </w:rPr>
            </w:pPr>
            <w:r>
              <w:rPr>
                <w:rFonts w:ascii="Arial" w:cs="Arial" w:eastAsia="Arial" w:hAnsi="Arial"/>
                <w:sz w:val="18"/>
                <w:szCs w:val="18"/>
                <w:color w:val="auto"/>
              </w:rPr>
              <w:t>(64)</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Deemed dividend from foreign subsidiaries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NOL carryforwards utilized</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Domestic tax expense, net of Federal benefit</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243"/>
        </w:trPr>
        <w:tc>
          <w:tcPr>
            <w:tcW w:w="4860" w:type="dxa"/>
            <w:vAlign w:val="bottom"/>
          </w:tcPr>
          <w:p>
            <w:pPr>
              <w:ind w:left="500"/>
              <w:spacing w:after="0"/>
              <w:rPr>
                <w:sz w:val="20"/>
                <w:szCs w:val="20"/>
                <w:color w:val="auto"/>
              </w:rPr>
            </w:pPr>
            <w:r>
              <w:rPr>
                <w:rFonts w:ascii="Arial" w:cs="Arial" w:eastAsia="Arial" w:hAnsi="Arial"/>
                <w:sz w:val="18"/>
                <w:szCs w:val="18"/>
                <w:color w:val="auto"/>
              </w:rPr>
              <w:t>Nondeductible expenses</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r>
      <w:tr>
        <w:trPr>
          <w:trHeight w:val="205"/>
        </w:trPr>
        <w:tc>
          <w:tcPr>
            <w:tcW w:w="4860" w:type="dxa"/>
            <w:vAlign w:val="bottom"/>
          </w:tcPr>
          <w:p>
            <w:pPr>
              <w:ind w:left="500"/>
              <w:spacing w:after="0" w:line="205" w:lineRule="exact"/>
              <w:rPr>
                <w:sz w:val="20"/>
                <w:szCs w:val="20"/>
                <w:color w:val="auto"/>
              </w:rPr>
            </w:pPr>
            <w:r>
              <w:rPr>
                <w:rFonts w:ascii="Arial" w:cs="Arial" w:eastAsia="Arial" w:hAnsi="Arial"/>
                <w:sz w:val="18"/>
                <w:szCs w:val="18"/>
                <w:color w:val="auto"/>
              </w:rPr>
              <w:t>Other</w:t>
            </w:r>
          </w:p>
        </w:tc>
        <w:tc>
          <w:tcPr>
            <w:tcW w:w="1120" w:type="dxa"/>
            <w:vAlign w:val="bottom"/>
            <w:gridSpan w:val="2"/>
          </w:tcPr>
          <w:p>
            <w:pPr>
              <w:spacing w:after="0"/>
              <w:rPr>
                <w:sz w:val="17"/>
                <w:szCs w:val="17"/>
                <w:color w:val="auto"/>
              </w:rPr>
            </w:pPr>
          </w:p>
        </w:tc>
        <w:tc>
          <w:tcPr>
            <w:tcW w:w="5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(30)</w:t>
            </w:r>
          </w:p>
        </w:tc>
        <w:tc>
          <w:tcPr>
            <w:tcW w:w="52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$ 722</w:t>
            </w:r>
          </w:p>
        </w:tc>
        <w:tc>
          <w:tcPr>
            <w:tcW w:w="14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1,470</w:t>
            </w:r>
          </w:p>
        </w:tc>
      </w:tr>
      <w:tr>
        <w:trPr>
          <w:trHeight w:val="680"/>
        </w:trPr>
        <w:tc>
          <w:tcPr>
            <w:tcW w:w="4860" w:type="dxa"/>
            <w:vAlign w:val="bottom"/>
          </w:tcPr>
          <w:p>
            <w:pPr>
              <w:ind w:left="3300"/>
              <w:spacing w:after="0"/>
              <w:rPr>
                <w:sz w:val="20"/>
                <w:szCs w:val="20"/>
                <w:color w:val="auto"/>
              </w:rPr>
            </w:pPr>
            <w:r>
              <w:rPr>
                <w:rFonts w:ascii="Arial" w:cs="Arial" w:eastAsia="Arial" w:hAnsi="Arial"/>
                <w:sz w:val="18"/>
                <w:szCs w:val="18"/>
                <w:color w:val="auto"/>
              </w:rPr>
              <w:t>F - 16</w:t>
            </w:r>
          </w:p>
        </w:tc>
        <w:tc>
          <w:tcPr>
            <w:tcW w:w="1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2015 and 2014, we did not have an accrual for uncertain tax positions.</w:t>
      </w:r>
    </w:p>
    <w:p>
      <w:pPr>
        <w:spacing w:after="0" w:line="170"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2012 and thereafter are subject to examination by the relevant taxing authorities.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PLAN</w:t>
      </w:r>
    </w:p>
    <w:p>
      <w:pPr>
        <w:spacing w:after="0" w:line="191" w:lineRule="exact"/>
        <w:rPr>
          <w:sz w:val="20"/>
          <w:szCs w:val="20"/>
          <w:color w:val="auto"/>
        </w:rPr>
      </w:pPr>
    </w:p>
    <w:p>
      <w:pPr>
        <w:jc w:val="both"/>
        <w:ind w:left="540" w:right="40"/>
        <w:spacing w:after="0" w:line="256" w:lineRule="auto"/>
        <w:rPr>
          <w:sz w:val="20"/>
          <w:szCs w:val="20"/>
          <w:color w:val="auto"/>
        </w:rPr>
      </w:pPr>
      <w:r>
        <w:rPr>
          <w:rFonts w:ascii="Arial" w:cs="Arial" w:eastAsia="Arial" w:hAnsi="Arial"/>
          <w:sz w:val="18"/>
          <w:szCs w:val="18"/>
          <w:color w:val="auto"/>
        </w:rPr>
        <w:t>As of December 31, 2015, we have unvested restricted stock awards granted under the inTEST Corporation 2007 Stock Plan (the "2007 Stock Plan"). The 2007 Stock Plan was approved at our annual meeting of stockholders held on June 13, 2007. The 2007 Stock Plan permits the granting of stock options or restricted stock, for up to 500,000 shares of our common stock, to officers, other key employees and consultants. As of December 31, 2015, 62,500 shares remain available to grant under the 2007 Stock Plan.</w:t>
      </w:r>
    </w:p>
    <w:p>
      <w:pPr>
        <w:spacing w:after="0" w:line="197" w:lineRule="exact"/>
        <w:rPr>
          <w:sz w:val="20"/>
          <w:szCs w:val="20"/>
          <w:color w:val="auto"/>
        </w:rPr>
      </w:pPr>
    </w:p>
    <w:p>
      <w:pPr>
        <w:jc w:val="both"/>
        <w:ind w:left="540" w:right="180"/>
        <w:spacing w:after="0" w:line="256" w:lineRule="auto"/>
        <w:rPr>
          <w:sz w:val="20"/>
          <w:szCs w:val="20"/>
          <w:color w:val="auto"/>
        </w:rPr>
      </w:pPr>
      <w:r>
        <w:rPr>
          <w:rFonts w:ascii="Arial" w:cs="Arial" w:eastAsia="Arial" w:hAnsi="Arial"/>
          <w:sz w:val="18"/>
          <w:szCs w:val="18"/>
          <w:color w:val="auto"/>
        </w:rPr>
        <w:t>In addition, at our annual meeting on June 25, 2014, our stockholders approved the inTEST Corporation 2014 Stock Plan (the "2014 Stock Plan"). The 2014 Stock Plan permits the granting of stock options, restricted stock, stock appreciation rights or restricted stock units for up to 500,000 shares of our common stock to directors, officers, other key employees and consultants. As of December 31, 2015, no stock awards have been granted under the 2014 Stock Plan.</w:t>
      </w:r>
    </w:p>
    <w:p>
      <w:pPr>
        <w:spacing w:after="0" w:line="197" w:lineRule="exact"/>
        <w:rPr>
          <w:sz w:val="20"/>
          <w:szCs w:val="20"/>
          <w:color w:val="auto"/>
        </w:rPr>
      </w:pPr>
    </w:p>
    <w:p>
      <w:pPr>
        <w:jc w:val="both"/>
        <w:ind w:left="540" w:right="340"/>
        <w:spacing w:after="0" w:line="259" w:lineRule="auto"/>
        <w:rPr>
          <w:sz w:val="20"/>
          <w:szCs w:val="20"/>
          <w:color w:val="auto"/>
        </w:rPr>
      </w:pPr>
      <w:r>
        <w:rPr>
          <w:rFonts w:ascii="Arial" w:cs="Arial" w:eastAsia="Arial" w:hAnsi="Arial"/>
          <w:sz w:val="18"/>
          <w:szCs w:val="18"/>
          <w:color w:val="auto"/>
        </w:rPr>
        <w:t>Our unvested restricted stock awards outstanding are accounted for based on their grant date fair value. As of December 31, 2015, total compensation expense to be recognized in future periods was $187. All of this expense is related to unvested shares of restricted stock. The weighted average period over which this expense is expected to be recognized is 1.7 years.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620"/>
        <w:spacing w:after="0" w:line="268" w:lineRule="auto"/>
        <w:rPr>
          <w:sz w:val="20"/>
          <w:szCs w:val="20"/>
          <w:color w:val="auto"/>
        </w:rPr>
      </w:pPr>
      <w:r>
        <w:rPr>
          <w:rFonts w:ascii="Arial" w:cs="Arial" w:eastAsia="Arial" w:hAnsi="Arial"/>
          <w:sz w:val="18"/>
          <w:szCs w:val="18"/>
          <w:color w:val="auto"/>
        </w:rPr>
        <w:t>We did not grant any stock options during 2015 or 2014. During the year ended December 31, 2015, there were no stock options outstanding. The following table summarizes the stock option activity for the year ended December 31, 2014:</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5040" w:type="dxa"/>
            <w:vAlign w:val="bottom"/>
          </w:tcPr>
          <w:p>
            <w:pPr>
              <w:spacing w:after="0"/>
              <w:rPr>
                <w:sz w:val="12"/>
                <w:szCs w:val="12"/>
                <w:color w:val="auto"/>
              </w:rPr>
            </w:pPr>
          </w:p>
        </w:tc>
        <w:tc>
          <w:tcPr>
            <w:tcW w:w="1680" w:type="dxa"/>
            <w:vAlign w:val="bottom"/>
            <w:gridSpan w:val="6"/>
          </w:tcPr>
          <w:p>
            <w:pPr>
              <w:jc w:val="center"/>
              <w:ind w:left="597"/>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86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0"/>
        </w:trPr>
        <w:tc>
          <w:tcPr>
            <w:tcW w:w="5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Options outstanding, January 1, 2014 (10,000 exercisable)</w:t>
            </w:r>
          </w:p>
        </w:tc>
        <w:tc>
          <w:tcPr>
            <w:tcW w:w="9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$5.66</w:t>
            </w:r>
          </w:p>
        </w:tc>
      </w:tr>
      <w:tr>
        <w:trPr>
          <w:trHeight w:val="243"/>
        </w:trPr>
        <w:tc>
          <w:tcPr>
            <w:tcW w:w="5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r>
        <w:trPr>
          <w:trHeight w:val="205"/>
        </w:trPr>
        <w:tc>
          <w:tcPr>
            <w:tcW w:w="5040" w:type="dxa"/>
            <w:vAlign w:val="bottom"/>
          </w:tcPr>
          <w:p>
            <w:pPr>
              <w:ind w:left="140"/>
              <w:spacing w:after="0" w:line="205" w:lineRule="exact"/>
              <w:rPr>
                <w:sz w:val="20"/>
                <w:szCs w:val="20"/>
                <w:color w:val="auto"/>
              </w:rPr>
            </w:pPr>
            <w:r>
              <w:rPr>
                <w:rFonts w:ascii="Arial" w:cs="Arial" w:eastAsia="Arial" w:hAnsi="Arial"/>
                <w:sz w:val="18"/>
                <w:szCs w:val="18"/>
                <w:color w:val="auto"/>
              </w:rPr>
              <w:t>Canceled</w:t>
            </w:r>
          </w:p>
        </w:tc>
        <w:tc>
          <w:tcPr>
            <w:tcW w:w="1680" w:type="dxa"/>
            <w:vAlign w:val="bottom"/>
            <w:gridSpan w:val="6"/>
          </w:tcPr>
          <w:p>
            <w:pPr>
              <w:jc w:val="right"/>
              <w:ind w:right="40"/>
              <w:spacing w:after="0" w:line="205" w:lineRule="exact"/>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5.66</w:t>
            </w:r>
          </w:p>
        </w:tc>
      </w:tr>
      <w:tr>
        <w:trPr>
          <w:trHeight w:val="20"/>
        </w:trPr>
        <w:tc>
          <w:tcPr>
            <w:tcW w:w="5040" w:type="dxa"/>
            <w:vAlign w:val="bottom"/>
          </w:tcPr>
          <w:p>
            <w:pPr>
              <w:spacing w:after="0" w:line="20" w:lineRule="exact"/>
              <w:rPr>
                <w:sz w:val="1"/>
                <w:szCs w:val="1"/>
                <w:color w:val="auto"/>
              </w:rPr>
            </w:pPr>
          </w:p>
        </w:tc>
        <w:tc>
          <w:tcPr>
            <w:tcW w:w="1060" w:type="dxa"/>
            <w:vAlign w:val="bottom"/>
            <w:tcBorders>
              <w:right w:val="single" w:sz="8" w:color="auto"/>
            </w:tcBorders>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Options outstanding, December 31, 2014</w:t>
            </w:r>
          </w:p>
        </w:tc>
        <w:tc>
          <w:tcPr>
            <w:tcW w:w="1060" w:type="dxa"/>
            <w:vAlign w:val="bottom"/>
            <w:gridSpan w:val="2"/>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15" w:lineRule="exact"/>
        <w:rPr>
          <w:sz w:val="20"/>
          <w:szCs w:val="20"/>
          <w:color w:val="auto"/>
        </w:rPr>
      </w:pPr>
    </w:p>
    <w:p>
      <w:pPr>
        <w:ind w:left="540" w:right="220"/>
        <w:spacing w:after="0" w:line="255"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 The following table summarizes the compensation expense we recorded during 2015 and 2014, related to unvested shares: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374" w:right="239" w:bottom="175"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STOCK-BASED COMPENSATION PLAN </w:t>
      </w:r>
      <w:r>
        <w:rPr>
          <w:rFonts w:ascii="Arial" w:cs="Arial" w:eastAsia="Arial" w:hAnsi="Arial"/>
          <w:sz w:val="18"/>
          <w:szCs w:val="18"/>
          <w:color w:val="auto"/>
        </w:rPr>
        <w:t>(Continued)</w:t>
      </w:r>
    </w:p>
    <w:p>
      <w:pPr>
        <w:spacing w:after="0" w:line="242" w:lineRule="exact"/>
        <w:rPr>
          <w:sz w:val="20"/>
          <w:szCs w:val="20"/>
          <w:color w:val="auto"/>
        </w:rPr>
      </w:pPr>
    </w:p>
    <w:p>
      <w:pPr>
        <w:ind w:left="7800"/>
        <w:spacing w:after="0"/>
        <w:rPr>
          <w:sz w:val="20"/>
          <w:szCs w:val="20"/>
          <w:color w:val="auto"/>
        </w:rPr>
      </w:pPr>
      <w:r>
        <w:rPr>
          <w:rFonts w:ascii="Arial" w:cs="Arial" w:eastAsia="Arial" w:hAnsi="Arial"/>
          <w:sz w:val="14"/>
          <w:szCs w:val="14"/>
          <w:b w:val="1"/>
          <w:bCs w:val="1"/>
          <w:i w:val="1"/>
          <w:iCs w:val="1"/>
          <w:color w:val="auto"/>
        </w:rPr>
        <w:t>Years Ended</w:t>
      </w:r>
    </w:p>
    <w:p>
      <w:pPr>
        <w:ind w:left="77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6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2014</w:t>
            </w:r>
          </w:p>
        </w:tc>
        <w:tc>
          <w:tcPr>
            <w:tcW w:w="100" w:type="dxa"/>
            <w:vAlign w:val="bottom"/>
          </w:tcPr>
          <w:p>
            <w:pPr>
              <w:spacing w:after="0"/>
              <w:rPr>
                <w:sz w:val="14"/>
                <w:szCs w:val="14"/>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8"/>
                <w:szCs w:val="18"/>
                <w:color w:val="auto"/>
              </w:rPr>
              <w:t>Cost of revenues</w:t>
            </w:r>
          </w:p>
        </w:tc>
        <w:tc>
          <w:tcPr>
            <w:tcW w:w="9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  10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11</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Selling expense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94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94</w:t>
            </w:r>
          </w:p>
        </w:tc>
        <w:tc>
          <w:tcPr>
            <w:tcW w:w="260" w:type="dxa"/>
            <w:vAlign w:val="bottom"/>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101</w:t>
            </w:r>
          </w:p>
        </w:tc>
      </w:tr>
      <w:tr>
        <w:trPr>
          <w:trHeight w:val="223"/>
        </w:trPr>
        <w:tc>
          <w:tcPr>
            <w:tcW w:w="4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119</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w:t>
            </w:r>
          </w:p>
        </w:tc>
      </w:tr>
      <w:tr>
        <w:trPr>
          <w:trHeight w:val="20"/>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There was no compensation expense capitalized in 2015 or 2014. The following table summarizes the activity related to unvested shares for the two years ended December 31, 2015:</w:t>
      </w:r>
    </w:p>
    <w:p>
      <w:pPr>
        <w:spacing w:after="0" w:line="333"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0"/>
              </w:rPr>
              <w:t>Weighted Average</w:t>
            </w:r>
          </w:p>
        </w:tc>
      </w:tr>
      <w:tr>
        <w:trPr>
          <w:trHeight w:val="149"/>
        </w:trPr>
        <w:tc>
          <w:tcPr>
            <w:tcW w:w="4820" w:type="dxa"/>
            <w:vAlign w:val="bottom"/>
          </w:tcPr>
          <w:p>
            <w:pPr>
              <w:spacing w:after="0"/>
              <w:rPr>
                <w:sz w:val="12"/>
                <w:szCs w:val="12"/>
                <w:color w:val="auto"/>
              </w:rPr>
            </w:pPr>
          </w:p>
        </w:tc>
        <w:tc>
          <w:tcPr>
            <w:tcW w:w="6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820" w:type="dxa"/>
            <w:vAlign w:val="bottom"/>
          </w:tcPr>
          <w:p>
            <w:pPr>
              <w:spacing w:after="0"/>
              <w:rPr>
                <w:sz w:val="12"/>
                <w:szCs w:val="12"/>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2"/>
                <w:szCs w:val="12"/>
                <w:b w:val="1"/>
                <w:bCs w:val="1"/>
                <w:i w:val="1"/>
                <w:iCs w:val="1"/>
                <w:color w:val="auto"/>
                <w:w w:val="80"/>
              </w:rPr>
              <w:t>of Shares</w:t>
            </w:r>
          </w:p>
        </w:tc>
        <w:tc>
          <w:tcPr>
            <w:tcW w:w="104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8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Unvested shares outstanding, January 1, 2014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180,000</w:t>
            </w:r>
          </w:p>
        </w:tc>
        <w:tc>
          <w:tcPr>
            <w:tcW w:w="10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$3.02</w:t>
            </w: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4.14</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Vested</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(83,125)</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2.31</w:t>
            </w:r>
          </w:p>
        </w:tc>
      </w:tr>
      <w:tr>
        <w:trPr>
          <w:trHeight w:val="205"/>
        </w:trPr>
        <w:tc>
          <w:tcPr>
            <w:tcW w:w="482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6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(5,000)</w:t>
            </w:r>
          </w:p>
        </w:tc>
        <w:tc>
          <w:tcPr>
            <w:tcW w:w="104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3.97</w:t>
            </w:r>
          </w:p>
        </w:tc>
      </w:tr>
      <w:tr>
        <w:trPr>
          <w:trHeight w:val="262"/>
        </w:trPr>
        <w:tc>
          <w:tcPr>
            <w:tcW w:w="4820" w:type="dxa"/>
            <w:vAlign w:val="bottom"/>
          </w:tcPr>
          <w:p>
            <w:pPr>
              <w:spacing w:after="0"/>
              <w:rPr>
                <w:sz w:val="20"/>
                <w:szCs w:val="20"/>
                <w:color w:val="auto"/>
              </w:rPr>
            </w:pPr>
            <w:r>
              <w:rPr>
                <w:rFonts w:ascii="Arial" w:cs="Arial" w:eastAsia="Arial" w:hAnsi="Arial"/>
                <w:sz w:val="18"/>
                <w:szCs w:val="18"/>
                <w:color w:val="auto"/>
              </w:rPr>
              <w:t>Unvested shares outstanding, December 31, 2014</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101,875</w:t>
            </w:r>
          </w:p>
        </w:tc>
        <w:tc>
          <w:tcPr>
            <w:tcW w:w="10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3.66</w:t>
            </w: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120"/>
              <w:spacing w:after="0"/>
              <w:rPr>
                <w:sz w:val="20"/>
                <w:szCs w:val="20"/>
                <w:color w:val="auto"/>
              </w:rPr>
            </w:pPr>
            <w:r>
              <w:rPr>
                <w:rFonts w:ascii="Arial" w:cs="Arial" w:eastAsia="Arial" w:hAnsi="Arial"/>
                <w:sz w:val="18"/>
                <w:szCs w:val="18"/>
                <w:color w:val="auto"/>
              </w:rPr>
              <w:t>Vested</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(33,125)</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3.65</w:t>
            </w:r>
          </w:p>
        </w:tc>
      </w:tr>
      <w:tr>
        <w:trPr>
          <w:trHeight w:val="205"/>
        </w:trPr>
        <w:tc>
          <w:tcPr>
            <w:tcW w:w="482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68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(5,000)</w:t>
            </w:r>
          </w:p>
        </w:tc>
        <w:tc>
          <w:tcPr>
            <w:tcW w:w="104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3.97</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Unvested shares outstanding, December 31, 2015</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3.64</w:t>
            </w:r>
          </w:p>
        </w:tc>
      </w:tr>
    </w:tbl>
    <w:p>
      <w:pPr>
        <w:spacing w:after="0" w:line="248"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2015 and 2014 was $138 and $351, respectively, as of the vesting dates of these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PLAN</w:t>
      </w:r>
    </w:p>
    <w:p>
      <w:pPr>
        <w:spacing w:after="0" w:line="19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pursuant to a newly authorized stock repurchase plan. Repurchases may also be made under a Rule 10b5-1 plan entered into with RW Baird &amp; Co, which permits shares to be repurchased when we might otherwise be precluded from doing so under insider trading laws. The timing and amount of any shares repurchased under the 2015 Repurchase Plan will be determined by our management, based on our evaluation of market conditions and other factors. The 2015 Repurchase Plan does not obligate us to purchase any particular amount of common stock and may be suspended or discontinued at any time without prior notice. The 2015 Repurchase Plan will be funded using our operating cash flow or available cash.</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December 31, 2015, we had repurchased 41,332 shares under this repurchase plan at a cost of $155, which included fees paid to our broker of $1.</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of the repurchased shares were retired.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91" w:lineRule="exact"/>
        <w:rPr>
          <w:sz w:val="20"/>
          <w:szCs w:val="20"/>
          <w:color w:val="auto"/>
        </w:rPr>
      </w:pPr>
    </w:p>
    <w:p>
      <w:pPr>
        <w:jc w:val="both"/>
        <w:ind w:left="540" w:right="140"/>
        <w:spacing w:after="0" w:line="294"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years ended December 31, 2015 and 2014, we recorded $329 and $317 of expense for matching contributions, respectively.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- 18</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6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ectPr>
          <w:pgSz w:w="11900" w:h="16838" w:orient="portrait"/>
          <w:cols w:equalWidth="0" w:num="1">
            <w:col w:w="11360"/>
          </w:cols>
          <w:pgMar w:left="240" w:top="125" w:right="299" w:bottom="0" w:gutter="0" w:footer="0" w:header="0"/>
        </w:sectPr>
      </w:pPr>
    </w:p>
    <w:bookmarkStart w:id="40" w:name="page41"/>
    <w:bookmarkEnd w:id="40"/>
    <w:p>
      <w:pPr>
        <w:ind w:left="54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77" w:lineRule="exact"/>
        <w:rPr>
          <w:sz w:val="20"/>
          <w:szCs w:val="20"/>
          <w:color w:val="auto"/>
        </w:rPr>
      </w:pPr>
    </w:p>
    <w:p>
      <w:pPr>
        <w:ind w:left="8000"/>
        <w:spacing w:after="0"/>
        <w:rPr>
          <w:sz w:val="20"/>
          <w:szCs w:val="20"/>
          <w:color w:val="auto"/>
        </w:rPr>
      </w:pPr>
      <w:r>
        <w:rPr>
          <w:rFonts w:ascii="Arial" w:cs="Arial" w:eastAsia="Arial" w:hAnsi="Arial"/>
          <w:sz w:val="14"/>
          <w:szCs w:val="14"/>
          <w:b w:val="1"/>
          <w:bCs w:val="1"/>
          <w:i w:val="1"/>
          <w:iCs w:val="1"/>
          <w:color w:val="auto"/>
        </w:rPr>
        <w:t>Years Ended</w:t>
      </w:r>
    </w:p>
    <w:p>
      <w:pPr>
        <w:ind w:left="79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60" w:type="dxa"/>
            <w:vAlign w:val="bottom"/>
            <w:gridSpan w:val="6"/>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11"/>
          </w:tcPr>
          <w:p>
            <w:pPr>
              <w:jc w:val="right"/>
              <w:ind w:right="160"/>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w w:val="86"/>
              </w:rPr>
              <w:t>$24,084</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w w:val="98"/>
              </w:rPr>
              <w:t>$23,446</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7,539</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11,245</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0" w:type="dxa"/>
            <w:vAlign w:val="bottom"/>
          </w:tcPr>
          <w:p>
            <w:pPr>
              <w:spacing w:after="0"/>
              <w:rPr>
                <w:sz w:val="17"/>
                <w:szCs w:val="17"/>
                <w:color w:val="auto"/>
              </w:rPr>
            </w:pPr>
          </w:p>
        </w:tc>
        <w:tc>
          <w:tcPr>
            <w:tcW w:w="52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7,266</w:t>
            </w:r>
          </w:p>
        </w:tc>
        <w:tc>
          <w:tcPr>
            <w:tcW w:w="80" w:type="dxa"/>
            <w:vAlign w:val="bottom"/>
          </w:tcPr>
          <w:p>
            <w:pPr>
              <w:spacing w:after="0"/>
              <w:rPr>
                <w:sz w:val="17"/>
                <w:szCs w:val="17"/>
                <w:color w:val="auto"/>
              </w:rPr>
            </w:pPr>
          </w:p>
        </w:tc>
        <w:tc>
          <w:tcPr>
            <w:tcW w:w="140" w:type="dxa"/>
            <w:vAlign w:val="bottom"/>
            <w:gridSpan w:val="4"/>
          </w:tcPr>
          <w:p>
            <w:pPr>
              <w:spacing w:after="0"/>
              <w:rPr>
                <w:sz w:val="17"/>
                <w:szCs w:val="17"/>
                <w:color w:val="auto"/>
              </w:rPr>
            </w:pPr>
          </w:p>
        </w:tc>
        <w:tc>
          <w:tcPr>
            <w:tcW w:w="520" w:type="dxa"/>
            <w:vAlign w:val="bottom"/>
            <w:tcBorders>
              <w:bottom w:val="single" w:sz="8" w:color="auto"/>
            </w:tcBorders>
            <w:gridSpan w:val="8"/>
          </w:tcPr>
          <w:p>
            <w:pPr>
              <w:jc w:val="right"/>
              <w:spacing w:after="0" w:line="205" w:lineRule="exact"/>
              <w:rPr>
                <w:sz w:val="20"/>
                <w:szCs w:val="20"/>
                <w:color w:val="auto"/>
              </w:rPr>
            </w:pPr>
            <w:r>
              <w:rPr>
                <w:rFonts w:ascii="Arial" w:cs="Arial" w:eastAsia="Arial" w:hAnsi="Arial"/>
                <w:sz w:val="18"/>
                <w:szCs w:val="18"/>
                <w:color w:val="auto"/>
              </w:rPr>
              <w:t>7,105</w:t>
            </w:r>
          </w:p>
        </w:tc>
        <w:tc>
          <w:tcPr>
            <w:tcW w:w="4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38,889</w:t>
            </w:r>
          </w:p>
        </w:tc>
        <w:tc>
          <w:tcPr>
            <w:tcW w:w="80" w:type="dxa"/>
            <w:vAlign w:val="bottom"/>
          </w:tcPr>
          <w:p>
            <w:pPr>
              <w:spacing w:after="0"/>
              <w:rPr>
                <w:sz w:val="19"/>
                <w:szCs w:val="19"/>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41,796</w:t>
            </w:r>
          </w:p>
        </w:tc>
      </w:tr>
      <w:tr>
        <w:trPr>
          <w:trHeight w:val="26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Depreciation/amortization:</w:t>
            </w: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$720</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87</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260" w:type="dxa"/>
            <w:vAlign w:val="bottom"/>
            <w:gridSpan w:val="5"/>
          </w:tcPr>
          <w:p>
            <w:pPr>
              <w:spacing w:after="0"/>
              <w:rPr>
                <w:sz w:val="17"/>
                <w:szCs w:val="17"/>
                <w:color w:val="auto"/>
              </w:rPr>
            </w:pPr>
          </w:p>
        </w:tc>
        <w:tc>
          <w:tcPr>
            <w:tcW w:w="3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94</w:t>
            </w:r>
          </w:p>
        </w:tc>
        <w:tc>
          <w:tcPr>
            <w:tcW w:w="80" w:type="dxa"/>
            <w:vAlign w:val="bottom"/>
          </w:tcPr>
          <w:p>
            <w:pPr>
              <w:spacing w:after="0"/>
              <w:rPr>
                <w:sz w:val="17"/>
                <w:szCs w:val="17"/>
                <w:color w:val="auto"/>
              </w:rPr>
            </w:pPr>
          </w:p>
        </w:tc>
        <w:tc>
          <w:tcPr>
            <w:tcW w:w="360" w:type="dxa"/>
            <w:vAlign w:val="bottom"/>
            <w:gridSpan w:val="9"/>
          </w:tcPr>
          <w:p>
            <w:pPr>
              <w:spacing w:after="0"/>
              <w:rPr>
                <w:sz w:val="17"/>
                <w:szCs w:val="17"/>
                <w:color w:val="auto"/>
              </w:rPr>
            </w:pPr>
          </w:p>
        </w:tc>
        <w:tc>
          <w:tcPr>
            <w:tcW w:w="3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72</w:t>
            </w:r>
          </w:p>
        </w:tc>
        <w:tc>
          <w:tcPr>
            <w:tcW w:w="4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754</w:t>
            </w:r>
          </w:p>
        </w:tc>
        <w:tc>
          <w:tcPr>
            <w:tcW w:w="80" w:type="dxa"/>
            <w:vAlign w:val="bottom"/>
          </w:tcPr>
          <w:p>
            <w:pPr>
              <w:spacing w:after="0"/>
              <w:rPr>
                <w:sz w:val="19"/>
                <w:szCs w:val="19"/>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879</w:t>
            </w:r>
          </w:p>
        </w:tc>
      </w:tr>
      <w:tr>
        <w:trPr>
          <w:trHeight w:val="26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$4,517</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$4,740</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660" w:type="dxa"/>
            <w:vAlign w:val="bottom"/>
            <w:gridSpan w:val="8"/>
          </w:tcPr>
          <w:p>
            <w:pPr>
              <w:jc w:val="right"/>
              <w:ind w:right="40"/>
              <w:spacing w:after="0"/>
              <w:rPr>
                <w:sz w:val="20"/>
                <w:szCs w:val="20"/>
                <w:color w:val="auto"/>
              </w:rPr>
            </w:pPr>
            <w:r>
              <w:rPr>
                <w:rFonts w:ascii="Arial" w:cs="Arial" w:eastAsia="Arial" w:hAnsi="Arial"/>
                <w:sz w:val="18"/>
                <w:szCs w:val="18"/>
                <w:color w:val="auto"/>
              </w:rPr>
              <w:t>(1,902)</w:t>
            </w:r>
          </w:p>
        </w:tc>
        <w:tc>
          <w:tcPr>
            <w:tcW w:w="700" w:type="dxa"/>
            <w:vAlign w:val="bottom"/>
            <w:gridSpan w:val="13"/>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781</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20" w:type="dxa"/>
            <w:vAlign w:val="bottom"/>
            <w:gridSpan w:val="3"/>
          </w:tcPr>
          <w:p>
            <w:pPr>
              <w:spacing w:after="0"/>
              <w:rPr>
                <w:sz w:val="17"/>
                <w:szCs w:val="17"/>
                <w:color w:val="auto"/>
              </w:rPr>
            </w:pPr>
          </w:p>
        </w:tc>
        <w:tc>
          <w:tcPr>
            <w:tcW w:w="540" w:type="dxa"/>
            <w:vAlign w:val="bottom"/>
            <w:gridSpan w:val="5"/>
          </w:tcPr>
          <w:p>
            <w:pPr>
              <w:jc w:val="right"/>
              <w:ind w:right="40"/>
              <w:spacing w:after="0" w:line="205" w:lineRule="exact"/>
              <w:rPr>
                <w:sz w:val="20"/>
                <w:szCs w:val="20"/>
                <w:color w:val="auto"/>
              </w:rPr>
            </w:pPr>
            <w:r>
              <w:rPr>
                <w:rFonts w:ascii="Arial" w:cs="Arial" w:eastAsia="Arial" w:hAnsi="Arial"/>
                <w:sz w:val="18"/>
                <w:szCs w:val="18"/>
                <w:color w:val="auto"/>
              </w:rPr>
              <w:t>(726)</w:t>
            </w:r>
          </w:p>
        </w:tc>
        <w:tc>
          <w:tcPr>
            <w:tcW w:w="700" w:type="dxa"/>
            <w:vAlign w:val="bottom"/>
            <w:gridSpan w:val="13"/>
          </w:tcPr>
          <w:p>
            <w:pPr>
              <w:jc w:val="right"/>
              <w:spacing w:after="0" w:line="205" w:lineRule="exact"/>
              <w:rPr>
                <w:sz w:val="20"/>
                <w:szCs w:val="20"/>
                <w:color w:val="auto"/>
              </w:rPr>
            </w:pPr>
            <w:r>
              <w:rPr>
                <w:rFonts w:ascii="Arial" w:cs="Arial" w:eastAsia="Arial" w:hAnsi="Arial"/>
                <w:sz w:val="18"/>
                <w:szCs w:val="18"/>
                <w:color w:val="auto"/>
              </w:rPr>
              <w:t>(587)</w:t>
            </w:r>
          </w:p>
        </w:tc>
      </w:tr>
      <w:tr>
        <w:trPr>
          <w:trHeight w:val="20"/>
        </w:trPr>
        <w:tc>
          <w:tcPr>
            <w:tcW w:w="54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2,562</w:t>
            </w:r>
          </w:p>
        </w:tc>
        <w:tc>
          <w:tcPr>
            <w:tcW w:w="80" w:type="dxa"/>
            <w:vAlign w:val="bottom"/>
          </w:tcPr>
          <w:p>
            <w:pPr>
              <w:spacing w:after="0"/>
              <w:rPr>
                <w:sz w:val="19"/>
                <w:szCs w:val="19"/>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4,916</w:t>
            </w:r>
          </w:p>
        </w:tc>
      </w:tr>
      <w:tr>
        <w:trPr>
          <w:trHeight w:val="26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$4,479</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$4,699</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660" w:type="dxa"/>
            <w:vAlign w:val="bottom"/>
            <w:gridSpan w:val="8"/>
          </w:tcPr>
          <w:p>
            <w:pPr>
              <w:jc w:val="right"/>
              <w:ind w:right="40"/>
              <w:spacing w:after="0"/>
              <w:rPr>
                <w:sz w:val="20"/>
                <w:szCs w:val="20"/>
                <w:color w:val="auto"/>
              </w:rPr>
            </w:pPr>
            <w:r>
              <w:rPr>
                <w:rFonts w:ascii="Arial" w:cs="Arial" w:eastAsia="Arial" w:hAnsi="Arial"/>
                <w:sz w:val="18"/>
                <w:szCs w:val="18"/>
                <w:color w:val="auto"/>
              </w:rPr>
              <w:t>(1,874)</w:t>
            </w:r>
          </w:p>
        </w:tc>
        <w:tc>
          <w:tcPr>
            <w:tcW w:w="700" w:type="dxa"/>
            <w:vAlign w:val="bottom"/>
            <w:gridSpan w:val="13"/>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802</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20" w:type="dxa"/>
            <w:vAlign w:val="bottom"/>
            <w:gridSpan w:val="3"/>
          </w:tcPr>
          <w:p>
            <w:pPr>
              <w:spacing w:after="0"/>
              <w:rPr>
                <w:sz w:val="17"/>
                <w:szCs w:val="17"/>
                <w:color w:val="auto"/>
              </w:rPr>
            </w:pPr>
          </w:p>
        </w:tc>
        <w:tc>
          <w:tcPr>
            <w:tcW w:w="540" w:type="dxa"/>
            <w:vAlign w:val="bottom"/>
            <w:gridSpan w:val="5"/>
          </w:tcPr>
          <w:p>
            <w:pPr>
              <w:jc w:val="right"/>
              <w:ind w:right="40"/>
              <w:spacing w:after="0" w:line="205" w:lineRule="exact"/>
              <w:rPr>
                <w:sz w:val="20"/>
                <w:szCs w:val="20"/>
                <w:color w:val="auto"/>
              </w:rPr>
            </w:pPr>
            <w:r>
              <w:rPr>
                <w:rFonts w:ascii="Arial" w:cs="Arial" w:eastAsia="Arial" w:hAnsi="Arial"/>
                <w:sz w:val="18"/>
                <w:szCs w:val="18"/>
                <w:color w:val="auto"/>
              </w:rPr>
              <w:t>(726)</w:t>
            </w:r>
          </w:p>
        </w:tc>
        <w:tc>
          <w:tcPr>
            <w:tcW w:w="700" w:type="dxa"/>
            <w:vAlign w:val="bottom"/>
            <w:gridSpan w:val="13"/>
          </w:tcPr>
          <w:p>
            <w:pPr>
              <w:jc w:val="right"/>
              <w:spacing w:after="0" w:line="205" w:lineRule="exact"/>
              <w:rPr>
                <w:sz w:val="20"/>
                <w:szCs w:val="20"/>
                <w:color w:val="auto"/>
              </w:rPr>
            </w:pPr>
            <w:r>
              <w:rPr>
                <w:rFonts w:ascii="Arial" w:cs="Arial" w:eastAsia="Arial" w:hAnsi="Arial"/>
                <w:sz w:val="18"/>
                <w:szCs w:val="18"/>
                <w:color w:val="auto"/>
              </w:rPr>
              <w:t>(587)</w:t>
            </w:r>
          </w:p>
        </w:tc>
      </w:tr>
      <w:tr>
        <w:trPr>
          <w:trHeight w:val="20"/>
        </w:trPr>
        <w:tc>
          <w:tcPr>
            <w:tcW w:w="54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gridSpan w:val="5"/>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w:t>
            </w:r>
          </w:p>
        </w:tc>
        <w:tc>
          <w:tcPr>
            <w:tcW w:w="80" w:type="dxa"/>
            <w:vAlign w:val="bottom"/>
          </w:tcPr>
          <w:p>
            <w:pPr>
              <w:spacing w:after="0"/>
              <w:rPr>
                <w:sz w:val="19"/>
                <w:szCs w:val="19"/>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4,909</w:t>
            </w:r>
          </w:p>
        </w:tc>
      </w:tr>
      <w:tr>
        <w:trPr>
          <w:trHeight w:val="26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Income tax expense (benefit):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$1,407</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660" w:type="dxa"/>
            <w:vAlign w:val="bottom"/>
            <w:gridSpan w:val="8"/>
          </w:tcPr>
          <w:p>
            <w:pPr>
              <w:jc w:val="right"/>
              <w:ind w:right="40"/>
              <w:spacing w:after="0"/>
              <w:rPr>
                <w:sz w:val="20"/>
                <w:szCs w:val="20"/>
                <w:color w:val="auto"/>
              </w:rPr>
            </w:pPr>
            <w:r>
              <w:rPr>
                <w:rFonts w:ascii="Arial" w:cs="Arial" w:eastAsia="Arial" w:hAnsi="Arial"/>
                <w:sz w:val="18"/>
                <w:szCs w:val="18"/>
                <w:color w:val="auto"/>
              </w:rPr>
              <w:t>(524)</w:t>
            </w:r>
          </w:p>
        </w:tc>
        <w:tc>
          <w:tcPr>
            <w:tcW w:w="700" w:type="dxa"/>
            <w:vAlign w:val="bottom"/>
            <w:gridSpan w:val="13"/>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1"/>
                <w:szCs w:val="21"/>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rPr>
              <w:t>240</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20" w:type="dxa"/>
            <w:vAlign w:val="bottom"/>
            <w:gridSpan w:val="3"/>
          </w:tcPr>
          <w:p>
            <w:pPr>
              <w:spacing w:after="0"/>
              <w:rPr>
                <w:sz w:val="17"/>
                <w:szCs w:val="17"/>
                <w:color w:val="auto"/>
              </w:rPr>
            </w:pPr>
          </w:p>
        </w:tc>
        <w:tc>
          <w:tcPr>
            <w:tcW w:w="540" w:type="dxa"/>
            <w:vAlign w:val="bottom"/>
            <w:gridSpan w:val="5"/>
          </w:tcPr>
          <w:p>
            <w:pPr>
              <w:jc w:val="right"/>
              <w:ind w:right="40"/>
              <w:spacing w:after="0" w:line="205" w:lineRule="exact"/>
              <w:rPr>
                <w:sz w:val="20"/>
                <w:szCs w:val="20"/>
                <w:color w:val="auto"/>
              </w:rPr>
            </w:pPr>
            <w:r>
              <w:rPr>
                <w:rFonts w:ascii="Arial" w:cs="Arial" w:eastAsia="Arial" w:hAnsi="Arial"/>
                <w:sz w:val="18"/>
                <w:szCs w:val="18"/>
                <w:color w:val="auto"/>
              </w:rPr>
              <w:t>(203)</w:t>
            </w:r>
          </w:p>
        </w:tc>
        <w:tc>
          <w:tcPr>
            <w:tcW w:w="700" w:type="dxa"/>
            <w:vAlign w:val="bottom"/>
            <w:gridSpan w:val="13"/>
          </w:tcPr>
          <w:p>
            <w:pPr>
              <w:jc w:val="right"/>
              <w:spacing w:after="0" w:line="205" w:lineRule="exact"/>
              <w:rPr>
                <w:sz w:val="20"/>
                <w:szCs w:val="20"/>
                <w:color w:val="auto"/>
              </w:rPr>
            </w:pPr>
            <w:r>
              <w:rPr>
                <w:rFonts w:ascii="Arial" w:cs="Arial" w:eastAsia="Arial" w:hAnsi="Arial"/>
                <w:sz w:val="18"/>
                <w:szCs w:val="18"/>
                <w:color w:val="auto"/>
              </w:rPr>
              <w:t>(175)</w:t>
            </w:r>
          </w:p>
        </w:tc>
      </w:tr>
      <w:tr>
        <w:trPr>
          <w:trHeight w:val="20"/>
        </w:trPr>
        <w:tc>
          <w:tcPr>
            <w:tcW w:w="54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9"/>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  722</w:t>
            </w:r>
          </w:p>
        </w:tc>
        <w:tc>
          <w:tcPr>
            <w:tcW w:w="80" w:type="dxa"/>
            <w:vAlign w:val="bottom"/>
          </w:tcPr>
          <w:p>
            <w:pPr>
              <w:spacing w:after="0"/>
              <w:rPr>
                <w:sz w:val="19"/>
                <w:szCs w:val="19"/>
                <w:color w:val="auto"/>
              </w:rPr>
            </w:pPr>
          </w:p>
        </w:tc>
        <w:tc>
          <w:tcPr>
            <w:tcW w:w="700" w:type="dxa"/>
            <w:vAlign w:val="bottom"/>
            <w:gridSpan w:val="13"/>
          </w:tcPr>
          <w:p>
            <w:pPr>
              <w:jc w:val="right"/>
              <w:ind w:right="40"/>
              <w:spacing w:after="0"/>
              <w:rPr>
                <w:sz w:val="20"/>
                <w:szCs w:val="20"/>
                <w:color w:val="auto"/>
              </w:rPr>
            </w:pPr>
            <w:r>
              <w:rPr>
                <w:rFonts w:ascii="Arial" w:cs="Arial" w:eastAsia="Arial" w:hAnsi="Arial"/>
                <w:sz w:val="18"/>
                <w:szCs w:val="18"/>
                <w:color w:val="auto"/>
                <w:w w:val="98"/>
              </w:rPr>
              <w:t>$  1,470</w:t>
            </w:r>
          </w:p>
        </w:tc>
      </w:tr>
      <w:tr>
        <w:trPr>
          <w:trHeight w:val="464"/>
        </w:trPr>
        <w:tc>
          <w:tcPr>
            <w:tcW w:w="5420" w:type="dxa"/>
            <w:vAlign w:val="bottom"/>
          </w:tcPr>
          <w:p>
            <w:pPr>
              <w:ind w:left="3180"/>
              <w:spacing w:after="0"/>
              <w:rPr>
                <w:sz w:val="20"/>
                <w:szCs w:val="20"/>
                <w:color w:val="auto"/>
              </w:rPr>
            </w:pPr>
            <w:r>
              <w:rPr>
                <w:rFonts w:ascii="Arial" w:cs="Arial" w:eastAsia="Arial" w:hAnsi="Arial"/>
                <w:sz w:val="18"/>
                <w:szCs w:val="18"/>
                <w:color w:val="auto"/>
              </w:rPr>
              <w:t>F - 19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SEGMENT INFORMATION </w:t>
      </w:r>
      <w:r>
        <w:rPr>
          <w:rFonts w:ascii="Arial" w:cs="Arial" w:eastAsia="Arial" w:hAnsi="Arial"/>
          <w:sz w:val="18"/>
          <w:szCs w:val="18"/>
          <w:color w:val="auto"/>
        </w:rPr>
        <w:t>(Continued)</w:t>
      </w:r>
    </w:p>
    <w:p>
      <w:pPr>
        <w:spacing w:after="0" w:line="242" w:lineRule="exact"/>
        <w:rPr>
          <w:sz w:val="20"/>
          <w:szCs w:val="20"/>
          <w:color w:val="auto"/>
        </w:rPr>
      </w:pPr>
    </w:p>
    <w:p>
      <w:pPr>
        <w:ind w:left="8000"/>
        <w:spacing w:after="0"/>
        <w:rPr>
          <w:sz w:val="20"/>
          <w:szCs w:val="20"/>
          <w:color w:val="auto"/>
        </w:rPr>
      </w:pPr>
      <w:r>
        <w:rPr>
          <w:rFonts w:ascii="Arial" w:cs="Arial" w:eastAsia="Arial" w:hAnsi="Arial"/>
          <w:sz w:val="14"/>
          <w:szCs w:val="14"/>
          <w:b w:val="1"/>
          <w:bCs w:val="1"/>
          <w:i w:val="1"/>
          <w:iCs w:val="1"/>
          <w:color w:val="auto"/>
        </w:rPr>
        <w:t>Years Ended</w:t>
      </w:r>
    </w:p>
    <w:p>
      <w:pPr>
        <w:ind w:left="79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7"/>
          </w:tcPr>
          <w:p>
            <w:pPr>
              <w:jc w:val="right"/>
              <w:ind w:right="160"/>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$3,227</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$3,292</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740" w:type="dxa"/>
            <w:vAlign w:val="bottom"/>
            <w:gridSpan w:val="7"/>
          </w:tcPr>
          <w:p>
            <w:pPr>
              <w:jc w:val="right"/>
              <w:ind w:right="120"/>
              <w:spacing w:after="0"/>
              <w:rPr>
                <w:sz w:val="20"/>
                <w:szCs w:val="20"/>
                <w:color w:val="auto"/>
              </w:rPr>
            </w:pPr>
            <w:r>
              <w:rPr>
                <w:rFonts w:ascii="Arial" w:cs="Arial" w:eastAsia="Arial" w:hAnsi="Arial"/>
                <w:sz w:val="18"/>
                <w:szCs w:val="18"/>
                <w:color w:val="auto"/>
              </w:rPr>
              <w:t>(1,350)</w:t>
            </w:r>
          </w:p>
        </w:tc>
        <w:tc>
          <w:tcPr>
            <w:tcW w:w="620" w:type="dxa"/>
            <w:vAlign w:val="bottom"/>
            <w:gridSpan w:val="9"/>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562</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60" w:type="dxa"/>
            <w:vAlign w:val="bottom"/>
          </w:tcPr>
          <w:p>
            <w:pPr>
              <w:spacing w:after="0"/>
              <w:rPr>
                <w:sz w:val="17"/>
                <w:szCs w:val="17"/>
                <w:color w:val="auto"/>
              </w:rPr>
            </w:pPr>
          </w:p>
        </w:tc>
        <w:tc>
          <w:tcPr>
            <w:tcW w:w="680" w:type="dxa"/>
            <w:vAlign w:val="bottom"/>
            <w:gridSpan w:val="6"/>
          </w:tcPr>
          <w:p>
            <w:pPr>
              <w:jc w:val="right"/>
              <w:ind w:right="120"/>
              <w:spacing w:after="0" w:line="205" w:lineRule="exact"/>
              <w:rPr>
                <w:sz w:val="20"/>
                <w:szCs w:val="20"/>
                <w:color w:val="auto"/>
              </w:rPr>
            </w:pPr>
            <w:r>
              <w:rPr>
                <w:rFonts w:ascii="Arial" w:cs="Arial" w:eastAsia="Arial" w:hAnsi="Arial"/>
                <w:sz w:val="18"/>
                <w:szCs w:val="18"/>
                <w:color w:val="auto"/>
              </w:rPr>
              <w:t>(523)</w:t>
            </w:r>
          </w:p>
        </w:tc>
        <w:tc>
          <w:tcPr>
            <w:tcW w:w="620" w:type="dxa"/>
            <w:vAlign w:val="bottom"/>
            <w:gridSpan w:val="9"/>
          </w:tcPr>
          <w:p>
            <w:pPr>
              <w:jc w:val="right"/>
              <w:spacing w:after="0" w:line="205" w:lineRule="exact"/>
              <w:rPr>
                <w:sz w:val="20"/>
                <w:szCs w:val="20"/>
                <w:color w:val="auto"/>
              </w:rPr>
            </w:pPr>
            <w:r>
              <w:rPr>
                <w:rFonts w:ascii="Arial" w:cs="Arial" w:eastAsia="Arial" w:hAnsi="Arial"/>
                <w:sz w:val="18"/>
                <w:szCs w:val="18"/>
                <w:color w:val="auto"/>
              </w:rPr>
              <w:t>(412)</w:t>
            </w:r>
          </w:p>
        </w:tc>
      </w:tr>
      <w:tr>
        <w:trPr>
          <w:trHeight w:val="20"/>
        </w:trPr>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8"/>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3,439</w:t>
            </w:r>
          </w:p>
        </w:tc>
      </w:tr>
      <w:tr>
        <w:trPr>
          <w:trHeight w:val="262"/>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$595</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96</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80" w:type="dxa"/>
            <w:vAlign w:val="bottom"/>
            <w:gridSpan w:val="3"/>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109</w:t>
            </w:r>
          </w:p>
        </w:tc>
        <w:tc>
          <w:tcPr>
            <w:tcW w:w="16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40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140</w:t>
            </w:r>
          </w:p>
        </w:tc>
        <w:tc>
          <w:tcPr>
            <w:tcW w:w="4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220" w:type="dxa"/>
            <w:vAlign w:val="bottom"/>
            <w:gridSpan w:val="4"/>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599</w:t>
            </w:r>
          </w:p>
        </w:tc>
        <w:tc>
          <w:tcPr>
            <w:tcW w:w="160" w:type="dxa"/>
            <w:vAlign w:val="bottom"/>
          </w:tcPr>
          <w:p>
            <w:pPr>
              <w:spacing w:after="0"/>
              <w:rPr>
                <w:sz w:val="19"/>
                <w:szCs w:val="19"/>
                <w:color w:val="auto"/>
              </w:rPr>
            </w:pPr>
          </w:p>
        </w:tc>
        <w:tc>
          <w:tcPr>
            <w:tcW w:w="220" w:type="dxa"/>
            <w:vAlign w:val="bottom"/>
            <w:gridSpan w:val="4"/>
          </w:tcPr>
          <w:p>
            <w:pPr>
              <w:spacing w:after="0"/>
              <w:rPr>
                <w:sz w:val="19"/>
                <w:szCs w:val="19"/>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831</w:t>
            </w:r>
          </w:p>
        </w:tc>
        <w:tc>
          <w:tcPr>
            <w:tcW w:w="40" w:type="dxa"/>
            <w:vAlign w:val="bottom"/>
          </w:tcPr>
          <w:p>
            <w:pPr>
              <w:spacing w:after="0"/>
              <w:rPr>
                <w:sz w:val="19"/>
                <w:szCs w:val="19"/>
                <w:color w:val="auto"/>
              </w:rPr>
            </w:pPr>
          </w:p>
        </w:tc>
      </w:tr>
      <w:tr>
        <w:trPr>
          <w:trHeight w:val="493"/>
        </w:trPr>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12"/>
          </w:tcPr>
          <w:p>
            <w:pPr>
              <w:jc w:val="right"/>
              <w:ind w:right="380"/>
              <w:spacing w:after="0"/>
              <w:rPr>
                <w:sz w:val="20"/>
                <w:szCs w:val="20"/>
                <w:color w:val="auto"/>
              </w:rPr>
            </w:pPr>
            <w:r>
              <w:rPr>
                <w:rFonts w:ascii="Arial" w:cs="Arial" w:eastAsia="Arial" w:hAnsi="Arial"/>
                <w:sz w:val="14"/>
                <w:szCs w:val="14"/>
                <w:b w:val="1"/>
                <w:bCs w:val="1"/>
                <w:i w:val="1"/>
                <w:iCs w:val="1"/>
                <w:color w:val="auto"/>
                <w:w w:val="81"/>
              </w:rPr>
              <w:t>December 31,</w:t>
            </w:r>
          </w:p>
        </w:tc>
      </w:tr>
      <w:tr>
        <w:trPr>
          <w:trHeight w:val="20"/>
        </w:trPr>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4"/>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3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7"/>
          </w:tcPr>
          <w:p>
            <w:pPr>
              <w:jc w:val="right"/>
              <w:ind w:right="160"/>
              <w:spacing w:after="0"/>
              <w:rPr>
                <w:sz w:val="20"/>
                <w:szCs w:val="20"/>
                <w:color w:val="auto"/>
              </w:rPr>
            </w:pPr>
            <w:r>
              <w:rPr>
                <w:rFonts w:ascii="Arial" w:cs="Arial" w:eastAsia="Arial" w:hAnsi="Arial"/>
                <w:sz w:val="14"/>
                <w:szCs w:val="14"/>
                <w:b w:val="1"/>
                <w:bCs w:val="1"/>
                <w:i w:val="1"/>
                <w:iCs w:val="1"/>
                <w:color w:val="auto"/>
              </w:rPr>
              <w:t>2014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w w:val="86"/>
              </w:rPr>
              <w:t>$16,983</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w w:val="86"/>
              </w:rPr>
              <w:t>$26,211</w:t>
            </w: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6"/>
          </w:tcPr>
          <w:p>
            <w:pPr>
              <w:jc w:val="right"/>
              <w:spacing w:after="0"/>
              <w:rPr>
                <w:sz w:val="20"/>
                <w:szCs w:val="20"/>
                <w:color w:val="auto"/>
              </w:rPr>
            </w:pPr>
            <w:r>
              <w:rPr>
                <w:rFonts w:ascii="Arial" w:cs="Arial" w:eastAsia="Arial" w:hAnsi="Arial"/>
                <w:sz w:val="18"/>
                <w:szCs w:val="18"/>
                <w:color w:val="auto"/>
              </w:rPr>
              <w:t>19,733</w:t>
            </w:r>
          </w:p>
        </w:tc>
        <w:tc>
          <w:tcPr>
            <w:tcW w:w="160" w:type="dxa"/>
            <w:vAlign w:val="bottom"/>
          </w:tcPr>
          <w:p>
            <w:pPr>
              <w:spacing w:after="0"/>
              <w:rPr>
                <w:sz w:val="21"/>
                <w:szCs w:val="21"/>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color w:val="auto"/>
              </w:rPr>
              <w:t>7,801</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0" w:type="dxa"/>
            <w:vAlign w:val="bottom"/>
          </w:tcPr>
          <w:p>
            <w:pPr>
              <w:spacing w:after="0"/>
              <w:rPr>
                <w:sz w:val="17"/>
                <w:szCs w:val="17"/>
                <w:color w:val="auto"/>
              </w:rPr>
            </w:pPr>
          </w:p>
        </w:tc>
        <w:tc>
          <w:tcPr>
            <w:tcW w:w="52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3,268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4,726</w:t>
            </w:r>
          </w:p>
        </w:tc>
        <w:tc>
          <w:tcPr>
            <w:tcW w:w="40" w:type="dxa"/>
            <w:vAlign w:val="bottom"/>
          </w:tcPr>
          <w:p>
            <w:pPr>
              <w:spacing w:after="0"/>
              <w:rPr>
                <w:sz w:val="17"/>
                <w:szCs w:val="17"/>
                <w:color w:val="auto"/>
              </w:rPr>
            </w:pPr>
          </w:p>
        </w:tc>
      </w:tr>
      <w:tr>
        <w:trPr>
          <w:trHeight w:val="223"/>
        </w:trPr>
        <w:tc>
          <w:tcPr>
            <w:tcW w:w="5420" w:type="dxa"/>
            <w:vAlign w:val="bottom"/>
          </w:tcPr>
          <w:p>
            <w:pPr>
              <w:spacing w:after="0"/>
              <w:rPr>
                <w:sz w:val="19"/>
                <w:szCs w:val="19"/>
                <w:color w:val="auto"/>
              </w:rPr>
            </w:pPr>
          </w:p>
        </w:tc>
        <w:tc>
          <w:tcPr>
            <w:tcW w:w="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39,984</w:t>
            </w:r>
          </w:p>
        </w:tc>
        <w:tc>
          <w:tcPr>
            <w:tcW w:w="160" w:type="dxa"/>
            <w:vAlign w:val="bottom"/>
          </w:tcPr>
          <w:p>
            <w:pPr>
              <w:spacing w:after="0"/>
              <w:rPr>
                <w:sz w:val="19"/>
                <w:szCs w:val="19"/>
                <w:color w:val="auto"/>
              </w:rPr>
            </w:pPr>
          </w:p>
        </w:tc>
        <w:tc>
          <w:tcPr>
            <w:tcW w:w="5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38,738</w:t>
            </w:r>
          </w:p>
        </w:tc>
        <w:tc>
          <w:tcPr>
            <w:tcW w:w="40" w:type="dxa"/>
            <w:vAlign w:val="bottom"/>
          </w:tcPr>
          <w:p>
            <w:pPr>
              <w:spacing w:after="0"/>
              <w:rPr>
                <w:sz w:val="19"/>
                <w:szCs w:val="19"/>
                <w:color w:val="auto"/>
              </w:rPr>
            </w:pPr>
          </w:p>
        </w:tc>
      </w:tr>
    </w:tbl>
    <w:p>
      <w:pPr>
        <w:sectPr>
          <w:pgSz w:w="11900" w:h="16838" w:orient="portrait"/>
          <w:cols w:equalWidth="0" w:num="1">
            <w:col w:w="11120"/>
          </w:cols>
          <w:pgMar w:left="240" w:top="347" w:right="539" w:bottom="22" w:gutter="0" w:footer="0" w:header="0"/>
        </w:sectPr>
      </w:pPr>
    </w:p>
    <w:bookmarkStart w:id="41" w:name="page42"/>
    <w:bookmarkEnd w:id="41"/>
    <w:p>
      <w:pPr>
        <w:ind w:left="540" w:right="16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8000"/>
        <w:spacing w:after="0"/>
        <w:rPr>
          <w:sz w:val="20"/>
          <w:szCs w:val="20"/>
          <w:color w:val="auto"/>
        </w:rPr>
      </w:pPr>
      <w:r>
        <w:rPr>
          <w:rFonts w:ascii="Arial" w:cs="Arial" w:eastAsia="Arial" w:hAnsi="Arial"/>
          <w:sz w:val="14"/>
          <w:szCs w:val="14"/>
          <w:b w:val="1"/>
          <w:bCs w:val="1"/>
          <w:i w:val="1"/>
          <w:iCs w:val="1"/>
          <w:color w:val="auto"/>
        </w:rPr>
        <w:t>Years Ended</w:t>
      </w:r>
    </w:p>
    <w:p>
      <w:pPr>
        <w:ind w:left="796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20" w:type="dxa"/>
            <w:vAlign w:val="bottom"/>
          </w:tcPr>
          <w:p>
            <w:pPr>
              <w:spacing w:after="0"/>
              <w:rPr>
                <w:sz w:val="14"/>
                <w:szCs w:val="14"/>
                <w:color w:val="auto"/>
              </w:rPr>
            </w:pPr>
          </w:p>
        </w:tc>
        <w:tc>
          <w:tcPr>
            <w:tcW w:w="740" w:type="dxa"/>
            <w:vAlign w:val="bottom"/>
            <w:gridSpan w:val="6"/>
          </w:tcPr>
          <w:p>
            <w:pPr>
              <w:jc w:val="right"/>
              <w:ind w:right="180"/>
              <w:spacing w:after="0"/>
              <w:rPr>
                <w:sz w:val="20"/>
                <w:szCs w:val="20"/>
                <w:color w:val="auto"/>
              </w:rPr>
            </w:pPr>
            <w:r>
              <w:rPr>
                <w:rFonts w:ascii="Arial" w:cs="Arial" w:eastAsia="Arial" w:hAnsi="Arial"/>
                <w:sz w:val="14"/>
                <w:szCs w:val="14"/>
                <w:b w:val="1"/>
                <w:bCs w:val="1"/>
                <w:i w:val="1"/>
                <w:iCs w:val="1"/>
                <w:color w:val="auto"/>
              </w:rPr>
              <w:t>2014</w:t>
            </w: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U.S.</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w w:val="86"/>
              </w:rPr>
              <w:t>$14,294</w:t>
            </w: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$14,363</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60" w:type="dxa"/>
            <w:vAlign w:val="bottom"/>
          </w:tcPr>
          <w:p>
            <w:pPr>
              <w:spacing w:after="0"/>
              <w:rPr>
                <w:sz w:val="17"/>
                <w:szCs w:val="17"/>
                <w:color w:val="auto"/>
              </w:rPr>
            </w:pPr>
          </w:p>
        </w:tc>
        <w:tc>
          <w:tcPr>
            <w:tcW w:w="5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0"/>
              </w:rPr>
              <w:t>24,595</w:t>
            </w:r>
          </w:p>
        </w:tc>
        <w:tc>
          <w:tcPr>
            <w:tcW w:w="220" w:type="dxa"/>
            <w:vAlign w:val="bottom"/>
            <w:gridSpan w:val="2"/>
          </w:tcPr>
          <w:p>
            <w:pPr>
              <w:spacing w:after="0"/>
              <w:rPr>
                <w:sz w:val="17"/>
                <w:szCs w:val="17"/>
                <w:color w:val="auto"/>
              </w:rPr>
            </w:pPr>
          </w:p>
        </w:tc>
        <w:tc>
          <w:tcPr>
            <w:tcW w:w="52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w w:val="90"/>
              </w:rPr>
              <w:t>27,433</w:t>
            </w:r>
          </w:p>
        </w:tc>
      </w:tr>
      <w:tr>
        <w:trPr>
          <w:trHeight w:val="223"/>
        </w:trPr>
        <w:tc>
          <w:tcPr>
            <w:tcW w:w="5420" w:type="dxa"/>
            <w:vAlign w:val="bottom"/>
          </w:tcPr>
          <w:p>
            <w:pPr>
              <w:spacing w:after="0"/>
              <w:rPr>
                <w:sz w:val="19"/>
                <w:szCs w:val="19"/>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38,889</w:t>
            </w:r>
          </w:p>
        </w:tc>
        <w:tc>
          <w:tcPr>
            <w:tcW w:w="160" w:type="dxa"/>
            <w:vAlign w:val="bottom"/>
          </w:tcPr>
          <w:p>
            <w:pPr>
              <w:spacing w:after="0"/>
              <w:rPr>
                <w:sz w:val="19"/>
                <w:szCs w:val="19"/>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41,796</w:t>
            </w:r>
          </w:p>
        </w:tc>
      </w:tr>
      <w:tr>
        <w:trPr>
          <w:trHeight w:val="493"/>
        </w:trPr>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8"/>
          </w:tcPr>
          <w:p>
            <w:pPr>
              <w:jc w:val="right"/>
              <w:ind w:right="340"/>
              <w:spacing w:after="0"/>
              <w:rPr>
                <w:sz w:val="20"/>
                <w:szCs w:val="20"/>
                <w:color w:val="auto"/>
              </w:rPr>
            </w:pPr>
            <w:r>
              <w:rPr>
                <w:rFonts w:ascii="Arial" w:cs="Arial" w:eastAsia="Arial" w:hAnsi="Arial"/>
                <w:sz w:val="14"/>
                <w:szCs w:val="14"/>
                <w:b w:val="1"/>
                <w:bCs w:val="1"/>
                <w:i w:val="1"/>
                <w:iCs w:val="1"/>
                <w:color w:val="auto"/>
                <w:w w:val="81"/>
              </w:rPr>
              <w:t>December 31,</w:t>
            </w:r>
          </w:p>
        </w:tc>
      </w:tr>
      <w:tr>
        <w:trPr>
          <w:trHeight w:val="20"/>
        </w:trPr>
        <w:tc>
          <w:tcPr>
            <w:tcW w:w="5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23"/>
        </w:trPr>
        <w:tc>
          <w:tcPr>
            <w:tcW w:w="542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20" w:type="dxa"/>
            <w:vAlign w:val="bottom"/>
          </w:tcPr>
          <w:p>
            <w:pPr>
              <w:spacing w:after="0"/>
              <w:rPr>
                <w:sz w:val="19"/>
                <w:szCs w:val="19"/>
                <w:color w:val="auto"/>
              </w:rPr>
            </w:pPr>
          </w:p>
        </w:tc>
        <w:tc>
          <w:tcPr>
            <w:tcW w:w="740" w:type="dxa"/>
            <w:vAlign w:val="bottom"/>
            <w:gridSpan w:val="6"/>
          </w:tcPr>
          <w:p>
            <w:pPr>
              <w:jc w:val="right"/>
              <w:ind w:right="180"/>
              <w:spacing w:after="0"/>
              <w:rPr>
                <w:sz w:val="20"/>
                <w:szCs w:val="20"/>
                <w:color w:val="auto"/>
              </w:rPr>
            </w:pPr>
            <w:r>
              <w:rPr>
                <w:rFonts w:ascii="Arial" w:cs="Arial" w:eastAsia="Arial" w:hAnsi="Arial"/>
                <w:sz w:val="14"/>
                <w:szCs w:val="14"/>
                <w:b w:val="1"/>
                <w:bCs w:val="1"/>
                <w:i w:val="1"/>
                <w:iCs w:val="1"/>
                <w:color w:val="auto"/>
              </w:rPr>
              <w:t>2014</w:t>
            </w:r>
          </w:p>
        </w:tc>
      </w:tr>
      <w:tr>
        <w:trPr>
          <w:trHeight w:val="235"/>
        </w:trPr>
        <w:tc>
          <w:tcPr>
            <w:tcW w:w="542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U.S.</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  797</w:t>
            </w:r>
          </w:p>
        </w:tc>
        <w:tc>
          <w:tcPr>
            <w:tcW w:w="740" w:type="dxa"/>
            <w:vAlign w:val="bottom"/>
            <w:gridSpan w:val="6"/>
          </w:tcPr>
          <w:p>
            <w:pPr>
              <w:jc w:val="right"/>
              <w:spacing w:after="0"/>
              <w:rPr>
                <w:sz w:val="20"/>
                <w:szCs w:val="20"/>
                <w:color w:val="auto"/>
              </w:rPr>
            </w:pPr>
            <w:r>
              <w:rPr>
                <w:rFonts w:ascii="Arial" w:cs="Arial" w:eastAsia="Arial" w:hAnsi="Arial"/>
                <w:sz w:val="18"/>
                <w:szCs w:val="18"/>
                <w:color w:val="auto"/>
              </w:rPr>
              <w:t>$  621</w:t>
            </w:r>
          </w:p>
        </w:tc>
      </w:tr>
      <w:tr>
        <w:trPr>
          <w:trHeight w:val="205"/>
        </w:trPr>
        <w:tc>
          <w:tcPr>
            <w:tcW w:w="542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00" w:type="dxa"/>
            <w:vAlign w:val="bottom"/>
            <w:gridSpan w:val="2"/>
          </w:tcPr>
          <w:p>
            <w:pPr>
              <w:spacing w:after="0"/>
              <w:rPr>
                <w:sz w:val="17"/>
                <w:szCs w:val="17"/>
                <w:color w:val="auto"/>
              </w:rPr>
            </w:pPr>
          </w:p>
        </w:tc>
        <w:tc>
          <w:tcPr>
            <w:tcW w:w="4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315</w:t>
            </w:r>
          </w:p>
        </w:tc>
        <w:tc>
          <w:tcPr>
            <w:tcW w:w="300" w:type="dxa"/>
            <w:vAlign w:val="bottom"/>
            <w:gridSpan w:val="3"/>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647</w:t>
            </w:r>
          </w:p>
        </w:tc>
      </w:tr>
      <w:tr>
        <w:trPr>
          <w:trHeight w:val="223"/>
        </w:trPr>
        <w:tc>
          <w:tcPr>
            <w:tcW w:w="54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1,112</w:t>
            </w:r>
          </w:p>
        </w:tc>
        <w:tc>
          <w:tcPr>
            <w:tcW w:w="7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1,268</w:t>
            </w:r>
          </w:p>
        </w:tc>
      </w:tr>
      <w:tr>
        <w:trPr>
          <w:trHeight w:val="20"/>
        </w:trPr>
        <w:tc>
          <w:tcPr>
            <w:tcW w:w="5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2015.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7"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activity of the semiconductor and ATE markets. Quarterly fluctuations in expenses are related directly to sales activity and volume and may also reflect the timing of operating expenses incurred throughout the year.</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right"/>
              <w:ind w:right="520"/>
              <w:spacing w:after="0"/>
              <w:rPr>
                <w:sz w:val="20"/>
                <w:szCs w:val="20"/>
                <w:color w:val="auto"/>
              </w:rPr>
            </w:pPr>
            <w:r>
              <w:rPr>
                <w:rFonts w:ascii="Arial" w:cs="Arial" w:eastAsia="Arial" w:hAnsi="Arial"/>
                <w:sz w:val="14"/>
                <w:szCs w:val="14"/>
                <w:b w:val="1"/>
                <w:bCs w:val="1"/>
                <w:i w:val="1"/>
                <w:iCs w:val="1"/>
                <w:color w:val="auto"/>
                <w:w w:val="81"/>
              </w:rPr>
              <w:t>Quarters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426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b w:val="1"/>
                <w:bCs w:val="1"/>
                <w:i w:val="1"/>
                <w:iCs w:val="1"/>
                <w:color w:val="auto"/>
                <w:w w:val="81"/>
              </w:rPr>
              <w:t>3/31/15</w:t>
            </w:r>
          </w:p>
        </w:tc>
        <w:tc>
          <w:tcPr>
            <w:tcW w:w="320" w:type="dxa"/>
            <w:vAlign w:val="bottom"/>
          </w:tcPr>
          <w:p>
            <w:pPr>
              <w:spacing w:after="0"/>
              <w:rPr>
                <w:sz w:val="19"/>
                <w:szCs w:val="19"/>
                <w:color w:val="auto"/>
              </w:rPr>
            </w:pP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6/30/15</w:t>
            </w:r>
          </w:p>
        </w:tc>
        <w:tc>
          <w:tcPr>
            <w:tcW w:w="86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rPr>
              <w:t>9/30/15</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12/31/15</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Net revenues</w:t>
            </w:r>
          </w:p>
        </w:tc>
        <w:tc>
          <w:tcPr>
            <w:tcW w:w="4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$10,188</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$11,559</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$ 9,203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$ 7,939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$38,889</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4,918</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5,846</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4,323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3,611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18,698</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671</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1,659</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407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233</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579</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97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438</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1,080</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310</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1,861</w:t>
            </w:r>
          </w:p>
        </w:tc>
      </w:tr>
      <w:tr>
        <w:trPr>
          <w:trHeight w:val="419"/>
        </w:trPr>
        <w:tc>
          <w:tcPr>
            <w:tcW w:w="426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$0.04</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$0.10</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$0.03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1120" w:type="dxa"/>
            <w:vAlign w:val="bottom"/>
            <w:gridSpan w:val="3"/>
          </w:tcPr>
          <w:p>
            <w:pPr>
              <w:ind w:left="380"/>
              <w:spacing w:after="0"/>
              <w:rPr>
                <w:sz w:val="20"/>
                <w:szCs w:val="20"/>
                <w:color w:val="auto"/>
              </w:rPr>
            </w:pPr>
            <w:r>
              <w:rPr>
                <w:rFonts w:ascii="Arial" w:cs="Arial" w:eastAsia="Arial" w:hAnsi="Arial"/>
                <w:sz w:val="14"/>
                <w:szCs w:val="14"/>
                <w:color w:val="auto"/>
              </w:rPr>
              <w:t>10,465,414</w:t>
            </w:r>
          </w:p>
        </w:tc>
        <w:tc>
          <w:tcPr>
            <w:tcW w:w="880" w:type="dxa"/>
            <w:vAlign w:val="bottom"/>
            <w:gridSpan w:val="4"/>
          </w:tcPr>
          <w:p>
            <w:pPr>
              <w:ind w:left="140"/>
              <w:spacing w:after="0"/>
              <w:rPr>
                <w:sz w:val="20"/>
                <w:szCs w:val="20"/>
                <w:color w:val="auto"/>
              </w:rPr>
            </w:pPr>
            <w:r>
              <w:rPr>
                <w:rFonts w:ascii="Arial" w:cs="Arial" w:eastAsia="Arial" w:hAnsi="Arial"/>
                <w:sz w:val="14"/>
                <w:szCs w:val="14"/>
                <w:color w:val="auto"/>
              </w:rPr>
              <w:t>10,471,888</w:t>
            </w:r>
          </w:p>
        </w:tc>
        <w:tc>
          <w:tcPr>
            <w:tcW w:w="860" w:type="dxa"/>
            <w:vAlign w:val="bottom"/>
            <w:gridSpan w:val="4"/>
          </w:tcPr>
          <w:p>
            <w:pPr>
              <w:ind w:left="120"/>
              <w:spacing w:after="0"/>
              <w:rPr>
                <w:sz w:val="20"/>
                <w:szCs w:val="20"/>
                <w:color w:val="auto"/>
              </w:rPr>
            </w:pPr>
            <w:r>
              <w:rPr>
                <w:rFonts w:ascii="Arial" w:cs="Arial" w:eastAsia="Arial" w:hAnsi="Arial"/>
                <w:sz w:val="14"/>
                <w:szCs w:val="14"/>
                <w:color w:val="auto"/>
              </w:rPr>
              <w:t>10,473,928</w:t>
            </w:r>
          </w:p>
        </w:tc>
        <w:tc>
          <w:tcPr>
            <w:tcW w:w="840" w:type="dxa"/>
            <w:vAlign w:val="bottom"/>
            <w:gridSpan w:val="3"/>
          </w:tcPr>
          <w:p>
            <w:pPr>
              <w:ind w:left="140"/>
              <w:spacing w:after="0"/>
              <w:rPr>
                <w:sz w:val="20"/>
                <w:szCs w:val="20"/>
                <w:color w:val="auto"/>
              </w:rPr>
            </w:pPr>
            <w:r>
              <w:rPr>
                <w:rFonts w:ascii="Arial" w:cs="Arial" w:eastAsia="Arial" w:hAnsi="Arial"/>
                <w:sz w:val="14"/>
                <w:szCs w:val="14"/>
                <w:color w:val="auto"/>
                <w:w w:val="96"/>
              </w:rPr>
              <w:t>10,481,612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10,473,210</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$0.04</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$0.10</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$0.03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w w:val="95"/>
              </w:rPr>
              <w:t>Weighted average common shares outstanding - diluted</w:t>
            </w:r>
          </w:p>
        </w:tc>
        <w:tc>
          <w:tcPr>
            <w:tcW w:w="1120" w:type="dxa"/>
            <w:vAlign w:val="bottom"/>
            <w:gridSpan w:val="3"/>
          </w:tcPr>
          <w:p>
            <w:pPr>
              <w:ind w:left="380"/>
              <w:spacing w:after="0"/>
              <w:rPr>
                <w:sz w:val="20"/>
                <w:szCs w:val="20"/>
                <w:color w:val="auto"/>
              </w:rPr>
            </w:pPr>
            <w:r>
              <w:rPr>
                <w:rFonts w:ascii="Arial" w:cs="Arial" w:eastAsia="Arial" w:hAnsi="Arial"/>
                <w:sz w:val="14"/>
                <w:szCs w:val="14"/>
                <w:color w:val="auto"/>
              </w:rPr>
              <w:t>10,483,527</w:t>
            </w:r>
          </w:p>
        </w:tc>
        <w:tc>
          <w:tcPr>
            <w:tcW w:w="880" w:type="dxa"/>
            <w:vAlign w:val="bottom"/>
            <w:gridSpan w:val="4"/>
          </w:tcPr>
          <w:p>
            <w:pPr>
              <w:ind w:left="140"/>
              <w:spacing w:after="0"/>
              <w:rPr>
                <w:sz w:val="20"/>
                <w:szCs w:val="20"/>
                <w:color w:val="auto"/>
              </w:rPr>
            </w:pPr>
            <w:r>
              <w:rPr>
                <w:rFonts w:ascii="Arial" w:cs="Arial" w:eastAsia="Arial" w:hAnsi="Arial"/>
                <w:sz w:val="14"/>
                <w:szCs w:val="14"/>
                <w:color w:val="auto"/>
              </w:rPr>
              <w:t>10,494,457</w:t>
            </w:r>
          </w:p>
        </w:tc>
        <w:tc>
          <w:tcPr>
            <w:tcW w:w="860" w:type="dxa"/>
            <w:vAlign w:val="bottom"/>
            <w:gridSpan w:val="4"/>
          </w:tcPr>
          <w:p>
            <w:pPr>
              <w:ind w:left="140"/>
              <w:spacing w:after="0"/>
              <w:rPr>
                <w:sz w:val="20"/>
                <w:szCs w:val="20"/>
                <w:color w:val="auto"/>
              </w:rPr>
            </w:pPr>
            <w:r>
              <w:rPr>
                <w:rFonts w:ascii="Arial" w:cs="Arial" w:eastAsia="Arial" w:hAnsi="Arial"/>
                <w:sz w:val="14"/>
                <w:szCs w:val="14"/>
                <w:color w:val="auto"/>
                <w:w w:val="99"/>
              </w:rPr>
              <w:t>10,498,911</w:t>
            </w:r>
          </w:p>
        </w:tc>
        <w:tc>
          <w:tcPr>
            <w:tcW w:w="840" w:type="dxa"/>
            <w:vAlign w:val="bottom"/>
            <w:gridSpan w:val="3"/>
          </w:tcPr>
          <w:p>
            <w:pPr>
              <w:ind w:left="140"/>
              <w:spacing w:after="0"/>
              <w:rPr>
                <w:sz w:val="20"/>
                <w:szCs w:val="20"/>
                <w:color w:val="auto"/>
              </w:rPr>
            </w:pPr>
            <w:r>
              <w:rPr>
                <w:rFonts w:ascii="Arial" w:cs="Arial" w:eastAsia="Arial" w:hAnsi="Arial"/>
                <w:sz w:val="14"/>
                <w:szCs w:val="14"/>
                <w:color w:val="auto"/>
                <w:w w:val="96"/>
              </w:rPr>
              <w:t>10,498,369</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10,493,830</w:t>
            </w:r>
          </w:p>
        </w:tc>
      </w:tr>
      <w:tr>
        <w:trPr>
          <w:trHeight w:val="407"/>
        </w:trPr>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6"/>
          </w:tcPr>
          <w:p>
            <w:pPr>
              <w:jc w:val="right"/>
              <w:ind w:right="520"/>
              <w:spacing w:after="0"/>
              <w:rPr>
                <w:sz w:val="20"/>
                <w:szCs w:val="20"/>
                <w:color w:val="auto"/>
              </w:rPr>
            </w:pPr>
            <w:r>
              <w:rPr>
                <w:rFonts w:ascii="Arial" w:cs="Arial" w:eastAsia="Arial" w:hAnsi="Arial"/>
                <w:sz w:val="14"/>
                <w:szCs w:val="14"/>
                <w:b w:val="1"/>
                <w:bCs w:val="1"/>
                <w:i w:val="1"/>
                <w:iCs w:val="1"/>
                <w:color w:val="auto"/>
                <w:w w:val="81"/>
              </w:rPr>
              <w:t>Quarters Ended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223"/>
        </w:trPr>
        <w:tc>
          <w:tcPr>
            <w:tcW w:w="426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b w:val="1"/>
                <w:bCs w:val="1"/>
                <w:i w:val="1"/>
                <w:iCs w:val="1"/>
                <w:color w:val="auto"/>
                <w:w w:val="81"/>
              </w:rPr>
              <w:t>3/31/14</w:t>
            </w:r>
          </w:p>
        </w:tc>
        <w:tc>
          <w:tcPr>
            <w:tcW w:w="320" w:type="dxa"/>
            <w:vAlign w:val="bottom"/>
          </w:tcPr>
          <w:p>
            <w:pPr>
              <w:spacing w:after="0"/>
              <w:rPr>
                <w:sz w:val="19"/>
                <w:szCs w:val="19"/>
                <w:color w:val="auto"/>
              </w:rPr>
            </w:pPr>
          </w:p>
        </w:tc>
        <w:tc>
          <w:tcPr>
            <w:tcW w:w="880" w:type="dxa"/>
            <w:vAlign w:val="bottom"/>
            <w:gridSpan w:val="4"/>
          </w:tcPr>
          <w:p>
            <w:pPr>
              <w:ind w:left="160"/>
              <w:spacing w:after="0"/>
              <w:rPr>
                <w:sz w:val="20"/>
                <w:szCs w:val="20"/>
                <w:color w:val="auto"/>
              </w:rPr>
            </w:pPr>
            <w:r>
              <w:rPr>
                <w:rFonts w:ascii="Arial" w:cs="Arial" w:eastAsia="Arial" w:hAnsi="Arial"/>
                <w:sz w:val="14"/>
                <w:szCs w:val="14"/>
                <w:b w:val="1"/>
                <w:bCs w:val="1"/>
                <w:i w:val="1"/>
                <w:iCs w:val="1"/>
                <w:color w:val="auto"/>
              </w:rPr>
              <w:t>6/30/14</w:t>
            </w:r>
          </w:p>
        </w:tc>
        <w:tc>
          <w:tcPr>
            <w:tcW w:w="860" w:type="dxa"/>
            <w:vAlign w:val="bottom"/>
            <w:gridSpan w:val="4"/>
          </w:tcPr>
          <w:p>
            <w:pPr>
              <w:ind w:left="140"/>
              <w:spacing w:after="0"/>
              <w:rPr>
                <w:sz w:val="20"/>
                <w:szCs w:val="20"/>
                <w:color w:val="auto"/>
              </w:rPr>
            </w:pPr>
            <w:r>
              <w:rPr>
                <w:rFonts w:ascii="Arial" w:cs="Arial" w:eastAsia="Arial" w:hAnsi="Arial"/>
                <w:sz w:val="14"/>
                <w:szCs w:val="14"/>
                <w:b w:val="1"/>
                <w:bCs w:val="1"/>
                <w:i w:val="1"/>
                <w:iCs w:val="1"/>
                <w:color w:val="auto"/>
              </w:rPr>
              <w:t>9/30/14</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12/31/14</w:t>
            </w: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Net revenues</w:t>
            </w:r>
          </w:p>
        </w:tc>
        <w:tc>
          <w:tcPr>
            <w:tcW w:w="4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$ 8,797</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$12,343</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$10,794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$ 9,862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$41,796</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4,185</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6,082</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5,168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5,027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20,462</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411</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2,054</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1,268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1,176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4,909</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125</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697</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431</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217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1,470</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Net earnings</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286</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1,357</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837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959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3,439</w:t>
            </w:r>
          </w:p>
        </w:tc>
      </w:tr>
      <w:tr>
        <w:trPr>
          <w:trHeight w:val="419"/>
        </w:trPr>
        <w:tc>
          <w:tcPr>
            <w:tcW w:w="426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$0.03</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$0.13</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$0.08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$0.09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1120" w:type="dxa"/>
            <w:vAlign w:val="bottom"/>
            <w:gridSpan w:val="3"/>
          </w:tcPr>
          <w:p>
            <w:pPr>
              <w:ind w:left="380"/>
              <w:spacing w:after="0"/>
              <w:rPr>
                <w:sz w:val="20"/>
                <w:szCs w:val="20"/>
                <w:color w:val="auto"/>
              </w:rPr>
            </w:pPr>
            <w:r>
              <w:rPr>
                <w:rFonts w:ascii="Arial" w:cs="Arial" w:eastAsia="Arial" w:hAnsi="Arial"/>
                <w:sz w:val="14"/>
                <w:szCs w:val="14"/>
                <w:color w:val="auto"/>
              </w:rPr>
              <w:t>10,393,956</w:t>
            </w:r>
          </w:p>
        </w:tc>
        <w:tc>
          <w:tcPr>
            <w:tcW w:w="880" w:type="dxa"/>
            <w:vAlign w:val="bottom"/>
            <w:gridSpan w:val="4"/>
          </w:tcPr>
          <w:p>
            <w:pPr>
              <w:ind w:left="140"/>
              <w:spacing w:after="0"/>
              <w:rPr>
                <w:sz w:val="20"/>
                <w:szCs w:val="20"/>
                <w:color w:val="auto"/>
              </w:rPr>
            </w:pPr>
            <w:r>
              <w:rPr>
                <w:rFonts w:ascii="Arial" w:cs="Arial" w:eastAsia="Arial" w:hAnsi="Arial"/>
                <w:sz w:val="14"/>
                <w:szCs w:val="14"/>
                <w:color w:val="auto"/>
              </w:rPr>
              <w:t>10,436,730</w:t>
            </w:r>
          </w:p>
        </w:tc>
        <w:tc>
          <w:tcPr>
            <w:tcW w:w="860" w:type="dxa"/>
            <w:vAlign w:val="bottom"/>
            <w:gridSpan w:val="4"/>
          </w:tcPr>
          <w:p>
            <w:pPr>
              <w:ind w:left="120"/>
              <w:spacing w:after="0"/>
              <w:rPr>
                <w:sz w:val="20"/>
                <w:szCs w:val="20"/>
                <w:color w:val="auto"/>
              </w:rPr>
            </w:pPr>
            <w:r>
              <w:rPr>
                <w:rFonts w:ascii="Arial" w:cs="Arial" w:eastAsia="Arial" w:hAnsi="Arial"/>
                <w:sz w:val="14"/>
                <w:szCs w:val="14"/>
                <w:color w:val="auto"/>
              </w:rPr>
              <w:t>10,440,803</w:t>
            </w:r>
          </w:p>
        </w:tc>
        <w:tc>
          <w:tcPr>
            <w:tcW w:w="840" w:type="dxa"/>
            <w:vAlign w:val="bottom"/>
            <w:gridSpan w:val="3"/>
          </w:tcPr>
          <w:p>
            <w:pPr>
              <w:ind w:left="140"/>
              <w:spacing w:after="0"/>
              <w:rPr>
                <w:sz w:val="20"/>
                <w:szCs w:val="20"/>
                <w:color w:val="auto"/>
              </w:rPr>
            </w:pPr>
            <w:r>
              <w:rPr>
                <w:rFonts w:ascii="Arial" w:cs="Arial" w:eastAsia="Arial" w:hAnsi="Arial"/>
                <w:sz w:val="14"/>
                <w:szCs w:val="14"/>
                <w:color w:val="auto"/>
                <w:w w:val="96"/>
              </w:rPr>
              <w:t>10,454,716</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10,431,743</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$0.03</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$0.13</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$0.08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$0.09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$0.33</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w w:val="95"/>
              </w:rPr>
              <w:t>Weighted average common shares outstanding - diluted</w:t>
            </w:r>
          </w:p>
        </w:tc>
        <w:tc>
          <w:tcPr>
            <w:tcW w:w="1120" w:type="dxa"/>
            <w:vAlign w:val="bottom"/>
            <w:gridSpan w:val="3"/>
          </w:tcPr>
          <w:p>
            <w:pPr>
              <w:ind w:left="380"/>
              <w:spacing w:after="0"/>
              <w:rPr>
                <w:sz w:val="20"/>
                <w:szCs w:val="20"/>
                <w:color w:val="auto"/>
              </w:rPr>
            </w:pPr>
            <w:r>
              <w:rPr>
                <w:rFonts w:ascii="Arial" w:cs="Arial" w:eastAsia="Arial" w:hAnsi="Arial"/>
                <w:sz w:val="14"/>
                <w:szCs w:val="14"/>
                <w:color w:val="auto"/>
              </w:rPr>
              <w:t>10,448,911</w:t>
            </w:r>
          </w:p>
        </w:tc>
        <w:tc>
          <w:tcPr>
            <w:tcW w:w="880" w:type="dxa"/>
            <w:vAlign w:val="bottom"/>
            <w:gridSpan w:val="4"/>
          </w:tcPr>
          <w:p>
            <w:pPr>
              <w:ind w:left="140"/>
              <w:spacing w:after="0"/>
              <w:rPr>
                <w:sz w:val="20"/>
                <w:szCs w:val="20"/>
                <w:color w:val="auto"/>
              </w:rPr>
            </w:pPr>
            <w:r>
              <w:rPr>
                <w:rFonts w:ascii="Arial" w:cs="Arial" w:eastAsia="Arial" w:hAnsi="Arial"/>
                <w:sz w:val="14"/>
                <w:szCs w:val="14"/>
                <w:color w:val="auto"/>
              </w:rPr>
              <w:t>10,456,183</w:t>
            </w:r>
          </w:p>
        </w:tc>
        <w:tc>
          <w:tcPr>
            <w:tcW w:w="860" w:type="dxa"/>
            <w:vAlign w:val="bottom"/>
            <w:gridSpan w:val="4"/>
          </w:tcPr>
          <w:p>
            <w:pPr>
              <w:ind w:left="120"/>
              <w:spacing w:after="0"/>
              <w:rPr>
                <w:sz w:val="20"/>
                <w:szCs w:val="20"/>
                <w:color w:val="auto"/>
              </w:rPr>
            </w:pPr>
            <w:r>
              <w:rPr>
                <w:rFonts w:ascii="Arial" w:cs="Arial" w:eastAsia="Arial" w:hAnsi="Arial"/>
                <w:sz w:val="14"/>
                <w:szCs w:val="14"/>
                <w:color w:val="auto"/>
              </w:rPr>
              <w:t>10,477,814</w:t>
            </w:r>
          </w:p>
        </w:tc>
        <w:tc>
          <w:tcPr>
            <w:tcW w:w="840" w:type="dxa"/>
            <w:vAlign w:val="bottom"/>
            <w:gridSpan w:val="3"/>
          </w:tcPr>
          <w:p>
            <w:pPr>
              <w:ind w:left="140"/>
              <w:spacing w:after="0"/>
              <w:rPr>
                <w:sz w:val="20"/>
                <w:szCs w:val="20"/>
                <w:color w:val="auto"/>
              </w:rPr>
            </w:pPr>
            <w:r>
              <w:rPr>
                <w:rFonts w:ascii="Arial" w:cs="Arial" w:eastAsia="Arial" w:hAnsi="Arial"/>
                <w:sz w:val="14"/>
                <w:szCs w:val="14"/>
                <w:color w:val="auto"/>
                <w:w w:val="96"/>
              </w:rPr>
              <w:t>10,480,867</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10,466,064</w:t>
            </w:r>
          </w:p>
        </w:tc>
      </w:tr>
    </w:tbl>
    <w:p>
      <w:pPr>
        <w:sectPr>
          <w:pgSz w:w="11900" w:h="16838" w:orient="portrait"/>
          <w:cols w:equalWidth="0" w:num="1">
            <w:col w:w="11420"/>
          </w:cols>
          <w:pgMar w:left="240" w:top="131" w:right="239" w:bottom="335" w:gutter="0" w:footer="0" w:header="0"/>
        </w:sectPr>
      </w:pPr>
    </w:p>
    <w:bookmarkStart w:id="42" w:name="page43"/>
    <w:bookmarkEnd w:id="42"/>
    <w:p>
      <w:pPr>
        <w:spacing w:after="0" w:line="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 - 21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ind w:left="532" w:right="9100" w:hanging="532"/>
        <w:spacing w:after="0" w:line="541" w:lineRule="auto"/>
        <w:tabs>
          <w:tab w:leader="none" w:pos="37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EVENTS </w:t>
      </w:r>
      <w:r>
        <w:rPr>
          <w:rFonts w:ascii="Arial" w:cs="Arial" w:eastAsia="Arial" w:hAnsi="Arial"/>
          <w:sz w:val="16"/>
          <w:szCs w:val="16"/>
          <w:b w:val="1"/>
          <w:bCs w:val="1"/>
          <w:i w:val="1"/>
          <w:iCs w:val="1"/>
          <w:u w:val="single" w:color="auto"/>
          <w:color w:val="auto"/>
        </w:rPr>
        <w:t>Restructuring Charges</w:t>
      </w:r>
    </w:p>
    <w:p>
      <w:pPr>
        <w:ind w:left="532" w:right="120"/>
        <w:spacing w:after="0" w:line="306"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in conjunction with the formation of the inTEST EMS Products Division, we implemented a workforce reduction which resulted in our recording a restructuring charge of $99 in the first quarter of 2016.</w:t>
      </w:r>
    </w:p>
    <w:p>
      <w:pPr>
        <w:spacing w:after="0" w:line="161"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Stock-Based Compensation Awards</w:t>
      </w:r>
    </w:p>
    <w:p>
      <w:pPr>
        <w:spacing w:after="0" w:line="225"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On January 22, 2016, we issued 63,900 shares of restricted stock to certain executive officers, directors and key employees. Based on a grant date fair value of $4.37 per share, we will record total compensation expense of $279 related to these shares. Of the total shares issued, 22,500 will vest 100% upon the re-election of three of our independent directors at our annual meeting which is expected to take place in June 2016. The total compensation expense related to these shares is $98 and it will all be recorded in 2016 upon the re-election of the directors. The remaining compensation expense of $181 relates to shares which will vest over a four year period and will be recorded on a straight-line basis over the vesting period.</w:t>
      </w:r>
    </w:p>
    <w:p>
      <w:pPr>
        <w:spacing w:after="0" w:line="170" w:lineRule="exact"/>
        <w:rPr>
          <w:sz w:val="20"/>
          <w:szCs w:val="20"/>
          <w:color w:val="auto"/>
        </w:rPr>
      </w:pPr>
    </w:p>
    <w:p>
      <w:pPr>
        <w:ind w:left="532" w:right="360"/>
        <w:spacing w:after="0" w:line="298" w:lineRule="auto"/>
        <w:rPr>
          <w:sz w:val="20"/>
          <w:szCs w:val="20"/>
          <w:color w:val="auto"/>
        </w:rPr>
      </w:pPr>
      <w:r>
        <w:rPr>
          <w:rFonts w:ascii="Arial" w:cs="Arial" w:eastAsia="Arial" w:hAnsi="Arial"/>
          <w:sz w:val="16"/>
          <w:szCs w:val="16"/>
          <w:color w:val="auto"/>
        </w:rPr>
        <w:t>On January 22, 2016, we also issued 19,800 stock options to certain executive officers. The exercise price of the options is equal to the grant date fair value of our stock. The options have an exercise period of ten years from the date of grant and will vest on a straight-line basis over four years. We determined the fair value of these options using the Black-Scholes option pricing model. Based on a fair value of $1.43 per share, we will record total compensation expense of $28 on a straight-line basis over the vesting period.</w:t>
      </w:r>
    </w:p>
    <w:p>
      <w:pPr>
        <w:spacing w:after="0" w:line="167"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Stock Repurchase Plan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6"/>
          <w:szCs w:val="16"/>
          <w:color w:val="auto"/>
        </w:rPr>
        <w:t>As discussed in Note 13, in October 2015 our Board of Directors approved the 2015 Stock Repurchase Plan which commenced in December 2015.</w:t>
      </w:r>
    </w:p>
    <w:p>
      <w:pPr>
        <w:spacing w:after="0" w:line="38" w:lineRule="exact"/>
        <w:rPr>
          <w:sz w:val="20"/>
          <w:szCs w:val="20"/>
          <w:color w:val="auto"/>
        </w:rPr>
      </w:pPr>
    </w:p>
    <w:p>
      <w:pPr>
        <w:ind w:left="532"/>
        <w:spacing w:after="0"/>
        <w:rPr>
          <w:sz w:val="20"/>
          <w:szCs w:val="20"/>
          <w:color w:val="auto"/>
        </w:rPr>
      </w:pPr>
      <w:r>
        <w:rPr>
          <w:rFonts w:ascii="Arial" w:cs="Arial" w:eastAsia="Arial" w:hAnsi="Arial"/>
          <w:sz w:val="16"/>
          <w:szCs w:val="16"/>
          <w:color w:val="auto"/>
        </w:rPr>
        <w:t>Through February 29, 2016, we had repurchased a total of 126,356 shares at a cost of $512 which included fees paid to our broker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F - 22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12"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940" w:type="dxa"/>
            <w:vAlign w:val="bottom"/>
            <w:gridSpan w:val="3"/>
          </w:tcPr>
          <w:p>
            <w:pPr>
              <w:jc w:val="center"/>
              <w:ind w:left="747"/>
              <w:spacing w:after="0"/>
              <w:rPr>
                <w:sz w:val="20"/>
                <w:szCs w:val="20"/>
                <w:color w:val="auto"/>
              </w:rPr>
            </w:pPr>
            <w:r>
              <w:rPr>
                <w:rFonts w:ascii="Arial" w:cs="Arial" w:eastAsia="Arial" w:hAnsi="Arial"/>
                <w:sz w:val="14"/>
                <w:szCs w:val="14"/>
                <w:b w:val="1"/>
                <w:bCs w:val="1"/>
                <w:i w:val="1"/>
                <w:iCs w:val="1"/>
                <w:color w:val="auto"/>
                <w:w w:val="85"/>
              </w:rPr>
              <w:t>Balance at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left="46"/>
              <w:spacing w:after="0"/>
              <w:rPr>
                <w:sz w:val="20"/>
                <w:szCs w:val="20"/>
                <w:color w:val="auto"/>
              </w:rPr>
            </w:pPr>
            <w:r>
              <w:rPr>
                <w:rFonts w:ascii="Arial" w:cs="Arial" w:eastAsia="Arial" w:hAnsi="Arial"/>
                <w:sz w:val="14"/>
                <w:szCs w:val="14"/>
                <w:b w:val="1"/>
                <w:bCs w:val="1"/>
                <w:i w:val="1"/>
                <w:iCs w:val="1"/>
                <w:color w:val="auto"/>
                <w:w w:val="85"/>
              </w:rPr>
              <w:t>Balance at</w:t>
            </w:r>
          </w:p>
        </w:tc>
      </w:tr>
      <w:tr>
        <w:trPr>
          <w:trHeight w:val="149"/>
        </w:trPr>
        <w:tc>
          <w:tcPr>
            <w:tcW w:w="3420" w:type="dxa"/>
            <w:vAlign w:val="bottom"/>
          </w:tcPr>
          <w:p>
            <w:pPr>
              <w:spacing w:after="0"/>
              <w:rPr>
                <w:sz w:val="12"/>
                <w:szCs w:val="12"/>
                <w:color w:val="auto"/>
              </w:rPr>
            </w:pPr>
          </w:p>
        </w:tc>
        <w:tc>
          <w:tcPr>
            <w:tcW w:w="1940" w:type="dxa"/>
            <w:vAlign w:val="bottom"/>
            <w:gridSpan w:val="3"/>
          </w:tcPr>
          <w:p>
            <w:pPr>
              <w:jc w:val="center"/>
              <w:ind w:left="747"/>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i w:val="1"/>
                <w:iCs w:val="1"/>
                <w:color w:val="auto"/>
                <w:w w:val="90"/>
              </w:rPr>
              <w:t>Expense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66"/>
              <w:spacing w:after="0" w:line="149" w:lineRule="exact"/>
              <w:rPr>
                <w:sz w:val="20"/>
                <w:szCs w:val="20"/>
                <w:color w:val="auto"/>
              </w:rPr>
            </w:pPr>
            <w:r>
              <w:rPr>
                <w:rFonts w:ascii="Arial" w:cs="Arial" w:eastAsia="Arial" w:hAnsi="Arial"/>
                <w:sz w:val="14"/>
                <w:szCs w:val="14"/>
                <w:b w:val="1"/>
                <w:bCs w:val="1"/>
                <w:i w:val="1"/>
                <w:iCs w:val="1"/>
                <w:color w:val="auto"/>
                <w:w w:val="87"/>
              </w:rPr>
              <w:t>End of</w:t>
            </w:r>
          </w:p>
        </w:tc>
      </w:tr>
      <w:tr>
        <w:trPr>
          <w:trHeight w:val="146"/>
        </w:trPr>
        <w:tc>
          <w:tcPr>
            <w:tcW w:w="3420" w:type="dxa"/>
            <w:vAlign w:val="bottom"/>
          </w:tcPr>
          <w:p>
            <w:pPr>
              <w:spacing w:after="0"/>
              <w:rPr>
                <w:sz w:val="12"/>
                <w:szCs w:val="12"/>
                <w:color w:val="auto"/>
              </w:rPr>
            </w:pPr>
          </w:p>
        </w:tc>
        <w:tc>
          <w:tcPr>
            <w:tcW w:w="1940" w:type="dxa"/>
            <w:vAlign w:val="bottom"/>
            <w:gridSpan w:val="3"/>
          </w:tcPr>
          <w:p>
            <w:pPr>
              <w:jc w:val="center"/>
              <w:ind w:left="747"/>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72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w w:val="96"/>
              </w:rPr>
              <w:t>(Recovery)</w:t>
            </w:r>
          </w:p>
        </w:tc>
        <w:tc>
          <w:tcPr>
            <w:tcW w:w="880" w:type="dxa"/>
            <w:vAlign w:val="bottom"/>
            <w:gridSpan w:val="3"/>
          </w:tcPr>
          <w:p>
            <w:pPr>
              <w:ind w:left="140"/>
              <w:spacing w:after="0" w:line="146" w:lineRule="exact"/>
              <w:rPr>
                <w:sz w:val="20"/>
                <w:szCs w:val="20"/>
                <w:color w:val="auto"/>
              </w:rPr>
            </w:pPr>
            <w:r>
              <w:rPr>
                <w:rFonts w:ascii="Arial" w:cs="Arial" w:eastAsia="Arial" w:hAnsi="Arial"/>
                <w:sz w:val="14"/>
                <w:szCs w:val="14"/>
                <w:b w:val="1"/>
                <w:bCs w:val="1"/>
                <w:i w:val="1"/>
                <w:iCs w:val="1"/>
                <w:color w:val="auto"/>
                <w:w w:val="94"/>
              </w:rPr>
              <w:t>Deductions</w:t>
            </w:r>
          </w:p>
        </w:tc>
        <w:tc>
          <w:tcPr>
            <w:tcW w:w="240" w:type="dxa"/>
            <w:vAlign w:val="bottom"/>
          </w:tcPr>
          <w:p>
            <w:pPr>
              <w:spacing w:after="0"/>
              <w:rPr>
                <w:sz w:val="12"/>
                <w:szCs w:val="12"/>
                <w:color w:val="auto"/>
              </w:rPr>
            </w:pPr>
          </w:p>
        </w:tc>
        <w:tc>
          <w:tcPr>
            <w:tcW w:w="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2"/>
              </w:rPr>
              <w:t>Period</w:t>
            </w:r>
          </w:p>
        </w:tc>
      </w:tr>
      <w:tr>
        <w:trPr>
          <w:trHeight w:val="410"/>
        </w:trPr>
        <w:tc>
          <w:tcPr>
            <w:tcW w:w="34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r>
    </w:tbl>
    <w:p>
      <w:pPr>
        <w:sectPr>
          <w:pgSz w:w="11900" w:h="16909" w:orient="portrait"/>
          <w:cols w:equalWidth="0" w:num="1">
            <w:col w:w="11412"/>
          </w:cols>
          <w:pgMar w:left="248" w:top="1306" w:right="239" w:bottom="0" w:gutter="0" w:footer="0" w:header="0"/>
        </w:sectPr>
      </w:pPr>
    </w:p>
    <w:bookmarkStart w:id="43" w:name="page44"/>
    <w:bookmarkEnd w:id="43"/>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Warranty reserve</w:t>
            </w:r>
          </w:p>
        </w:tc>
        <w:tc>
          <w:tcPr>
            <w:tcW w:w="1820" w:type="dxa"/>
            <w:vAlign w:val="bottom"/>
          </w:tcPr>
          <w:p>
            <w:pPr>
              <w:jc w:val="right"/>
              <w:ind w:right="252"/>
              <w:spacing w:after="0"/>
              <w:rPr>
                <w:sz w:val="20"/>
                <w:szCs w:val="20"/>
                <w:color w:val="auto"/>
              </w:rPr>
            </w:pPr>
            <w:r>
              <w:rPr>
                <w:rFonts w:ascii="Arial" w:cs="Arial" w:eastAsia="Arial" w:hAnsi="Arial"/>
                <w:sz w:val="18"/>
                <w:szCs w:val="18"/>
                <w:color w:val="auto"/>
              </w:rPr>
              <w:t>118</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67</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(91)</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19"/>
        </w:trPr>
        <w:tc>
          <w:tcPr>
            <w:tcW w:w="3560" w:type="dxa"/>
            <w:vAlign w:val="bottom"/>
          </w:tcPr>
          <w:p>
            <w:pPr>
              <w:spacing w:after="0"/>
              <w:rPr>
                <w:sz w:val="20"/>
                <w:szCs w:val="20"/>
                <w:color w:val="auto"/>
              </w:rPr>
            </w:pPr>
            <w:r>
              <w:rPr>
                <w:rFonts w:ascii="Arial" w:cs="Arial" w:eastAsia="Arial" w:hAnsi="Arial"/>
                <w:sz w:val="18"/>
                <w:szCs w:val="18"/>
                <w:b w:val="1"/>
                <w:bCs w:val="1"/>
                <w:color w:val="auto"/>
              </w:rPr>
              <w:t>Year Ended December 31, 2014</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20" w:type="dxa"/>
            <w:vAlign w:val="bottom"/>
          </w:tcPr>
          <w:p>
            <w:pPr>
              <w:jc w:val="right"/>
              <w:ind w:right="252"/>
              <w:spacing w:after="0"/>
              <w:rPr>
                <w:sz w:val="20"/>
                <w:szCs w:val="20"/>
                <w:color w:val="auto"/>
              </w:rPr>
            </w:pPr>
            <w:r>
              <w:rPr>
                <w:rFonts w:ascii="Arial" w:cs="Arial" w:eastAsia="Arial" w:hAnsi="Arial"/>
                <w:sz w:val="18"/>
                <w:szCs w:val="18"/>
                <w:color w:val="auto"/>
              </w:rPr>
              <w:t>147</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Warranty reserve</w:t>
            </w:r>
          </w:p>
        </w:tc>
        <w:tc>
          <w:tcPr>
            <w:tcW w:w="1820" w:type="dxa"/>
            <w:vAlign w:val="bottom"/>
          </w:tcPr>
          <w:p>
            <w:pPr>
              <w:jc w:val="right"/>
              <w:ind w:right="252"/>
              <w:spacing w:after="0"/>
              <w:rPr>
                <w:sz w:val="20"/>
                <w:szCs w:val="20"/>
                <w:color w:val="auto"/>
              </w:rPr>
            </w:pPr>
            <w:r>
              <w:rPr>
                <w:rFonts w:ascii="Arial" w:cs="Arial" w:eastAsia="Arial" w:hAnsi="Arial"/>
                <w:sz w:val="18"/>
                <w:szCs w:val="18"/>
                <w:color w:val="auto"/>
              </w:rPr>
              <w:t>123</w:t>
            </w: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96</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9019"/>
          </w:cols>
          <w:pgMar w:left="1440" w:top="158"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COMPENSATORY ARRANGEMENTS OF EXECUTIVE OFFICERS AND DIRECTORS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On January 22, 2016, the Compensation Committee (the "Committee") of the Board of Directors (the "Board") of inTEST Corporation (the "Company") recommended and the Board unanimously approved (i) a compensation plan for our executive officers Messrs. Matthiessen, Regan and Pelrin, and (ii) grants of restricted stock to our independent directors. The details of this compensation plan and these restricted stock grants were previously filed on our Current Report on Form 8-K filed on January 28, 2016, and are incorporated herein by reference. The annual salary of Alyn Holt, our Executive Chairman, remains at $180,180.</w:t>
      </w:r>
    </w:p>
    <w:p>
      <w:pPr>
        <w:spacing w:after="0" w:line="175" w:lineRule="exact"/>
        <w:rPr>
          <w:sz w:val="20"/>
          <w:szCs w:val="20"/>
          <w:color w:val="auto"/>
        </w:rPr>
      </w:pPr>
    </w:p>
    <w:p>
      <w:pPr>
        <w:jc w:val="both"/>
        <w:ind w:right="160"/>
        <w:spacing w:after="0"/>
        <w:rPr>
          <w:sz w:val="20"/>
          <w:szCs w:val="20"/>
          <w:color w:val="auto"/>
        </w:rPr>
      </w:pPr>
      <w:r>
        <w:rPr>
          <w:rFonts w:ascii="Arial" w:cs="Arial" w:eastAsia="Arial" w:hAnsi="Arial"/>
          <w:sz w:val="22"/>
          <w:szCs w:val="22"/>
          <w:color w:val="auto"/>
        </w:rPr>
        <w:t>In addition, each of our executive officers receives our standard benefits package. Messrs. Matthiessen, Regan, and Pelrin are also parties to Change of Control Agreements with us that provide for the payment of certain benefits upon the executive's termination of employment following a change of control, as defined therein.</w:t>
      </w:r>
    </w:p>
    <w:p>
      <w:pPr>
        <w:spacing w:after="0" w:line="213" w:lineRule="exact"/>
        <w:rPr>
          <w:sz w:val="20"/>
          <w:szCs w:val="20"/>
          <w:color w:val="auto"/>
        </w:rPr>
      </w:pPr>
    </w:p>
    <w:p>
      <w:pPr>
        <w:ind w:right="20"/>
        <w:spacing w:after="0" w:line="247" w:lineRule="auto"/>
        <w:rPr>
          <w:sz w:val="20"/>
          <w:szCs w:val="20"/>
          <w:color w:val="auto"/>
        </w:rPr>
      </w:pPr>
      <w:r>
        <w:rPr>
          <w:rFonts w:ascii="Arial" w:cs="Arial" w:eastAsia="Arial" w:hAnsi="Arial"/>
          <w:sz w:val="21"/>
          <w:szCs w:val="21"/>
          <w:color w:val="auto"/>
        </w:rPr>
        <w:t>Directors who are not also our officers (each a "non-employee director") currently receive an annual retainer of $25,000 (Steven J. Abrams, Esq., Joseph W. Dews IV and William Kraut). Non-employee members of the Executive Committee are paid an additional annual retainer of $15,000 (Mssrs. Abrams and Dews) and the Lead Independent Director is paid an additional annual retainer of $10,000 (Mr. Kraut). The chairmen of the committees of the Board are paid an additional annual fee as follows: the Chairman of the Audit Committee is paid an additional annual fee of $20,000 (Mr. Kraut); the Chairman of the Compensation Committee is paid an additional annual fee of $10,000 (Mr. Dews); and the Chairman of the Nominating and Corporate Governance Committee is paid an additional annual fee of $10,000 (Mr. Abrams).</w:t>
      </w:r>
    </w:p>
    <w:p>
      <w:pPr>
        <w:sectPr>
          <w:pgSz w:w="11900" w:h="16838" w:orient="portrait"/>
          <w:cols w:equalWidth="0" w:num="1">
            <w:col w:w="11420"/>
          </w:cols>
          <w:pgMar w:left="240" w:top="11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Jurisdiction</w:t>
            </w:r>
          </w:p>
        </w:tc>
      </w:tr>
      <w:tr>
        <w:trPr>
          <w:trHeight w:val="184"/>
        </w:trPr>
        <w:tc>
          <w:tcPr>
            <w:tcW w:w="300" w:type="dxa"/>
            <w:vAlign w:val="bottom"/>
          </w:tcPr>
          <w:p>
            <w:pPr>
              <w:spacing w:after="0"/>
              <w:rPr>
                <w:sz w:val="15"/>
                <w:szCs w:val="15"/>
                <w:color w:val="auto"/>
              </w:rPr>
            </w:pPr>
          </w:p>
        </w:tc>
        <w:tc>
          <w:tcPr>
            <w:tcW w:w="15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i w:val="1"/>
                <w:iCs w:val="1"/>
                <w:color w:val="auto"/>
                <w:w w:val="84"/>
              </w:rPr>
              <w:t>Name of Subsidiaries</w:t>
            </w:r>
          </w:p>
        </w:tc>
        <w:tc>
          <w:tcPr>
            <w:tcW w:w="220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566"/>
        </w:trPr>
        <w:tc>
          <w:tcPr>
            <w:tcW w:w="406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4060" w:type="dxa"/>
            <w:vAlign w:val="bottom"/>
            <w:gridSpan w:val="3"/>
          </w:tcPr>
          <w:p>
            <w:pPr>
              <w:spacing w:after="0"/>
              <w:rPr>
                <w:sz w:val="20"/>
                <w:szCs w:val="20"/>
                <w:color w:val="auto"/>
              </w:rPr>
            </w:pPr>
            <w:r>
              <w:rPr>
                <w:rFonts w:ascii="Arial" w:cs="Arial" w:eastAsia="Arial" w:hAnsi="Arial"/>
                <w:sz w:val="22"/>
                <w:szCs w:val="22"/>
                <w:color w:val="auto"/>
              </w:rPr>
              <w:t>Temptronic Corporation (a)</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406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4060" w:type="dxa"/>
            <w:vAlign w:val="bottom"/>
            <w:gridSpan w:val="3"/>
          </w:tcPr>
          <w:p>
            <w:pPr>
              <w:spacing w:after="0"/>
              <w:rPr>
                <w:sz w:val="20"/>
                <w:szCs w:val="20"/>
                <w:color w:val="auto"/>
              </w:rPr>
            </w:pPr>
            <w:r>
              <w:rPr>
                <w:rFonts w:ascii="Arial" w:cs="Arial" w:eastAsia="Arial" w:hAnsi="Arial"/>
                <w:sz w:val="22"/>
                <w:szCs w:val="22"/>
                <w:color w:val="auto"/>
              </w:rPr>
              <w:t>inTEST Thermal Solutions GmbH</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2020" w:hanging="545"/>
        <w:spacing w:after="0"/>
        <w:tabs>
          <w:tab w:leader="none" w:pos="20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Doing business as inTEST Thermal Solutions Corp.</w:t>
      </w:r>
    </w:p>
    <w:p>
      <w:pPr>
        <w:sectPr>
          <w:pgSz w:w="11900" w:h="16838" w:orient="portrait"/>
          <w:cols w:equalWidth="0" w:num="1">
            <w:col w:w="10220"/>
          </w:cols>
          <w:pgMar w:left="1440" w:top="11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consent to the incorporation by reference in Registration Statements (No. 333-145176 and No. 333-197858) on Form S-8 and Registration Statement (No. 333-195834) on Form S-3 of inTEST Corporation of our report dated March 29, 2016, relating to our audits of the consolidated financial statements and the financial statement schedule, which appear in this Annual Report on Form 10-K of inTEST Corporation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/s/ RSM US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29, 2016</w:t>
      </w:r>
    </w:p>
    <w:p>
      <w:pPr>
        <w:sectPr>
          <w:pgSz w:w="11900" w:h="16838" w:orient="portrait"/>
          <w:cols w:equalWidth="0" w:num="1">
            <w:col w:w="11420"/>
          </w:cols>
          <w:pgMar w:left="240" w:top="11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29,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29,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2015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29,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2015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9"/>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9"/>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29,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lowerLetter"/>
      <w:start w:val="1"/>
    </w:lvl>
    <w:lvl w:ilvl="1">
      <w:lvlJc w:val="left"/>
      <w:lvlText w:val="(%2)"/>
      <w:numFmt w:val="lowerRoman"/>
      <w:start w:val="1"/>
    </w:lvl>
  </w:abstractNum>
  <w:abstractNum w:abstractNumId="5">
    <w:nsid w:val="140E0F76"/>
    <w:multiLevelType w:val="hybridMultilevel"/>
    <w:lvl w:ilvl="0">
      <w:lvlJc w:val="left"/>
      <w:lvlText w:val="%1"/>
      <w:numFmt w:val="decimal"/>
      <w:start w:val="21"/>
    </w:lvl>
    <w:lvl w:ilvl="1">
      <w:lvlJc w:val="left"/>
      <w:lvlText w:val="-"/>
      <w:numFmt w:val="bullet"/>
      <w:start w:val="1"/>
    </w:lvl>
  </w:abstractNum>
  <w:abstractNum w:abstractNumId="6">
    <w:nsid w:val="3352255A"/>
    <w:multiLevelType w:val="hybridMultilevel"/>
    <w:lvl w:ilvl="0">
      <w:lvlJc w:val="left"/>
      <w:lvlText w:val="%1"/>
      <w:numFmt w:val="decimal"/>
      <w:start w:val="23"/>
    </w:lvl>
    <w:lvl w:ilvl="1">
      <w:lvlJc w:val="left"/>
      <w:lvlText w:val="-"/>
      <w:numFmt w:val="bullet"/>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decimal"/>
      <w:start w:val="9"/>
    </w:lvl>
  </w:abstractNum>
  <w:abstractNum w:abstractNumId="13">
    <w:nsid w:val="4E6AFB66"/>
    <w:multiLevelType w:val="hybridMultilevel"/>
    <w:lvl w:ilvl="0">
      <w:lvlJc w:val="left"/>
      <w:lvlText w:val="(%1)"/>
      <w:numFmt w:val="decimal"/>
      <w:start w:val="17"/>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2019-12-06T16:03:25Z</dcterms:created>
  <dcterms:modified xsi:type="dcterms:W3CDTF">2019-12-06T16:03:25Z</dcterms:modified>
</cp:coreProperties>
</file>