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24" w:lineRule="exact"/>
        <w:rPr>
          <w:sz w:val="24"/>
          <w:szCs w:val="24"/>
          <w:color w:val="auto"/>
        </w:rPr>
      </w:pPr>
    </w:p>
    <w:p>
      <w:pPr>
        <w:ind w:left="3680" w:right="1640" w:hanging="3672"/>
        <w:spacing w:after="0" w:line="26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2022</w:t>
      </w:r>
      <w:r>
        <w:rPr>
          <w:rFonts w:ascii="Times New Roman" w:cs="Times New Roman" w:eastAsia="Times New Roman" w:hAnsi="Times New Roman"/>
          <w:sz w:val="18"/>
          <w:szCs w:val="18"/>
          <w:color w:val="auto"/>
        </w:rPr>
        <w:t xml:space="preserve"> or</w:t>
      </w:r>
    </w:p>
    <w:p>
      <w:pPr>
        <w:spacing w:after="0" w:line="17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040"/>
        <w:spacing w:after="0"/>
        <w:tabs>
          <w:tab w:leader="none" w:pos="71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3321050</wp:posOffset>
            </wp:positionH>
            <wp:positionV relativeFrom="paragraph">
              <wp:posOffset>-20320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1-36117</w:t>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inTEST Corporation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22-2370659</w:t>
            </w:r>
          </w:p>
        </w:tc>
      </w:tr>
      <w:tr>
        <w:trPr>
          <w:trHeight w:val="20"/>
        </w:trPr>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804 East Gate Drive, Suite 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Mt. Laurel, New Jersey 08054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(856) 505-8800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600" w:type="dxa"/>
            <w:vAlign w:val="bottom"/>
          </w:tcPr>
          <w:p>
            <w:pPr>
              <w:spacing w:after="0"/>
              <w:rPr>
                <w:sz w:val="18"/>
                <w:szCs w:val="18"/>
                <w:color w:val="auto"/>
              </w:rPr>
            </w:pPr>
          </w:p>
        </w:tc>
        <w:tc>
          <w:tcPr>
            <w:tcW w:w="34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8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0" w:type="dxa"/>
            <w:vAlign w:val="bottom"/>
          </w:tcPr>
          <w:p>
            <w:pPr>
              <w:spacing w:after="0"/>
              <w:rPr>
                <w:sz w:val="20"/>
                <w:szCs w:val="20"/>
                <w:color w:val="auto"/>
              </w:rPr>
            </w:pPr>
          </w:p>
        </w:tc>
        <w:tc>
          <w:tcPr>
            <w:tcW w:w="260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7"/>
              </w:rPr>
              <w:t>INTT</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472" w:right="45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7" w:lineRule="exact"/>
        <w:rPr>
          <w:sz w:val="24"/>
          <w:szCs w:val="24"/>
          <w:color w:val="auto"/>
        </w:rPr>
      </w:pPr>
    </w:p>
    <w:p>
      <w:pPr>
        <w:sectPr>
          <w:pgSz w:w="11900" w:h="16838" w:orient="portrait"/>
          <w:cols w:equalWidth="0" w:num="2">
            <w:col w:w="5880" w:space="720"/>
            <w:col w:w="4520"/>
          </w:cols>
          <w:pgMar w:left="320" w:top="47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234" w:lineRule="exact"/>
        <w:rPr>
          <w:sz w:val="24"/>
          <w:szCs w:val="24"/>
          <w:color w:val="auto"/>
        </w:rPr>
      </w:pPr>
    </w:p>
    <w:p>
      <w:pPr>
        <w:sectPr>
          <w:pgSz w:w="11900" w:h="16838" w:orient="portrait"/>
          <w:cols w:equalWidth="0" w:num="2">
            <w:col w:w="1980" w:space="80"/>
            <w:col w:w="9060"/>
          </w:cols>
          <w:pgMar w:left="320" w:top="472" w:right="459" w:bottom="1440" w:gutter="0" w:footer="0" w:header="0"/>
          <w:type w:val="continuous"/>
        </w:sect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outstanding as of the close of business on October 31, 2022:  11,022,949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98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inTEST CORPORATION</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988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9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as of September 30, 2022 (Unaudited) and December 31, 2021</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months and nine months ended September 30, 2022 and 2021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 w:type="dxa"/>
            <w:vAlign w:val="bottom"/>
            <w:shd w:val="clear" w:color="auto" w:fill="CCEEFF"/>
          </w:tcPr>
          <w:p>
            <w:pPr>
              <w:spacing w:after="0"/>
              <w:rPr>
                <w:sz w:val="17"/>
                <w:szCs w:val="17"/>
                <w:color w:val="auto"/>
              </w:rPr>
            </w:pPr>
          </w:p>
        </w:tc>
        <w:tc>
          <w:tcPr>
            <w:tcW w:w="98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Unaudited Consolidated Statements of Comprehensive Earnings for the three months and nine months ended September 30, 2022 and</w:t>
            </w:r>
          </w:p>
        </w:tc>
        <w:tc>
          <w:tcPr>
            <w:tcW w:w="560" w:type="dxa"/>
            <w:vAlign w:val="bottom"/>
            <w:gridSpan w:val="3"/>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spacing w:after="0"/>
              <w:rPr>
                <w:sz w:val="20"/>
                <w:szCs w:val="20"/>
                <w:color w:val="auto"/>
              </w:rPr>
            </w:pPr>
          </w:p>
        </w:tc>
        <w:tc>
          <w:tcPr>
            <w:tcW w:w="9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 for the three months and nine months ended September 30, 2022 and 2021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nine months ended September 30, 2022 and 2021</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1A.</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Defaults Upon Senior Securities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5.</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8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 term investments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$209 and $213, respectively</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52,077</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(6,046)</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106,701</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103,905</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Term Note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Term Note, net of 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49,082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 shares authorized; 11,057,858 and 10,910,460 shares issued,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earnings (loss)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34,308 and 33,077 shares, respectively</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106,701</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103,905</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136" w:gutter="0" w:footer="0" w:header="0"/>
        </w:sectPr>
      </w:pPr>
    </w:p>
    <w:bookmarkStart w:id="3" w:name="page4"/>
    <w:bookmarkEnd w:id="3"/>
    <w:p>
      <w:pPr>
        <w:spacing w:after="0" w:line="196" w:lineRule="auto"/>
        <w:framePr w:w="280" w:h="160" w:wrap="auto" w:vAnchor="page" w:hAnchor="page" w:x="5800" w:y="941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rFonts w:ascii="Times New Roman" w:cs="Times New Roman" w:eastAsia="Times New Roman" w:hAnsi="Times New Roman"/>
          <w:sz w:val="17"/>
          <w:szCs w:val="17"/>
          <w:color w:val="auto"/>
        </w:rPr>
      </w:pPr>
    </w:p>
    <w:p>
      <w:pPr>
        <w:spacing w:after="0" w:line="246"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30,771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16,873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45,964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31,642</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30,878</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4,864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10,739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22,714</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6,996</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10,695,867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10,496,188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10,655,469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10,422,851</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and common share equivalents outstanding -</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10,864,540</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10,792,290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10,840,644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10,694,351</w:t>
            </w:r>
          </w:p>
        </w:tc>
      </w:tr>
    </w:tbl>
    <w:p>
      <w:pPr>
        <w:spacing w:after="0" w:line="19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6,996</w:t>
            </w: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interest rate swap agreement</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4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6,851</w:t>
            </w:r>
          </w:p>
        </w:tc>
      </w:tr>
      <w:tr>
        <w:trPr>
          <w:trHeight w:val="20"/>
        </w:trPr>
        <w:tc>
          <w:tcPr>
            <w:tcW w:w="59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700" w:type="dxa"/>
            <w:vAlign w:val="bottom"/>
            <w:gridSpan w:val="9"/>
          </w:tcPr>
          <w:p>
            <w:pPr>
              <w:jc w:val="center"/>
              <w:ind w:left="247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2"/>
              </w:rPr>
              <w:t>Treasury</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 (loss)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10,910,460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24,393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54,823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79,489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10,995,194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24,970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56,001</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redeemed into treasury 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11,048,708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27,086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58,120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11,057,858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60,421</w:t>
            </w:r>
          </w:p>
        </w:tc>
        <w:tc>
          <w:tcPr>
            <w:tcW w:w="0" w:type="dxa"/>
            <w:vAlign w:val="bottom"/>
          </w:tcPr>
          <w:p>
            <w:pPr>
              <w:spacing w:after="0"/>
              <w:rPr>
                <w:sz w:val="1"/>
                <w:szCs w:val="1"/>
                <w:color w:val="auto"/>
              </w:rPr>
            </w:pPr>
          </w:p>
        </w:tc>
      </w:tr>
      <w:tr>
        <w:trPr>
          <w:trHeight w:val="413"/>
        </w:trPr>
        <w:tc>
          <w:tcPr>
            <w:tcW w:w="3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2"/>
              </w:rPr>
              <w:t>Treasury</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10,562,200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10,743,408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47,849</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10,815,859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21,931</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51,221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10,819,294</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53,716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5820" w:type="dxa"/>
            <w:vAlign w:val="bottom"/>
            <w:gridSpan w:val="17"/>
          </w:tcPr>
          <w:p>
            <w:pPr>
              <w:jc w:val="right"/>
              <w:ind w:right="1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5,217</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exchange loss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deferred compensation related to stock-based awards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Discount on shares sold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(3,874)</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8,123</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 of final working capital adjustment related to Acculogic</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Term Note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shares sold under Employee Stock Purchase Plan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redeemed into treasury stock</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all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(11,157)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10,038</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18,743</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and foreign income taxes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2,926</w:t>
            </w:r>
          </w:p>
        </w:tc>
        <w:tc>
          <w:tcPr>
            <w:tcW w:w="1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preliminary purchase accounting for Acculogic (Note 3)</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fair value of assets acquired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liability for contingent consideration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fair value of intangible assets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goodwill</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812" w:gutter="0" w:footer="0" w:header="0"/>
        </w:sectPr>
      </w:pPr>
    </w:p>
    <w:bookmarkStart w:id="8" w:name="page9"/>
    <w:bookmarkEnd w:id="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p>
      <w:pPr>
        <w:ind w:left="812" w:hanging="812"/>
        <w:spacing w:after="0"/>
        <w:tabs>
          <w:tab w:leader="none" w:pos="81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ind w:left="972"/>
        <w:spacing w:after="0" w:line="255" w:lineRule="auto"/>
        <w:rPr>
          <w:sz w:val="20"/>
          <w:szCs w:val="20"/>
          <w:color w:val="auto"/>
        </w:rPr>
      </w:pPr>
      <w:r>
        <w:rPr>
          <w:rFonts w:ascii="Times New Roman" w:cs="Times New Roman" w:eastAsia="Times New Roman" w:hAnsi="Times New Roman"/>
          <w:sz w:val="18"/>
          <w:szCs w:val="18"/>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Products ("Thermal") and Electromechanical Solutions ("EMS"). As discussed further in Note 16, effective January 1, 2022, we reorganized our operating segments. Accordingly, for 2022, we have three operating segments which are also our reportable segments and reporting units: Electronic Test, Environmental Technologies and Process Technologies. Prior period information has been reclassified to be comparable to the current period’s presentation.</w:t>
      </w:r>
    </w:p>
    <w:p>
      <w:pPr>
        <w:spacing w:after="0" w:line="189" w:lineRule="exact"/>
        <w:rPr>
          <w:sz w:val="20"/>
          <w:szCs w:val="20"/>
          <w:color w:val="auto"/>
        </w:rPr>
      </w:pPr>
    </w:p>
    <w:p>
      <w:pPr>
        <w:ind w:left="972" w:right="220"/>
        <w:spacing w:after="0" w:line="289" w:lineRule="auto"/>
        <w:rPr>
          <w:sz w:val="20"/>
          <w:szCs w:val="20"/>
          <w:color w:val="auto"/>
        </w:rPr>
      </w:pPr>
      <w:r>
        <w:rPr>
          <w:rFonts w:ascii="Times New Roman" w:cs="Times New Roman" w:eastAsia="Times New Roman" w:hAnsi="Times New Roman"/>
          <w:sz w:val="17"/>
          <w:szCs w:val="17"/>
          <w:color w:val="auto"/>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spacing w:after="0" w:line="158" w:lineRule="exact"/>
        <w:rPr>
          <w:sz w:val="20"/>
          <w:szCs w:val="20"/>
          <w:color w:val="auto"/>
        </w:rPr>
      </w:pPr>
    </w:p>
    <w:p>
      <w:pPr>
        <w:ind w:left="972" w:right="20"/>
        <w:spacing w:after="0" w:line="277" w:lineRule="auto"/>
        <w:rPr>
          <w:sz w:val="20"/>
          <w:szCs w:val="20"/>
          <w:color w:val="auto"/>
        </w:rPr>
      </w:pPr>
      <w:r>
        <w:rPr>
          <w:rFonts w:ascii="Times New Roman" w:cs="Times New Roman" w:eastAsia="Times New Roman" w:hAnsi="Times New Roman"/>
          <w:sz w:val="17"/>
          <w:szCs w:val="17"/>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68" w:lineRule="exact"/>
        <w:rPr>
          <w:sz w:val="20"/>
          <w:szCs w:val="20"/>
          <w:color w:val="auto"/>
        </w:rPr>
      </w:pPr>
    </w:p>
    <w:p>
      <w:pPr>
        <w:ind w:left="972" w:right="40"/>
        <w:spacing w:after="0" w:line="273" w:lineRule="auto"/>
        <w:rPr>
          <w:sz w:val="20"/>
          <w:szCs w:val="20"/>
          <w:color w:val="auto"/>
        </w:rPr>
      </w:pPr>
      <w:r>
        <w:rPr>
          <w:rFonts w:ascii="Times New Roman" w:cs="Times New Roman" w:eastAsia="Times New Roman" w:hAnsi="Times New Roman"/>
          <w:sz w:val="17"/>
          <w:szCs w:val="17"/>
          <w:color w:val="auto"/>
        </w:rPr>
        <w:t>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71" w:lineRule="exact"/>
        <w:rPr>
          <w:sz w:val="20"/>
          <w:szCs w:val="20"/>
          <w:color w:val="auto"/>
        </w:rPr>
      </w:pPr>
    </w:p>
    <w:p>
      <w:pPr>
        <w:ind w:left="972"/>
        <w:spacing w:after="0" w:line="253" w:lineRule="auto"/>
        <w:rPr>
          <w:sz w:val="20"/>
          <w:szCs w:val="20"/>
          <w:color w:val="auto"/>
        </w:rPr>
      </w:pPr>
      <w:r>
        <w:rPr>
          <w:rFonts w:ascii="Times New Roman" w:cs="Times New Roman" w:eastAsia="Times New Roman" w:hAnsi="Times New Roman"/>
          <w:sz w:val="18"/>
          <w:szCs w:val="18"/>
          <w:color w:val="auto"/>
        </w:rPr>
        <w:t>Our Electronic Test segment sells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spacing w:after="0" w:line="194" w:lineRule="exact"/>
        <w:rPr>
          <w:sz w:val="20"/>
          <w:szCs w:val="20"/>
          <w:color w:val="auto"/>
        </w:rPr>
      </w:pPr>
    </w:p>
    <w:p>
      <w:pPr>
        <w:ind w:left="972" w:right="20"/>
        <w:spacing w:after="0" w:line="253" w:lineRule="auto"/>
        <w:rPr>
          <w:sz w:val="20"/>
          <w:szCs w:val="20"/>
          <w:color w:val="auto"/>
        </w:rPr>
      </w:pPr>
      <w:r>
        <w:rPr>
          <w:rFonts w:ascii="Times New Roman" w:cs="Times New Roman" w:eastAsia="Times New Roman" w:hAnsi="Times New Roman"/>
          <w:sz w:val="18"/>
          <w:szCs w:val="18"/>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76" w:right="359" w:bottom="1440" w:gutter="0" w:footer="0" w:header="0"/>
        </w:sectPr>
      </w:pPr>
    </w:p>
    <w:bookmarkStart w:id="9" w:name="page10"/>
    <w:bookmarkEnd w:id="9"/>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Pandemic</w:t>
      </w:r>
    </w:p>
    <w:p>
      <w:pPr>
        <w:spacing w:after="0" w:line="229" w:lineRule="exact"/>
        <w:rPr>
          <w:sz w:val="20"/>
          <w:szCs w:val="20"/>
          <w:color w:val="auto"/>
        </w:rPr>
      </w:pPr>
    </w:p>
    <w:p>
      <w:pPr>
        <w:ind w:left="972"/>
        <w:spacing w:after="0" w:line="252" w:lineRule="auto"/>
        <w:rPr>
          <w:sz w:val="20"/>
          <w:szCs w:val="20"/>
          <w:color w:val="auto"/>
        </w:rPr>
      </w:pPr>
      <w:r>
        <w:rPr>
          <w:rFonts w:ascii="Times New Roman" w:cs="Times New Roman" w:eastAsia="Times New Roman" w:hAnsi="Times New Roman"/>
          <w:sz w:val="18"/>
          <w:szCs w:val="18"/>
          <w:color w:val="auto"/>
        </w:rPr>
        <w:t>With respect to the COVID-19 pandemic, we are following the guidance of the Centers for Disease Control and Prevention (“CDC”) and the local regulatory authorities in regions outside the U.S. While in most cases we are no longer requiring employees to wear masks indoors in our domestic locations, we continue to closely monitor the case numbers in individual facilities and have temporarily reinstituted mask requirements when we have deemed it prudent to do so. We are encouraging all employees to receive COVID-19 vaccinations and boosters, if possible. We are continuing to conduct temperature screenings and encouraging all employees to maintain social distancing when appropriate. We are also continuing to allow employees to work remotely either part-time or full-time in circumstances when possible. During April 2022, an increase in COVID-19 cases at one of our facilities resulted in a loss of production time. Additionally, the shutdowns in China required us to find alternate plans for delivery of our products to the country. Although we were able to take actions to lessen the impact of these events on our business, if the spread of COVID-19 or its variants continues to worsen, we may experience additional lost production time or further interruption in our ability to ship our products to our customers. In addition, if one or more of our significant customers or suppliers is impacted, or if significant additional governmental regulations and restrictions are imposed, our business could be negatively impacted in the future. We continue to monitor the situation closely and will adjust our operations as necessary to protect the health and well-being of our employees and to minimize the impact on our business operations. To the extent that further governmental mandates or restrictions are implemented in the future, we currently expect to be able to continue to operate our business in a manner similar to how we have operated over the past two years.</w:t>
      </w:r>
    </w:p>
    <w:p>
      <w:pPr>
        <w:spacing w:after="0" w:line="200" w:lineRule="exact"/>
        <w:rPr>
          <w:sz w:val="20"/>
          <w:szCs w:val="20"/>
          <w:color w:val="auto"/>
        </w:rPr>
      </w:pPr>
    </w:p>
    <w:p>
      <w:pPr>
        <w:spacing w:after="0" w:line="235" w:lineRule="exact"/>
        <w:rPr>
          <w:sz w:val="20"/>
          <w:szCs w:val="20"/>
          <w:color w:val="auto"/>
        </w:rPr>
      </w:pPr>
    </w:p>
    <w:p>
      <w:pPr>
        <w:ind w:left="972" w:right="5700" w:hanging="972"/>
        <w:spacing w:after="0" w:line="503" w:lineRule="auto"/>
        <w:tabs>
          <w:tab w:leader="none" w:pos="81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u w:val="single" w:color="auto"/>
          <w:color w:val="auto"/>
        </w:rPr>
        <w:t>Basis of Presentation and Use of Estimates</w:t>
      </w:r>
    </w:p>
    <w:p>
      <w:pPr>
        <w:ind w:left="97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spacing w:after="0" w:line="189" w:lineRule="exact"/>
        <w:rPr>
          <w:sz w:val="20"/>
          <w:szCs w:val="20"/>
          <w:color w:val="auto"/>
        </w:rPr>
      </w:pPr>
    </w:p>
    <w:p>
      <w:pPr>
        <w:ind w:left="972"/>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2021 (the “2021 Form 10-K”) filed on March 23, 2022 with the Securities and Exchange Commission.</w:t>
      </w:r>
    </w:p>
    <w:p>
      <w:pPr>
        <w:spacing w:after="0" w:line="18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Reclassification</w:t>
      </w:r>
    </w:p>
    <w:p>
      <w:pPr>
        <w:spacing w:after="0" w:line="22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Certain prior period amounts have been reclassified to be comparable with the current period's presentation.</w:t>
      </w:r>
    </w:p>
    <w:p>
      <w:pPr>
        <w:spacing w:after="0" w:line="221"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Subsequent Events</w:t>
      </w:r>
    </w:p>
    <w:p>
      <w:pPr>
        <w:spacing w:after="0" w:line="229" w:lineRule="exact"/>
        <w:rPr>
          <w:sz w:val="20"/>
          <w:szCs w:val="20"/>
          <w:color w:val="auto"/>
        </w:rPr>
      </w:pPr>
    </w:p>
    <w:p>
      <w:pPr>
        <w:ind w:left="972" w:right="400"/>
        <w:spacing w:after="0" w:line="282" w:lineRule="auto"/>
        <w:rPr>
          <w:sz w:val="20"/>
          <w:szCs w:val="20"/>
          <w:color w:val="auto"/>
        </w:rPr>
      </w:pPr>
      <w:r>
        <w:rPr>
          <w:rFonts w:ascii="Times New Roman" w:cs="Times New Roman" w:eastAsia="Times New Roman" w:hAnsi="Times New Roman"/>
          <w:sz w:val="18"/>
          <w:szCs w:val="18"/>
          <w:color w:val="auto"/>
        </w:rPr>
        <w:t>We have made an assessment of our operations and determined that there were no material subsequent events requiring adjustment to, or disclosure in, our consolidated financial statements for the nine months ended September 30, 2022.</w:t>
      </w:r>
    </w:p>
    <w:p>
      <w:pPr>
        <w:spacing w:after="0" w:line="158"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229" w:lineRule="exact"/>
        <w:rPr>
          <w:sz w:val="20"/>
          <w:szCs w:val="20"/>
          <w:color w:val="auto"/>
        </w:rPr>
      </w:pPr>
    </w:p>
    <w:p>
      <w:pPr>
        <w:ind w:left="972" w:right="20"/>
        <w:spacing w:after="0" w:line="254" w:lineRule="auto"/>
        <w:rPr>
          <w:sz w:val="20"/>
          <w:szCs w:val="20"/>
          <w:color w:val="auto"/>
        </w:rPr>
      </w:pPr>
      <w:r>
        <w:rPr>
          <w:rFonts w:ascii="Times New Roman" w:cs="Times New Roman" w:eastAsia="Times New Roman" w:hAnsi="Times New Roman"/>
          <w:sz w:val="18"/>
          <w:szCs w:val="18"/>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0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Cash Equivalents and Restricted Cash</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5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Restricted cash represents amounts deposited at our bank in the Netherlands to support a bank guarantee which one of the customers of our induction heating products required as a condition of paying a deposit on a large order they placed with us in 2022. The amount of the deposit, and, accordingly, the guarantee, was EUR 1,160. At September 30, 2022 this amount was $1,137. The related order is Euro denominated.</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and the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Investments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short-term investments consist of investments in U.S. treasury bills with original maturities of six months. We account for these investments in accordance with Accounting Standards Codification (“ASC”) Topic 320 (Investments – Debt and Equity Securities). These investments have been classified as held-to-maturity. Held-to-maturity investment securities are financial instruments for which we have both the intent and the ability to hold them to maturity. Held-to-maturity securities are reported at the investment’s amortized cost as of the reporting date. See Note 4 for additional disclosures related to our short-term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short-term investments are classified as held-to-maturity and carried at amortized cost. Our credit facility and our interest rate swap are discussed further below and in Note 12. Our liabilities for contingent consideration are accounted for in accordance with the guidance in ASC Topic 820 (Fair Value Measurement). ASC Topic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5 for further disclosures related to the fair value of our liabilities for contingent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Intangible and Long-Lived Assets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discussed in Notes 1 and 16, during the year ended December 31, 2021, we managed our business as two operating segments which were also our reportable segments and reporting units: Thermal and EMS. Effective January 1, 2022, we reorganized our operating segments. Accordingly, for 2022, we have three operating segments which are also our reportable segments and reporting units: Electronic Test, Environmental Technologies and Process Technologies.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03" w:right="33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18"/>
          <w:szCs w:val="18"/>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a global supplier of innovative test and process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(formerly Z-Sciences) product lines, and Ambrell Corporation’s (“Ambrell”) precision induction heating systems, including EKOHEAT and EASYHEAT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spacing w:after="0" w:line="1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607" w:right="359" w:bottom="1440" w:gutter="0" w:footer="0" w:header="0"/>
        </w:sectPr>
      </w:pPr>
    </w:p>
    <w:bookmarkStart w:id="12" w:name="page13"/>
    <w:bookmarkEnd w:id="12"/>
    <w:p>
      <w:pPr>
        <w:ind w:right="140"/>
        <w:spacing w:after="0" w:line="282" w:lineRule="auto"/>
        <w:rPr>
          <w:sz w:val="20"/>
          <w:szCs w:val="20"/>
          <w:color w:val="auto"/>
        </w:rPr>
      </w:pPr>
      <w:r>
        <w:rPr>
          <w:rFonts w:ascii="Times New Roman" w:cs="Times New Roman" w:eastAsia="Times New Roman" w:hAnsi="Times New Roman"/>
          <w:sz w:val="18"/>
          <w:szCs w:val="18"/>
          <w:color w:val="auto"/>
        </w:rPr>
        <w:t>We lease certain of our equipment under short-term leasing agreements with original lease terms of six months or less. Our lease agreements do not contain purchase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Contracts with Customers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8 and 16 for further information about our revenue from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finance lease liabilities. We do not currently have any finance leases.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94"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for further disclosures regarding our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exposed to interest rate risk on our floating-rate debt. We have entered into an interest rate swap agreement to effectively convert our floating-rate debt to a fixed-rate basis for a portion of our floating rate debt, as discussed further in Notes 5 and 12.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Contingent Liability for Repayment of State and Local Grant Funds Received</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As of September 30, 2022, $285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$217 at September 30, 2022. As of September 30, 2022, we were in compliance with the employment targets as specified in the grant agreement with the city of Rochester.</w:t>
      </w:r>
    </w:p>
    <w:p>
      <w:pPr>
        <w:spacing w:after="0" w:line="19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60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Per Common Share</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Earnings per common share - basic is computed by dividing net earnings by the weighted average number of common shares outstanding during each period. Earnings per common share - diluted is computed by dividing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0200"/>
          </w:cols>
          <w:pgMar w:left="1300" w:top="60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w:t>
      </w:r>
    </w:p>
    <w:p>
      <w:pPr>
        <w:spacing w:after="0" w:line="9" w:lineRule="exact"/>
        <w:rPr>
          <w:sz w:val="20"/>
          <w:szCs w:val="20"/>
          <w:color w:val="auto"/>
        </w:rPr>
      </w:pPr>
    </w:p>
    <w:p>
      <w:pPr>
        <w:ind w:left="320" w:right="240" w:hanging="323"/>
        <w:spacing w:after="0" w:line="250" w:lineRule="auto"/>
        <w:rPr>
          <w:sz w:val="20"/>
          <w:szCs w:val="20"/>
          <w:color w:val="auto"/>
        </w:rPr>
      </w:pPr>
      <w:r>
        <w:rPr>
          <w:rFonts w:ascii="Times New Roman" w:cs="Times New Roman" w:eastAsia="Times New Roman" w:hAnsi="Times New Roman"/>
          <w:sz w:val="18"/>
          <w:szCs w:val="18"/>
          <w:color w:val="auto"/>
        </w:rPr>
        <w:t>Unvested shares of restricted stock and employee stock options</w:t>
      </w:r>
    </w:p>
    <w:p>
      <w:pPr>
        <w:spacing w:after="0" w:line="1" w:lineRule="exact"/>
        <w:rPr>
          <w:sz w:val="20"/>
          <w:szCs w:val="20"/>
          <w:color w:val="auto"/>
        </w:rPr>
      </w:pPr>
    </w:p>
    <w:p>
      <w:pPr>
        <w:ind w:left="160" w:right="360" w:hanging="161"/>
        <w:spacing w:after="0" w:line="260" w:lineRule="auto"/>
        <w:rPr>
          <w:sz w:val="20"/>
          <w:szCs w:val="20"/>
          <w:color w:val="auto"/>
        </w:rPr>
      </w:pPr>
      <w:r>
        <w:rPr>
          <w:rFonts w:ascii="Times New Roman" w:cs="Times New Roman" w:eastAsia="Times New Roman" w:hAnsi="Times New Roman"/>
          <w:sz w:val="18"/>
          <w:szCs w:val="18"/>
          <w:color w:val="auto"/>
        </w:rPr>
        <w:t>Weighted average common shares and common share equivalents outstanding - diluted</w:t>
      </w:r>
    </w:p>
    <w:p>
      <w:pPr>
        <w:spacing w:after="0" w:line="181"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Average number of potentially dilutive securities excluded from calculation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86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228"/>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10,695,867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10,496,188</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10,655,469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10,422,851</w:t>
            </w:r>
          </w:p>
        </w:tc>
        <w:tc>
          <w:tcPr>
            <w:tcW w:w="20" w:type="dxa"/>
            <w:vAlign w:val="bottom"/>
          </w:tcPr>
          <w:p>
            <w:pPr>
              <w:spacing w:after="0"/>
              <w:rPr>
                <w:sz w:val="19"/>
                <w:szCs w:val="19"/>
                <w:color w:val="auto"/>
              </w:rPr>
            </w:pPr>
          </w:p>
        </w:tc>
      </w:tr>
      <w:tr>
        <w:trPr>
          <w:trHeight w:val="616"/>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168,673</w:t>
            </w:r>
          </w:p>
        </w:tc>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296,102</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185,175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271,500</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10,864,540</w:t>
            </w:r>
          </w:p>
        </w:tc>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10,792,290</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10,840,644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10,694,351</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518,145</w:t>
            </w:r>
          </w:p>
        </w:tc>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237,545</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491,014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283,894</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-1233805</wp:posOffset>
            </wp:positionV>
            <wp:extent cx="641223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-959485</wp:posOffset>
            </wp:positionV>
            <wp:extent cx="641223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-410845</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220" w:space="340"/>
            <w:col w:w="5640"/>
          </w:cols>
          <w:pgMar w:left="1300" w:top="603"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Effect of Recently Issued Amendments to Authoritative Accounting Guidance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U.S.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do not expect the adoption of these amendments to have a material impact on our consolidated financial statements.</w:t>
      </w:r>
    </w:p>
    <w:p>
      <w:pPr>
        <w:spacing w:after="0" w:line="19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1300" w:top="603" w:right="399" w:bottom="1440" w:gutter="0" w:footer="0" w:header="0"/>
          <w:type w:val="continuous"/>
        </w:sectPr>
      </w:pPr>
    </w:p>
    <w:bookmarkStart w:id="15" w:name="page16"/>
    <w:bookmarkEnd w:id="15"/>
    <w:p>
      <w:pPr>
        <w:ind w:left="972" w:right="9080" w:hanging="972"/>
        <w:spacing w:after="0" w:line="532" w:lineRule="auto"/>
        <w:tabs>
          <w:tab w:leader="none" w:pos="81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b w:val="1"/>
          <w:bCs w:val="1"/>
          <w:i w:val="1"/>
          <w:iCs w:val="1"/>
          <w:u w:val="single" w:color="auto"/>
          <w:color w:val="auto"/>
        </w:rPr>
        <w:t>Z-Sciences</w:t>
      </w:r>
    </w:p>
    <w:p>
      <w:pPr>
        <w:spacing w:after="0" w:line="1" w:lineRule="exact"/>
        <w:rPr>
          <w:sz w:val="20"/>
          <w:szCs w:val="20"/>
          <w:color w:val="auto"/>
        </w:rPr>
      </w:pPr>
    </w:p>
    <w:p>
      <w:pPr>
        <w:ind w:left="972"/>
        <w:spacing w:after="0" w:line="252" w:lineRule="auto"/>
        <w:rPr>
          <w:sz w:val="20"/>
          <w:szCs w:val="20"/>
          <w:color w:val="auto"/>
        </w:rPr>
      </w:pPr>
      <w:r>
        <w:rPr>
          <w:rFonts w:ascii="Times New Roman" w:cs="Times New Roman" w:eastAsia="Times New Roman" w:hAnsi="Times New Roman"/>
          <w:sz w:val="18"/>
          <w:szCs w:val="18"/>
          <w:color w:val="auto"/>
        </w:rPr>
        <w:t>As discussed further in Note 3 to our consolidated financial statements in our 2021 Form 10-K, on October 6, 2021, we acquired substantially all of the assets of Z-Sciences Corp. (“Z-Sciences”), a developer of ultra-cold storage solutions for the medical cold chain market. The Z-Sciences product line was re-branded as “North Sciences” after our acquisition. The acquisition enhances our medical offerings and increases our presence in the life sciences market which is a key target market for us. Z-Sciences was founded in 2004. Its founder joined us as a consultant and is expected to become an employee in 2022. As of September 30, 2022, the founder was still a consultant. The purchase price for Z-Sciences was $500 in cash, subject to a customary post-closing working capital adjustment, $300 of which was paid at closing. The remaining $200 was paid on the one-year anniversary of closing. This amount is recorded as a contingent consideration liability on our balance sheet at September 30, 2022. It is included in Other Current Liabilities. The fair value of this liability at September 30, 2022 approximates its cost due to the short maturity. In addition to his salary, in connection with his prospective employment, Z-Sciences’ founder will receive a multi-year restricted stock award with vesting provisions which would be contingent upon achieving future performance milestones related to sales growth and profitability of products related to the Z-Sciences business for the fiscal years from 2022 through 2026. The award will be valued at a maximum of $1,800. The actual numbers of shares to be awarded will be based on the stock price on the date of grant with a cap of 200,000 shares at the 100% attainment level of the vesting provisions that are defined in the restricted stock award agreement. The value of the award will be recorded as compensation expense in our consolidated statement of operations on a straight-line basis over the period in which the shares vest.</w:t>
      </w:r>
    </w:p>
    <w:p>
      <w:pPr>
        <w:spacing w:after="0" w:line="196" w:lineRule="exact"/>
        <w:rPr>
          <w:sz w:val="20"/>
          <w:szCs w:val="20"/>
          <w:color w:val="auto"/>
        </w:rPr>
      </w:pPr>
    </w:p>
    <w:p>
      <w:pPr>
        <w:ind w:left="972"/>
        <w:spacing w:after="0" w:line="261" w:lineRule="auto"/>
        <w:rPr>
          <w:sz w:val="20"/>
          <w:szCs w:val="20"/>
          <w:color w:val="auto"/>
        </w:rPr>
      </w:pPr>
      <w:r>
        <w:rPr>
          <w:rFonts w:ascii="Times New Roman" w:cs="Times New Roman" w:eastAsia="Times New Roman" w:hAnsi="Times New Roman"/>
          <w:sz w:val="18"/>
          <w:szCs w:val="18"/>
          <w:color w:val="auto"/>
        </w:rPr>
        <w:t>The acquisition of Z-Sciences has been accounted for as a business combination using purchase accounting, and, accordingly, the results of Z-Sciences have been included in our consolidated results of operations from the date of acquisition. The allocation of the Z-Sciences’ purchase price was based on fair values as of October 6, 2021. Further information about the allocation of the purchase price is discussed in Note 3 to our consolidated financial statements in our 2021 Form 10-K.</w:t>
      </w:r>
    </w:p>
    <w:p>
      <w:pPr>
        <w:spacing w:after="0" w:line="180" w:lineRule="exact"/>
        <w:rPr>
          <w:sz w:val="20"/>
          <w:szCs w:val="20"/>
          <w:color w:val="auto"/>
        </w:rPr>
      </w:pPr>
    </w:p>
    <w:p>
      <w:pPr>
        <w:ind w:left="972" w:right="20"/>
        <w:spacing w:after="0" w:line="282" w:lineRule="auto"/>
        <w:rPr>
          <w:sz w:val="20"/>
          <w:szCs w:val="20"/>
          <w:color w:val="auto"/>
        </w:rPr>
      </w:pPr>
      <w:r>
        <w:rPr>
          <w:rFonts w:ascii="Times New Roman" w:cs="Times New Roman" w:eastAsia="Times New Roman" w:hAnsi="Times New Roman"/>
          <w:sz w:val="18"/>
          <w:szCs w:val="18"/>
          <w:color w:val="auto"/>
        </w:rPr>
        <w:t>Unaudited pro forma information which would give effect to the acquisition of Z-Sciences as if the acquisition occurred on January 1, 2021 is not presented because the financial results for Z-Sciences prior to our acquisition are considered immaterial.</w:t>
      </w:r>
    </w:p>
    <w:p>
      <w:pPr>
        <w:spacing w:after="0" w:line="158"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Videology</w:t>
      </w:r>
    </w:p>
    <w:p>
      <w:pPr>
        <w:spacing w:after="0" w:line="229" w:lineRule="exact"/>
        <w:rPr>
          <w:sz w:val="20"/>
          <w:szCs w:val="20"/>
          <w:color w:val="auto"/>
        </w:rPr>
      </w:pPr>
    </w:p>
    <w:p>
      <w:pPr>
        <w:ind w:left="972" w:right="80"/>
        <w:spacing w:after="0" w:line="274" w:lineRule="auto"/>
        <w:rPr>
          <w:sz w:val="20"/>
          <w:szCs w:val="20"/>
          <w:color w:val="auto"/>
        </w:rPr>
      </w:pPr>
      <w:r>
        <w:rPr>
          <w:rFonts w:ascii="Times New Roman" w:cs="Times New Roman" w:eastAsia="Times New Roman" w:hAnsi="Times New Roman"/>
          <w:sz w:val="17"/>
          <w:szCs w:val="17"/>
          <w:color w:val="auto"/>
        </w:rPr>
        <w:t>As discussed further in Note 3 to our consolidated financial statements in our 2021 Form 10-K, on October 28, 2021, we acquired substantially all of the assets of Videology Imaging Solutions Inc. and Videology Imaging Solutions Europe B.V. (collectively, “Videology”), a global designer, developer and manufacturer of OEM digital streaming and image capturing solutions. The acquisition of Videology expands our process technology solutions, diversifies our reach into key targeted markets and broadens our customer base. It also builds on our process technology platforms by expanding our automation capabilities to add future product solutions with imaging data and analytical tools. The purchase price for Videology was $12,000 paid in cash at closing subject to a customary post-closing working capital adjustment.</w:t>
      </w:r>
    </w:p>
    <w:p>
      <w:pPr>
        <w:spacing w:after="0" w:line="173" w:lineRule="exact"/>
        <w:rPr>
          <w:sz w:val="20"/>
          <w:szCs w:val="20"/>
          <w:color w:val="auto"/>
        </w:rPr>
      </w:pPr>
    </w:p>
    <w:p>
      <w:pPr>
        <w:ind w:left="972" w:right="40"/>
        <w:spacing w:after="0" w:line="281" w:lineRule="auto"/>
        <w:rPr>
          <w:sz w:val="20"/>
          <w:szCs w:val="20"/>
          <w:color w:val="auto"/>
        </w:rPr>
      </w:pPr>
      <w:r>
        <w:rPr>
          <w:rFonts w:ascii="Times New Roman" w:cs="Times New Roman" w:eastAsia="Times New Roman" w:hAnsi="Times New Roman"/>
          <w:sz w:val="17"/>
          <w:szCs w:val="17"/>
          <w:color w:val="auto"/>
        </w:rPr>
        <w:t>The acquisition of Videology has been accounted for as a business combination using purchase accounting, and, accordingly, the results of Videology have been included in our consolidated results of operations from the date of acquisition. The allocation of the Videology purchase price was based on fair values as of October 27, 2021. Further information about the allocation of the purchase price, and goodwill and intangible assets recorded as a result of the acquisition is discussed in Note 3 to our consolidated financial statements in our 2021 Form 10-K.</w:t>
      </w:r>
    </w:p>
    <w:p>
      <w:pPr>
        <w:spacing w:after="0" w:line="164" w:lineRule="exact"/>
        <w:rPr>
          <w:sz w:val="20"/>
          <w:szCs w:val="20"/>
          <w:color w:val="auto"/>
        </w:rPr>
      </w:pPr>
    </w:p>
    <w:p>
      <w:pPr>
        <w:ind w:left="972" w:right="40"/>
        <w:spacing w:after="0" w:line="281" w:lineRule="auto"/>
        <w:rPr>
          <w:sz w:val="20"/>
          <w:szCs w:val="20"/>
          <w:color w:val="auto"/>
        </w:rPr>
      </w:pPr>
      <w:r>
        <w:rPr>
          <w:rFonts w:ascii="Times New Roman" w:cs="Times New Roman" w:eastAsia="Times New Roman" w:hAnsi="Times New Roman"/>
          <w:sz w:val="17"/>
          <w:szCs w:val="17"/>
          <w:color w:val="auto"/>
        </w:rPr>
        <w:t>The following unaudited pro forma information gives effect to the acquisition of Videology as if the acquisition occurred on January 1, 2021.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60"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69,330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r>
    </w:tbl>
    <w:p>
      <w:pPr>
        <w:spacing w:after="0" w:line="198" w:lineRule="exact"/>
        <w:rPr>
          <w:sz w:val="20"/>
          <w:szCs w:val="20"/>
          <w:color w:val="auto"/>
        </w:rPr>
      </w:pPr>
    </w:p>
    <w:p>
      <w:pPr>
        <w:jc w:val="both"/>
        <w:ind w:left="972" w:right="140"/>
        <w:spacing w:after="0" w:line="282" w:lineRule="auto"/>
        <w:rPr>
          <w:sz w:val="20"/>
          <w:szCs w:val="20"/>
          <w:color w:val="auto"/>
        </w:rPr>
      </w:pPr>
      <w:r>
        <w:rPr>
          <w:rFonts w:ascii="Times New Roman" w:cs="Times New Roman" w:eastAsia="Times New Roman" w:hAnsi="Times New Roman"/>
          <w:sz w:val="18"/>
          <w:szCs w:val="18"/>
          <w:color w:val="auto"/>
        </w:rPr>
        <w:t>The pro forma results shown above do not reflect the impact on general and administrative expense of investment advisory costs, legal costs and other costs of $288 incurred by us as a direct result of the transaction.</w:t>
      </w:r>
    </w:p>
    <w:p>
      <w:pPr>
        <w:spacing w:after="0" w:line="16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4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Acculogic</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discussed further in Note 3 to our consolidated financial statements in our 2021 Form 10-K, on December 21, 2021, we completed our acquisition of Acculogic Inc. and its affiliates (collectively, “Acculogic”), a global manufacturer of robotics-based electronic production test equipment and application support services. The acquisition was completed by acquiring all of the outstanding capital stock of Acculogic. The Acculogic acquisition adds electronics test capabilities with new technologies and services as well as broadens our customer base, furthers our end market diversification and expands our international footprint. The purchase price for Acculogic was approximately $8,500 paid in cash at closing subject to a customary post-closing working capital adjustment. In addition, we may pay the seller up to an additional CAD $5,000 in the five-year period from 2022 through 2026. The additional payments will be based on a percent of net invoices for which payments have been received on systems sold to electric vehicle ("EV") or battery customers in excess of CAD $2,500 per year in each of the five years. The maximum payment is capped at CAD $5,000, which equates to approximately $3,600 at September 30, 2022. To estimate the fair value of the contingent consideration at the acquisition date, an option-based income approach using a Monte Carlo simulation model was utilized due to the non-linear payout structure. As of the acquisition date, this resulted in an estimated fair value of $1,430. This amount was recorded as a contingent consideration liability and included in the purchase price as of the acquisition date. We will reassess the estimated fair value of this liability annually using this same approach, or more frequently, if we determine that there have been material changes to the assumptions used in the calculation of the probable payout. Changes in the amount of the estimated fair value of the earnouts since the acquisition date will be recorded as operating expenses in our consolidated statement of operations in the quarter in which they occur. At September 30, 2022, there has been no change in the estimated fair value of the contingent consideration. Changes in the fair value represent the impact of changes in foreign exchange rates.</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acquisition of Acculogic has been accounted for as a business combination using purchase accounting, and, accordingly, the results of Acculogic have been included in our consolidated results of operations from the date of acquisition. During the quarter ended June 30, 2022, the post-closing working capital adjustment was finalized and resulted in a reduction in the purchase price of $371 as a result of a reduction in the estimated fair value of accounts receivable acquired. The allocation of the purchase price for Acculogic is now complete.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Acculogic purchase price which is presented below was based on estimated fair values as of December 21, 2021.</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total purchase price of $9,426, which includes $1,430 for the estimated fair value of contingent consideration, has been allocated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5,123</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 acquired and liabilities assumed:</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2,259</w:t>
            </w:r>
          </w:p>
        </w:tc>
      </w:tr>
      <w:tr>
        <w:trPr>
          <w:trHeight w:val="216"/>
        </w:trPr>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r>
      <w:tr>
        <w:trPr>
          <w:trHeight w:val="216"/>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(2,950)</w:t>
            </w:r>
          </w:p>
        </w:tc>
      </w:tr>
      <w:tr>
        <w:trPr>
          <w:trHeight w:val="20"/>
        </w:trPr>
        <w:tc>
          <w:tcPr>
            <w:tcW w:w="6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3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9,426</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Further information about the intangible assets recorded as a result of the acquisition is discussed in Note 3 to our consolidated financial statements in our 2021 Form 10-K.</w:t>
      </w:r>
    </w:p>
    <w:p>
      <w:pPr>
        <w:spacing w:after="0" w:line="16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03" w:right="339" w:bottom="1440" w:gutter="0" w:footer="0" w:header="0"/>
        </w:sectPr>
      </w:pPr>
    </w:p>
    <w:bookmarkStart w:id="17" w:name="page18"/>
    <w:bookmarkEnd w:id="17"/>
    <w:p>
      <w:pPr>
        <w:ind w:left="972" w:right="60"/>
        <w:spacing w:after="0" w:line="281" w:lineRule="auto"/>
        <w:rPr>
          <w:sz w:val="20"/>
          <w:szCs w:val="20"/>
          <w:color w:val="auto"/>
        </w:rPr>
      </w:pPr>
      <w:r>
        <w:rPr>
          <w:rFonts w:ascii="Times New Roman" w:cs="Times New Roman" w:eastAsia="Times New Roman" w:hAnsi="Times New Roman"/>
          <w:sz w:val="17"/>
          <w:szCs w:val="17"/>
          <w:color w:val="auto"/>
        </w:rPr>
        <w:t>The following unaudited pro forma information gives effect to the acquisition of Acculogic as if the acquisition occurred on January 1, 2021.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60"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w:t>
            </w:r>
          </w:p>
        </w:tc>
      </w:t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70,710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6,915</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r>
    </w:tbl>
    <w:p>
      <w:pPr>
        <w:spacing w:after="0" w:line="198" w:lineRule="exact"/>
        <w:rPr>
          <w:sz w:val="20"/>
          <w:szCs w:val="20"/>
          <w:color w:val="auto"/>
        </w:rPr>
      </w:pPr>
    </w:p>
    <w:p>
      <w:pPr>
        <w:jc w:val="both"/>
        <w:ind w:left="972" w:right="160"/>
        <w:spacing w:after="0" w:line="282" w:lineRule="auto"/>
        <w:rPr>
          <w:sz w:val="20"/>
          <w:szCs w:val="20"/>
          <w:color w:val="auto"/>
        </w:rPr>
      </w:pPr>
      <w:r>
        <w:rPr>
          <w:rFonts w:ascii="Times New Roman" w:cs="Times New Roman" w:eastAsia="Times New Roman" w:hAnsi="Times New Roman"/>
          <w:sz w:val="18"/>
          <w:szCs w:val="18"/>
          <w:color w:val="auto"/>
        </w:rPr>
        <w:t>The pro forma results shown above do not reflect the impact on general and administrative expense of investment advisory costs, legal costs and other costs of $1,297 incurred by us as a direct result of the transaction.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12" w:hanging="812"/>
        <w:spacing w:after="0"/>
        <w:tabs>
          <w:tab w:leader="none" w:pos="8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ind w:left="972" w:right="260"/>
        <w:spacing w:after="0" w:line="266" w:lineRule="auto"/>
        <w:rPr>
          <w:sz w:val="20"/>
          <w:szCs w:val="20"/>
          <w:color w:val="auto"/>
        </w:rPr>
      </w:pPr>
      <w:r>
        <w:rPr>
          <w:rFonts w:ascii="Times New Roman" w:cs="Times New Roman" w:eastAsia="Times New Roman" w:hAnsi="Times New Roman"/>
          <w:sz w:val="18"/>
          <w:szCs w:val="18"/>
          <w:color w:val="auto"/>
        </w:rPr>
        <w:t>Our short-term investments at September 30, 2022 consist of investments in U.S. treasury bills which were purchased in April 2022 and which have original maturities of six months. They are all classified as held-to-maturity. Additional information about these investments at September 30, 2022 is as follows:</w:t>
      </w:r>
    </w:p>
    <w:p>
      <w:pPr>
        <w:spacing w:after="0" w:line="172"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8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3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40" w:type="dxa"/>
            <w:vAlign w:val="bottom"/>
          </w:tcPr>
          <w:p>
            <w:pPr>
              <w:spacing w:after="0"/>
              <w:rPr>
                <w:sz w:val="20"/>
                <w:szCs w:val="20"/>
                <w:color w:val="auto"/>
              </w:rPr>
            </w:pPr>
          </w:p>
        </w:tc>
        <w:tc>
          <w:tcPr>
            <w:tcW w:w="18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Gains/(Losses)</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12" w:hanging="812"/>
        <w:spacing w:after="0"/>
        <w:tabs>
          <w:tab w:leader="none" w:pos="8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972" w:right="80"/>
        <w:spacing w:after="0" w:line="258" w:lineRule="auto"/>
        <w:rPr>
          <w:sz w:val="20"/>
          <w:szCs w:val="20"/>
          <w:color w:val="auto"/>
        </w:rPr>
      </w:pPr>
      <w:r>
        <w:rPr>
          <w:rFonts w:ascii="Times New Roman" w:cs="Times New Roman" w:eastAsia="Times New Roman" w:hAnsi="Times New Roman"/>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ind w:left="972"/>
        <w:spacing w:after="0" w:line="266" w:lineRule="auto"/>
        <w:rPr>
          <w:sz w:val="20"/>
          <w:szCs w:val="20"/>
          <w:color w:val="auto"/>
        </w:rPr>
      </w:pPr>
      <w:r>
        <w:rPr>
          <w:rFonts w:ascii="Times New Roman" w:cs="Times New Roman" w:eastAsia="Times New Roman" w:hAnsi="Times New Roman"/>
          <w:sz w:val="18"/>
          <w:szCs w:val="18"/>
          <w:color w:val="auto"/>
        </w:rPr>
        <w:t>ASC Topic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Topic 820 establishes a three-tier fair value hierarchy that distinguishes among the following:</w:t>
      </w:r>
    </w:p>
    <w:p>
      <w:pPr>
        <w:spacing w:after="0" w:line="176"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Level 1 Valuations based on unadjusted quoted prices in active markets for identical assets or liabilities that we have the ability to access.</w:t>
      </w:r>
    </w:p>
    <w:p>
      <w:pPr>
        <w:spacing w:after="0" w:line="225" w:lineRule="exact"/>
        <w:rPr>
          <w:sz w:val="20"/>
          <w:szCs w:val="20"/>
          <w:color w:val="auto"/>
        </w:rPr>
      </w:pPr>
    </w:p>
    <w:p>
      <w:pPr>
        <w:ind w:left="972" w:right="400"/>
        <w:spacing w:after="0" w:line="282" w:lineRule="auto"/>
        <w:rPr>
          <w:sz w:val="20"/>
          <w:szCs w:val="20"/>
          <w:color w:val="auto"/>
        </w:rPr>
      </w:pPr>
      <w:r>
        <w:rPr>
          <w:rFonts w:ascii="Times New Roman" w:cs="Times New Roman" w:eastAsia="Times New Roman" w:hAnsi="Times New Roman"/>
          <w:sz w:val="18"/>
          <w:szCs w:val="18"/>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6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Level 3 Valuations based on inputs that are unobservable and significant to the overall fair value measurement.</w:t>
      </w:r>
    </w:p>
    <w:p>
      <w:pPr>
        <w:spacing w:after="0" w:line="225" w:lineRule="exact"/>
        <w:rPr>
          <w:sz w:val="20"/>
          <w:szCs w:val="20"/>
          <w:color w:val="auto"/>
        </w:rPr>
      </w:pPr>
    </w:p>
    <w:p>
      <w:pPr>
        <w:ind w:left="972"/>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Recurring Fair Value Measurements</w:t>
      </w:r>
    </w:p>
    <w:p>
      <w:pPr>
        <w:spacing w:after="0" w:line="229" w:lineRule="exact"/>
        <w:rPr>
          <w:sz w:val="20"/>
          <w:szCs w:val="20"/>
          <w:color w:val="auto"/>
        </w:rPr>
      </w:pPr>
    </w:p>
    <w:p>
      <w:pPr>
        <w:ind w:left="972" w:right="40"/>
        <w:spacing w:after="0" w:line="254" w:lineRule="auto"/>
        <w:rPr>
          <w:sz w:val="20"/>
          <w:szCs w:val="20"/>
          <w:color w:val="auto"/>
        </w:rPr>
      </w:pPr>
      <w:r>
        <w:rPr>
          <w:rFonts w:ascii="Times New Roman" w:cs="Times New Roman" w:eastAsia="Times New Roman" w:hAnsi="Times New Roman"/>
          <w:sz w:val="18"/>
          <w:szCs w:val="18"/>
          <w:color w:val="auto"/>
        </w:rPr>
        <w:t>The interest rate swap agreement we entered into in connection with our Term Note, as discussed further in Notes 2 and 12 is measured at fair value on a recurring basis using Level 2 inputs. The contingent consideration liabilities on our balance sheet are measured at fair value on a recurring basis using Level 3 inputs. Our contingent consideration liabilities are a result of our acquisitions of Z-Sciences on October 6, 2021 and Acculogic on December 21, 2021. The contingent consideration liability for Z-Sciences represents the estimated fair value of the additional cash consideration payable that is contingent upon the Z-Sciences founder providing continued consulting services to us as discussed more fully in Note 3. It is included in Other Current Liabilities on our balance sheet. This payment was made in October 2022. The contingent consideration liability for Acculogic represents the estimated fair value of the additional cash consideration payable that is contingent upon sales to EV or battery customers as described further in Note 3. This amount was increased by $500 during the nine months ended September 30, 2022 in connection with finalizing this aspect of the purchase price allocation.</w:t>
      </w:r>
    </w:p>
    <w:p>
      <w:pPr>
        <w:spacing w:after="0" w:line="1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07" w:right="339" w:bottom="69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liabilities measured at fair value on a recurring basis: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Amounts at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w:t>
            </w:r>
          </w:p>
        </w:tc>
      </w:tr>
      <w:tr>
        <w:trPr>
          <w:trHeight w:val="210"/>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 – Z-Sciences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liability – Acculogic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Changes in the fair value of our Level 3 contingent consideration liabilities for the nine months ended September 30, 2022 were as follows:</w:t>
      </w:r>
    </w:p>
    <w:p>
      <w:pPr>
        <w:spacing w:after="0" w:line="221"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b w:val="1"/>
          <w:bCs w:val="1"/>
          <w:color w:val="auto"/>
        </w:rPr>
        <w:t>Nine</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9"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9" w:lineRule="exact"/>
        <w:rPr>
          <w:sz w:val="20"/>
          <w:szCs w:val="20"/>
          <w:color w:val="auto"/>
        </w:rPr>
      </w:pPr>
    </w:p>
    <w:tbl>
      <w:tblPr>
        <w:tblLayout w:type="fixed"/>
        <w:tblInd w:w="980" w:type="dxa"/>
        <w:tblCellMar>
          <w:top w:w="0" w:type="dxa"/>
          <w:left w:w="0" w:type="dxa"/>
          <w:bottom w:w="0" w:type="dxa"/>
          <w:right w:w="0" w:type="dxa"/>
        </w:tblCellMar>
      </w:tblPr>
      <w:tr>
        <w:trPr>
          <w:trHeight w:val="20"/>
        </w:trPr>
        <w:tc>
          <w:tcPr>
            <w:tcW w:w="7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140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1,109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contingent consideration liability in connection with the acquisition of Acculogic</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77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r>
      <w:tr>
        <w:trPr>
          <w:trHeight w:val="20"/>
        </w:trPr>
        <w:tc>
          <w:tcPr>
            <w:tcW w:w="7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820" w:hanging="812"/>
        <w:spacing w:after="0"/>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w:t>
      </w:r>
    </w:p>
    <w:p>
      <w:pPr>
        <w:spacing w:after="0" w:line="229" w:lineRule="exact"/>
        <w:rPr>
          <w:sz w:val="20"/>
          <w:szCs w:val="20"/>
          <w:color w:val="auto"/>
        </w:rPr>
      </w:pPr>
    </w:p>
    <w:p>
      <w:pPr>
        <w:ind w:left="980" w:right="160"/>
        <w:spacing w:after="0" w:line="256" w:lineRule="auto"/>
        <w:rPr>
          <w:sz w:val="20"/>
          <w:szCs w:val="20"/>
          <w:color w:val="auto"/>
        </w:rPr>
      </w:pPr>
      <w:r>
        <w:rPr>
          <w:rFonts w:ascii="Times New Roman" w:cs="Times New Roman" w:eastAsia="Times New Roman" w:hAnsi="Times New Roman"/>
          <w:sz w:val="18"/>
          <w:szCs w:val="18"/>
          <w:color w:val="auto"/>
        </w:rPr>
        <w:t>During 2021, we recorded restructuring and other charges related to various actions including the consolidation of manufacturing for certain of our Electronic Test segment’s products and changes in our executive management team. These charges are discussed more fully in Note 5 to our consolidated financial statements in our 2021 Form 10-K. There were no restructuring and other charges incurred in the nine months ended September 30, 2022. During the nine months ended September 30, 2021, we incurred $303 of charges associated with finalizing the integration of the aforementioned manufacturing operations of our Electronic Test segment and the retirement of our former Chief Financial Officer.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Accrued Restructuring</w:t>
      </w:r>
    </w:p>
    <w:p>
      <w:pPr>
        <w:spacing w:after="0" w:line="229" w:lineRule="exact"/>
        <w:rPr>
          <w:sz w:val="20"/>
          <w:szCs w:val="20"/>
          <w:color w:val="auto"/>
        </w:rPr>
      </w:pPr>
    </w:p>
    <w:p>
      <w:pPr>
        <w:ind w:left="980" w:right="100"/>
        <w:spacing w:after="0" w:line="281" w:lineRule="auto"/>
        <w:rPr>
          <w:sz w:val="20"/>
          <w:szCs w:val="20"/>
          <w:color w:val="auto"/>
        </w:rPr>
      </w:pPr>
      <w:r>
        <w:rPr>
          <w:rFonts w:ascii="Times New Roman" w:cs="Times New Roman" w:eastAsia="Times New Roman" w:hAnsi="Times New Roman"/>
          <w:sz w:val="17"/>
          <w:szCs w:val="17"/>
          <w:color w:val="auto"/>
        </w:rPr>
        <w:t>The liability for accrued restructuring that remained at January 1, 2022 related to costs associated with the move of our corporate office from our Mansfield, Massachusetts facility to our facility in New Jersey, as discussed more fully in Note 5 to our consolidated financial statements in our 2021 Form 10-K. The liability for accrued restructuring charges is included in other current liabilities on our consolidated balance sheet. Changes in the amount of the liability for accrued restructuring for the nine months ended September 30, 2022 were as follows:</w:t>
      </w:r>
    </w:p>
    <w:p>
      <w:pPr>
        <w:sectPr>
          <w:pgSz w:w="11900" w:h="16838" w:orient="portrait"/>
          <w:cols w:equalWidth="0" w:num="1">
            <w:col w:w="11240"/>
          </w:cols>
          <w:pgMar w:left="320" w:top="607" w:right="339" w:bottom="1440" w:gutter="0" w:footer="0" w:header="0"/>
        </w:sectPr>
      </w:pP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Balance -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-119380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41223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Adjustments to accruals</w:t>
      </w:r>
    </w:p>
    <w:p>
      <w:pPr>
        <w:spacing w:after="0" w:line="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Balance - September 30,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hanging="812"/>
        <w:spacing w:after="0"/>
        <w:tabs>
          <w:tab w:leader="none" w:pos="8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1329" w:hanging="1329"/>
        <w:spacing w:after="0"/>
        <w:tabs>
          <w:tab w:leader="none" w:pos="13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7" w:lineRule="exact"/>
        <w:rPr>
          <w:rFonts w:ascii="Times New Roman" w:cs="Times New Roman" w:eastAsia="Times New Roman" w:hAnsi="Times New Roman"/>
          <w:sz w:val="18"/>
          <w:szCs w:val="18"/>
          <w:color w:val="auto"/>
        </w:rPr>
      </w:pPr>
    </w:p>
    <w:p>
      <w:pPr>
        <w:ind w:left="13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w:t>
      </w:r>
    </w:p>
    <w:p>
      <w:pPr>
        <w:spacing w:after="0" w:line="21" w:lineRule="exact"/>
        <w:rPr>
          <w:sz w:val="20"/>
          <w:szCs w:val="20"/>
          <w:color w:val="auto"/>
        </w:rPr>
      </w:pPr>
    </w:p>
    <w:p>
      <w:pPr>
        <w:ind w:left="1269"/>
        <w:spacing w:after="0"/>
        <w:rPr>
          <w:sz w:val="20"/>
          <w:szCs w:val="20"/>
          <w:color w:val="auto"/>
        </w:rPr>
      </w:pPr>
      <w:r>
        <w:rPr>
          <w:rFonts w:ascii="Times New Roman" w:cs="Times New Roman" w:eastAsia="Times New Roman" w:hAnsi="Times New Roman"/>
          <w:sz w:val="18"/>
          <w:szCs w:val="18"/>
          <w:color w:val="auto"/>
        </w:rPr>
        <w:t>(63)</w:t>
      </w:r>
    </w:p>
    <w:p>
      <w:pPr>
        <w:spacing w:after="0" w:line="9" w:lineRule="exact"/>
        <w:rPr>
          <w:sz w:val="20"/>
          <w:szCs w:val="20"/>
          <w:color w:val="auto"/>
        </w:rPr>
      </w:pPr>
    </w:p>
    <w:p>
      <w:pPr>
        <w:ind w:left="9"/>
        <w:spacing w:after="0"/>
        <w:tabs>
          <w:tab w:leader="none" w:pos="1428"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0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0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111" w:lineRule="exact"/>
        <w:rPr>
          <w:sz w:val="20"/>
          <w:szCs w:val="20"/>
          <w:color w:val="auto"/>
        </w:rPr>
      </w:pPr>
    </w:p>
    <w:p>
      <w:pPr>
        <w:sectPr>
          <w:pgSz w:w="11900" w:h="16838" w:orient="portrait"/>
          <w:cols w:equalWidth="0" w:num="2">
            <w:col w:w="8751" w:space="720"/>
            <w:col w:w="1769"/>
          </w:cols>
          <w:pgMar w:left="320" w:top="607" w:right="339" w:bottom="1440" w:gutter="0" w:footer="0" w:header="0"/>
          <w:type w:val="continuous"/>
        </w:sectPr>
      </w:pP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We have three operating segments which are also our reporting units: Electronic Test, Environmental Technologies and Process Technologies.</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Goodwill and intangible assets on our balance sheets are the result of our acquisitions.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Changes in the amount of the carrying value of goodwill for the nine months ended September 30, 2022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8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preliminary amounts recorded in the fourth quarter of 2021 for contingent consideration and</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related to acquisition of Acculogic (see Note 3)</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140" w:type="dxa"/>
            <w:vAlign w:val="bottom"/>
            <w:vMerge w:val="restart"/>
          </w:tcPr>
          <w:p>
            <w:pPr>
              <w:ind w:left="4480"/>
              <w:spacing w:after="0"/>
              <w:rPr>
                <w:sz w:val="20"/>
                <w:szCs w:val="20"/>
                <w:color w:val="auto"/>
              </w:rPr>
            </w:pPr>
            <w:r>
              <w:rPr>
                <w:rFonts w:ascii="Times New Roman" w:cs="Times New Roman" w:eastAsia="Times New Roman" w:hAnsi="Times New Roman"/>
                <w:sz w:val="18"/>
                <w:szCs w:val="18"/>
                <w:color w:val="auto"/>
              </w:rPr>
              <w:t>- 17-</w:t>
            </w: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was comprised of the following at September 30, 2022 and December 31, 2021:</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16,266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16,576</w:t>
            </w:r>
          </w:p>
        </w:tc>
      </w:tr>
      <w:tr>
        <w:trPr>
          <w:trHeight w:val="210"/>
        </w:trPr>
        <w:tc>
          <w:tcPr>
            <w:tcW w:w="128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r>
      <w:tr>
        <w:trPr>
          <w:trHeight w:val="372"/>
        </w:trPr>
        <w:tc>
          <w:tcPr>
            <w:tcW w:w="1280" w:type="dxa"/>
            <w:vAlign w:val="bottom"/>
            <w:tcBorders>
              <w:top w:val="single" w:sz="8" w:color="CCEEFF"/>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Intangible Assets</w:t>
            </w:r>
          </w:p>
        </w:tc>
        <w:tc>
          <w:tcPr>
            <w:tcW w:w="55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25" w:lineRule="exact"/>
        <w:rPr>
          <w:sz w:val="20"/>
          <w:szCs w:val="20"/>
          <w:color w:val="auto"/>
        </w:rPr>
      </w:pPr>
    </w:p>
    <w:p>
      <w:pPr>
        <w:ind w:left="980" w:right="620"/>
        <w:spacing w:after="0" w:line="282" w:lineRule="auto"/>
        <w:rPr>
          <w:sz w:val="20"/>
          <w:szCs w:val="20"/>
          <w:color w:val="auto"/>
        </w:rPr>
      </w:pPr>
      <w:r>
        <w:rPr>
          <w:rFonts w:ascii="Times New Roman" w:cs="Times New Roman" w:eastAsia="Times New Roman" w:hAnsi="Times New Roman"/>
          <w:sz w:val="18"/>
          <w:szCs w:val="18"/>
          <w:color w:val="auto"/>
        </w:rPr>
        <w:t>Changes in the amount of the carrying value of indefinite-lived intangible assets for the nine months ended September 30, 2022 are as follows: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80" w:type="dxa"/>
            <w:vAlign w:val="bottom"/>
            <w:shd w:val="clear" w:color="auto" w:fill="CCEEFF"/>
          </w:tcPr>
          <w:p>
            <w:pPr>
              <w:spacing w:after="0"/>
              <w:rPr>
                <w:sz w:val="18"/>
                <w:szCs w:val="18"/>
                <w:color w:val="auto"/>
              </w:rPr>
            </w:pPr>
          </w:p>
        </w:tc>
      </w:tr>
      <w:tr>
        <w:trPr>
          <w:trHeight w:val="198"/>
        </w:trPr>
        <w:tc>
          <w:tcPr>
            <w:tcW w:w="8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preliminary amounts recorded in the fourth quarter of 2021 related to acquisition of</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Acculogic (see Note 3)</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80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8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Changes in the amount of the carrying value of finite-lived intangible assets for the nine months ended September 30, 2022 are as follows:</w:t>
      </w:r>
    </w:p>
    <w:p>
      <w:pPr>
        <w:spacing w:after="0" w:line="24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13,206</w:t>
            </w: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preliminary amounts recorded in the fourth quarter of 2021 related to acquisition of</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Acculogic (see Note 3)</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w:t>
            </w:r>
          </w:p>
        </w:tc>
      </w:tr>
      <w:tr>
        <w:trPr>
          <w:trHeight w:val="20"/>
        </w:trPr>
        <w:tc>
          <w:tcPr>
            <w:tcW w:w="7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10,568</w:t>
            </w:r>
          </w:p>
        </w:tc>
      </w:tr>
      <w:tr>
        <w:trPr>
          <w:trHeight w:val="20"/>
        </w:trPr>
        <w:tc>
          <w:tcPr>
            <w:tcW w:w="7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Intangible assets were allocated to our reporting segments at September 30, 2022 and December 31, 2021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13,864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15,667</w:t>
            </w:r>
          </w:p>
        </w:tc>
      </w:tr>
      <w:tr>
        <w:trPr>
          <w:trHeight w:val="209"/>
        </w:trPr>
        <w:tc>
          <w:tcPr>
            <w:tcW w:w="67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21,634</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tables provide further detail about our intangible assets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9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9,938</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8,326</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18,894</w:t>
            </w:r>
          </w:p>
        </w:tc>
        <w:tc>
          <w:tcPr>
            <w:tcW w:w="160" w:type="dxa"/>
            <w:vAlign w:val="bottom"/>
          </w:tcPr>
          <w:p>
            <w:pPr>
              <w:spacing w:after="0"/>
              <w:rPr>
                <w:sz w:val="21"/>
                <w:szCs w:val="21"/>
                <w:color w:val="auto"/>
              </w:rPr>
            </w:pPr>
          </w:p>
        </w:tc>
      </w:tr>
      <w:tr>
        <w:trPr>
          <w:trHeight w:val="412"/>
        </w:trPr>
        <w:tc>
          <w:tcPr>
            <w:tcW w:w="980" w:type="dxa"/>
            <w:vAlign w:val="bottom"/>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- 18-</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20" w:name="page21"/>
    <w:bookmarkEnd w:id="20"/>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3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10,384</w:t>
            </w:r>
          </w:p>
        </w:tc>
      </w:tr>
      <w:tr>
        <w:trPr>
          <w:trHeight w:val="216"/>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w:t>
            </w: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21,015</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7,809</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13,206</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8,428</w:t>
            </w:r>
          </w:p>
        </w:tc>
      </w:tr>
      <w:tr>
        <w:trPr>
          <w:trHeight w:val="20"/>
        </w:trPr>
        <w:tc>
          <w:tcPr>
            <w:tcW w:w="3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21,634</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assets are expected to be consumed. None of our intangible assets have any residual value.</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estimated annual amortization expense for each of the next five years:</w:t>
            </w: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7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11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2,071</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1,744</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r>
    </w:tbl>
    <w:p>
      <w:pPr>
        <w:spacing w:after="0" w:line="200" w:lineRule="exact"/>
        <w:rPr>
          <w:sz w:val="20"/>
          <w:szCs w:val="20"/>
          <w:color w:val="auto"/>
        </w:rPr>
      </w:pPr>
    </w:p>
    <w:p>
      <w:pPr>
        <w:spacing w:after="0" w:line="237" w:lineRule="exact"/>
        <w:rPr>
          <w:sz w:val="20"/>
          <w:szCs w:val="20"/>
          <w:color w:val="auto"/>
        </w:rPr>
      </w:pPr>
    </w:p>
    <w:p>
      <w:pPr>
        <w:ind w:left="820" w:hanging="812"/>
        <w:spacing w:after="0"/>
        <w:tabs>
          <w:tab w:leader="none" w:pos="8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ind w:left="980" w:right="280"/>
        <w:spacing w:after="0" w:line="261" w:lineRule="auto"/>
        <w:rPr>
          <w:sz w:val="20"/>
          <w:szCs w:val="20"/>
          <w:color w:val="auto"/>
        </w:rPr>
      </w:pPr>
      <w:r>
        <w:rPr>
          <w:rFonts w:ascii="Times New Roman" w:cs="Times New Roman" w:eastAsia="Times New Roman" w:hAnsi="Times New Roman"/>
          <w:sz w:val="18"/>
          <w:szCs w:val="18"/>
          <w:color w:val="auto"/>
        </w:rPr>
        <w:t>The following tables provide additional information about our revenue from contracts with customers, including revenue by customer and product type and revenue by market. The information about revenue by market for the three months and nine months ended September 30, 2021 has been reclassified to be consistent with how the information for the current period is presented. See also Note 16 for information about revenue by operating segment and geographic region.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customer type:</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End user</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15,818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49,224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OEM/Integrator/Distributor</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23,638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13,296</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84,423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62,520</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type: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 test</w:t>
            </w: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16,844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Thermal process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27,990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test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20,409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Video imaging</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6,692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Flying probe and in-circuit testers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5,359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Service/other</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7,129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5,154</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980" w:type="dxa"/>
            <w:vAlign w:val="bottom"/>
          </w:tcPr>
          <w:p>
            <w:pPr>
              <w:spacing w:after="0"/>
              <w:rPr>
                <w:sz w:val="21"/>
                <w:szCs w:val="21"/>
                <w:color w:val="auto"/>
              </w:rPr>
            </w:pPr>
          </w:p>
        </w:tc>
        <w:tc>
          <w:tcPr>
            <w:tcW w:w="37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84,423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62,520</w:t>
            </w:r>
          </w:p>
        </w:tc>
        <w:tc>
          <w:tcPr>
            <w:tcW w:w="16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market: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48,969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42,653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7,859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Automotive (including Electric Vehicles)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7,971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3,583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5,546</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84,423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62,520</w:t>
            </w:r>
          </w:p>
        </w:tc>
        <w:tc>
          <w:tcPr>
            <w:tcW w:w="1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5"/>
        </w:trPr>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- 19-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73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There were no significant changes in the amount of the allowance for doubtful accounts for the three and nine months ended September 30, 2022.</w:t>
      </w:r>
    </w:p>
    <w:p>
      <w:pPr>
        <w:spacing w:after="0" w:line="200" w:lineRule="exact"/>
        <w:rPr>
          <w:sz w:val="20"/>
          <w:szCs w:val="20"/>
          <w:color w:val="auto"/>
        </w:rPr>
      </w:pPr>
    </w:p>
    <w:p>
      <w:pPr>
        <w:spacing w:after="0" w:line="264" w:lineRule="exact"/>
        <w:rPr>
          <w:sz w:val="20"/>
          <w:szCs w:val="20"/>
          <w:color w:val="auto"/>
        </w:rPr>
      </w:pPr>
    </w:p>
    <w:p>
      <w:pPr>
        <w:ind w:left="820" w:hanging="812"/>
        <w:spacing w:after="0"/>
        <w:tabs>
          <w:tab w:leader="none" w:pos="8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980" w:right="2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no customer accounted for 10% or more of our consolidated revenue. During the nine months ended September 30, 2021, one customer accounted for 14% of our consolidated revenue. This revenue was primarily generated by our Electronic Test segment. No other customers accounted for 10% or more of our consolidated revenue during the nine months ended September 30, 2021.</w:t>
      </w:r>
    </w:p>
    <w:p>
      <w:pPr>
        <w:spacing w:after="0" w:line="200" w:lineRule="exact"/>
        <w:rPr>
          <w:sz w:val="20"/>
          <w:szCs w:val="20"/>
          <w:color w:val="auto"/>
        </w:rPr>
      </w:pPr>
    </w:p>
    <w:p>
      <w:pPr>
        <w:spacing w:after="0" w:line="219" w:lineRule="exact"/>
        <w:rPr>
          <w:sz w:val="20"/>
          <w:szCs w:val="20"/>
          <w:color w:val="auto"/>
        </w:rPr>
      </w:pPr>
    </w:p>
    <w:p>
      <w:pPr>
        <w:ind w:left="820" w:hanging="812"/>
        <w:spacing w:after="0"/>
        <w:tabs>
          <w:tab w:leader="none" w:pos="8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Inventories held at September 30, 2022 and December 31, 2021 were comprised of the following:</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consigned to others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2,422</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12,863</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80" w:right="760"/>
        <w:spacing w:after="0" w:line="282" w:lineRule="auto"/>
        <w:rPr>
          <w:sz w:val="20"/>
          <w:szCs w:val="20"/>
          <w:color w:val="auto"/>
        </w:rPr>
      </w:pPr>
      <w:r>
        <w:rPr>
          <w:rFonts w:ascii="Times New Roman" w:cs="Times New Roman" w:eastAsia="Times New Roman" w:hAnsi="Times New Roman"/>
          <w:sz w:val="18"/>
          <w:szCs w:val="18"/>
          <w:color w:val="auto"/>
        </w:rPr>
        <w:t>Total charges incurred for excess and obsolete inventory for the three months and nine months ended September 30, 2022 and 2021, respectively, were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23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0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pacing w:after="0" w:line="237" w:lineRule="exact"/>
        <w:rPr>
          <w:sz w:val="20"/>
          <w:szCs w:val="20"/>
          <w:color w:val="auto"/>
        </w:rPr>
      </w:pPr>
    </w:p>
    <w:p>
      <w:pPr>
        <w:ind w:left="820" w:hanging="812"/>
        <w:spacing w:after="0"/>
        <w:tabs>
          <w:tab w:leader="none" w:pos="8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three and nine months ended September 30, 2022 and 2021, respectively,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is additional information about our leases as of September 30, 2022: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remaining lease terms (in years)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to  8.6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- 20-</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22" w:name="page23"/>
    <w:bookmarkEnd w:id="22"/>
    <w:p>
      <w:pPr>
        <w:spacing w:after="0" w:line="1"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2022 were as follows:</w:t>
            </w: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2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r>
        <w:trPr>
          <w:trHeight w:val="20"/>
        </w:trPr>
        <w:tc>
          <w:tcPr>
            <w:tcW w:w="6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2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6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5,626</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Information</w:t>
      </w:r>
    </w:p>
    <w:p>
      <w:pPr>
        <w:spacing w:after="0" w:line="229" w:lineRule="exact"/>
        <w:rPr>
          <w:sz w:val="20"/>
          <w:szCs w:val="20"/>
          <w:color w:val="auto"/>
        </w:rPr>
      </w:pPr>
    </w:p>
    <w:p>
      <w:pPr>
        <w:ind w:left="972"/>
        <w:spacing w:after="0" w:line="282" w:lineRule="auto"/>
        <w:rPr>
          <w:sz w:val="20"/>
          <w:szCs w:val="20"/>
          <w:color w:val="auto"/>
        </w:rPr>
      </w:pPr>
      <w:r>
        <w:rPr>
          <w:rFonts w:ascii="Times New Roman" w:cs="Times New Roman" w:eastAsia="Times New Roman" w:hAnsi="Times New Roman"/>
          <w:sz w:val="18"/>
          <w:szCs w:val="18"/>
          <w:color w:val="auto"/>
        </w:rPr>
        <w:t>Total amortization of ROU assets was $334 and $972 for the three months and nine months ended September 30, 2022, respectively, and $231 and $760 for the three months and nine months ended September 30, 2021, respectively.</w:t>
      </w:r>
    </w:p>
    <w:p>
      <w:pPr>
        <w:spacing w:after="0" w:line="162" w:lineRule="exact"/>
        <w:rPr>
          <w:sz w:val="20"/>
          <w:szCs w:val="20"/>
          <w:color w:val="auto"/>
        </w:rPr>
      </w:pPr>
    </w:p>
    <w:p>
      <w:pPr>
        <w:ind w:left="972" w:right="1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we executed an amendment to the lease for our facility in Singapore which extended the term for a period of 24 months commencing on April 1, 2022 and expiring on March 31, 2024. At the effective date of this modification, we recorded a non-cash increase in our ROU assets and operating lease liabilities of approximately $51. During this same period, we also executed a 48-month lease for an automobile for our Videology operation in Europe. At the effective date of this lease, we recorded a non-cash increase in our ROU assets and operating lease liabilities of approximately $38.</w:t>
      </w:r>
    </w:p>
    <w:p>
      <w:pPr>
        <w:spacing w:after="0" w:line="183" w:lineRule="exact"/>
        <w:rPr>
          <w:sz w:val="20"/>
          <w:szCs w:val="20"/>
          <w:color w:val="auto"/>
        </w:rPr>
      </w:pPr>
    </w:p>
    <w:p>
      <w:pPr>
        <w:ind w:left="972" w:right="1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we executed a lease for approximately 3,888 square feet of office space for the engineering and sales staff located in Fremont, California. This lease has a 38.5-month term beginning in October 2021. At the effective date of this lease, we recorded an increase in our ROU assets and operating lease liabilities of approximately $202.</w:t>
      </w:r>
    </w:p>
    <w:p>
      <w:pPr>
        <w:spacing w:after="0" w:line="200" w:lineRule="exact"/>
        <w:rPr>
          <w:sz w:val="20"/>
          <w:szCs w:val="20"/>
          <w:color w:val="auto"/>
        </w:rPr>
      </w:pPr>
    </w:p>
    <w:p>
      <w:pPr>
        <w:spacing w:after="0" w:line="215" w:lineRule="exact"/>
        <w:rPr>
          <w:sz w:val="20"/>
          <w:szCs w:val="20"/>
          <w:color w:val="auto"/>
        </w:rPr>
      </w:pPr>
    </w:p>
    <w:p>
      <w:pPr>
        <w:ind w:left="812" w:hanging="812"/>
        <w:spacing w:after="0"/>
        <w:tabs>
          <w:tab w:leader="none" w:pos="81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Letters of Credit</w:t>
      </w:r>
    </w:p>
    <w:p>
      <w:pPr>
        <w:spacing w:after="0" w:line="229" w:lineRule="exact"/>
        <w:rPr>
          <w:sz w:val="20"/>
          <w:szCs w:val="20"/>
          <w:color w:val="auto"/>
        </w:rPr>
      </w:pPr>
    </w:p>
    <w:p>
      <w:pPr>
        <w:ind w:left="972" w:right="260"/>
        <w:spacing w:after="0" w:line="261" w:lineRule="auto"/>
        <w:rPr>
          <w:sz w:val="20"/>
          <w:szCs w:val="20"/>
          <w:color w:val="auto"/>
        </w:rPr>
      </w:pPr>
      <w:r>
        <w:rPr>
          <w:rFonts w:ascii="Times New Roman" w:cs="Times New Roman" w:eastAsia="Times New Roman" w:hAnsi="Times New Roman"/>
          <w:sz w:val="18"/>
          <w:szCs w:val="18"/>
          <w:color w:val="auto"/>
        </w:rPr>
        <w:t>We have issued letters of credit as the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30 days prior to their expiration dates for successive terms of not less than one year until lease expiration. Our outstanding letters of credit at September 30, 2022 and December 31, 2021 consisted of the following:</w:t>
      </w:r>
    </w:p>
    <w:p>
      <w:pPr>
        <w:spacing w:after="0" w:line="176"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Letters of Credit</w:t>
            </w:r>
          </w:p>
        </w:tc>
      </w:tr>
      <w:tr>
        <w:trPr>
          <w:trHeight w:val="238"/>
        </w:trPr>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L/C</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 w:type="dxa"/>
            <w:vAlign w:val="bottom"/>
          </w:tcPr>
          <w:p>
            <w:pPr>
              <w:spacing w:after="0"/>
              <w:rPr>
                <w:sz w:val="20"/>
                <w:szCs w:val="20"/>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Amount Outstanding</w:t>
            </w:r>
          </w:p>
        </w:tc>
      </w:tr>
      <w:tr>
        <w:trPr>
          <w:trHeight w:val="187"/>
        </w:trPr>
        <w:tc>
          <w:tcPr>
            <w:tcW w:w="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0" w:type="dxa"/>
            <w:vAlign w:val="bottom"/>
            <w:gridSpan w:val="2"/>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Original L/C</w:t>
            </w:r>
          </w:p>
        </w:tc>
        <w:tc>
          <w:tcPr>
            <w:tcW w:w="120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20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580" w:type="dxa"/>
            <w:vAlign w:val="bottom"/>
            <w:tcBorders>
              <w:top w:val="single" w:sz="8" w:color="auto"/>
            </w:tcBorders>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6"/>
                <w:szCs w:val="16"/>
                <w:color w:val="auto"/>
              </w:rPr>
            </w:pPr>
          </w:p>
        </w:tc>
      </w:tr>
      <w:tr>
        <w:trPr>
          <w:trHeight w:val="211"/>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Mt. Laurel, NJ</w:t>
            </w: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3/29/2010</w:t>
            </w: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4/30/2023</w:t>
            </w:r>
          </w:p>
        </w:tc>
        <w:tc>
          <w:tcPr>
            <w:tcW w:w="1200" w:type="dxa"/>
            <w:vAlign w:val="bottom"/>
            <w:tcBorders>
              <w:right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4/30/2031</w:t>
            </w: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10/27/2010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12/31/2024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12/31/2024</w:t>
            </w:r>
          </w:p>
        </w:tc>
        <w:tc>
          <w:tcPr>
            <w:tcW w:w="26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Facility</w:t>
      </w:r>
    </w:p>
    <w:p>
      <w:pPr>
        <w:spacing w:after="0" w:line="229" w:lineRule="exact"/>
        <w:rPr>
          <w:sz w:val="20"/>
          <w:szCs w:val="20"/>
          <w:color w:val="auto"/>
        </w:rPr>
      </w:pPr>
    </w:p>
    <w:p>
      <w:pPr>
        <w:ind w:left="972" w:right="20"/>
        <w:spacing w:after="0" w:line="261" w:lineRule="auto"/>
        <w:rPr>
          <w:sz w:val="20"/>
          <w:szCs w:val="20"/>
          <w:color w:val="auto"/>
        </w:rPr>
      </w:pPr>
      <w:r>
        <w:rPr>
          <w:rFonts w:ascii="Times New Roman" w:cs="Times New Roman" w:eastAsia="Times New Roman" w:hAnsi="Times New Roman"/>
          <w:sz w:val="18"/>
          <w:szCs w:val="18"/>
          <w:color w:val="auto"/>
        </w:rPr>
        <w:t>On October 15, 2021 (the “Closing Date”), we entered into an Amended and Restated Loan and Security Agreement with M&amp;T Bank (“M&amp;T”) which, on October 28, 2021, was amended by the Joinder and Amendment to Amended and Restated Loan and Security Agreement and which, on December 30, 2021, was further amended by the Joinder and Second Amendment to Amended and Restated Loan and Security Agreement (as amended, the “Loan Agreement”).</w:t>
      </w:r>
    </w:p>
    <w:p>
      <w:pPr>
        <w:spacing w:after="0" w:line="180" w:lineRule="exact"/>
        <w:rPr>
          <w:sz w:val="20"/>
          <w:szCs w:val="20"/>
          <w:color w:val="auto"/>
        </w:rPr>
      </w:pPr>
    </w:p>
    <w:p>
      <w:pPr>
        <w:jc w:val="both"/>
        <w:ind w:left="972" w:right="260"/>
        <w:spacing w:after="0" w:line="266" w:lineRule="auto"/>
        <w:rPr>
          <w:sz w:val="20"/>
          <w:szCs w:val="20"/>
          <w:color w:val="auto"/>
        </w:rPr>
      </w:pPr>
      <w:r>
        <w:rPr>
          <w:rFonts w:ascii="Times New Roman" w:cs="Times New Roman" w:eastAsia="Times New Roman" w:hAnsi="Times New Roman"/>
          <w:sz w:val="18"/>
          <w:szCs w:val="18"/>
          <w:color w:val="auto"/>
        </w:rPr>
        <w:t>The Loan Agreement included a $25,000 non-revolving delayed draw term note (the “Term Note”) and a $10,000 revolving credit facility (together with the Term Note, the “Credit Facility”). The Credit Facility had a five year contract period that began on the Closing Date and expired on October 15, 2026, and draws under the Term Note were permissible for two years.</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07" w:right="359" w:bottom="1440" w:gutter="0" w:footer="0" w:header="0"/>
        </w:sectPr>
      </w:pPr>
    </w:p>
    <w:bookmarkStart w:id="23" w:name="page24"/>
    <w:bookmarkEnd w:id="23"/>
    <w:p>
      <w:pPr>
        <w:ind w:left="980" w:right="120"/>
        <w:spacing w:after="0" w:line="254" w:lineRule="auto"/>
        <w:rPr>
          <w:sz w:val="20"/>
          <w:szCs w:val="20"/>
          <w:color w:val="auto"/>
        </w:rPr>
      </w:pPr>
      <w:r>
        <w:rPr>
          <w:rFonts w:ascii="Times New Roman" w:cs="Times New Roman" w:eastAsia="Times New Roman" w:hAnsi="Times New Roman"/>
          <w:sz w:val="18"/>
          <w:szCs w:val="18"/>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1A. Under the Amended Loan Agreement, the maximum loan amount that we may borrow under the Term Note increased from $25,000 to $50,500, which raises the available funding at September 30, 2022 to $30,000. Under the Amended Loan Agreement, the maturity date of the Term Note and revolving credit facility were also extended to September 19, 2027 (the “Contract Period”). As of September 30, 2022, we had not borrowed any amounts under the revolving credit facility. Our borrowings under the Term Note are discussed below and occurred prior to entering into the Amended Loan Agreement. Interest expense for the three and nine months ended September 30, 2022 was $179 and $457, respectively. There was no interest expense in the three or nine months ended September 30, 2021.</w:t>
      </w:r>
    </w:p>
    <w:p>
      <w:pPr>
        <w:spacing w:after="0" w:line="188"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18"/>
          <w:szCs w:val="18"/>
          <w:color w:val="auto"/>
        </w:rPr>
        <w:t>The principal balance of the revolving credit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89"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and a fixed charge coverage ratio. Our obligations under the Amended Loan Agreement are secured by liens on substantially all of our tangible and intangible assets that are owned as of the Closing Date or acquired thereafter.</w:t>
      </w:r>
    </w:p>
    <w:p>
      <w:pPr>
        <w:spacing w:after="0" w:line="189" w:lineRule="exact"/>
        <w:rPr>
          <w:sz w:val="20"/>
          <w:szCs w:val="20"/>
          <w:color w:val="auto"/>
        </w:rPr>
      </w:pPr>
    </w:p>
    <w:p>
      <w:pPr>
        <w:ind w:left="980" w:right="60"/>
        <w:spacing w:after="0" w:line="261" w:lineRule="auto"/>
        <w:rPr>
          <w:sz w:val="20"/>
          <w:szCs w:val="20"/>
          <w:color w:val="auto"/>
        </w:rPr>
      </w:pPr>
      <w:r>
        <w:rPr>
          <w:rFonts w:ascii="Times New Roman" w:cs="Times New Roman" w:eastAsia="Times New Roman" w:hAnsi="Times New Roman"/>
          <w:sz w:val="18"/>
          <w:szCs w:val="18"/>
          <w:color w:val="auto"/>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w:t>
      </w:r>
    </w:p>
    <w:p>
      <w:pPr>
        <w:spacing w:after="0" w:line="180" w:lineRule="exact"/>
        <w:rPr>
          <w:sz w:val="20"/>
          <w:szCs w:val="20"/>
          <w:color w:val="auto"/>
        </w:rPr>
      </w:pPr>
    </w:p>
    <w:p>
      <w:pPr>
        <w:ind w:left="980" w:right="280"/>
        <w:spacing w:after="0" w:line="261" w:lineRule="auto"/>
        <w:rPr>
          <w:sz w:val="20"/>
          <w:szCs w:val="20"/>
          <w:color w:val="auto"/>
        </w:rPr>
      </w:pPr>
      <w:r>
        <w:rPr>
          <w:rFonts w:ascii="Times New Roman" w:cs="Times New Roman" w:eastAsia="Times New Roman" w:hAnsi="Times New Roman"/>
          <w:sz w:val="18"/>
          <w:szCs w:val="18"/>
          <w:color w:val="auto"/>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September 30, 2022 it was approximately 4.4% based on current leverage. Effective October 15, 2022, this rate had increased to approximately 5.2%.</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maturities of long-term debt for each of the next five years: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50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820" w:hanging="812"/>
        <w:spacing w:after="0"/>
        <w:tabs>
          <w:tab w:leader="none" w:pos="8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w:t>
      </w:r>
    </w:p>
    <w:p>
      <w:pPr>
        <w:spacing w:after="0" w:line="229" w:lineRule="exact"/>
        <w:rPr>
          <w:sz w:val="20"/>
          <w:szCs w:val="20"/>
          <w:color w:val="auto"/>
        </w:rPr>
      </w:pPr>
    </w:p>
    <w:p>
      <w:pPr>
        <w:ind w:left="980" w:right="100"/>
        <w:spacing w:after="0" w:line="282" w:lineRule="auto"/>
        <w:rPr>
          <w:sz w:val="20"/>
          <w:szCs w:val="20"/>
          <w:color w:val="auto"/>
        </w:rPr>
      </w:pPr>
      <w:r>
        <w:rPr>
          <w:rFonts w:ascii="Times New Roman" w:cs="Times New Roman" w:eastAsia="Times New Roman" w:hAnsi="Times New Roman"/>
          <w:sz w:val="18"/>
          <w:szCs w:val="18"/>
          <w:color w:val="auto"/>
        </w:rPr>
        <w:t>As of September 30, 2022, we had unvested restricted stock awards and stock options granted under stock-based compensation plans that are described more fully in Note 15 to the consolidated financial statements in our 2021 Form 10-K.</w:t>
      </w:r>
    </w:p>
    <w:p>
      <w:pPr>
        <w:spacing w:after="0" w:line="162" w:lineRule="exact"/>
        <w:rPr>
          <w:sz w:val="20"/>
          <w:szCs w:val="20"/>
          <w:color w:val="auto"/>
        </w:rPr>
      </w:pPr>
    </w:p>
    <w:p>
      <w:pPr>
        <w:ind w:left="980" w:right="80"/>
        <w:spacing w:after="0" w:line="266" w:lineRule="auto"/>
        <w:rPr>
          <w:sz w:val="20"/>
          <w:szCs w:val="20"/>
          <w:color w:val="auto"/>
        </w:rPr>
      </w:pPr>
      <w:r>
        <w:rPr>
          <w:rFonts w:ascii="Times New Roman" w:cs="Times New Roman" w:eastAsia="Times New Roman" w:hAnsi="Times New Roman"/>
          <w:sz w:val="18"/>
          <w:szCs w:val="18"/>
          <w:color w:val="auto"/>
        </w:rPr>
        <w:t>Our unvested restricted stock awards and stock options are accounted for based on their grant date fair value. As of September 30, 2022, total compensation expense to be recognized in future periods is $3,298. The weighted average period over which this expense is expected to be recognized is 2.5 years.</w:t>
      </w:r>
    </w:p>
    <w:p>
      <w:pPr>
        <w:spacing w:after="0" w:line="176" w:lineRule="exact"/>
        <w:rPr>
          <w:sz w:val="20"/>
          <w:szCs w:val="20"/>
          <w:color w:val="auto"/>
        </w:rPr>
      </w:pPr>
    </w:p>
    <w:p>
      <w:pPr>
        <w:ind w:left="980"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expense we recorded during the three and nine months ended September 30, 2022 and 2021 related to unvested shares of restricted stock and stock options: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2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663"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There was no compensation expense capitalized in three and nine months ended September 30, 2022 or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during the nine months ended September 30, 2022 and 2021 was estimated at the date of grant using the Black-Scholes option pricing model with the following weighted average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issued during the nine months ended September 30, 2022 and 2021 was $4.53 and $5.70,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for the nine months ended September 30, 2022:</w:t>
      </w:r>
    </w:p>
    <w:p>
      <w:pPr>
        <w:sectPr>
          <w:pgSz w:w="11900" w:h="16838" w:orient="portrait"/>
          <w:cols w:equalWidth="0" w:num="1">
            <w:col w:w="10160"/>
          </w:cols>
          <w:pgMar w:left="1300" w:top="60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outstanding, January 1, 2022 (59,195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412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1223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outstanding, September 30, 2022 (167,886 exercisable)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7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408,869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9.07</w:t>
            </w:r>
          </w:p>
        </w:tc>
        <w:tc>
          <w:tcPr>
            <w:tcW w:w="20" w:type="dxa"/>
            <w:vAlign w:val="bottom"/>
          </w:tcPr>
          <w:p>
            <w:pPr>
              <w:spacing w:after="0"/>
              <w:rPr>
                <w:sz w:val="16"/>
                <w:szCs w:val="16"/>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202,540</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(8,060)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r>
      <w:tr>
        <w:trPr>
          <w:trHeight w:val="234"/>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(22,930)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r>
      <w:tr>
        <w:trPr>
          <w:trHeight w:val="210"/>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580,419</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060" w:space="720"/>
            <w:col w:w="3380"/>
          </w:cols>
          <w:pgMar w:left="1300" w:top="607" w:right="439" w:bottom="1440" w:gutter="0" w:footer="0" w:header="0"/>
          <w:type w:val="continuous"/>
        </w:sectPr>
      </w:pPr>
    </w:p>
    <w:p>
      <w:pPr>
        <w:spacing w:after="0" w:line="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 The awards granted prior to January 1, 2022 are discussed in more detail in Note 15 to the consolidated financial statement in our 2021 Form 10-K. During the three months ended June 30, 2022, as a result of our quarter end re-assessment of the probable final vesting percentages for our performance-based awards, we adjusted the probable final vesting percentage for the awards that will vest on August 24, 2023 from 100% to 150%. As a result, we recorded a catch-up adjustment of $130 during the three months ended June 30, 2022. As of September 30, 2022, we have concluded that the probable final vesting percentage for these awards continues to be 150% and, accordingly, we recorded expense during the three months ended September 30, 2022 based on this estimate. There have been no significant changes to our assumptions related to the expected vesting percentages for any other performance-based awards as of September 30, 2022.</w:t>
      </w:r>
    </w:p>
    <w:p>
      <w:pPr>
        <w:spacing w:after="0" w:line="18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1300" w:top="607" w:right="439" w:bottom="1440" w:gutter="0" w:footer="0" w:header="0"/>
          <w:type w:val="continuous"/>
        </w:sectPr>
      </w:pPr>
    </w:p>
    <w:bookmarkStart w:id="25" w:name="page26"/>
    <w:bookmarkEnd w:id="25"/>
    <w:p>
      <w:pPr>
        <w:ind w:left="980"/>
        <w:spacing w:after="0" w:line="256" w:lineRule="auto"/>
        <w:rPr>
          <w:sz w:val="20"/>
          <w:szCs w:val="20"/>
          <w:color w:val="auto"/>
        </w:rPr>
      </w:pPr>
      <w:r>
        <w:rPr>
          <w:rFonts w:ascii="Times New Roman" w:cs="Times New Roman" w:eastAsia="Times New Roman" w:hAnsi="Times New Roman"/>
          <w:sz w:val="18"/>
          <w:szCs w:val="18"/>
          <w:color w:val="auto"/>
        </w:rPr>
        <w:t>On March 9, 2022, our Chief Executive Officer ("CEO") and Chief Financial Officer ("CFO") received restricted stock awards totaling 20,493 shares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As of September 30, 2022, we have estimated that these shares will vest at 100% of the original amount.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unvested restricted stock awards for the nine months ended September 30, 2022:</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January 1, 2022</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262,533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123,533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(82,672)</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September 30, 2022</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297,450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The total fair value of the restricted stock awards that vested during the nine months ended September 30, 2022 and 2021 was $550 and $981, respectively, as of the vesting dates of these awards.</w:t>
      </w:r>
    </w:p>
    <w:p>
      <w:pPr>
        <w:spacing w:after="0" w:line="200" w:lineRule="exact"/>
        <w:rPr>
          <w:sz w:val="20"/>
          <w:szCs w:val="20"/>
          <w:color w:val="auto"/>
        </w:rPr>
      </w:pPr>
    </w:p>
    <w:p>
      <w:pPr>
        <w:spacing w:after="0" w:line="201" w:lineRule="exact"/>
        <w:rPr>
          <w:sz w:val="20"/>
          <w:szCs w:val="20"/>
          <w:color w:val="auto"/>
        </w:rPr>
      </w:pPr>
    </w:p>
    <w:p>
      <w:pPr>
        <w:ind w:left="820" w:hanging="812"/>
        <w:spacing w:after="0"/>
        <w:tabs>
          <w:tab w:leader="none" w:pos="8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jc w:val="both"/>
        <w:ind w:left="980" w:right="220"/>
        <w:spacing w:after="0" w:line="261" w:lineRule="auto"/>
        <w:rPr>
          <w:sz w:val="20"/>
          <w:szCs w:val="20"/>
          <w:color w:val="auto"/>
        </w:rPr>
      </w:pPr>
      <w:r>
        <w:rPr>
          <w:rFonts w:ascii="Times New Roman" w:cs="Times New Roman" w:eastAsia="Times New Roman" w:hAnsi="Times New Roman"/>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0" w:lineRule="exact"/>
        <w:rPr>
          <w:sz w:val="20"/>
          <w:szCs w:val="20"/>
          <w:color w:val="auto"/>
        </w:rPr>
      </w:pPr>
    </w:p>
    <w:p>
      <w:pPr>
        <w:jc w:val="both"/>
        <w:ind w:left="980" w:right="180"/>
        <w:spacing w:after="0" w:line="266" w:lineRule="auto"/>
        <w:rPr>
          <w:sz w:val="20"/>
          <w:szCs w:val="20"/>
          <w:color w:val="auto"/>
        </w:rPr>
      </w:pPr>
      <w:r>
        <w:rPr>
          <w:rFonts w:ascii="Times New Roman" w:cs="Times New Roman" w:eastAsia="Times New Roman" w:hAnsi="Times New Roman"/>
          <w:sz w:val="18"/>
          <w:szCs w:val="18"/>
          <w:color w:val="auto"/>
        </w:rPr>
        <w:t>The ESPP provides that an aggregate of up to 250,000 shares of our common stock will be available for issuance thereunder. The shares of our common stock purchasable under the ESPP will be shares of authorized but unissued or reacquired shares, including shares repurchased by us on the open market.</w:t>
      </w:r>
    </w:p>
    <w:p>
      <w:pPr>
        <w:spacing w:after="0" w:line="176" w:lineRule="exact"/>
        <w:rPr>
          <w:sz w:val="20"/>
          <w:szCs w:val="20"/>
          <w:color w:val="auto"/>
        </w:rPr>
      </w:pPr>
    </w:p>
    <w:p>
      <w:pPr>
        <w:ind w:left="980" w:right="6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employees purchased 21,749 shares of our stock through the ESPP at a cost of $148. The closing market price on the dates of purchase were $10.73, $6.82 and $7.63, respectively. The prices paid by employees were $9.12, $5.80 and $6.49, respectively, which represented a 15% discount. The total amount of the discount of $28 was recorded as compensation expense in our consolidated statements of operations. From the effective date of the ESPP through September 30, 2022, a total of 25,740 shares of stock have been purchased by employees through the ESPP at a cost of $191. We have recorded a total of $34 of compensation expense in our consolidated statements of operations related to these shares.</w:t>
      </w:r>
    </w:p>
    <w:p>
      <w:pPr>
        <w:spacing w:after="0" w:line="200" w:lineRule="exact"/>
        <w:rPr>
          <w:sz w:val="20"/>
          <w:szCs w:val="20"/>
          <w:color w:val="auto"/>
        </w:rPr>
      </w:pPr>
    </w:p>
    <w:p>
      <w:pPr>
        <w:spacing w:after="0" w:line="226" w:lineRule="exact"/>
        <w:rPr>
          <w:sz w:val="20"/>
          <w:szCs w:val="20"/>
          <w:color w:val="auto"/>
        </w:rPr>
      </w:pPr>
    </w:p>
    <w:p>
      <w:pPr>
        <w:ind w:left="820" w:hanging="812"/>
        <w:spacing w:after="0"/>
        <w:tabs>
          <w:tab w:leader="none" w:pos="8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ind w:left="980" w:right="60"/>
        <w:spacing w:after="0" w:line="256" w:lineRule="auto"/>
        <w:rPr>
          <w:sz w:val="20"/>
          <w:szCs w:val="20"/>
          <w:color w:val="auto"/>
        </w:rPr>
      </w:pPr>
      <w:r>
        <w:rPr>
          <w:rFonts w:ascii="Times New Roman" w:cs="Times New Roman" w:eastAsia="Times New Roman" w:hAnsi="Times New Roman"/>
          <w:sz w:val="18"/>
          <w:szCs w:val="18"/>
          <w:color w:val="auto"/>
        </w:rPr>
        <w:t>We have defined contribution 401(k) plans for our employees who work in the U.S. All permanent employees of inTEST Corporation, inTEST EMS LLC, Temptronic Corporation and Videology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and nine months ended September 30, 2022 we recorded $83 and $433 of expense for matching contributions, respectively. For the three and nine months ended September 30, 2021 we recorded $51 and $322 of expense for matching contributions, respectively.</w:t>
      </w:r>
    </w:p>
    <w:p>
      <w:pPr>
        <w:spacing w:after="0" w:line="187"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three and nine months ended September 30, 2022 we recorded $46 and $232 of expense for matching contributions, respectively. For the three and nine months ended September 30, 2021 we recorded $44 and $131 of expense for matching contributions,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ind w:left="820" w:hanging="812"/>
        <w:spacing w:after="0"/>
        <w:tabs>
          <w:tab w:leader="none" w:pos="8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980" w:right="2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we managed our business as two operating segments which were also our reportable segments and reporting units: Thermal and EMS. As previously discussed in Note 1, effective January 1, 2022, we reorganized our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Accordingly, for 2022,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period information has been reclassified to be comparable to the current period’s presentation.</w:t>
      </w:r>
    </w:p>
    <w:p>
      <w:pPr>
        <w:spacing w:after="0" w:line="188"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8"/>
          <w:szCs w:val="18"/>
          <w:color w:val="auto"/>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other income (expense), corporate expenses and acquired intangible amortization.</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10,408</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28,983</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25,658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22,131</w:t>
            </w:r>
          </w:p>
        </w:tc>
        <w:tc>
          <w:tcPr>
            <w:tcW w:w="7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19,720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33,309</w:t>
            </w:r>
          </w:p>
        </w:tc>
        <w:tc>
          <w:tcPr>
            <w:tcW w:w="7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17,142</w:t>
            </w:r>
          </w:p>
        </w:tc>
      </w:tr>
      <w:tr>
        <w:trPr>
          <w:trHeight w:val="20"/>
        </w:trPr>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620" w:type="dxa"/>
            <w:vAlign w:val="bottom"/>
            <w:tcBorders>
              <w:lef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84,423</w:t>
            </w:r>
          </w:p>
        </w:tc>
        <w:tc>
          <w:tcPr>
            <w:tcW w:w="740" w:type="dxa"/>
            <w:vAlign w:val="bottom"/>
            <w:tcBorders>
              <w:right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62,520</w:t>
            </w:r>
          </w:p>
        </w:tc>
      </w:tr>
      <w:tr>
        <w:trPr>
          <w:trHeight w:val="196"/>
        </w:trPr>
        <w:tc>
          <w:tcPr>
            <w:tcW w:w="45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divisional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2,406</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6,486</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2,893</w:t>
            </w:r>
          </w:p>
        </w:tc>
        <w:tc>
          <w:tcPr>
            <w:tcW w:w="7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5,764</w:t>
            </w:r>
          </w:p>
        </w:tc>
        <w:tc>
          <w:tcPr>
            <w:tcW w:w="7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r>
      <w:tr>
        <w:trPr>
          <w:trHeight w:val="20"/>
        </w:trPr>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from divisional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15,143</w:t>
            </w:r>
          </w:p>
        </w:tc>
        <w:tc>
          <w:tcPr>
            <w:tcW w:w="7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14,679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(1,944)</w:t>
            </w:r>
          </w:p>
        </w:tc>
        <w:tc>
          <w:tcPr>
            <w:tcW w:w="4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(6,312)</w:t>
            </w:r>
          </w:p>
        </w:tc>
        <w:tc>
          <w:tcPr>
            <w:tcW w:w="7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(5,597)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amortization</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w:t>
            </w:r>
          </w:p>
        </w:tc>
        <w:tc>
          <w:tcPr>
            <w:tcW w:w="7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7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620" w:type="dxa"/>
            <w:vAlign w:val="bottom"/>
            <w:tcBorders>
              <w:lef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6,264</w:t>
            </w:r>
          </w:p>
        </w:tc>
        <w:tc>
          <w:tcPr>
            <w:tcW w:w="740" w:type="dxa"/>
            <w:vAlign w:val="bottom"/>
            <w:tcBorders>
              <w:right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8,166</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0"/>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17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7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55,148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106,701</w:t>
            </w:r>
          </w:p>
        </w:tc>
        <w:tc>
          <w:tcPr>
            <w:tcW w:w="7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geographic areas of operation. Revenue is based on the location to which the goods are shipped.</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48,502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43,870</w:t>
            </w:r>
          </w:p>
        </w:tc>
      </w:tr>
      <w:tr>
        <w:trPr>
          <w:trHeight w:val="20"/>
        </w:trPr>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84,423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62,520</w:t>
            </w: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- 25-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27" w:name="page28"/>
    <w:bookmarkEnd w:id="2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and Forward-Looking Statements</w:t>
      </w:r>
    </w:p>
    <w:p>
      <w:pPr>
        <w:spacing w:after="0" w:line="229"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for the period ended September 30, 2022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“could,” "will," "should," "plans," “projects,” “forecasts,” “seeks,” “anticipates,” “goal,” “objective,” “target,” “estimate,” “future,” “outlook,” “vision,” or variations of such words or similar terminology. Investors and prospective investors are cautioned that such forward-looking statements are only projections based on current estimations. These statements involve risks and uncertainties and are based upon various assumptions. Such risks and uncertainties include, but are not limited to:</w:t>
      </w:r>
    </w:p>
    <w:p>
      <w:pPr>
        <w:spacing w:after="0" w:line="194"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5-Point Strategy;</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presence in our key target and international markets;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future acquisitions or dispositions and the successful integration of acquired operations;</w:t>
      </w:r>
    </w:p>
    <w:p>
      <w:pPr>
        <w:spacing w:after="0" w:line="36"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strategy to diversify our business by entering markets outside the semiconductor and automated test equipment (“ATE”) markets, collectively the “semi market”;</w:t>
      </w: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indications of a change in the market cycles in the semi market, or other markets we serve;</w:t>
      </w:r>
    </w:p>
    <w:p>
      <w:pPr>
        <w:spacing w:after="0" w:line="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trends in the semi market, including changes in the demand for semiconductors;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backlog to sales and to ship product in a timely manner;</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one or more of our largest customers, or a reduction in orders by a major customer;</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materials used to manufacture our products;</w:t>
      </w:r>
    </w:p>
    <w:p>
      <w:pPr>
        <w:spacing w:after="0" w:line="36"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supply chain constraints or other interruptions in our supply chain caused by external factors, including the ongoing war in Ukraine and COVID-19;</w:t>
      </w: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business and financial condition;</w:t>
      </w:r>
    </w:p>
    <w:p>
      <w:pPr>
        <w:spacing w:after="0" w:line="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liquidity, financial condition and results of operations;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cash balances, lines of credit and net cash from operations;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fluctuations;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and the ability to borrow funds or raise capital to finance potential acquisitions or for working capital;</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and timing of, capital expenditures by our customers;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exchange rate fluctuations;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product development programs;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market for our products;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retention of key personnel or our ability to hire personnel at anticipated costs;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globally, including rising interest rates, and</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included in Part I, Item 1A - "Risk Factors" in our 2021 Form 10-K.</w:t>
      </w:r>
    </w:p>
    <w:p>
      <w:pPr>
        <w:spacing w:after="0" w:line="252" w:lineRule="exact"/>
        <w:rPr>
          <w:sz w:val="20"/>
          <w:szCs w:val="20"/>
          <w:color w:val="auto"/>
        </w:rPr>
      </w:pPr>
    </w:p>
    <w:p>
      <w:pPr>
        <w:ind w:left="980" w:right="80"/>
        <w:spacing w:after="0" w:line="261" w:lineRule="auto"/>
        <w:rPr>
          <w:sz w:val="20"/>
          <w:szCs w:val="20"/>
          <w:color w:val="auto"/>
        </w:rPr>
      </w:pPr>
      <w:r>
        <w:rPr>
          <w:rFonts w:ascii="Times New Roman" w:cs="Times New Roman" w:eastAsia="Times New Roman" w:hAnsi="Times New Roman"/>
          <w:sz w:val="18"/>
          <w:szCs w:val="18"/>
          <w:color w:val="auto"/>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left="980" w:right="760"/>
        <w:spacing w:after="0" w:line="282" w:lineRule="auto"/>
        <w:rPr>
          <w:sz w:val="20"/>
          <w:szCs w:val="20"/>
          <w:color w:val="auto"/>
        </w:rPr>
      </w:pPr>
      <w:r>
        <w:rPr>
          <w:rFonts w:ascii="Times New Roman" w:cs="Times New Roman" w:eastAsia="Times New Roman" w:hAnsi="Times New Roman"/>
          <w:sz w:val="18"/>
          <w:szCs w:val="18"/>
          <w:color w:val="auto"/>
        </w:rPr>
        <w:t>This MD&amp;A should be read in conjunction with the accompanying consolidated financial statements. In addition, please refer to the discussion of our business and markets contained in Part I, Item 1 of our 2021 Form 10-K.</w:t>
      </w:r>
    </w:p>
    <w:p>
      <w:pPr>
        <w:spacing w:after="0" w:line="162"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Products ("Thermal") and Electromechanical Solutions ("EMS"). Effective January 1, 2022, we reorganized our operating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to our consolidated financial statements in this Report. Accordingly, for 2022,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period information has been reclassified to be comparable to the current period’s presentation.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8" w:name="page29"/>
    <w:bookmarkEnd w:id="28"/>
    <w:p>
      <w:pPr>
        <w:ind w:right="20"/>
        <w:spacing w:after="0" w:line="256" w:lineRule="auto"/>
        <w:rPr>
          <w:sz w:val="20"/>
          <w:szCs w:val="20"/>
          <w:color w:val="auto"/>
        </w:rPr>
      </w:pPr>
      <w:r>
        <w:rPr>
          <w:rFonts w:ascii="Times New Roman" w:cs="Times New Roman" w:eastAsia="Times New Roman" w:hAnsi="Times New Roman"/>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discussed further in Part I, Item 1 “Markets” of our 2021 Form 10-K, we are focused on specific target markets which include automotive, defense/aerospace, industrial, life sciences, security as well as both the front-end and back-end of the semiconductor manufacturing industry (“semi” or “semi market”).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9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0" w:right="359" w:bottom="1440" w:gutter="0" w:footer="0" w:header="0"/>
        </w:sectPr>
      </w:pPr>
    </w:p>
    <w:bookmarkStart w:id="29" w:name="page30"/>
    <w:bookmarkEnd w:id="29"/>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w:t>
      </w:r>
    </w:p>
    <w:p>
      <w:pPr>
        <w:spacing w:after="0" w:line="227"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A key element to our strategy for growth is through acquisitions. As discussed more fully in Note 3 to our consolidated financial statements in this Report, during 2021, we completed three acquisitions (collectively the "acquired businesses") that expanded our technology offerings, diversified our markets and customers and expanded our reach into Europe.</w:t>
      </w:r>
    </w:p>
    <w:p>
      <w:pPr>
        <w:spacing w:after="0" w:line="176"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On October 6, 2021, we acquired substantially all of the assets of Z-Sciences (now North Sciences), a developer of ultra-cold storage solutions for the life sciences cold chain market. This small, tuck-in transaction enhances our technology, adds new talent, and provides a low-cost entry into this fast growing, fragmented market. This business is included in our Environmental Technologies segment.</w:t>
      </w:r>
    </w:p>
    <w:p>
      <w:pPr>
        <w:spacing w:after="0" w:line="176"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On October 28, 2021, we acquired substantially all of the assets of Videology, a global designer, developer and manufacturer of OEM digital streaming and image capturing solutions. The acquisition expanded our process technology offerings, diversified our reach into key target markets and broadened our customer base. This business is included in our Process Technologies segment.</w:t>
      </w:r>
    </w:p>
    <w:p>
      <w:pPr>
        <w:spacing w:after="0" w:line="176"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On December 21, 2021, we acquired Acculogic, a global manufacturer of robotics-based electronic production test equipment and application support services. The acquisition expanded our global reach and enhanced our product portfolio with leading technologies and automation services. This business is included in our Electronic Test segment.</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orders received by operating segment and market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3,864</w:t>
            </w:r>
          </w:p>
        </w:tc>
        <w:tc>
          <w:tcPr>
            <w:tcW w:w="540" w:type="dxa"/>
            <w:vAlign w:val="bottom"/>
            <w:shd w:val="clear" w:color="auto" w:fill="CCEEFF"/>
          </w:tcPr>
          <w:p>
            <w:pPr>
              <w:spacing w:after="0"/>
              <w:rPr>
                <w:sz w:val="18"/>
                <w:szCs w:val="18"/>
                <w:color w:val="auto"/>
              </w:rPr>
            </w:pPr>
          </w:p>
        </w:tc>
        <w:tc>
          <w:tcPr>
            <w:tcW w:w="7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(3,315)</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Environmental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Technologies</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8,978</w:t>
            </w: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2,074</w:t>
            </w:r>
          </w:p>
        </w:tc>
        <w:tc>
          <w:tcPr>
            <w:tcW w:w="54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9,462</w:t>
            </w:r>
          </w:p>
        </w:tc>
        <w:tc>
          <w:tcPr>
            <w:tcW w:w="14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5,594</w:t>
            </w:r>
          </w:p>
        </w:tc>
        <w:tc>
          <w:tcPr>
            <w:tcW w:w="540" w:type="dxa"/>
            <w:vAlign w:val="bottom"/>
            <w:shd w:val="clear" w:color="auto" w:fill="CCEEFF"/>
          </w:tcPr>
          <w:p>
            <w:pPr>
              <w:spacing w:after="0"/>
              <w:rPr>
                <w:sz w:val="18"/>
                <w:szCs w:val="18"/>
                <w:color w:val="auto"/>
              </w:rPr>
            </w:pPr>
          </w:p>
        </w:tc>
        <w:tc>
          <w:tcPr>
            <w:tcW w:w="7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16,442</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(4,039)</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11,532</w:t>
            </w:r>
          </w:p>
        </w:tc>
        <w:tc>
          <w:tcPr>
            <w:tcW w:w="5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40,518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(7,838)</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5,816</w:t>
            </w:r>
          </w:p>
        </w:tc>
        <w:tc>
          <w:tcPr>
            <w:tcW w:w="540" w:type="dxa"/>
            <w:vAlign w:val="bottom"/>
            <w:shd w:val="clear" w:color="auto" w:fill="CCEEFF"/>
          </w:tcPr>
          <w:p>
            <w:pPr>
              <w:spacing w:after="0"/>
              <w:rPr>
                <w:sz w:val="18"/>
                <w:szCs w:val="18"/>
                <w:color w:val="auto"/>
              </w:rPr>
            </w:pPr>
          </w:p>
        </w:tc>
        <w:tc>
          <w:tcPr>
            <w:tcW w:w="7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(7,551)</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2,309</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2,366</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Auto/EV</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540" w:type="dxa"/>
            <w:vAlign w:val="bottom"/>
            <w:shd w:val="clear" w:color="auto" w:fill="CCEEFF"/>
          </w:tcPr>
          <w:p>
            <w:pPr>
              <w:spacing w:after="0"/>
              <w:rPr>
                <w:sz w:val="18"/>
                <w:szCs w:val="18"/>
                <w:color w:val="auto"/>
              </w:rPr>
            </w:pPr>
          </w:p>
        </w:tc>
        <w:tc>
          <w:tcPr>
            <w:tcW w:w="7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732</w:t>
            </w:r>
          </w:p>
        </w:tc>
        <w:tc>
          <w:tcPr>
            <w:tcW w:w="5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1,975</w:t>
            </w:r>
          </w:p>
        </w:tc>
        <w:tc>
          <w:tcPr>
            <w:tcW w:w="540" w:type="dxa"/>
            <w:vAlign w:val="bottom"/>
            <w:shd w:val="clear" w:color="auto" w:fill="CCEEFF"/>
          </w:tcPr>
          <w:p>
            <w:pPr>
              <w:spacing w:after="0"/>
              <w:rPr>
                <w:sz w:val="18"/>
                <w:szCs w:val="18"/>
                <w:color w:val="auto"/>
              </w:rPr>
            </w:pPr>
          </w:p>
        </w:tc>
        <w:tc>
          <w:tcPr>
            <w:tcW w:w="7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1,001</w:t>
            </w:r>
          </w:p>
        </w:tc>
        <w:tc>
          <w:tcPr>
            <w:tcW w:w="5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1,319</w:t>
            </w:r>
          </w:p>
        </w:tc>
        <w:tc>
          <w:tcPr>
            <w:tcW w:w="540" w:type="dxa"/>
            <w:vAlign w:val="bottom"/>
            <w:shd w:val="clear" w:color="auto" w:fill="CCEEFF"/>
          </w:tcPr>
          <w:p>
            <w:pPr>
              <w:spacing w:after="0"/>
              <w:rPr>
                <w:sz w:val="18"/>
                <w:szCs w:val="18"/>
                <w:color w:val="auto"/>
              </w:rPr>
            </w:pPr>
          </w:p>
        </w:tc>
        <w:tc>
          <w:tcPr>
            <w:tcW w:w="7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4,249</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11,532</w:t>
            </w:r>
          </w:p>
        </w:tc>
        <w:tc>
          <w:tcPr>
            <w:tcW w:w="5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40,518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(7,838)</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25,355</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6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98,261</w:t>
            </w:r>
          </w:p>
        </w:tc>
        <w:tc>
          <w:tcPr>
            <w:tcW w:w="44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71,483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26,778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58,295</w:t>
            </w:r>
          </w:p>
        </w:tc>
        <w:tc>
          <w:tcPr>
            <w:tcW w:w="44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47,078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11,217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Auto/EV</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30" w:name="page31"/>
    <w:bookmarkEnd w:id="30"/>
    <w:p>
      <w:pPr>
        <w:ind w:left="980" w:right="100"/>
        <w:spacing w:after="0" w:line="261" w:lineRule="auto"/>
        <w:rPr>
          <w:sz w:val="20"/>
          <w:szCs w:val="20"/>
          <w:color w:val="auto"/>
        </w:rPr>
      </w:pPr>
      <w:r>
        <w:rPr>
          <w:rFonts w:ascii="Times New Roman" w:cs="Times New Roman" w:eastAsia="Times New Roman" w:hAnsi="Times New Roman"/>
          <w:sz w:val="18"/>
          <w:szCs w:val="18"/>
          <w:color w:val="auto"/>
        </w:rPr>
        <w:t>Total consolidated orders for the three and nine months ended September 30, 2022, were $32.7 million and $98.3 million, respectively. This compares to $21.1 million and $71.5 million for the three and nine months ended September 30, 2021, respectively, and $40.5 million for the three months ended June 30, 2022. The acquired businesses contributed $4.5 million or 14% of the total orders in the third quarter of 2022 and $14.9 million or 15% of the total orders in the first nine months of 2022.</w:t>
      </w:r>
    </w:p>
    <w:p>
      <w:pPr>
        <w:spacing w:after="0" w:line="180" w:lineRule="exact"/>
        <w:rPr>
          <w:sz w:val="20"/>
          <w:szCs w:val="20"/>
          <w:color w:val="auto"/>
        </w:rPr>
      </w:pPr>
    </w:p>
    <w:p>
      <w:pPr>
        <w:ind w:left="980" w:right="40"/>
        <w:spacing w:after="0" w:line="256" w:lineRule="auto"/>
        <w:rPr>
          <w:sz w:val="20"/>
          <w:szCs w:val="20"/>
          <w:color w:val="auto"/>
        </w:rPr>
      </w:pPr>
      <w:r>
        <w:rPr>
          <w:rFonts w:ascii="Times New Roman" w:cs="Times New Roman" w:eastAsia="Times New Roman" w:hAnsi="Times New Roman"/>
          <w:sz w:val="18"/>
          <w:szCs w:val="18"/>
          <w:color w:val="auto"/>
        </w:rPr>
        <w:t>The increase in orders in the first nine months of 2022 as compared to the same period in 2021 reflects greater levels of demand across all our markets combined with the impact of the acquired businesses. Demand for both our front-end and back-end semi market applications has continued to show strength which we attribute to a combination of increased demand for induction heating technology solutions for silicon carbide (“SiC”) applications as well as test solutions for analog and mixed signal applications. Strength in the automotive market reflects demand for electric vehicle (“EV”) related products. In addition to these market specific factors, we believe the overall strength in our business reflects the success of our new products and growth in our customer base.</w:t>
      </w:r>
    </w:p>
    <w:p>
      <w:pPr>
        <w:spacing w:after="0" w:line="187" w:lineRule="exact"/>
        <w:rPr>
          <w:sz w:val="20"/>
          <w:szCs w:val="20"/>
          <w:color w:val="auto"/>
        </w:rPr>
      </w:pPr>
    </w:p>
    <w:p>
      <w:pPr>
        <w:ind w:left="980" w:right="80"/>
        <w:spacing w:after="0" w:line="253" w:lineRule="auto"/>
        <w:rPr>
          <w:sz w:val="20"/>
          <w:szCs w:val="20"/>
          <w:color w:val="auto"/>
        </w:rPr>
      </w:pPr>
      <w:r>
        <w:rPr>
          <w:rFonts w:ascii="Times New Roman" w:cs="Times New Roman" w:eastAsia="Times New Roman" w:hAnsi="Times New Roman"/>
          <w:sz w:val="18"/>
          <w:szCs w:val="18"/>
          <w:color w:val="auto"/>
        </w:rPr>
        <w:t>At September 30, 2022, our backlog of unfilled orders for all products was approximately $47.9 million compared with approximately $20.4 million at September 30, 2021 and $46.0 million at June 30, 2022. The amounts at September 30, 2022, June 30, 2022 and March 31, 2022 included approximately $7.5 million, $7.7 million and $7.6 million, respectively, from acquired businesses. The significant increase in our backlog as compared to September 30, 2021 reflects several orders received which we expect to ship over a longer period of time than has historically been the case for us as well as the impact of the acquired businesses. Our backlog includes customer orders which we have accepted, essentially all of which we expect to deliver in 2022 and the first half of 2023, subject to supply chain constraints.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which has the effect of increasing backlog. As a result, our backlog at a particular date is not necessarily indicative of sales for any future period.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revenue by operating segment and market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Pr>
          <w:p>
            <w:pPr>
              <w:spacing w:after="0"/>
              <w:rPr>
                <w:sz w:val="20"/>
                <w:szCs w:val="20"/>
                <w:color w:val="auto"/>
              </w:rPr>
            </w:pP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10,408</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8,103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9,797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r>
      <w:tr>
        <w:trPr>
          <w:trHeight w:val="198"/>
        </w:trPr>
        <w:tc>
          <w:tcPr>
            <w:tcW w:w="980" w:type="dxa"/>
            <w:vAlign w:val="bottom"/>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Environmental</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6,875</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w:t>
            </w:r>
          </w:p>
        </w:tc>
        <w:tc>
          <w:tcPr>
            <w:tcW w:w="3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7,507</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6,566</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12,267</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980" w:type="dxa"/>
            <w:vAlign w:val="bottom"/>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9,627</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29,571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r>
      <w:tr>
        <w:trPr>
          <w:trHeight w:val="197"/>
        </w:trPr>
        <w:tc>
          <w:tcPr>
            <w:tcW w:w="980" w:type="dxa"/>
            <w:vAlign w:val="bottom"/>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19,170</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13,656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2,191</w:t>
            </w: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2,930</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Auto/EV</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1,169</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546</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865</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14,417%</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9,627</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29,571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0"/>
                <w:szCs w:val="20"/>
                <w:color w:val="auto"/>
              </w:rPr>
            </w:pPr>
          </w:p>
        </w:tc>
        <w:tc>
          <w:tcPr>
            <w:tcW w:w="144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25,658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3,325</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19,720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16,167</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45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84,423</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62,520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21,903</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197"/>
        </w:trPr>
        <w:tc>
          <w:tcPr>
            <w:tcW w:w="45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48,969</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5,142</w:t>
            </w: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2,717</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Auto/EV</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1,944</w:t>
            </w: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1,639</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3,721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2,233</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37,217%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5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62,520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21,903</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Total consolidated revenue for the three and nine months ended September 30, 2022 was $30.8 million and $84.4 million, respectively. This compares to $21.1 million and $62.5 million for the three and nine months ended September 30, 2021, respectively, and $29.6 million for the three months ended June 30, 2022. The acquired businesses contributed $4.8 million or 15% of the total revenue in the third quarter of 2022 and $14.0 million or 17% of the total revenue in the first nine months of 2022.</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increase in our revenue in the first nine months of 2022 as compared to the same period in 2021 reflects greater levels of demand across all our markets combined with the impact of the acquired businesses. The acquired businesses contributed to growth in automotive, security, life sciences and other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War in Ukraine and Global Supply Chain Constraints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as described below. As discussed in Part I, Item 1A “Risk Factors” in our 2021 Form 10-K, Acculogic, which we acquired in December 2021, purchases certain material from a key sole-source supplier in Belarus, which is bordered by Russia to the east and northeast and Ukraine to the south. We estimate that we currently have a six to nine month supply of this material. In addition, we are in the process of qualifying an alternate supplier for this material.</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while we have been able to mitigate a significant portion of the supply chain and logistics challenges that we have encountered in the first nine months of 2022, we expect to continue to experience increased prices, lack of availability and logistics delays for the foreseeable future. The actions we are taking to mitigate these risks include qualifying new vendors as alternate sources in our supply chain, increasing our inventory of raw materials and ordering further in advance of when we expect to need materials than has been our practice in the past. We have increased, and may further increase, the prices that we charge our customers as a result of increased raw material expenses. We are also working with our customers to find alternate options for the shipment of products where they control aspects of the logistics process. However, the situation is evolving and shifting rapidly at times, and the success of our efforts to mitigate and address the impacts on our business may not be successful. As a result, we could see increases in our costs or reduced revenue which would impact the level of our earnings in future periods.</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Please refer to Part I, Item 1A of our 2021 Form 10-K for further discussion of the risks associated with our business operations, including risks associated with foreign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Pandemic</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respect to the COVID-19 pandemic, we are following the guidance of the CDC and the local regulatory authorities in regions outside the U.S. While in most cases we are no longer requiring employees to wear masks indoors in our domestic locations, we continue to closely monitor the case numbers in individual facilities and have temporarily reinstituted mask requirements when we have deemed it prudent to do so. We are encouraging all employees to receive COVID-19 vaccinations and boosters, if possible. We are continuing to conduct temperature screenings and encouraging all employees to maintain social distancing when appropriate. We are also continuing to allow employees to work remotely either part-time or full-time in circumstances when possible. During April 2022, an increase in COVID-19 cases at one of our facilities resulted in a loss of production time. Additionally, the shutdowns in China required us to find alternate plans for delivery of our products to the country. Although we were able to take actions to lessen the impact of these events on our business, if the spread of COVID-19 or its variants continues to worsen, we may experience additional lost production time or further interruption in our ability to ship our products to our customers. In addition, if one or more of our significant customers or suppliers is impacted, or if significant additional governmental regulations and restrictions are imposed, our business could be negatively impacted in the future. We continue to monitor the situation closely and will adjust our operations as necessary to protect the health and well-being of our employees and to minimize the impact on our business operations. To the extent that further governmental mandates or restrictions are implemented in the future, we currently expect to be able to continue to operate our business in a manner similar to how we have operated over the past two years.</w:t>
      </w:r>
    </w:p>
    <w:p>
      <w:pPr>
        <w:spacing w:after="0" w:line="1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76" w:right="359" w:bottom="879"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 results of operations for all of our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2022 Compared to Three Months Ended September 30, 2021</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$30.8 million for the three months ended September 30, 2022 compared to $21.1 million for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$9.6 million, or 46%. Revenue attributable to the acquired businesses totaled $4.8 million in the third quarter of 2022. We believe the increase in our revenue during the third quarter of 2022 primarily reflects the factors previously discussed under “Revenue” in the Overview section above.</w:t>
      </w:r>
    </w:p>
    <w:p>
      <w:pPr>
        <w:spacing w:after="0" w:line="180"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45% of revenue for the three months ended September 30, 2022 as compared to 49%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same period in 2021. The decrease in our gross margin primarily reflects an increase in our component material costs as a percentage of revenue, reflecting changes in product, customer and sales channel mix.</w:t>
      </w:r>
    </w:p>
    <w:p>
      <w:pPr>
        <w:spacing w:after="0" w:line="173"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$4.0 million for the three months ended September 30, 2022 compared to $2.8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an increase of $1.2 million, or 41%. The acquired businesses account for approximately $975,000 of this increase. The remaining increase primarily reflects headcount investments across all our segments.</w:t>
      </w:r>
    </w:p>
    <w:p>
      <w:pPr>
        <w:spacing w:after="0" w:line="173" w:lineRule="exact"/>
        <w:rPr>
          <w:sz w:val="20"/>
          <w:szCs w:val="20"/>
          <w:color w:val="auto"/>
        </w:rPr>
      </w:pPr>
    </w:p>
    <w:p>
      <w:pPr>
        <w:jc w:val="both"/>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Engineering and Product Development Expense. </w:t>
      </w:r>
      <w:r>
        <w:rPr>
          <w:rFonts w:ascii="Times New Roman" w:cs="Times New Roman" w:eastAsia="Times New Roman" w:hAnsi="Times New Roman"/>
          <w:sz w:val="17"/>
          <w:szCs w:val="17"/>
          <w:color w:val="auto"/>
        </w:rPr>
        <w:t>Engineering and product development expense was $1.9 million for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compared to $1.3 million for the same period in 2021, an increase of $532,000, or 40%. The acquired businesses account for approximately $492,000 of this increase. The remaining increase primarily reflects headcount investments across all our segments.</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$4.9 million for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$3.6 million for the same period in 2021, an increase of $1.2 million, or 34%. The acquired businesses account for approximately $1.0 million of this increase. The amount attributable to the acquired businesses includes amortization expense of approximately $300,000 related to acquired intangible assets. The remaining increase primarily reflects headcount investments in our legacy businesses as well as an increase in stock-based compensation expense. These increases were partially offset by a reduction in acquisition related costs, including legal and professional fees, and lower accruals for profit-based bonuses.</w:t>
      </w:r>
    </w:p>
    <w:p>
      <w:pPr>
        <w:spacing w:after="0" w:line="18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and Other Charges</w:t>
      </w:r>
      <w:r>
        <w:rPr>
          <w:rFonts w:ascii="Times New Roman" w:cs="Times New Roman" w:eastAsia="Times New Roman" w:hAnsi="Times New Roman"/>
          <w:sz w:val="18"/>
          <w:szCs w:val="18"/>
          <w:color w:val="auto"/>
        </w:rPr>
        <w:t>. For the three months ended September 30, 2021, we recorded $51,000 in restructuring and other charges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consolidation of the manufacturing operations in our Electronic Test segment. There were no similar charges in the three months ended September 30, 2022.</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September 30, 2022, we recorded income tax expense of $515,000 compared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$357,000 for the same period in 2021. Our effective tax rate was 17% for the three months ended September 30, 2022 compared to 14% for the same period in 2021. On a quarterly basis, we record income tax expense or benefit based on the expected annualized effective tax rate for the various taxing jurisdictions in which we operate our businesses.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2022 Compared to Nine Months Ended September 30, 2021</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$84.4 million for the nine months ended September 30, 2022 compared to $62.5 million for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$21.9 million, or 35%. Revenue attributable to the acquired businesses totaled $14.0 million in the first nine months of 2022. We believe the increase in our revenue during the first nine months of 2022 primarily reflects the factors previously discussed under “Revenue” in the Overview section above.</w:t>
      </w:r>
    </w:p>
    <w:p>
      <w:pPr>
        <w:spacing w:after="0" w:line="180"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46% of revenue for the nine months ended September 30, 2022 as compared to 49%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same period in 2021. The decrease in our gross margin primarily reflects an increase in our component material costs as a percentage of revenue, reflecting changes in product, customer and sales channel mix.</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76" w:right="339" w:bottom="1440" w:gutter="0" w:footer="0" w:header="0"/>
        </w:sectPr>
      </w:pPr>
    </w:p>
    <w:bookmarkStart w:id="33" w:name="page34"/>
    <w:bookmarkEnd w:id="33"/>
    <w:p>
      <w:pPr>
        <w:ind w:right="3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Selling Expense. </w:t>
      </w:r>
      <w:r>
        <w:rPr>
          <w:rFonts w:ascii="Times New Roman" w:cs="Times New Roman" w:eastAsia="Times New Roman" w:hAnsi="Times New Roman"/>
          <w:sz w:val="17"/>
          <w:szCs w:val="17"/>
          <w:color w:val="auto"/>
        </w:rPr>
        <w:t>Selling expense was $11.5 million for the nine months ended September 30, 2022 compared to $7.8 million for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2021, an increase of $3.6 million, or 46%. The acquired businesses account for approximately $2.8 million of this increase. The remaining increase primarily reflects headcount investments and increased travel and advertising costs across all our segments. These increases were partially offset by a decrease in commissions reflecting changes in product, customer and sales channel mix.</w:t>
      </w:r>
    </w:p>
    <w:p>
      <w:pPr>
        <w:spacing w:after="0" w:line="1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$5.6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compared to $4.0 million for the same period in 2021, an increase of $1.6 million or 41%. The acquired businesses account for approximately $1.5 million of this increase. There were no significant changes in the components of expense of our legacy business.</w:t>
      </w:r>
    </w:p>
    <w:p>
      <w:pPr>
        <w:spacing w:after="0" w:line="1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$14.6 million for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$10.6 million for the same period in 2021, an increase of $4.1 million, or 39%. The acquired businesses account for approximately $3.6 million of this increase. The amount attributable to the acquired businesses includes amortization expense of approximately $1.2 million related to acquired intangible assets. The remaining increase primarily reflects headcount investments, higher levels of professional fees for third-party professionals who assist us with strategic initiatives, investor relations and other regulatory matters and an increase in stock-based compensation expense.</w:t>
      </w:r>
    </w:p>
    <w:p>
      <w:pPr>
        <w:spacing w:after="0" w:line="182"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and Other Charges</w:t>
      </w:r>
      <w:r>
        <w:rPr>
          <w:rFonts w:ascii="Times New Roman" w:cs="Times New Roman" w:eastAsia="Times New Roman" w:hAnsi="Times New Roman"/>
          <w:sz w:val="18"/>
          <w:szCs w:val="18"/>
          <w:color w:val="auto"/>
        </w:rPr>
        <w:t>. For the nine months ended September 30, 2021, we recorded $303,000 in restructuring and other charges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consolidation of the manufacturing operations in our Electronic Test segment and the retirement of our former Chief Financial Officer. There were no similar charges in the nine months ended September 30, 2022.</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nine months ended September 30, 2022, we recorded income tax expense of $1.0 million compared to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of $1.2 million for the same period in 2021. Our effective tax rate was 17% for the nine months ended September 30, 2022 compared to 14% for the same period in 2021. On a quarterly basis, we record income tax expense or benefit based on the expected annualized effective tax rate for the various taxing jurisdictions in which we operate our businesses.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 results of operations and net cash flows difficult.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discussed in Note 12 to our consolidated financial statements in this Report, on October 15, 2021, we entered into the Loan Agreement with M&amp;T. The Loan Agreement includes a $25 million non-revolving delayed draw term note (the “Term Note”) and a $10 million revolving credit facility (together with the Term Note, the “Credit Facility”). The Credit Facility had a five year contract period that began on the Closing Date and expired on October 15, 2026, and draws under the Term Note were permissible for two years.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1A. Under the Amended Loan Agreement, the maximum loan amount that we may borrow under the Term Note increased from $25 million to $50.5 million, which raises the available funding at September 30, 2022 to $30 million. Under the Amended Loan Agreement, the maturity date of the Term Note and revolving credit facility were also extended to September 19, 2027 (the “Contract Period”). As of September 30, 2022, we had not borrowed any amounts under the revolving credit facility. Our borrowings under the Term Note are discussed below and occurred prior to entering into the Amended Loan Agreement. The principal balance of the revolving credit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and a fixed charge coverage ratio. Our obligations under the Amended Loan Agreement are secured by liens on substantially all of our tangible and intangible assets.</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78" w:right="339" w:bottom="1440" w:gutter="0" w:footer="0" w:header="0"/>
        </w:sectPr>
      </w:pPr>
    </w:p>
    <w:bookmarkStart w:id="34" w:name="page35"/>
    <w:bookmarkEnd w:id="34"/>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September 30, 2022 it was approximately 4.4% based on current leverage. Effective October 15, 2022, this rate had increased to approximately 5.2%.</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2022 was $179,000 and $457,000, respectively. There was no interest expense in the three or nine months ended September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cash equivalents, restricted cash and working capital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27,005</w:t>
            </w:r>
          </w:p>
        </w:tc>
      </w:tr>
    </w:tbl>
    <w:p>
      <w:pPr>
        <w:spacing w:after="0" w:line="1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2022, $3.8 million, or 42%, of our cash and cash equivalents was held by our foreign subsidiaries. We also had $1.1 million of restricted cash that is discussed in Note 2 to our consolidated financial statements in this Report that was held by one of our subsidiaries in the Netherlands.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above and in Note 12 to our consolidated financial statements in this Report.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Over the last nine months, in connection with the increasing level of our backlog, we have made additional investments in inventory which now comprises a greater portion of our total working capital at September 30, 2022 than at December 31, 2021. We also anticipate making investments in our business in the next twelve months including hiring of additional staff, updates to our website and other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w:t>
      </w:r>
    </w:p>
    <w:p>
      <w:pPr>
        <w:spacing w:after="0" w:line="18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current strategy for growth includes pursuing acquisition opportunities for complementary businesses, technologies or products. As discussed further in the Overview, on October 28, 2021, we acquired substantially all of the assets of Videology and on December 21, 2021, we completed the acquisition of Acculogic. We utilized $20.5 million under the Term Note to finance these acquisitions.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recently expanded as discussed above and in Note 12 to our consolidated financial statements in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operations during the nine months ended September 30, 2022 was $3.7 million. During this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we recorded net earnings of $5.2 million and had non-cash charges of $3.7 million for depreciation and amortization, which included $972,000 of amortization related to our ROU assets. Our operating lease liabilities declined $1.1 million during this period. We recorded $1.4 million for amortization of deferred compensation expense related to stock-based awards and a $1.2 million deferred income tax benefit during this period. During the nine months ended September 30, 2022, accounts receivable increased $4.9 million, reflecting the increase in revenue in the third quarter of 2022 compared to the fourth quarter of 2021, as well as the fact that a significant portion of the revenue recorded during the third quarter of 2022 was shipped in September 2022. Inventories and accounts payable increased $8.5 million and $3.9 million, respectively, also reflecting the increase in business levels. The significant increase in inventory reflects the additional working capital we have invested in the nine months ended September 30, 2022 to support the much higher level of backlog we are carrying at September 30, 2022.</w:t>
      </w:r>
    </w:p>
    <w:p>
      <w:pPr>
        <w:spacing w:after="0" w:line="1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00" w:top="580" w:right="379" w:bottom="1440" w:gutter="0" w:footer="0" w:header="0"/>
        </w:sectPr>
      </w:pPr>
    </w:p>
    <w:bookmarkStart w:id="35" w:name="page36"/>
    <w:bookmarkEnd w:id="35"/>
    <w:p>
      <w:pPr>
        <w:ind w:left="980" w:right="80"/>
        <w:spacing w:after="0" w:line="254"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for the nine months ended September 30, 2022 was $4.2 million. In April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$3.5 million to purchase U.S. treasury bills, which mature in October 2022. During the nine months ended September 30, 2022, we received a refund from the seller of approximately $371,000 of the purchase price for Acculogic. This refund reflects the final post-closing working capital adjustment. During the nine months ended September 30, 2022, purchases of property and equipment were $1.0 million, primarily reflecting leasehold improvements to our facility in Mansfield, Massachusetts for the space that our Videology subsidiary occupied in the second quarter of 2022 and the purchase of new software tools to assist in the consolidation and reporting of our business operations. These purchases were funded using our working capital. We have no significant commitments for capital expenditures for the balance of 2022;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Credit Facility.</w:t>
      </w:r>
    </w:p>
    <w:p>
      <w:pPr>
        <w:spacing w:after="0" w:line="185" w:lineRule="exact"/>
        <w:rPr>
          <w:sz w:val="20"/>
          <w:szCs w:val="20"/>
          <w:color w:val="auto"/>
        </w:rPr>
      </w:pPr>
    </w:p>
    <w:p>
      <w:pPr>
        <w:ind w:left="980" w:right="20"/>
        <w:spacing w:after="0" w:line="257"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used in financing activities for the nine months ended September 30, 2022 was $2.8 million.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2022, we made principal payments on our Term Note totaling $2.9 million. During this same period we received $148,000 as a result of purchases of our stock that were made by our employees under the ESPP and $38,000 as a result of the exercise of options to purchase our stock by employees. We also acquired $10,000 of stock as a result of shares withheld by us from employees to satisfy tax liabilities incurred by them as a result of vesting of restricted stock awards. These shares are classified as treasury stock on our consolidated balance sheets.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New or Recently Adopted Accounting Standards</w:t>
      </w:r>
    </w:p>
    <w:p>
      <w:pPr>
        <w:spacing w:after="0" w:line="229" w:lineRule="exact"/>
        <w:rPr>
          <w:sz w:val="20"/>
          <w:szCs w:val="20"/>
          <w:color w:val="auto"/>
        </w:rPr>
      </w:pPr>
    </w:p>
    <w:p>
      <w:pPr>
        <w:ind w:left="980" w:right="320"/>
        <w:spacing w:after="0" w:line="282" w:lineRule="auto"/>
        <w:rPr>
          <w:sz w:val="20"/>
          <w:szCs w:val="20"/>
          <w:color w:val="auto"/>
        </w:rPr>
      </w:pPr>
      <w:r>
        <w:rPr>
          <w:rFonts w:ascii="Times New Roman" w:cs="Times New Roman" w:eastAsia="Times New Roman" w:hAnsi="Times New Roman"/>
          <w:sz w:val="18"/>
          <w:szCs w:val="18"/>
          <w:color w:val="auto"/>
        </w:rPr>
        <w:t>See the Notes to our consolidated financial statements in this Report for information concerning the implementation and impact of new or recently adopted accounting standards.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2022, there have been no significant changes to the accounting estimates that we have deemed critical. Our critical accounting estimates are more fully described in our 2021 Form 10-K.</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Off -Balance Sheet Arrangements</w:t>
      </w:r>
    </w:p>
    <w:p>
      <w:pPr>
        <w:spacing w:after="0" w:line="229" w:lineRule="exact"/>
        <w:rPr>
          <w:sz w:val="20"/>
          <w:szCs w:val="20"/>
          <w:color w:val="auto"/>
        </w:rPr>
      </w:pPr>
    </w:p>
    <w:p>
      <w:pPr>
        <w:jc w:val="both"/>
        <w:ind w:left="980" w:right="60"/>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during the nine months ended September 30, 2022 that have or are reasonably likely to have, a current or future effect on our financial condition, changes in financial condition, revenue or expenses, results of operations, liquidity, capital expenditures or capital resources that is material to our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disclosure is 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6" w:name="page37"/>
    <w:bookmarkEnd w:id="36"/>
    <w:p>
      <w:pPr>
        <w:ind w:left="980" w:right="100"/>
        <w:spacing w:after="0" w:line="262" w:lineRule="auto"/>
        <w:rPr>
          <w:sz w:val="20"/>
          <w:szCs w:val="20"/>
          <w:color w:val="auto"/>
        </w:rPr>
      </w:pPr>
      <w:r>
        <w:rPr>
          <w:rFonts w:ascii="Times New Roman" w:cs="Times New Roman" w:eastAsia="Times New Roman" w:hAnsi="Times New Roman"/>
          <w:sz w:val="18"/>
          <w:szCs w:val="18"/>
          <w:b w:val="1"/>
          <w:bCs w:val="1"/>
          <w:color w:val="auto"/>
        </w:rPr>
        <w:t>CEO/CFO Conclusions about the Effectiveness of the Disclosure Controls and Procedures</w:t>
      </w:r>
      <w:r>
        <w:rPr>
          <w:rFonts w:ascii="Times New Roman" w:cs="Times New Roman" w:eastAsia="Times New Roman" w:hAnsi="Times New Roman"/>
          <w:sz w:val="18"/>
          <w:szCs w:val="18"/>
          <w:color w:val="auto"/>
        </w:rPr>
        <w:t>. As required by Rule 13a-15(b)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inTEST management, including our CEO and CFO, conducted an evaluation as of the end of the period covered by this Report, of the effectiveness of our disclosure controls and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Based on that evaluation, our CEO and CFO concluded that, as of the end of the period covered by this Report, our disclosure controls and procedures were effective at the reasonable assurance level.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ind w:left="980" w:right="26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820" w:right="280"/>
        <w:spacing w:after="0" w:line="297" w:lineRule="auto"/>
        <w:rPr>
          <w:sz w:val="20"/>
          <w:szCs w:val="20"/>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material legal proceedings.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820"/>
        <w:spacing w:after="0" w:line="271" w:lineRule="auto"/>
        <w:rPr>
          <w:sz w:val="20"/>
          <w:szCs w:val="20"/>
          <w:color w:val="auto"/>
        </w:rPr>
      </w:pPr>
      <w:r>
        <w:rPr>
          <w:rFonts w:ascii="Times New Roman" w:cs="Times New Roman" w:eastAsia="Times New Roman" w:hAnsi="Times New Roman"/>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2021 Form 10-K filed with the Securities and Exchange Commission on March 23, 2022. There have been no material changes from the risk factors set forth in our 2021 Form 10-K.</w:t>
      </w:r>
    </w:p>
    <w:p>
      <w:pPr>
        <w:spacing w:after="0" w:line="3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920" w:right="60" w:hanging="444"/>
        <w:spacing w:after="0" w:line="257"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 </w:t>
      </w:r>
      <w:hyperlink r:id="rId45">
        <w:r>
          <w:rPr>
            <w:rFonts w:ascii="Times New Roman" w:cs="Times New Roman" w:eastAsia="Times New Roman" w:hAnsi="Times New Roman"/>
            <w:sz w:val="18"/>
            <w:szCs w:val="18"/>
            <w:u w:val="single" w:color="auto"/>
            <w:color w:val="0000EE"/>
          </w:rPr>
          <w:t>Third Amendment to Amended and Restated Loan and Security Agreement, dated September 20, 2022, among inTEST Corporation, Ambrell</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Corporation, inTEST Silicon Valley Corporation, inTEST EMS, LLC, Temptronic Corporation, Videology Imaging Corporation, Acculogic</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Ltd., Acculogic Inc. and M&amp;T Bank. (1)</w:t>
        </w:r>
      </w:hyperlink>
    </w:p>
    <w:p>
      <w:pPr>
        <w:spacing w:after="0" w:line="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46">
        <w:r>
          <w:rPr>
            <w:rFonts w:ascii="Times New Roman" w:cs="Times New Roman" w:eastAsia="Times New Roman" w:hAnsi="Times New Roman"/>
            <w:sz w:val="18"/>
            <w:szCs w:val="18"/>
            <w:u w:val="single" w:color="auto"/>
            <w:color w:val="0000EE"/>
          </w:rPr>
          <w:t>Third Amended and Restated Delayed Draw Term Note 1A, dated September 30, 2022. (1)</w:t>
        </w:r>
      </w:hyperlink>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Rule 13a-14(a).</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Rule 13a-14(a).</w:t>
      </w:r>
    </w:p>
    <w:p>
      <w:pPr>
        <w:spacing w:after="0" w:line="207"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7" w:name="page38"/>
    <w:bookmarkEnd w:id="37"/>
    <w:p>
      <w:pPr>
        <w:ind w:left="1120" w:right="80" w:hanging="674"/>
        <w:spacing w:after="0" w:line="261" w:lineRule="auto"/>
        <w:tabs>
          <w:tab w:leader="none" w:pos="11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furnished pursuant to 18 U.S.C. Section 1350, as adopted pursuant to Section 906 of the Sarbanes-Oxley Act of 2002.</w:t>
      </w:r>
    </w:p>
    <w:p>
      <w:pPr>
        <w:ind w:left="1120" w:right="120" w:hanging="674"/>
        <w:spacing w:after="0" w:line="250" w:lineRule="auto"/>
        <w:tabs>
          <w:tab w:leader="none" w:pos="11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furnished pursuant to 18 U.S.C. Section 1350, as adopted pursuant to Section 906 of the Sarbanes-Oxley Act of 2002.</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101.INS Inline XBRL Taxonomy Instance Document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101.SCHInline XBRL Taxonomy Extension Schema Document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101.CALInline XBRL Taxonomy Extension Calculation Linkbase Document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101.DEFInline XBRL Taxonomy Extension Definition Linkbase Document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101.LABInline XBRL Taxonomy Extension Label Linkbase Document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9" w:lineRule="exact"/>
        <w:rPr>
          <w:sz w:val="20"/>
          <w:szCs w:val="20"/>
          <w:color w:val="auto"/>
        </w:rPr>
      </w:pPr>
    </w:p>
    <w:p>
      <w:pPr>
        <w:ind w:left="440"/>
        <w:spacing w:after="0"/>
        <w:tabs>
          <w:tab w:leader="none" w:pos="11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7" w:lineRule="exact"/>
        <w:rPr>
          <w:sz w:val="20"/>
          <w:szCs w:val="20"/>
          <w:color w:val="auto"/>
        </w:rPr>
      </w:pPr>
    </w:p>
    <w:p>
      <w:pPr>
        <w:ind w:left="920" w:right="60" w:hanging="453"/>
        <w:spacing w:after="0" w:line="28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Current Report on Form 8-K dated September 20, 2022, File No. 001-36117, filed September 26, 2022, and incorporated herein by reference.</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20" w:type="dxa"/>
            <w:vAlign w:val="bottom"/>
            <w:gridSpan w:val="4"/>
          </w:tcPr>
          <w:p>
            <w:pPr>
              <w:ind w:left="1520"/>
              <w:spacing w:after="0"/>
              <w:rPr>
                <w:sz w:val="20"/>
                <w:szCs w:val="20"/>
                <w:color w:val="auto"/>
              </w:rPr>
            </w:pPr>
            <w:r>
              <w:rPr>
                <w:rFonts w:ascii="Times New Roman" w:cs="Times New Roman" w:eastAsia="Times New Roman" w:hAnsi="Times New Roman"/>
                <w:sz w:val="18"/>
                <w:szCs w:val="18"/>
                <w:b w:val="1"/>
                <w:bCs w:val="1"/>
                <w:color w:val="auto"/>
              </w:rPr>
              <w:t>inTEST Corporation</w:t>
            </w:r>
          </w:p>
        </w:tc>
      </w:tr>
      <w:tr>
        <w:trPr>
          <w:trHeight w:val="823"/>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502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/s/ Richard N. Grant, Jr.</w:t>
            </w:r>
          </w:p>
        </w:tc>
      </w:tr>
      <w:tr>
        <w:trPr>
          <w:trHeight w:val="216"/>
        </w:trPr>
        <w:tc>
          <w:tcPr>
            <w:tcW w:w="4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Richard N. Grant, Jr.</w:t>
            </w:r>
          </w:p>
        </w:tc>
        <w:tc>
          <w:tcPr>
            <w:tcW w:w="1780" w:type="dxa"/>
            <w:vAlign w:val="bottom"/>
          </w:tcPr>
          <w:p>
            <w:pPr>
              <w:spacing w:after="0"/>
              <w:rPr>
                <w:sz w:val="18"/>
                <w:szCs w:val="18"/>
                <w:color w:val="auto"/>
              </w:rPr>
            </w:pPr>
          </w:p>
        </w:tc>
      </w:tr>
      <w:tr>
        <w:trPr>
          <w:trHeight w:val="236"/>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20" w:type="dxa"/>
            <w:vAlign w:val="bottom"/>
            <w:gridSpan w:val="4"/>
          </w:tcPr>
          <w:p>
            <w:pPr>
              <w:ind w:left="15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823"/>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502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/s/ Duncan Gilmour</w:t>
            </w:r>
          </w:p>
        </w:tc>
      </w:tr>
      <w:tr>
        <w:trPr>
          <w:trHeight w:val="216"/>
        </w:trPr>
        <w:tc>
          <w:tcPr>
            <w:tcW w:w="4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Duncan Gilmour</w:t>
            </w:r>
          </w:p>
        </w:tc>
        <w:tc>
          <w:tcPr>
            <w:tcW w:w="2060" w:type="dxa"/>
            <w:vAlign w:val="bottom"/>
            <w:gridSpan w:val="2"/>
          </w:tcPr>
          <w:p>
            <w:pPr>
              <w:spacing w:after="0"/>
              <w:rPr>
                <w:sz w:val="18"/>
                <w:szCs w:val="18"/>
                <w:color w:val="auto"/>
              </w:rPr>
            </w:pPr>
          </w:p>
        </w:tc>
      </w:tr>
      <w:tr>
        <w:trPr>
          <w:trHeight w:val="236"/>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20" w:type="dxa"/>
            <w:vAlign w:val="bottom"/>
            <w:gridSpan w:val="4"/>
          </w:tcPr>
          <w:p>
            <w:pPr>
              <w:ind w:left="1520"/>
              <w:spacing w:after="0"/>
              <w:rPr>
                <w:sz w:val="20"/>
                <w:szCs w:val="20"/>
                <w:color w:val="auto"/>
              </w:rPr>
            </w:pPr>
            <w:r>
              <w:rPr>
                <w:rFonts w:ascii="Times New Roman" w:cs="Times New Roman" w:eastAsia="Times New Roman" w:hAnsi="Times New Roman"/>
                <w:sz w:val="18"/>
                <w:szCs w:val="18"/>
                <w:i w:val="1"/>
                <w:iCs w:val="1"/>
                <w:color w:val="auto"/>
                <w:w w:val="98"/>
              </w:rPr>
              <w:t>Chief Financial Officer, Treasurer and Secretary</w:t>
            </w:r>
          </w:p>
        </w:tc>
      </w:tr>
      <w:tr>
        <w:trPr>
          <w:trHeight w:val="432"/>
        </w:trPr>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200"/>
          </w:cols>
          <w:pgMar w:left="320" w:top="580"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Richard N. Grant, Jr., certify that:</w:t>
      </w:r>
    </w:p>
    <w:p>
      <w:pPr>
        <w:spacing w:after="0" w:line="225" w:lineRule="exact"/>
        <w:rPr>
          <w:sz w:val="20"/>
          <w:szCs w:val="20"/>
          <w:color w:val="auto"/>
        </w:rPr>
      </w:pPr>
    </w:p>
    <w:p>
      <w:pPr>
        <w:ind w:left="800" w:hanging="306"/>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5" w:lineRule="exact"/>
        <w:rPr>
          <w:rFonts w:ascii="Times New Roman" w:cs="Times New Roman" w:eastAsia="Times New Roman" w:hAnsi="Times New Roman"/>
          <w:sz w:val="18"/>
          <w:szCs w:val="18"/>
          <w:color w:val="auto"/>
        </w:rPr>
      </w:pPr>
    </w:p>
    <w:p>
      <w:pPr>
        <w:ind w:right="220" w:firstLine="494"/>
        <w:spacing w:after="0" w:line="266" w:lineRule="auto"/>
        <w:tabs>
          <w:tab w:leader="none" w:pos="8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0" w:firstLine="494"/>
        <w:spacing w:after="0" w:line="282" w:lineRule="auto"/>
        <w:tabs>
          <w:tab w:leader="none" w:pos="8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7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100" w:firstLine="478"/>
        <w:spacing w:after="0" w:line="266" w:lineRule="auto"/>
        <w:tabs>
          <w:tab w:leader="none" w:pos="11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300" w:firstLine="478"/>
        <w:spacing w:after="0" w:line="266" w:lineRule="auto"/>
        <w:tabs>
          <w:tab w:leader="none" w:pos="112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440" w:firstLine="478"/>
        <w:spacing w:after="0" w:line="282" w:lineRule="auto"/>
        <w:tabs>
          <w:tab w:leader="none" w:pos="11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420" w:firstLine="478"/>
        <w:spacing w:after="0" w:line="266" w:lineRule="auto"/>
        <w:tabs>
          <w:tab w:leader="none" w:pos="112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494"/>
        <w:spacing w:after="0" w:line="282" w:lineRule="auto"/>
        <w:tabs>
          <w:tab w:leader="none" w:pos="7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660" w:firstLine="478"/>
        <w:spacing w:after="0" w:line="282" w:lineRule="auto"/>
        <w:tabs>
          <w:tab w:leader="none" w:pos="11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360" w:firstLine="478"/>
        <w:spacing w:after="0" w:line="282" w:lineRule="auto"/>
        <w:tabs>
          <w:tab w:leader="none" w:pos="11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u w:val="single" w:color="auto"/>
          <w:color w:val="auto"/>
        </w:rPr>
        <w:t>/s/ Richard N. Grant, Jr.</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Richard N. Grant, Jr.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Duncan Gilmour, certify that:</w:t>
      </w:r>
    </w:p>
    <w:p>
      <w:pPr>
        <w:spacing w:after="0" w:line="225" w:lineRule="exact"/>
        <w:rPr>
          <w:sz w:val="20"/>
          <w:szCs w:val="20"/>
          <w:color w:val="auto"/>
        </w:rPr>
      </w:pPr>
    </w:p>
    <w:p>
      <w:pPr>
        <w:ind w:left="800" w:hanging="30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5" w:lineRule="exact"/>
        <w:rPr>
          <w:rFonts w:ascii="Times New Roman" w:cs="Times New Roman" w:eastAsia="Times New Roman" w:hAnsi="Times New Roman"/>
          <w:sz w:val="18"/>
          <w:szCs w:val="18"/>
          <w:color w:val="auto"/>
        </w:rPr>
      </w:pPr>
    </w:p>
    <w:p>
      <w:pPr>
        <w:ind w:right="220" w:firstLine="494"/>
        <w:spacing w:after="0" w:line="266" w:lineRule="auto"/>
        <w:tabs>
          <w:tab w:leader="none" w:pos="8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0" w:firstLine="494"/>
        <w:spacing w:after="0" w:line="282" w:lineRule="auto"/>
        <w:tabs>
          <w:tab w:leader="none" w:pos="8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7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100" w:firstLine="478"/>
        <w:spacing w:after="0" w:line="266" w:lineRule="auto"/>
        <w:tabs>
          <w:tab w:leader="none" w:pos="11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300" w:firstLine="478"/>
        <w:spacing w:after="0" w:line="266" w:lineRule="auto"/>
        <w:tabs>
          <w:tab w:leader="none" w:pos="11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440" w:firstLine="478"/>
        <w:spacing w:after="0" w:line="282" w:lineRule="auto"/>
        <w:tabs>
          <w:tab w:leader="none" w:pos="11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420" w:firstLine="478"/>
        <w:spacing w:after="0" w:line="266" w:lineRule="auto"/>
        <w:tabs>
          <w:tab w:leader="none" w:pos="11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494"/>
        <w:spacing w:after="0" w:line="282" w:lineRule="auto"/>
        <w:tabs>
          <w:tab w:leader="none" w:pos="7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660" w:firstLine="478"/>
        <w:spacing w:after="0" w:line="282" w:lineRule="auto"/>
        <w:tabs>
          <w:tab w:leader="none" w:pos="11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360" w:firstLine="478"/>
        <w:spacing w:after="0" w:line="282" w:lineRule="auto"/>
        <w:tabs>
          <w:tab w:leader="none" w:pos="11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u w:val="single" w:color="auto"/>
          <w:color w:val="auto"/>
        </w:rPr>
        <w:t>/s/Duncan Gilmour</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Duncan Gilmour</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September 30, 2022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20" w:hanging="612"/>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November 14, 2022</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u w:val="single" w:color="auto"/>
          <w:color w:val="auto"/>
        </w:rPr>
        <w:t>/s/ Richard N. Grant, Jr.</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Richard N. Grant, Jr.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3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September 30, 2022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u w:val="single" w:color="auto"/>
          <w:color w:val="auto"/>
        </w:rPr>
        <w:t>/s/ Duncan Gilmour</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Duncan Gilmour</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decimal"/>
      <w:start w:val="13"/>
    </w:lvl>
  </w:abstractNum>
  <w:abstractNum w:abstractNumId="16">
    <w:nsid w:val="628C895D"/>
    <w:multiLevelType w:val="hybridMultilevel"/>
    <w:lvl w:ilvl="0">
      <w:lvlJc w:val="left"/>
      <w:lvlText w:val="(%1)"/>
      <w:numFmt w:val="decimal"/>
      <w:start w:val="14"/>
    </w:lvl>
  </w:abstractNum>
  <w:abstractNum w:abstractNumId="17">
    <w:nsid w:val="333AB105"/>
    <w:multiLevelType w:val="hybridMultilevel"/>
    <w:lvl w:ilvl="0">
      <w:lvlJc w:val="left"/>
      <w:lvlText w:val="(%1)"/>
      <w:numFmt w:val="decimal"/>
      <w:start w:val="15"/>
    </w:lvl>
  </w:abstractNum>
  <w:abstractNum w:abstractNumId="18">
    <w:nsid w:val="721DA317"/>
    <w:multiLevelType w:val="hybridMultilevel"/>
    <w:lvl w:ilvl="0">
      <w:lvlJc w:val="left"/>
      <w:lvlText w:val="(%1)"/>
      <w:numFmt w:val="decimal"/>
      <w:start w:val="16"/>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5" Type="http://schemas.openxmlformats.org/officeDocument/2006/relationships/hyperlink" Target="http://www.sec.gov/Archives/edgar/data/1036262/000143774922023063/ex_426417.htm" TargetMode="External"/><Relationship Id="rId46" Type="http://schemas.openxmlformats.org/officeDocument/2006/relationships/hyperlink" Target="http://www.sec.gov/Archives/edgar/data/1036262/000143774922023063/ex_4264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2022-11-14T08:07:05Z</dcterms:created>
  <dcterms:modified xsi:type="dcterms:W3CDTF">2022-11-14T08:07:05Z</dcterms:modified>
</cp:coreProperties>
</file>